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2021-04-22 iki 2021-04-25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a4af6109fbac403b85e4d0efd0330c8d"/>
                        <w:lock w:val="sdtLocked"/>
                        <w:richText/>
                      </w:sdtPr>
                      <w:sdtContent>
                        <w:p>
                          <w:pPr>
                            <w:tabs>
                              <w:tab w:val="left" w:pos="1134"/>
                            </w:tabs>
                            <w:ind w:firstLine="720"/>
                            <w:jc w:val="both"/>
                          </w:pPr>
                          <w:sdt>
                            <w:sdtPr>
                              <w:alias w:val="Numeris"/>
                              <w:tag w:val="nr_a4af6109fbac403b85e4d0efd0330c8d"/>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w:t>
                          </w:r>
                          <w:r>
                            <w:rPr>
                              <w:b/>
                              <w:bCs/>
                              <w:szCs w:val="24"/>
                              <w:lang w:eastAsia="lt-LT"/>
                            </w:rPr>
                            <w:t xml:space="preserve"> </w:t>
                          </w:r>
                          <w:r>
                            <w:rPr>
                              <w:szCs w:val="24"/>
                              <w:lang w:eastAsia="lt-LT"/>
                            </w:rPr>
                            <w:t>vyksta ne daugiau kaip 10</w:t>
                          </w:r>
                          <w:r>
                            <w:rPr>
                              <w:b/>
                              <w:bCs/>
                              <w:szCs w:val="24"/>
                              <w:lang w:eastAsia="lt-LT"/>
                            </w:rPr>
                            <w:t xml:space="preserve"> </w:t>
                          </w:r>
                          <w:r>
                            <w:rPr>
                              <w:szCs w:val="24"/>
                              <w:lang w:eastAsia="lt-LT"/>
                            </w:rPr>
                            <w:t>asmenų</w:t>
                          </w:r>
                          <w:r>
                            <w:rPr>
                              <w:szCs w:val="24"/>
                              <w:lang w:val="ru-RU" w:eastAsia="lt-LT"/>
                            </w:rPr>
                            <w:t>,</w:t>
                          </w:r>
                          <w:r>
                            <w:rPr>
                              <w:szCs w:val="24"/>
                              <w:lang w:eastAsia="lt-LT"/>
                            </w:rPr>
                            <w:t xml:space="preserve"> nurodytų šio nutarimo 2</w:t>
                          </w:r>
                          <w:r>
                            <w:rPr>
                              <w:szCs w:val="24"/>
                              <w:vertAlign w:val="superscript"/>
                              <w:lang w:eastAsia="lt-LT"/>
                            </w:rPr>
                            <w:t>2</w:t>
                          </w:r>
                          <w:r>
                            <w:rPr>
                              <w:szCs w:val="24"/>
                              <w:lang w:eastAsia="lt-LT"/>
                            </w:rPr>
                            <w:t xml:space="preserve"> punkte,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nurodytų šio nutarimo 2</w:t>
                          </w:r>
                          <w:r>
                            <w:rPr>
                              <w:szCs w:val="24"/>
                              <w:vertAlign w:val="superscript"/>
                              <w:lang w:eastAsia="lt-LT"/>
                            </w:rPr>
                            <w:t>2</w:t>
                          </w:r>
                          <w:r>
                            <w:rPr>
                              <w:szCs w:val="24"/>
                              <w:lang w:eastAsia="lt-LT"/>
                            </w:rPr>
                            <w:t xml:space="preserve"> punkte, arba dviejų šeimų ir (ar) dviejų namų ūkių narių grupėmis. Laidotuvėse gali dalyvauti ne daugiau kaip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
                          <w:sdtPr>
                            <w:alias w:val="2.1.8.1.5 pp."/>
                            <w:tag w:val="part_9a67c6f16bbc4f689812d22ea317efb3"/>
                            <w:lock w:val="sdtLocked"/>
                            <w:richText/>
                          </w:sdtPr>
                          <w:sdtContent>
                            <w:p>
                              <w:pPr>
                                <w:tabs>
                                  <w:tab w:val="left" w:pos="1134"/>
                                </w:tabs>
                                <w:ind w:firstLine="720"/>
                                <w:jc w:val="both"/>
                                <w:rPr>
                                  <w:szCs w:val="24"/>
                                  <w:lang w:eastAsia="lt-LT"/>
                                </w:rPr>
                              </w:pPr>
                              <w:sdt>
                                <w:sdtPr>
                                  <w:alias w:val="Numeris"/>
                                  <w:tag w:val="nr_9a67c6f16bbc4f689812d22ea317efb3"/>
                                  <w:lock w:val="sdtLocked"/>
                                  <w:richText/>
                                </w:sdtPr>
                                <w:sdtContent>
                                  <w:r>
                                    <w:rPr>
                                      <w:szCs w:val="24"/>
                                      <w:lang w:eastAsia="lt-LT"/>
                                    </w:rPr>
                                    <w:t>2.1.8.1.5</w:t>
                                  </w:r>
                                </w:sdtContent>
                              </w:sdt>
                              <w:r>
                                <w:rPr>
                                  <w:szCs w:val="24"/>
                                  <w:lang w:eastAsia="lt-LT"/>
                                </w:rPr>
                                <w:t xml:space="preserve">. </w:t>
                              </w:r>
                              <w:r>
                                <w:rPr>
                                  <w:szCs w:val="24"/>
                                  <w:shd w:val="clear" w:color="auto" w:fill="FFFFFF"/>
                                  <w:lang w:eastAsia="lt-LT"/>
                                </w:rPr>
                                <w:t xml:space="preserve">ne daugiau kaip 10 asmenų, nurodytų </w:t>
                              </w:r>
                              <w:r>
                                <w:rPr>
                                  <w:szCs w:val="24"/>
                                  <w:lang w:eastAsia="lt-LT"/>
                                </w:rPr>
                                <w:t>šio nutarimo 2</w:t>
                              </w:r>
                              <w:r>
                                <w:rPr>
                                  <w:szCs w:val="24"/>
                                  <w:vertAlign w:val="superscript"/>
                                  <w:lang w:eastAsia="lt-LT"/>
                                </w:rPr>
                                <w:t>2</w:t>
                              </w:r>
                              <w:r>
                                <w:rPr>
                                  <w:szCs w:val="24"/>
                                  <w:lang w:eastAsia="lt-LT"/>
                                </w:rPr>
                                <w:t xml:space="preserve"> punkte, artimus kontaktus;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Content>
                    </w:sdt>
                    <w:sdt>
                      <w:sdtPr>
                        <w:alias w:val="2.1.8.2 pp."/>
                        <w:tag w:val="part_05e22bfa0b734dd9b863f989f1f75d97"/>
                        <w:lock w:val="sdtLocked"/>
                        <w:richText/>
                      </w:sdtPr>
                      <w:sdtContent>
                        <w:p>
                          <w:pPr>
                            <w:ind w:firstLine="720"/>
                            <w:jc w:val="both"/>
                            <w:rPr>
                              <w:color w:val="000000"/>
                              <w:szCs w:val="24"/>
                              <w:lang w:eastAsia="lt-LT"/>
                            </w:rPr>
                          </w:pPr>
                          <w:sdt>
                            <w:sdtPr>
                              <w:alias w:val="Numeris"/>
                              <w:tag w:val="nr_05e22bfa0b734dd9b863f989f1f75d97"/>
                              <w:lock w:val="sdtLocked"/>
                              <w:richText/>
                            </w:sdtPr>
                            <w:sdtContent>
                              <w:r>
                                <w:rPr>
                                  <w:szCs w:val="24"/>
                                  <w:lang w:eastAsia="lt-LT"/>
                                </w:rPr>
                                <w:t>2.1.8.2</w:t>
                              </w:r>
                            </w:sdtContent>
                          </w:sdt>
                          <w:r>
                            <w:rPr>
                              <w:szCs w:val="24"/>
                              <w:lang w:eastAsia="lt-LT"/>
                            </w:rPr>
                            <w:t xml:space="preserve">. rengti asmenines šventes viešose ir privačiose erdvėse, išskyrus šventes uždarose erdvėse, kai jose dalyvauja ne daugiau nei viena šeima ir (ar) vienas namų ūkis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 xml:space="preserve">, taip pat šventes atvirose erdvėse, kai dalyvauja ne daugiau nei dvi šeimos ir (ar) du namų ūkiai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1a8979393f194ebb8091e19ec4f56344"/>
                    <w:lock w:val="sdtLocked"/>
                    <w:richText/>
                  </w:sdtPr>
                  <w:sdtContent>
                    <w:p>
                      <w:pPr>
                        <w:tabs>
                          <w:tab w:val="left" w:pos="1134"/>
                        </w:tabs>
                        <w:ind w:firstLine="720"/>
                        <w:jc w:val="both"/>
                      </w:pPr>
                      <w:sdt>
                        <w:sdtPr>
                          <w:alias w:val="Numeris"/>
                          <w:tag w:val="nr_1a8979393f194ebb8091e19ec4f56344"/>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Parduotuvėse, įskaitant parduotuves prekybos ir (arba) pramogų centruose, turgavietėse ir kitose viešose prekybos vietose, kurių veikla nedraudžiama, turi būti užtikrinamas 15 m</w:t>
                      </w:r>
                      <w:r>
                        <w:rPr>
                          <w:szCs w:val="24"/>
                          <w:shd w:val="clear" w:color="auto" w:fill="FFFFFF"/>
                          <w:vertAlign w:val="superscript"/>
                          <w:lang w:eastAsia="lt-LT"/>
                        </w:rPr>
                        <w:t>2 </w:t>
                      </w:r>
                      <w:r>
                        <w:rPr>
                          <w:szCs w:val="24"/>
                          <w:shd w:val="clear" w:color="auto" w:fill="FFFFFF"/>
                          <w:lang w:eastAsia="lt-LT"/>
                        </w:rPr>
                        <w:t>prekybos plotas vienam lankytojui arba vienu metu aptarnaujamas ne daugiau kaip vienas asmuo, o parduotuvėse ir prekybos vietose, nurodytose šio nutarimo 2.2.2.6–2.2.2.9 papunkčiuose, – 20 m</w:t>
                      </w:r>
                      <w:r>
                        <w:rPr>
                          <w:szCs w:val="24"/>
                          <w:shd w:val="clear" w:color="auto" w:fill="FFFFFF"/>
                          <w:vertAlign w:val="superscript"/>
                          <w:lang w:eastAsia="lt-LT"/>
                        </w:rPr>
                        <w:t>2</w:t>
                      </w:r>
                      <w:r>
                        <w:rPr>
                          <w:szCs w:val="24"/>
                          <w:shd w:val="clear" w:color="auto" w:fill="FFFFFF"/>
                          <w:lang w:eastAsia="lt-LT"/>
                        </w:rPr>
                        <w:t>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804369b029d04c5bb64cce8589ad4406"/>
                    <w:lock w:val="sdtLocked"/>
                    <w:richText/>
                  </w:sdtPr>
                  <w:sdtContent>
                    <w:p>
                      <w:pPr>
                        <w:tabs>
                          <w:tab w:val="left" w:pos="1134"/>
                        </w:tabs>
                        <w:ind w:firstLine="720"/>
                        <w:jc w:val="both"/>
                        <w:rPr>
                          <w:szCs w:val="24"/>
                          <w:lang w:eastAsia="lt-LT"/>
                        </w:rPr>
                      </w:pPr>
                      <w:sdt>
                        <w:sdtPr>
                          <w:alias w:val="Numeris"/>
                          <w:tag w:val="nr_804369b029d04c5bb64cce8589ad4406"/>
                          <w:lock w:val="sdtLocked"/>
                          <w:richText/>
                        </w:sdtPr>
                        <w:sdtContent>
                          <w:r>
                            <w:rPr>
                              <w:szCs w:val="24"/>
                              <w:shd w:val="clear" w:color="auto" w:fill="FFFFFF"/>
                              <w:lang w:eastAsia="lt-LT"/>
                            </w:rPr>
                            <w:t>2.2.2</w:t>
                          </w:r>
                          <w:r>
                            <w:rPr>
                              <w:szCs w:val="24"/>
                              <w:shd w:val="clear" w:color="auto" w:fill="FFFFFF"/>
                              <w:vertAlign w:val="superscript"/>
                              <w:lang w:eastAsia="lt-LT"/>
                            </w:rPr>
                            <w:t>2</w:t>
                          </w:r>
                        </w:sdtContent>
                      </w:sdt>
                      <w:r>
                        <w:rPr>
                          <w:szCs w:val="24"/>
                          <w:shd w:val="clear" w:color="auto" w:fill="FFFFFF"/>
                          <w:lang w:eastAsia="lt-LT"/>
                        </w:rPr>
                        <w:t>. Prekybos centruose, turgavietėse ar kitose prekybos vietose, kuriuose veiklą vykdo daugiau nei viena parduotuvė ar vienas prekybininkas ir kuriuose šio nutarimo 2.2.2.1, 2.2.2.2, 2.2.2.5 ir 2.2.2.6 papunkčiuose nurodytų parduotuvių (prekybos vietų)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10f7553909142dba2a56361e5d554a3"/>
                        <w:lock w:val="sdtLocked"/>
                        <w:richText/>
                      </w:sdtPr>
                      <w:sdtContent>
                        <w:p>
                          <w:pPr>
                            <w:tabs>
                              <w:tab w:val="left" w:pos="1134"/>
                            </w:tabs>
                            <w:ind w:firstLine="720"/>
                            <w:jc w:val="both"/>
                            <w:rPr>
                              <w:szCs w:val="24"/>
                              <w:lang w:eastAsia="lt-LT"/>
                            </w:rPr>
                          </w:pPr>
                          <w:sdt>
                            <w:sdtPr>
                              <w:alias w:val="Numeris"/>
                              <w:tag w:val="nr_d10f7553909142dba2a56361e5d554a3"/>
                              <w:lock w:val="sdtLocked"/>
                              <w:richText/>
                            </w:sdtPr>
                            <w:sdtContent>
                              <w:r>
                                <w:rPr>
                                  <w:szCs w:val="24"/>
                                  <w:lang w:eastAsia="lt-LT"/>
                                </w:rPr>
                                <w:t>2.2.4.4</w:t>
                              </w:r>
                            </w:sdtContent>
                          </w:sdt>
                          <w:r>
                            <w:rPr>
                              <w:szCs w:val="24"/>
                              <w:lang w:eastAsia="lt-LT"/>
                            </w:rPr>
                            <w:t xml:space="preserve">. draudžiama apgyvendinimo paslaugoms teikti skirtų patalpų (tiek fizinių, tiek juridinių asmenų nuosavybės teise ar kitais teisėtais pagrindais valdomų) nuoma, subnuoma ar panauda, skirta privatiems renginiams, šventėms ar kitiems susibūrimams organizuoti, išskyrus asmeninėms šventėms organizuoti, kai dalyvių skaičius neviršija šio nutarimo </w:t>
                            <w:br/>
                            <w:t>2.1.8.2 papunktyje nustatyto asmenų skaičiaus;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e3e19ea0f6b545cd82ba9058ccda5962"/>
                        <w:lock w:val="sdtLocked"/>
                        <w:richText/>
                      </w:sdtPr>
                      <w:sdtContent>
                        <w:p>
                          <w:pPr>
                            <w:ind w:firstLine="720"/>
                            <w:jc w:val="both"/>
                          </w:pPr>
                          <w:sdt>
                            <w:sdtPr>
                              <w:alias w:val="Numeris"/>
                              <w:tag w:val="nr_e3e19ea0f6b545cd82ba9058ccda5962"/>
                              <w:lock w:val="sdtLocked"/>
                              <w:richText/>
                            </w:sdtPr>
                            <w:sdtContent>
                              <w:r>
                                <w:rPr>
                                  <w:szCs w:val="24"/>
                                  <w:lang w:eastAsia="lt-LT"/>
                                </w:rPr>
                                <w:t>2.2.6.3</w:t>
                              </w:r>
                            </w:sdtContent>
                          </w:sdt>
                          <w:r>
                            <w:rPr>
                              <w:szCs w:val="24"/>
                              <w:lang w:eastAsia="lt-LT"/>
                            </w:rPr>
                            <w:t>. sporto, laisvalaikio ir pramogų paslaugas atvirose erdvėse, vienu metu teikiamas ne daugiau kaip 10 asmenų, išskyrus dviejų šeimų ir (ar) dviejų namų ūkių narius,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8 pp."/>
                        <w:tag w:val="part_fa5c57ab38904c22a831082e61925aa5"/>
                        <w:lock w:val="sdtLocked"/>
                        <w:richText/>
                      </w:sdtPr>
                      <w:sdtContent>
                        <w:p>
                          <w:pPr>
                            <w:ind w:firstLine="720"/>
                            <w:jc w:val="both"/>
                          </w:pPr>
                          <w:sdt>
                            <w:sdtPr>
                              <w:alias w:val="Numeris"/>
                              <w:tag w:val="nr_fa5c57ab38904c22a831082e61925aa5"/>
                              <w:lock w:val="sdtLocked"/>
                              <w:richText/>
                            </w:sdtPr>
                            <w:sdtContent>
                              <w:r>
                                <w:rPr>
                                  <w:szCs w:val="24"/>
                                  <w:lang w:eastAsia="lt-LT"/>
                                </w:rPr>
                                <w:t>2.2.6.8</w:t>
                              </w:r>
                            </w:sdtContent>
                          </w:sdt>
                          <w:r>
                            <w:rPr>
                              <w:szCs w:val="24"/>
                              <w:lang w:eastAsia="lt-LT"/>
                            </w:rPr>
                            <w:t xml:space="preserve">. laisvalaikio paslaugoms teikti skirtų patalpų nuoma, subnuoma ar panauda, skirta asmeninėms šventėms organizuoti, kai dalyvių skaičius neviršija šio nutarimo </w:t>
                            <w:br/>
                            <w:t>2.1.8.2 papunktyje nustatyto asmenų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7b48a7572a448397db7cbc5a140f5d"/>
                        <w:lock w:val="sdtLocked"/>
                        <w:richText/>
                      </w:sdtPr>
                      <w:sdtContent>
                        <w:p>
                          <w:pPr>
                            <w:tabs>
                              <w:tab w:val="left" w:pos="1134"/>
                            </w:tabs>
                            <w:ind w:firstLine="720"/>
                            <w:jc w:val="both"/>
                            <w:rPr>
                              <w:bCs/>
                              <w:szCs w:val="24"/>
                              <w:lang w:eastAsia="lt-LT"/>
                            </w:rPr>
                          </w:pPr>
                          <w:sdt>
                            <w:sdtPr>
                              <w:alias w:val="Numeris"/>
                              <w:tag w:val="nr_fb7b48a7572a448397db7cbc5a140f5d"/>
                              <w:lock w:val="sdtLocked"/>
                              <w:richText/>
                            </w:sdtPr>
                            <w:sdtContent>
                              <w:r>
                                <w:rPr>
                                  <w:szCs w:val="24"/>
                                  <w:lang w:eastAsia="lt-LT"/>
                                </w:rPr>
                                <w:t>2.2.7.5</w:t>
                              </w:r>
                            </w:sdtContent>
                          </w:sdt>
                          <w:r>
                            <w:rPr>
                              <w:szCs w:val="24"/>
                              <w:lang w:eastAsia="lt-LT"/>
                            </w:rPr>
                            <w:t>. viešojo maitinimo įstaigų, restoranų, kavinių ir barų veikla vykdoma nuo 7 iki 21 valandos, kai užsakytas maistas ir gėrimai vartojami prie atvirose erdvėse esančių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d82fe3ef500a43b0a54eee7944e5364e"/>
                        <w:lock w:val="sdtLocked"/>
                        <w:richText/>
                      </w:sdtPr>
                      <w:sdtContent>
                        <w:p>
                          <w:pPr>
                            <w:tabs>
                              <w:tab w:val="left" w:pos="1134"/>
                            </w:tabs>
                            <w:ind w:firstLine="720"/>
                            <w:jc w:val="both"/>
                            <w:rPr>
                              <w:bCs/>
                              <w:szCs w:val="24"/>
                              <w:lang w:eastAsia="lt-LT"/>
                            </w:rPr>
                          </w:pPr>
                          <w:sdt>
                            <w:sdtPr>
                              <w:alias w:val="Numeris"/>
                              <w:tag w:val="nr_d82fe3ef500a43b0a54eee7944e5364e"/>
                              <w:lock w:val="sdtLocked"/>
                              <w:richText/>
                            </w:sdtPr>
                            <w:sdtContent>
                              <w:r>
                                <w:rPr>
                                  <w:szCs w:val="24"/>
                                  <w:shd w:val="clear" w:color="auto" w:fill="FFFFFF"/>
                                  <w:lang w:eastAsia="lt-LT"/>
                                </w:rPr>
                                <w:t>2.2.8.4</w:t>
                              </w:r>
                            </w:sdtContent>
                          </w:sdt>
                          <w:r>
                            <w:rPr>
                              <w:szCs w:val="24"/>
                              <w:shd w:val="clear" w:color="auto" w:fill="FFFFFF"/>
                              <w:lang w:eastAsia="lt-LT"/>
                            </w:rPr>
                            <w:t xml:space="preserve">. </w:t>
                          </w:r>
                          <w:r>
                            <w:rPr>
                              <w:szCs w:val="24"/>
                              <w:lang w:eastAsia="lt-LT"/>
                            </w:rPr>
                            <w:t>ekskursijas atvirose erdvėse, kuriose dalyvauja ne daugiau kaip 10 asmenų,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b825e15ca7d4240a402fc6b43426ee7"/>
                        <w:lock w:val="sdtLocked"/>
                        <w:richText/>
                      </w:sdtPr>
                      <w:sdtContent>
                        <w:p>
                          <w:pPr>
                            <w:tabs>
                              <w:tab w:val="left" w:pos="1134"/>
                            </w:tabs>
                            <w:ind w:firstLine="720"/>
                            <w:jc w:val="both"/>
                          </w:pPr>
                          <w:sdt>
                            <w:sdtPr>
                              <w:alias w:val="Numeris"/>
                              <w:tag w:val="nr_ab825e15ca7d4240a402fc6b43426ee7"/>
                              <w:lock w:val="sdtLocked"/>
                              <w:richText/>
                            </w:sdtPr>
                            <w:sdtContent>
                              <w:r>
                                <w:rPr>
                                  <w:szCs w:val="24"/>
                                  <w:shd w:val="clear" w:color="auto" w:fill="FFFFFF"/>
                                  <w:lang w:eastAsia="lt-LT"/>
                                </w:rPr>
                                <w:t>2.2.9.2</w:t>
                              </w:r>
                            </w:sdtContent>
                          </w:sdt>
                          <w:r>
                            <w:rPr>
                              <w:szCs w:val="24"/>
                              <w:shd w:val="clear" w:color="auto" w:fill="FFFFFF"/>
                              <w:lang w:eastAsia="lt-LT"/>
                            </w:rPr>
                            <w:t>. 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10 vidurinio ugdymo programos baigiamosios klasės mokinių, taip pat egzaminus mokiniams, kurie baigia ugdymo programą pagal užsienio valstybių ir tarptautinių organizacijų švietimo programas, kai egzamine vienoje patalpoje dalyvauja ne daugiau kaip 10 mokinių,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197e5c15aa334d4198be184cd5a6cf7d"/>
            <w:lock w:val="sdtLocked"/>
            <w:richText/>
          </w:sdtPr>
          <w:sdtContent>
            <w:p>
              <w:pPr>
                <w:tabs>
                  <w:tab w:val="left" w:pos="1134"/>
                </w:tabs>
                <w:ind w:firstLine="720"/>
                <w:jc w:val="both"/>
              </w:pPr>
              <w:sdt>
                <w:sdtPr>
                  <w:alias w:val="Numeris"/>
                  <w:tag w:val="nr_197e5c15aa334d4198be184cd5a6cf7d"/>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miesto, Klaipėdos rajono, Kretingos rajono, Kupiškio rajono, Lazdijų rajono, Mažeikių rajono, Molėtų rajono, Neringos,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Utenos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 p."/>
            <w:tag w:val="part_6a2e44663c5346abb797c640f2bbf3ec"/>
            <w:lock w:val="sdtLocked"/>
            <w:richText/>
          </w:sdtPr>
          <w:sdtContent>
            <w:p>
              <w:pPr>
                <w:tabs>
                  <w:tab w:val="left" w:pos="1134"/>
                </w:tabs>
                <w:ind w:firstLine="720"/>
                <w:jc w:val="both"/>
              </w:pPr>
              <w:sdt>
                <w:sdtPr>
                  <w:alias w:val="Numeris"/>
                  <w:tag w:val="nr_6a2e44663c5346abb797c640f2bbf3ec"/>
                  <w:lock w:val="sdtLocked"/>
                  <w:richText/>
                </w:sdtPr>
                <w:sdtContent>
                  <w:r>
                    <w:rPr>
                      <w:szCs w:val="24"/>
                      <w:lang w:eastAsia="lt-LT"/>
                    </w:rPr>
                    <w:t>2</w:t>
                  </w:r>
                  <w:r>
                    <w:rPr>
                      <w:szCs w:val="24"/>
                      <w:vertAlign w:val="superscript"/>
                      <w:lang w:eastAsia="lt-LT"/>
                    </w:rPr>
                    <w:t>2</w:t>
                  </w:r>
                </w:sdtContent>
              </w:sdt>
              <w:r>
                <w:rPr>
                  <w:szCs w:val="24"/>
                  <w:lang w:eastAsia="lt-LT"/>
                </w:rPr>
                <w:t>. Asmenims, persirgusiems COVID-19 liga (koronaviruso infekcija), kai diagnozė buvo patvirtinta remiantis teigiamu SARS-CoV-2 PGR tyrimo ar antigeno testo rezultatu ir nuo teigiamo tyrimo rezultato praėjo ne daugiau kaip 180 dienų, taip pat asmenims, paskiepytiems Sąjungos vaistinių preparatų registre įregistruota COVID-19 ligos (koronaviruso infekcijos) vakcina pagal skiepijimo schemą, šiuo nutarimu gali būti taikomos švelnesnės karantino režimo priemonės negu kitiems asmenims.</w:t>
              </w:r>
              <w:r>
                <w:rPr>
                  <w:color w:val="FF0000"/>
                  <w:szCs w:val="24"/>
                  <w:lang w:eastAsia="lt-LT"/>
                </w:rPr>
                <w:t xml:space="preserve"> </w:t>
              </w:r>
              <w:r>
                <w:rPr>
                  <w:szCs w:val="24"/>
                  <w:lang w:eastAsia="lt-LT"/>
                </w:rPr>
                <w:t>Šiame punkte nurodytų asmenų teisė į švelnesnes karantino režimo priemones patvirtinama valstybės lygio ekstremaliosios situacijos operacijų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2eb06921aaa14afab6da008a61a662f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2eb06921aaa14afab6da008a61a662f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8.xml"/>
  <Relationship Id="rId11" Type="http://schemas.openxmlformats.org/officeDocument/2006/relationships/header" Target="header89.xml"/>
  <Relationship Id="rId12" Type="http://schemas.openxmlformats.org/officeDocument/2006/relationships/footer" Target="footer88.xml"/>
  <Relationship Id="rId13" Type="http://schemas.openxmlformats.org/officeDocument/2006/relationships/footer" Target="footer89.xml"/>
  <Relationship Id="rId14" Type="http://schemas.openxmlformats.org/officeDocument/2006/relationships/header" Target="header90.xml"/>
  <Relationship Id="rId15" Type="http://schemas.openxmlformats.org/officeDocument/2006/relationships/footer" Target="footer90.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a4af6109fbac403b85e4d0efd0330c8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Type="papunktis" Nr="2.1.8.1.5" Abbr="2.1.8.1.5 pp." DocPartId="d06325d498384811acd990b4c6a32a3b" PartId="9a67c6f16bbc4f689812d22ea317efb3"/>
          </Part>
          <Part Type="papunktis" Nr="2.1.8.2" Abbr="2.1.8.2 pp." DocPartId="c8774f4654cb4eec94778754d8308ab7" PartId="05e22bfa0b734dd9b863f989f1f75d9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Part Type="papunktis" Nr="2.2.2-1" Abbr="2.2.2-1 pp." DocPartId="47e35d3d85f7486aa5428c0b13523d40" PartId="1a8979393f194ebb8091e19ec4f56344"/>
        <Part Type="papunktis" Nr="2.2.2-2" Abbr="2.2.2-2 pp." DocPartId="b38fa12dde3c47d9b907d7f4b8bb7ccd" PartId="804369b029d04c5bb64cce8589ad4406"/>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d10f7553909142dba2a56361e5d554a3"/>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e3e19ea0f6b545cd82ba9058ccda5962"/>
          <Part Type="papunktis" Nr="2.2.6.4" Abbr="2.2.6.4 pp." DocPartId="a94f5eec04b24d1598c405e176f4d11a" PartId="73f33e3883fe47e19c66697ad1d18d7d"/>
          <Part Type="papunktis" Nr="2.2.6.6" Abbr="2.2.6.6 pp." DocPartId="ff2bc85031cc4913b60037a4e7a0a59c" PartId="bacd5d340efc409eaf92cd79b06520f6"/>
          <Part Type="papunktis" Nr="2.2.6.8" Abbr="2.2.6.8 pp." DocPartId="68edb1fd242e4dbca62f757e8a52e8d0" PartId="fa5c57ab38904c22a831082e61925aa5"/>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Type="papunktis" Nr="2.2.7.4" Abbr="2.2.7.4 pp." DocPartId="c22bf6a2be504bca85598b9db643f4e0" PartId="c7a94577923e4ad29a3317e5e7e956c1"/>
          <Part Type="papunktis" Nr="2.2.7.5" Abbr="2.2.7.5 pp." DocPartId="9e7f2aa74a5e4d72b3ff87d3c18eb673" PartId="fb7b48a7572a448397db7cbc5a140f5d"/>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Type="papunktis" Nr="2.2.8.4" Abbr="2.2.8.4 pp." DocPartId="3fc11570569547d4842197325fd0c4bc" PartId="d82fe3ef500a43b0a54eee7944e5364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b825e15ca7d4240a402fc6b43426ee7"/>
          <Part Type="papunktis" Nr="2.2.9.2-1" Abbr="2.2.9.2-1 pp." DocPartId="fa2ec9dd8ed74ee69a876d344670664a" PartId="d23d12b0e1234180a63c59915d59b243"/>
          <Part Type="papunktis" Nr="2.2.9.2-2" Abbr="2.2.9.2-2 pp." DocPartId="63b3190add554ad4b19caa8e5440d9f5" PartId="78d906b8f3ba476e89412363b1c8b3c3"/>
          <Part Type="papunktis" Nr="2.2.9.2-4" Abbr="2.2.9.2-4 pp." DocPartId="5d85737880974e739e278eaee8f9329d" PartId="04875454e5814fa9ab9ef55f55c50a3d"/>
          <Part Type="papunktis" Nr="2.2.9.2-5" Abbr="2.2.9.2-5 pp." DocPartId="666cb85214a84fd8a0c2b1084b84504f" PartId="3f87f74a67484c639c3f178b5ca7b176"/>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197e5c15aa334d4198be184cd5a6cf7d"/>
    <Part Type="punktas" Nr="2-2" Abbr="2-2 p." DocPartId="7a576472b3834a53b19b35d9526a9128" PartId="6a2e44663c5346abb797c640f2bbf3ec"/>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2eb06921aaa14afab6da008a61a662f1">
    <Part Type="pabaiga" DocPartId="8aa7d51d84b848debd65b12b26547c89" PartId="eeabe54f6d92436eb4751102dd485d22"/>
  </Part>
</Parts>
</file>

<file path=customXml/itemProps1.xml><?xml version="1.0" encoding="utf-8"?>
<ds:datastoreItem xmlns:ds="http://schemas.openxmlformats.org/officeDocument/2006/customXml" ds:itemID="{919A59BB-69F4-45A9-AE88-7E35D04373D3}">
  <ds:schemaRefs>
    <ds:schemaRef ds:uri="http://lrs.lt/TAIS/DocParts"/>
  </ds:schemaRefs>
</ds:datastoreItem>
</file>

<file path=docProps/app.xml><?xml version="1.0" encoding="utf-8"?>
<Properties xmlns="http://schemas.openxmlformats.org/officeDocument/2006/extended-properties">
  <Template>Normal.dotm</Template>
  <TotalTime>125</TotalTime>
  <Pages>17</Pages>
  <Words>6913</Words>
  <Characters>51485</Characters>
  <Application>Microsoft Office Word</Application>
  <DocSecurity>0</DocSecurity>
  <Lines>429</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58282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2021-04-22T06:19:00Z</dcterms:modified>
  <revision>39</revision>
</coreProperties>
</file>