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2021-04-17 iki 2021-04-18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67b37dbd7be94573b1a94ef15c28b780"/>
                        <w:lock w:val="sdtLocked"/>
                        <w:richText/>
                      </w:sdtPr>
                      <w:sdtContent>
                        <w:p>
                          <w:pPr>
                            <w:tabs>
                              <w:tab w:val="left" w:pos="1276"/>
                              <w:tab w:val="left" w:pos="1560"/>
                            </w:tabs>
                            <w:ind w:firstLine="720"/>
                            <w:jc w:val="both"/>
                            <w:rPr>
                              <w:szCs w:val="24"/>
                              <w:lang w:eastAsia="lt-LT"/>
                            </w:rPr>
                          </w:pPr>
                          <w:sdt>
                            <w:sdtPr>
                              <w:alias w:val="Numeris"/>
                              <w:tag w:val="nr_67b37dbd7be94573b1a94ef15c28b780"/>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2ed6e9773699485e85991233e859bc82"/>
                            <w:lock w:val="sdtLocked"/>
                            <w:richText/>
                          </w:sdtPr>
                          <w:sdtContent>
                            <w:p>
                              <w:pPr>
                                <w:tabs>
                                  <w:tab w:val="left" w:pos="1560"/>
                                </w:tabs>
                                <w:ind w:firstLine="720"/>
                                <w:jc w:val="both"/>
                                <w:rPr>
                                  <w:szCs w:val="24"/>
                                  <w:lang w:eastAsia="lt-LT"/>
                                </w:rPr>
                              </w:pPr>
                              <w:sdt>
                                <w:sdtPr>
                                  <w:alias w:val="Numeris"/>
                                  <w:tag w:val="nr_2ed6e9773699485e85991233e859bc82"/>
                                  <w:lock w:val="sdtLocked"/>
                                  <w:richText/>
                                </w:sdtPr>
                                <w:sdtContent>
                                  <w:r>
                                    <w:rPr>
                                      <w:szCs w:val="24"/>
                                      <w:lang w:eastAsia="lt-LT"/>
                                    </w:rPr>
                                    <w:t>2.1.1.1.1</w:t>
                                  </w:r>
                                </w:sdtContent>
                              </w:sdt>
                              <w:r>
                                <w:rPr>
                                  <w:szCs w:val="24"/>
                                  <w:lang w:eastAsia="lt-LT"/>
                                </w:rPr>
                                <w:t>. Ramoniškiai–Pograničnyj;</w:t>
                              </w:r>
                            </w:p>
                          </w:sdtContent>
                        </w:sdt>
                        <w:sdt>
                          <w:sdtPr>
                            <w:alias w:val="2.1.1.1.2 pp."/>
                            <w:tag w:val="part_ddbaf681e5b941ac80a4957524ab4248"/>
                            <w:lock w:val="sdtLocked"/>
                            <w:richText/>
                          </w:sdtPr>
                          <w:sdtContent>
                            <w:p>
                              <w:pPr>
                                <w:tabs>
                                  <w:tab w:val="left" w:pos="1560"/>
                                </w:tabs>
                                <w:ind w:firstLine="720"/>
                                <w:jc w:val="both"/>
                                <w:rPr>
                                  <w:szCs w:val="24"/>
                                  <w:lang w:eastAsia="lt-LT"/>
                                </w:rPr>
                              </w:pPr>
                              <w:sdt>
                                <w:sdtPr>
                                  <w:alias w:val="Numeris"/>
                                  <w:tag w:val="nr_ddbaf681e5b941ac80a4957524ab4248"/>
                                  <w:lock w:val="sdtLocked"/>
                                  <w:richText/>
                                </w:sdtPr>
                                <w:sdtContent>
                                  <w:r>
                                    <w:rPr>
                                      <w:szCs w:val="24"/>
                                      <w:lang w:eastAsia="lt-LT"/>
                                    </w:rPr>
                                    <w:t>2.1.1.1.2</w:t>
                                  </w:r>
                                </w:sdtContent>
                              </w:sdt>
                              <w:r>
                                <w:rPr>
                                  <w:szCs w:val="24"/>
                                  <w:lang w:eastAsia="lt-LT"/>
                                </w:rPr>
                                <w:t>. Nida–Morskoje;</w:t>
                              </w:r>
                            </w:p>
                          </w:sdtContent>
                        </w:sdt>
                        <w:sdt>
                          <w:sdtPr>
                            <w:alias w:val="2.1.1.1.3 pp."/>
                            <w:tag w:val="part_f86c9007b10b49869f1c98497414ad8c"/>
                            <w:lock w:val="sdtLocked"/>
                            <w:richText/>
                          </w:sdtPr>
                          <w:sdtContent>
                            <w:p>
                              <w:pPr>
                                <w:tabs>
                                  <w:tab w:val="left" w:pos="1560"/>
                                </w:tabs>
                                <w:ind w:firstLine="720"/>
                                <w:jc w:val="both"/>
                                <w:rPr>
                                  <w:szCs w:val="24"/>
                                  <w:lang w:eastAsia="lt-LT"/>
                                </w:rPr>
                              </w:pPr>
                              <w:sdt>
                                <w:sdtPr>
                                  <w:alias w:val="Numeris"/>
                                  <w:tag w:val="nr_f86c9007b10b49869f1c98497414ad8c"/>
                                  <w:lock w:val="sdtLocked"/>
                                  <w:richText/>
                                </w:sdtPr>
                                <w:sdtContent>
                                  <w:r>
                                    <w:rPr>
                                      <w:szCs w:val="24"/>
                                      <w:lang w:eastAsia="lt-LT"/>
                                    </w:rPr>
                                    <w:t>2.1.1.1.3</w:t>
                                  </w:r>
                                </w:sdtContent>
                              </w:sdt>
                              <w:r>
                                <w:rPr>
                                  <w:szCs w:val="24"/>
                                  <w:lang w:eastAsia="lt-LT"/>
                                </w:rPr>
                                <w:t>. Adutiškis–Moldevičiai;</w:t>
                              </w:r>
                            </w:p>
                          </w:sdtContent>
                        </w:sdt>
                        <w:sdt>
                          <w:sdtPr>
                            <w:alias w:val="2.1.1.1.4 pp."/>
                            <w:tag w:val="part_8a528507540f49309423f25f1872d0b8"/>
                            <w:lock w:val="sdtLocked"/>
                            <w:richText/>
                          </w:sdtPr>
                          <w:sdtContent>
                            <w:p>
                              <w:pPr>
                                <w:tabs>
                                  <w:tab w:val="left" w:pos="1560"/>
                                </w:tabs>
                                <w:ind w:firstLine="720"/>
                                <w:jc w:val="both"/>
                                <w:rPr>
                                  <w:szCs w:val="24"/>
                                  <w:lang w:eastAsia="lt-LT"/>
                                </w:rPr>
                              </w:pPr>
                              <w:sdt>
                                <w:sdtPr>
                                  <w:alias w:val="Numeris"/>
                                  <w:tag w:val="nr_8a528507540f49309423f25f1872d0b8"/>
                                  <w:lock w:val="sdtLocked"/>
                                  <w:richText/>
                                </w:sdtPr>
                                <w:sdtContent>
                                  <w:r>
                                    <w:rPr>
                                      <w:szCs w:val="24"/>
                                      <w:lang w:eastAsia="lt-LT"/>
                                    </w:rPr>
                                    <w:t>2.1.1.1.4</w:t>
                                  </w:r>
                                </w:sdtContent>
                              </w:sdt>
                              <w:r>
                                <w:rPr>
                                  <w:szCs w:val="24"/>
                                  <w:lang w:eastAsia="lt-LT"/>
                                </w:rPr>
                                <w:t>. Krakūnai–Geranainys;</w:t>
                              </w:r>
                            </w:p>
                          </w:sdtContent>
                        </w:sdt>
                        <w:sdt>
                          <w:sdtPr>
                            <w:alias w:val="2.1.1.1.5 pp."/>
                            <w:tag w:val="part_c8e8e94e2524401994a8e598597bdae3"/>
                            <w:lock w:val="sdtLocked"/>
                            <w:richText/>
                          </w:sdtPr>
                          <w:sdtContent>
                            <w:p>
                              <w:pPr>
                                <w:tabs>
                                  <w:tab w:val="left" w:pos="1560"/>
                                </w:tabs>
                                <w:ind w:firstLine="720"/>
                                <w:jc w:val="both"/>
                                <w:rPr>
                                  <w:szCs w:val="24"/>
                                  <w:lang w:eastAsia="lt-LT"/>
                                </w:rPr>
                              </w:pPr>
                              <w:sdt>
                                <w:sdtPr>
                                  <w:alias w:val="Numeris"/>
                                  <w:tag w:val="nr_c8e8e94e2524401994a8e598597bdae3"/>
                                  <w:lock w:val="sdtLocked"/>
                                  <w:richText/>
                                </w:sdtPr>
                                <w:sdtContent>
                                  <w:r>
                                    <w:rPr>
                                      <w:szCs w:val="24"/>
                                      <w:lang w:eastAsia="lt-LT"/>
                                    </w:rPr>
                                    <w:t>2.1.1.1.5</w:t>
                                  </w:r>
                                </w:sdtContent>
                              </w:sdt>
                              <w:r>
                                <w:rPr>
                                  <w:szCs w:val="24"/>
                                  <w:lang w:eastAsia="lt-LT"/>
                                </w:rPr>
                                <w:t>. Eišiškės–Dotiškės;</w:t>
                              </w:r>
                            </w:p>
                          </w:sdtContent>
                        </w:sdt>
                        <w:sdt>
                          <w:sdtPr>
                            <w:alias w:val="2.1.1.1.6 pp."/>
                            <w:tag w:val="part_f906968f389d4958b5c57403a7a8f209"/>
                            <w:lock w:val="sdtLocked"/>
                            <w:richText/>
                          </w:sdtPr>
                          <w:sdtContent>
                            <w:p>
                              <w:pPr>
                                <w:tabs>
                                  <w:tab w:val="left" w:pos="1560"/>
                                </w:tabs>
                                <w:ind w:firstLine="720"/>
                                <w:jc w:val="both"/>
                                <w:rPr>
                                  <w:szCs w:val="24"/>
                                  <w:lang w:eastAsia="lt-LT"/>
                                </w:rPr>
                              </w:pPr>
                              <w:sdt>
                                <w:sdtPr>
                                  <w:alias w:val="Numeris"/>
                                  <w:tag w:val="nr_f906968f389d4958b5c57403a7a8f209"/>
                                  <w:lock w:val="sdtLocked"/>
                                  <w:richText/>
                                </w:sdtPr>
                                <w:sdtContent>
                                  <w:r>
                                    <w:rPr>
                                      <w:szCs w:val="24"/>
                                      <w:lang w:eastAsia="lt-LT"/>
                                    </w:rPr>
                                    <w:t>2.1.1.1.6</w:t>
                                  </w:r>
                                </w:sdtContent>
                              </w:sdt>
                              <w:r>
                                <w:rPr>
                                  <w:szCs w:val="24"/>
                                  <w:lang w:eastAsia="lt-LT"/>
                                </w:rPr>
                                <w:t>. Rakai–Petiulevcai;</w:t>
                              </w:r>
                            </w:p>
                          </w:sdtContent>
                        </w:sdt>
                        <w:sdt>
                          <w:sdtPr>
                            <w:alias w:val="2.1.1.1.7 pp."/>
                            <w:tag w:val="part_d97450ebe8964777b4d2400c5972a7c4"/>
                            <w:lock w:val="sdtLocked"/>
                            <w:richText/>
                          </w:sdtPr>
                          <w:sdtContent>
                            <w:p>
                              <w:pPr>
                                <w:tabs>
                                  <w:tab w:val="left" w:pos="1560"/>
                                </w:tabs>
                                <w:ind w:firstLine="720"/>
                                <w:jc w:val="both"/>
                                <w:rPr>
                                  <w:szCs w:val="24"/>
                                  <w:lang w:eastAsia="lt-LT"/>
                                </w:rPr>
                              </w:pPr>
                              <w:sdt>
                                <w:sdtPr>
                                  <w:alias w:val="Numeris"/>
                                  <w:tag w:val="nr_d97450ebe8964777b4d2400c5972a7c4"/>
                                  <w:lock w:val="sdtLocked"/>
                                  <w:richText/>
                                </w:sdtPr>
                                <w:sdtContent>
                                  <w:r>
                                    <w:rPr>
                                      <w:szCs w:val="24"/>
                                      <w:lang w:eastAsia="lt-LT"/>
                                    </w:rPr>
                                    <w:t>2.1.1.1.7</w:t>
                                  </w:r>
                                </w:sdtContent>
                              </w:sdt>
                              <w:r>
                                <w:rPr>
                                  <w:szCs w:val="24"/>
                                  <w:lang w:eastAsia="lt-LT"/>
                                </w:rPr>
                                <w:t>. Norviliškės–Pickūnai;</w:t>
                              </w:r>
                            </w:p>
                          </w:sdtContent>
                        </w:sdt>
                        <w:sdt>
                          <w:sdtPr>
                            <w:alias w:val="2.1.1.1.8 pp."/>
                            <w:tag w:val="part_cbb415b617a344a2971169dd86b8b28d"/>
                            <w:lock w:val="sdtLocked"/>
                            <w:richText/>
                          </w:sdtPr>
                          <w:sdtContent>
                            <w:p>
                              <w:pPr>
                                <w:tabs>
                                  <w:tab w:val="left" w:pos="1560"/>
                                </w:tabs>
                                <w:ind w:firstLine="720"/>
                                <w:jc w:val="both"/>
                                <w:rPr>
                                  <w:szCs w:val="24"/>
                                  <w:lang w:eastAsia="lt-LT"/>
                                </w:rPr>
                              </w:pPr>
                              <w:sdt>
                                <w:sdtPr>
                                  <w:alias w:val="Numeris"/>
                                  <w:tag w:val="nr_cbb415b617a344a2971169dd86b8b28d"/>
                                  <w:lock w:val="sdtLocked"/>
                                  <w:richText/>
                                </w:sdtPr>
                                <w:sdtContent>
                                  <w:r>
                                    <w:rPr>
                                      <w:szCs w:val="24"/>
                                      <w:lang w:eastAsia="lt-LT"/>
                                    </w:rPr>
                                    <w:t>2.1.1.1.8</w:t>
                                  </w:r>
                                </w:sdtContent>
                              </w:sdt>
                              <w:r>
                                <w:rPr>
                                  <w:szCs w:val="24"/>
                                  <w:lang w:eastAsia="lt-LT"/>
                                </w:rPr>
                                <w:t>. Latežeris–Pariečė;</w:t>
                              </w:r>
                            </w:p>
                          </w:sdtContent>
                        </w:sdt>
                        <w:sdt>
                          <w:sdtPr>
                            <w:alias w:val="2.1.1.1.9 pp."/>
                            <w:tag w:val="part_b7746d74eec744f7baf018cf38d61b06"/>
                            <w:lock w:val="sdtLocked"/>
                            <w:richText/>
                          </w:sdtPr>
                          <w:sdtContent>
                            <w:p>
                              <w:pPr>
                                <w:tabs>
                                  <w:tab w:val="left" w:pos="1560"/>
                                </w:tabs>
                                <w:ind w:firstLine="720"/>
                                <w:jc w:val="both"/>
                                <w:rPr>
                                  <w:szCs w:val="24"/>
                                  <w:lang w:eastAsia="lt-LT"/>
                                </w:rPr>
                              </w:pPr>
                              <w:sdt>
                                <w:sdtPr>
                                  <w:alias w:val="Numeris"/>
                                  <w:tag w:val="nr_b7746d74eec744f7baf018cf38d61b06"/>
                                  <w:lock w:val="sdtLocked"/>
                                  <w:richText/>
                                </w:sdtPr>
                                <w:sdtContent>
                                  <w:r>
                                    <w:rPr>
                                      <w:szCs w:val="24"/>
                                      <w:lang w:eastAsia="lt-LT"/>
                                    </w:rPr>
                                    <w:t>2.1.1.1.9</w:t>
                                  </w:r>
                                </w:sdtContent>
                              </w:sdt>
                              <w:r>
                                <w:rPr>
                                  <w:szCs w:val="24"/>
                                  <w:lang w:eastAsia="lt-LT"/>
                                </w:rPr>
                                <w:t>. Švendubrė–Privalka;</w:t>
                              </w:r>
                            </w:p>
                          </w:sdtContent>
                        </w:sdt>
                        <w:sdt>
                          <w:sdtPr>
                            <w:alias w:val="2.1.1.1.10 pp."/>
                            <w:tag w:val="part_434c5e5e0a154117ba7e94aef6c8595c"/>
                            <w:lock w:val="sdtLocked"/>
                            <w:richText/>
                          </w:sdtPr>
                          <w:sdtContent>
                            <w:p>
                              <w:pPr>
                                <w:tabs>
                                  <w:tab w:val="left" w:pos="1560"/>
                                </w:tabs>
                                <w:ind w:firstLine="720"/>
                                <w:jc w:val="both"/>
                                <w:rPr>
                                  <w:szCs w:val="24"/>
                                  <w:lang w:eastAsia="lt-LT"/>
                                </w:rPr>
                              </w:pPr>
                              <w:sdt>
                                <w:sdtPr>
                                  <w:alias w:val="Numeris"/>
                                  <w:tag w:val="nr_434c5e5e0a154117ba7e94aef6c8595c"/>
                                  <w:lock w:val="sdtLocked"/>
                                  <w:richText/>
                                </w:sdtPr>
                                <w:sdtContent>
                                  <w:r>
                                    <w:rPr>
                                      <w:szCs w:val="24"/>
                                      <w:lang w:eastAsia="lt-LT"/>
                                    </w:rPr>
                                    <w:t>2.1.1.1.10</w:t>
                                  </w:r>
                                </w:sdtContent>
                              </w:sdt>
                              <w:r>
                                <w:rPr>
                                  <w:szCs w:val="24"/>
                                  <w:lang w:eastAsia="lt-LT"/>
                                </w:rPr>
                                <w:t>. Nida–Rybačij;</w:t>
                              </w:r>
                            </w:p>
                          </w:sdtContent>
                        </w:sdt>
                        <w:sdt>
                          <w:sdtPr>
                            <w:alias w:val="2.1.1.1.11 pp."/>
                            <w:tag w:val="part_dff917465f864216aafa570c9e418b63"/>
                            <w:lock w:val="sdtLocked"/>
                            <w:richText/>
                          </w:sdtPr>
                          <w:sdtContent>
                            <w:p>
                              <w:pPr>
                                <w:tabs>
                                  <w:tab w:val="left" w:pos="1560"/>
                                </w:tabs>
                                <w:ind w:firstLine="720"/>
                                <w:jc w:val="both"/>
                                <w:rPr>
                                  <w:szCs w:val="24"/>
                                  <w:lang w:eastAsia="lt-LT"/>
                                </w:rPr>
                              </w:pPr>
                              <w:sdt>
                                <w:sdtPr>
                                  <w:alias w:val="Numeris"/>
                                  <w:tag w:val="nr_dff917465f864216aafa570c9e418b63"/>
                                  <w:lock w:val="sdtLocked"/>
                                  <w:richText/>
                                </w:sdtPr>
                                <w:sdtContent>
                                  <w:r>
                                    <w:rPr>
                                      <w:szCs w:val="24"/>
                                      <w:lang w:eastAsia="lt-LT"/>
                                    </w:rPr>
                                    <w:t>2.1.1.1.11</w:t>
                                  </w:r>
                                </w:sdtContent>
                              </w:sdt>
                              <w:r>
                                <w:rPr>
                                  <w:szCs w:val="24"/>
                                  <w:lang w:eastAsia="lt-LT"/>
                                </w:rPr>
                                <w:t>. Jurbarkas–Sovetskas;</w:t>
                              </w:r>
                            </w:p>
                          </w:sdtContent>
                        </w:sdt>
                        <w:sdt>
                          <w:sdtPr>
                            <w:alias w:val="2.1.1.1.12 pp."/>
                            <w:tag w:val="part_6eea73bafbc4454780856341112ea77e"/>
                            <w:lock w:val="sdtLocked"/>
                            <w:richText/>
                          </w:sdtPr>
                          <w:sdtContent>
                            <w:p>
                              <w:pPr>
                                <w:tabs>
                                  <w:tab w:val="left" w:pos="1560"/>
                                </w:tabs>
                                <w:ind w:firstLine="720"/>
                                <w:jc w:val="both"/>
                                <w:rPr>
                                  <w:szCs w:val="24"/>
                                  <w:lang w:eastAsia="lt-LT"/>
                                </w:rPr>
                              </w:pPr>
                              <w:sdt>
                                <w:sdtPr>
                                  <w:alias w:val="Numeris"/>
                                  <w:tag w:val="nr_6eea73bafbc4454780856341112ea77e"/>
                                  <w:lock w:val="sdtLocked"/>
                                  <w:richText/>
                                </w:sdtPr>
                                <w:sdtContent>
                                  <w:r>
                                    <w:rPr>
                                      <w:szCs w:val="24"/>
                                      <w:lang w:eastAsia="lt-LT"/>
                                    </w:rPr>
                                    <w:t>2.1.1.1.12</w:t>
                                  </w:r>
                                </w:sdtContent>
                              </w:sdt>
                              <w:r>
                                <w:rPr>
                                  <w:szCs w:val="24"/>
                                  <w:lang w:eastAsia="lt-LT"/>
                                </w:rPr>
                                <w:t>. Rusnė–Sovetskas.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7a62152d47a54b28a6cd390252287e62"/>
                            <w:lock w:val="sdtLocked"/>
                            <w:richText/>
                          </w:sdtPr>
                          <w:sdtContent>
                            <w:p>
                              <w:pPr>
                                <w:ind w:firstLine="720"/>
                                <w:jc w:val="both"/>
                                <w:rPr>
                                  <w:szCs w:val="24"/>
                                  <w:lang w:eastAsia="lt-LT"/>
                                </w:rPr>
                              </w:pPr>
                              <w:sdt>
                                <w:sdtPr>
                                  <w:alias w:val="Numeris"/>
                                  <w:tag w:val="nr_7a62152d47a54b28a6cd390252287e62"/>
                                  <w:lock w:val="sdtLocked"/>
                                  <w:richText/>
                                </w:sdtPr>
                                <w:sdtContent>
                                  <w:r>
                                    <w:rPr>
                                      <w:szCs w:val="24"/>
                                      <w:lang w:eastAsia="lt-LT"/>
                                    </w:rPr>
                                    <w:t>2.1.1.2.1</w:t>
                                  </w:r>
                                </w:sdtContent>
                              </w:sdt>
                              <w:r>
                                <w:rPr>
                                  <w:szCs w:val="24"/>
                                  <w:lang w:eastAsia="lt-LT"/>
                                </w:rPr>
                                <w:t>. automobilių kelių:</w:t>
                              </w:r>
                            </w:p>
                            <w:sdt>
                              <w:sdtPr>
                                <w:alias w:val="2.1.1.2.1.1 pp."/>
                                <w:tag w:val="part_02ff808f59884bf596a1c92a5d463a53"/>
                                <w:lock w:val="sdtLocked"/>
                                <w:richText/>
                              </w:sdtPr>
                              <w:sdtContent>
                                <w:p>
                                  <w:pPr>
                                    <w:ind w:firstLine="720"/>
                                    <w:jc w:val="both"/>
                                    <w:rPr>
                                      <w:szCs w:val="24"/>
                                      <w:lang w:eastAsia="lt-LT"/>
                                    </w:rPr>
                                  </w:pPr>
                                  <w:sdt>
                                    <w:sdtPr>
                                      <w:alias w:val="Numeris"/>
                                      <w:tag w:val="nr_02ff808f59884bf596a1c92a5d463a53"/>
                                      <w:lock w:val="sdtLocked"/>
                                      <w:richText/>
                                    </w:sdtPr>
                                    <w:sdtContent>
                                      <w:r>
                                        <w:rPr>
                                          <w:szCs w:val="24"/>
                                          <w:lang w:eastAsia="lt-LT"/>
                                        </w:rPr>
                                        <w:t>2.1.1.2.1.1</w:t>
                                      </w:r>
                                    </w:sdtContent>
                                  </w:sdt>
                                  <w:r>
                                    <w:rPr>
                                      <w:szCs w:val="24"/>
                                      <w:lang w:eastAsia="lt-LT"/>
                                    </w:rPr>
                                    <w:t>. Medininkai–Kamenyj Log;</w:t>
                                  </w:r>
                                </w:p>
                              </w:sdtContent>
                            </w:sdt>
                            <w:sdt>
                              <w:sdtPr>
                                <w:alias w:val="2.1.1.2.1.2 pp."/>
                                <w:tag w:val="part_f7a25b548a044f04836f8059d576bdd3"/>
                                <w:lock w:val="sdtLocked"/>
                                <w:richText/>
                              </w:sdtPr>
                              <w:sdtContent>
                                <w:p>
                                  <w:pPr>
                                    <w:ind w:firstLine="720"/>
                                    <w:jc w:val="both"/>
                                    <w:rPr>
                                      <w:szCs w:val="24"/>
                                      <w:lang w:eastAsia="lt-LT"/>
                                    </w:rPr>
                                  </w:pPr>
                                  <w:sdt>
                                    <w:sdtPr>
                                      <w:alias w:val="Numeris"/>
                                      <w:tag w:val="nr_f7a25b548a044f04836f8059d576bdd3"/>
                                      <w:lock w:val="sdtLocked"/>
                                      <w:richText/>
                                    </w:sdtPr>
                                    <w:sdtContent>
                                      <w:r>
                                        <w:rPr>
                                          <w:szCs w:val="24"/>
                                          <w:lang w:eastAsia="lt-LT"/>
                                        </w:rPr>
                                        <w:t>2.1.1.2.1.2</w:t>
                                      </w:r>
                                    </w:sdtContent>
                                  </w:sdt>
                                  <w:r>
                                    <w:rPr>
                                      <w:szCs w:val="24"/>
                                      <w:lang w:eastAsia="lt-LT"/>
                                    </w:rPr>
                                    <w:t>. Šalčininkai–Benekainys;</w:t>
                                  </w:r>
                                </w:p>
                              </w:sdtContent>
                            </w:sdt>
                            <w:sdt>
                              <w:sdtPr>
                                <w:alias w:val="2.1.1.2.1.3 pp."/>
                                <w:tag w:val="part_1808d3adf594489c86886706539de0b2"/>
                                <w:lock w:val="sdtLocked"/>
                                <w:richText/>
                              </w:sdtPr>
                              <w:sdtContent>
                                <w:p>
                                  <w:pPr>
                                    <w:ind w:firstLine="720"/>
                                    <w:jc w:val="both"/>
                                    <w:rPr>
                                      <w:szCs w:val="24"/>
                                      <w:lang w:eastAsia="lt-LT"/>
                                    </w:rPr>
                                  </w:pPr>
                                  <w:sdt>
                                    <w:sdtPr>
                                      <w:alias w:val="Numeris"/>
                                      <w:tag w:val="nr_1808d3adf594489c86886706539de0b2"/>
                                      <w:lock w:val="sdtLocked"/>
                                      <w:richText/>
                                    </w:sdtPr>
                                    <w:sdtContent>
                                      <w:r>
                                        <w:rPr>
                                          <w:szCs w:val="24"/>
                                          <w:lang w:eastAsia="lt-LT"/>
                                        </w:rPr>
                                        <w:t>2.1.1.2.1.3</w:t>
                                      </w:r>
                                    </w:sdtContent>
                                  </w:sdt>
                                  <w:r>
                                    <w:rPr>
                                      <w:szCs w:val="24"/>
                                      <w:lang w:eastAsia="lt-LT"/>
                                    </w:rPr>
                                    <w:t>. Raigardas–Privalka;</w:t>
                                  </w:r>
                                </w:p>
                              </w:sdtContent>
                            </w:sdt>
                            <w:sdt>
                              <w:sdtPr>
                                <w:alias w:val="2.1.1.2.1.4 pp."/>
                                <w:tag w:val="part_f047a537481b442bbb29665411ad595e"/>
                                <w:lock w:val="sdtLocked"/>
                                <w:richText/>
                              </w:sdtPr>
                              <w:sdtContent>
                                <w:p>
                                  <w:pPr>
                                    <w:ind w:firstLine="720"/>
                                    <w:jc w:val="both"/>
                                    <w:rPr>
                                      <w:szCs w:val="24"/>
                                      <w:lang w:eastAsia="lt-LT"/>
                                    </w:rPr>
                                  </w:pPr>
                                  <w:sdt>
                                    <w:sdtPr>
                                      <w:alias w:val="Numeris"/>
                                      <w:tag w:val="nr_f047a537481b442bbb29665411ad595e"/>
                                      <w:lock w:val="sdtLocked"/>
                                      <w:richText/>
                                    </w:sdtPr>
                                    <w:sdtContent>
                                      <w:r>
                                        <w:rPr>
                                          <w:szCs w:val="24"/>
                                          <w:lang w:eastAsia="lt-LT"/>
                                        </w:rPr>
                                        <w:t>2.1.1.2.1.4</w:t>
                                      </w:r>
                                    </w:sdtContent>
                                  </w:sdt>
                                  <w:r>
                                    <w:rPr>
                                      <w:szCs w:val="24"/>
                                      <w:lang w:eastAsia="lt-LT"/>
                                    </w:rPr>
                                    <w:t>. Kybartai–Černyševskoje;</w:t>
                                  </w:r>
                                </w:p>
                              </w:sdtContent>
                            </w:sdt>
                            <w:sdt>
                              <w:sdtPr>
                                <w:alias w:val="2.1.1.2.1.5 pp."/>
                                <w:tag w:val="part_18a6ba2ec447473a9396930740cd312b"/>
                                <w:lock w:val="sdtLocked"/>
                                <w:richText/>
                              </w:sdtPr>
                              <w:sdtContent>
                                <w:p>
                                  <w:pPr>
                                    <w:ind w:firstLine="720"/>
                                    <w:jc w:val="both"/>
                                    <w:rPr>
                                      <w:szCs w:val="24"/>
                                      <w:lang w:eastAsia="lt-LT"/>
                                    </w:rPr>
                                  </w:pPr>
                                  <w:sdt>
                                    <w:sdtPr>
                                      <w:alias w:val="Numeris"/>
                                      <w:tag w:val="nr_18a6ba2ec447473a9396930740cd312b"/>
                                      <w:lock w:val="sdtLocked"/>
                                      <w:richText/>
                                    </w:sdtPr>
                                    <w:sdtContent>
                                      <w:r>
                                        <w:rPr>
                                          <w:szCs w:val="24"/>
                                          <w:lang w:eastAsia="lt-LT"/>
                                        </w:rPr>
                                        <w:t>2.1.1.2.1.5</w:t>
                                      </w:r>
                                    </w:sdtContent>
                                  </w:sdt>
                                  <w:r>
                                    <w:rPr>
                                      <w:szCs w:val="24"/>
                                      <w:lang w:eastAsia="lt-LT"/>
                                    </w:rPr>
                                    <w:t>. Panemunė–Sovetsk;</w:t>
                                  </w:r>
                                </w:p>
                              </w:sdtContent>
                            </w:sdt>
                            <w:sdt>
                              <w:sdtPr>
                                <w:alias w:val="2.1.1.2.1.6 pp."/>
                                <w:tag w:val="part_79b75accbf6e43439d65ec49b7a319bd"/>
                                <w:lock w:val="sdtLocked"/>
                                <w:richText/>
                              </w:sdtPr>
                              <w:sdtContent>
                                <w:p>
                                  <w:pPr>
                                    <w:ind w:firstLine="720"/>
                                    <w:jc w:val="both"/>
                                    <w:rPr>
                                      <w:szCs w:val="24"/>
                                      <w:lang w:eastAsia="lt-LT"/>
                                    </w:rPr>
                                  </w:pPr>
                                  <w:sdt>
                                    <w:sdtPr>
                                      <w:alias w:val="Numeris"/>
                                      <w:tag w:val="nr_79b75accbf6e43439d65ec49b7a319bd"/>
                                      <w:lock w:val="sdtLocked"/>
                                      <w:richText/>
                                    </w:sdtPr>
                                    <w:sdtContent>
                                      <w:r>
                                        <w:rPr>
                                          <w:szCs w:val="24"/>
                                          <w:lang w:eastAsia="lt-LT"/>
                                        </w:rPr>
                                        <w:t>2.1.1.2.1.6</w:t>
                                      </w:r>
                                    </w:sdtContent>
                                  </w:sdt>
                                  <w:r>
                                    <w:rPr>
                                      <w:szCs w:val="24"/>
                                      <w:lang w:eastAsia="lt-LT"/>
                                    </w:rPr>
                                    <w:t>. Lavoriškės–Kotlovka;</w:t>
                                  </w:r>
                                </w:p>
                              </w:sdtContent>
                            </w:sdt>
                            <w:sdt>
                              <w:sdtPr>
                                <w:alias w:val="2.1.1.2.1.7 pp."/>
                                <w:tag w:val="part_a275189e87b44d15acdb087593d888a9"/>
                                <w:lock w:val="sdtLocked"/>
                                <w:richText/>
                              </w:sdtPr>
                              <w:sdtContent>
                                <w:p>
                                  <w:pPr>
                                    <w:ind w:firstLine="720"/>
                                    <w:jc w:val="both"/>
                                    <w:rPr>
                                      <w:szCs w:val="24"/>
                                      <w:lang w:eastAsia="lt-LT"/>
                                    </w:rPr>
                                  </w:pPr>
                                  <w:sdt>
                                    <w:sdtPr>
                                      <w:alias w:val="Numeris"/>
                                      <w:tag w:val="nr_a275189e87b44d15acdb087593d888a9"/>
                                      <w:lock w:val="sdtLocked"/>
                                      <w:richText/>
                                    </w:sdtPr>
                                    <w:sdtContent>
                                      <w:r>
                                        <w:rPr>
                                          <w:szCs w:val="24"/>
                                          <w:lang w:eastAsia="lt-LT"/>
                                        </w:rPr>
                                        <w:t>2.1.1.2.1.7</w:t>
                                      </w:r>
                                    </w:sdtContent>
                                  </w:sdt>
                                  <w:r>
                                    <w:rPr>
                                      <w:szCs w:val="24"/>
                                      <w:lang w:eastAsia="lt-LT"/>
                                    </w:rPr>
                                    <w:t>. Tverečius–Vidžiai;</w:t>
                                  </w:r>
                                </w:p>
                              </w:sdtContent>
                            </w:sdt>
                            <w:sdt>
                              <w:sdtPr>
                                <w:alias w:val="2.1.1.2.1.8 pp."/>
                                <w:tag w:val="part_f8284396baa94d7baf1c9cf84df31e51"/>
                                <w:lock w:val="sdtLocked"/>
                                <w:richText/>
                              </w:sdtPr>
                              <w:sdtContent>
                                <w:p>
                                  <w:pPr>
                                    <w:ind w:firstLine="720"/>
                                    <w:jc w:val="both"/>
                                    <w:rPr>
                                      <w:szCs w:val="24"/>
                                      <w:lang w:eastAsia="lt-LT"/>
                                    </w:rPr>
                                  </w:pPr>
                                  <w:sdt>
                                    <w:sdtPr>
                                      <w:alias w:val="Numeris"/>
                                      <w:tag w:val="nr_f8284396baa94d7baf1c9cf84df31e51"/>
                                      <w:lock w:val="sdtLocked"/>
                                      <w:richText/>
                                    </w:sdtPr>
                                    <w:sdtContent>
                                      <w:r>
                                        <w:rPr>
                                          <w:szCs w:val="24"/>
                                          <w:lang w:eastAsia="lt-LT"/>
                                        </w:rPr>
                                        <w:t>2.1.1.2.1.8</w:t>
                                      </w:r>
                                    </w:sdtContent>
                                  </w:sdt>
                                  <w:r>
                                    <w:rPr>
                                      <w:szCs w:val="24"/>
                                      <w:lang w:eastAsia="lt-LT"/>
                                    </w:rPr>
                                    <w:t>. Papelekis–Lentupis (tik transporto priemonėms, vežančioms didžiagabaričius ir sunkiasvorius krovinius, turinčioms teisės aktų nustatyta tvarka išduotą leidimą);</w:t>
                                  </w:r>
                                </w:p>
                              </w:sdtContent>
                            </w:sdt>
                            <w:sdt>
                              <w:sdtPr>
                                <w:alias w:val="2.1.1.2.1.9 pp."/>
                                <w:tag w:val="part_2cec5a7154f54dc8acccbfb2b875cd0f"/>
                                <w:lock w:val="sdtLocked"/>
                                <w:richText/>
                              </w:sdtPr>
                              <w:sdtContent>
                                <w:p>
                                  <w:pPr>
                                    <w:tabs>
                                      <w:tab w:val="left" w:pos="1560"/>
                                    </w:tabs>
                                    <w:ind w:firstLine="720"/>
                                    <w:jc w:val="both"/>
                                    <w:rPr>
                                      <w:szCs w:val="24"/>
                                      <w:lang w:eastAsia="lt-LT"/>
                                    </w:rPr>
                                  </w:pPr>
                                  <w:sdt>
                                    <w:sdtPr>
                                      <w:alias w:val="Numeris"/>
                                      <w:tag w:val="nr_2cec5a7154f54dc8acccbfb2b875cd0f"/>
                                      <w:lock w:val="sdtLocked"/>
                                      <w:richText/>
                                    </w:sdtPr>
                                    <w:sdtContent>
                                      <w:r>
                                        <w:rPr>
                                          <w:szCs w:val="24"/>
                                          <w:lang w:eastAsia="lt-LT"/>
                                        </w:rPr>
                                        <w:t>2.1.1.2.1.9</w:t>
                                      </w:r>
                                    </w:sdtContent>
                                  </w:sdt>
                                  <w:r>
                                    <w:rPr>
                                      <w:szCs w:val="24"/>
                                      <w:lang w:eastAsia="lt-LT"/>
                                    </w:rPr>
                                    <w:t>. Šumskas–Loša;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
                          <w:sdtPr>
                            <w:alias w:val="2.1.2.13.4 pp."/>
                            <w:tag w:val="part_93a1c0ad6ca5474aaa63f73ed7d7e31a"/>
                            <w:lock w:val="sdtLocked"/>
                            <w:richText/>
                          </w:sdtPr>
                          <w:sdtContent>
                            <w:p>
                              <w:pPr>
                                <w:tabs>
                                  <w:tab w:val="left" w:pos="1134"/>
                                </w:tabs>
                                <w:ind w:firstLine="720"/>
                                <w:jc w:val="both"/>
                                <w:rPr>
                                  <w:szCs w:val="24"/>
                                  <w:lang w:eastAsia="lt-LT"/>
                                </w:rPr>
                              </w:pPr>
                              <w:sdt>
                                <w:sdtPr>
                                  <w:alias w:val="Numeris"/>
                                  <w:tag w:val="nr_93a1c0ad6ca5474aaa63f73ed7d7e31a"/>
                                  <w:lock w:val="sdtLocked"/>
                                  <w:richText/>
                                </w:sdtPr>
                                <w:sdtContent>
                                  <w:r>
                                    <w:rPr>
                                      <w:szCs w:val="24"/>
                                      <w:lang w:eastAsia="lt-LT"/>
                                    </w:rPr>
                                    <w:t>2.1.2.13.4</w:t>
                                  </w:r>
                                </w:sdtContent>
                              </w:sdt>
                              <w:r>
                                <w:rPr>
                                  <w:szCs w:val="24"/>
                                  <w:lang w:eastAsia="lt-LT"/>
                                </w:rPr>
                                <w:t>. užsieniečiams, vykstantiems 2.1.2.13.3 papunktyje nurodytais tranzitiniais traukiniais, be teisės išlipti ir įlipti Lietuvos Respublikos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4-1 pp."/>
                        <w:tag w:val="part_a92958724d51411b93d7281f608f183c"/>
                        <w:lock w:val="sdtLocked"/>
                        <w:richText/>
                      </w:sdtPr>
                      <w:sdtContent>
                        <w:p>
                          <w:pPr>
                            <w:ind w:firstLine="720"/>
                            <w:jc w:val="both"/>
                            <w:rPr>
                              <w:szCs w:val="24"/>
                              <w:lang w:eastAsia="lt-LT"/>
                            </w:rPr>
                          </w:pPr>
                          <w:sdt>
                            <w:sdtPr>
                              <w:alias w:val="Numeris"/>
                              <w:tag w:val="nr_a92958724d51411b93d7281f608f183c"/>
                              <w:lock w:val="sdtLocked"/>
                              <w:richText/>
                            </w:sdtPr>
                            <w:sdtContent>
                              <w:r>
                                <w:rPr>
                                  <w:szCs w:val="24"/>
                                  <w:lang w:eastAsia="lt-LT"/>
                                </w:rPr>
                                <w:t>2.1.2.14</w:t>
                              </w:r>
                              <w:r>
                                <w:rPr>
                                  <w:szCs w:val="24"/>
                                  <w:vertAlign w:val="superscript"/>
                                  <w:lang w:eastAsia="lt-LT"/>
                                </w:rPr>
                                <w:t>1</w:t>
                              </w:r>
                            </w:sdtContent>
                          </w:sdt>
                          <w:r>
                            <w:rPr>
                              <w:szCs w:val="24"/>
                              <w:lang w:eastAsia="lt-LT"/>
                            </w:rPr>
                            <w:t>. užsieniečiams, atvykstantiems į Lietuvos Respublikoje veikiančias kompetentingos institucijos patvirtintas mokymo organizacijas ar organizacijas, naudojančias imituojamo skrydžio treniruoklius, dalyvauti aviacijos specialistams skirtuose mokymuose, turint šių organizacijų kvietimą;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74b714b99dc24ed3b532f0e693356917"/>
                        <w:lock w:val="sdtLocked"/>
                        <w:richText/>
                      </w:sdtPr>
                      <w:sdtContent>
                        <w:p>
                          <w:pPr>
                            <w:tabs>
                              <w:tab w:val="left" w:pos="1134"/>
                            </w:tabs>
                            <w:ind w:firstLine="720"/>
                            <w:jc w:val="both"/>
                            <w:rPr>
                              <w:szCs w:val="24"/>
                              <w:lang w:eastAsia="lt-LT"/>
                            </w:rPr>
                          </w:pPr>
                          <w:sdt>
                            <w:sdtPr>
                              <w:alias w:val="Numeris"/>
                              <w:tag w:val="nr_74b714b99dc24ed3b532f0e693356917"/>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r>
                            <w:rPr>
                              <w:color w:val="000000"/>
                              <w:szCs w:val="24"/>
                              <w:lang w:eastAsia="lt-LT"/>
                            </w:rPr>
                            <w:t xml:space="preserve"> </w:t>
                          </w:r>
                          <w:r>
                            <w:rPr>
                              <w:szCs w:val="24"/>
                              <w:lang w:eastAsia="lt-LT"/>
                            </w:rPr>
                            <w:t>jei jų buvimo Lietuvos Respublikos teritorijoje laikas yra trumpesnis nei 72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9f04a86b6e3246b291a5056b568d31b4"/>
                        <w:lock w:val="sdtLocked"/>
                        <w:richText/>
                      </w:sdtPr>
                      <w:sdtContent>
                        <w:p>
                          <w:pPr>
                            <w:tabs>
                              <w:tab w:val="left" w:pos="1134"/>
                            </w:tabs>
                            <w:ind w:firstLine="720"/>
                            <w:jc w:val="both"/>
                            <w:rPr>
                              <w:szCs w:val="24"/>
                              <w:lang w:eastAsia="lt-LT"/>
                            </w:rPr>
                          </w:pPr>
                          <w:sdt>
                            <w:sdtPr>
                              <w:alias w:val="Numeris"/>
                              <w:tag w:val="nr_9f04a86b6e3246b291a5056b568d31b4"/>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180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3-1.6 pp."/>
                        <w:tag w:val="part_39bc70dd745645089f9066b21e6369f6"/>
                        <w:lock w:val="sdtLocked"/>
                        <w:richText/>
                      </w:sdtPr>
                      <w:sdtContent>
                        <w:p>
                          <w:pPr>
                            <w:tabs>
                              <w:tab w:val="left" w:pos="1134"/>
                            </w:tabs>
                            <w:ind w:firstLine="720"/>
                            <w:jc w:val="both"/>
                            <w:rPr>
                              <w:szCs w:val="24"/>
                              <w:lang w:eastAsia="lt-LT"/>
                            </w:rPr>
                          </w:pPr>
                          <w:sdt>
                            <w:sdtPr>
                              <w:alias w:val="Numeris"/>
                              <w:tag w:val="nr_39bc70dd745645089f9066b21e6369f6"/>
                              <w:lock w:val="sdtLocked"/>
                              <w:richText/>
                            </w:sdtPr>
                            <w:sdtContent>
                              <w:r>
                                <w:rPr>
                                  <w:szCs w:val="24"/>
                                  <w:lang w:eastAsia="lt-LT"/>
                                </w:rPr>
                                <w:t>2.1.3</w:t>
                              </w:r>
                              <w:r>
                                <w:rPr>
                                  <w:szCs w:val="24"/>
                                  <w:vertAlign w:val="superscript"/>
                                  <w:lang w:eastAsia="lt-LT"/>
                                </w:rPr>
                                <w:t>1</w:t>
                              </w:r>
                              <w:r>
                                <w:rPr>
                                  <w:szCs w:val="24"/>
                                  <w:lang w:eastAsia="lt-LT"/>
                                </w:rPr>
                                <w:t>.6</w:t>
                              </w:r>
                            </w:sdtContent>
                          </w:sdt>
                          <w:r>
                            <w:rPr>
                              <w:szCs w:val="24"/>
                              <w:lang w:eastAsia="lt-LT"/>
                            </w:rPr>
                            <w:t>. asmenims, nurodytiems šio nutarimo 2.1.2.16 papunktyje (COVID-19 tyrimą atlieka atvykę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dfc685fb90e84bdfbc1072c3fa177468"/>
                        <w:lock w:val="sdtLocked"/>
                        <w:richText/>
                      </w:sdtPr>
                      <w:sdtContent>
                        <w:p>
                          <w:pPr>
                            <w:tabs>
                              <w:tab w:val="left" w:pos="1134"/>
                            </w:tabs>
                            <w:ind w:firstLine="709"/>
                            <w:jc w:val="both"/>
                          </w:pPr>
                          <w:sdt>
                            <w:sdtPr>
                              <w:alias w:val="Numeris"/>
                              <w:tag w:val="nr_dfc685fb90e84bdfbc1072c3fa177468"/>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w:t>
                          </w:r>
                          <w:r>
                            <w:rPr>
                              <w:color w:val="000000"/>
                              <w:szCs w:val="24"/>
                              <w:lang w:eastAsia="lt-LT"/>
                            </w:rPr>
                            <w:t xml:space="preserve"> bei į vakcinacijos nuo </w:t>
                            <w:br/>
                            <w:t>COVID-19 ligos (koronaviruso infekcijos) vietą ar iš jos</w:t>
                          </w:r>
                          <w:r>
                            <w:rPr>
                              <w:szCs w:val="24"/>
                              <w:lang w:eastAsia="lt-LT"/>
                            </w:rPr>
                            <w:t>,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f51bd09b8011eb9fecb5ecd3bd711c">
                            <w:r w:rsidRPr="00532B9F">
                              <w:rPr>
                                <w:rFonts w:ascii="Times New Roman" w:eastAsia="MS Mincho" w:hAnsi="Times New Roman"/>
                                <w:sz w:val="20"/>
                                <w:i/>
                                <w:iCs/>
                                <w:color w:val="0000FF" w:themeColor="hyperlink"/>
                                <w:u w:val="single"/>
                              </w:rPr>
                              <w:t>220</w:t>
                            </w:r>
                          </w:fldSimple>
                          <w:r>
                            <w:rPr>
                              <w:rFonts w:ascii="Times New Roman" w:eastAsia="MS Mincho" w:hAnsi="Times New Roman"/>
                              <w:sz w:val="20"/>
                              <w:i/>
                              <w:iCs/>
                            </w:rPr>
                            <w:t>,
2021-04-12,
paskelbta TAR 2021-04-12, i. k. 2021-07555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1c4324136385484db6d5a6083918b2a2"/>
                    <w:lock w:val="sdtLocked"/>
                    <w:richText/>
                  </w:sdtPr>
                  <w:sdtContent>
                    <w:p>
                      <w:pPr>
                        <w:pStyle w:val="PlainText"/>
                        <w:ind w:firstLine="567"/>
                        <w:jc w:val="both"/>
                        <w:rPr>
                          <w:rFonts w:ascii="Times New Roman" w:hAnsi="Times New Roman"/>
                          <w:b/>
                          <w:bCs/>
                          <w:sz w:val="22"/>
                        </w:rPr>
                      </w:pPr>
                      <w:r>
                        <w:rPr>
                          <w:rFonts w:ascii="Times New Roman" w:hAnsi="Times New Roman"/>
                          <w:sz w:val="22"/>
                        </w:rPr>
                        <w:t>2.1.7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919e965108b3464eb81a12c3043f4895"/>
                        <w:lock w:val="sdtLocked"/>
                        <w:richText/>
                      </w:sdtPr>
                      <w:sdtContent>
                        <w:p>
                          <w:pPr>
                            <w:pStyle w:val="PlainText"/>
                            <w:ind w:firstLine="567"/>
                            <w:jc w:val="both"/>
                            <w:rPr>
                              <w:rFonts w:ascii="Times New Roman" w:hAnsi="Times New Roman"/>
                              <w:b/>
                              <w:bCs/>
                              <w:sz w:val="22"/>
                            </w:rPr>
                          </w:pPr>
                          <w:r>
                            <w:rPr>
                              <w:rFonts w:ascii="Times New Roman" w:hAnsi="Times New Roman"/>
                              <w:sz w:val="22"/>
                            </w:rPr>
                            <w:t>2.1.8.3</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b5c892c74f5e46adb1422317b63c6a6d"/>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abeacd8a842043c3853d33000c89a399"/>
                    <w:lock w:val="sdtLocked"/>
                    <w:richText/>
                  </w:sdtPr>
                  <w:sdtContent>
                    <w:p>
                      <w:pPr>
                        <w:pStyle w:val="PlainText"/>
                        <w:ind w:firstLine="567"/>
                        <w:jc w:val="both"/>
                        <w:rPr>
                          <w:rFonts w:ascii="Times New Roman" w:hAnsi="Times New Roman"/>
                          <w:b/>
                          <w:bCs/>
                          <w:sz w:val="22"/>
                        </w:rPr>
                      </w:pPr>
                      <w:r>
                        <w:rPr>
                          <w:rFonts w:ascii="Times New Roman" w:hAnsi="Times New Roman"/>
                          <w:sz w:val="22"/>
                        </w:rPr>
                        <w:t>2.2.5</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e3e19ea0f6b545cd82ba9058ccda5962"/>
                        <w:lock w:val="sdtLocked"/>
                        <w:richText/>
                      </w:sdtPr>
                      <w:sdtContent>
                        <w:p>
                          <w:pPr>
                            <w:ind w:firstLine="720"/>
                            <w:jc w:val="both"/>
                          </w:pPr>
                          <w:sdt>
                            <w:sdtPr>
                              <w:alias w:val="Numeris"/>
                              <w:tag w:val="nr_e3e19ea0f6b545cd82ba9058ccda5962"/>
                              <w:lock w:val="sdtLocked"/>
                              <w:richText/>
                            </w:sdtPr>
                            <w:sdtContent>
                              <w:r>
                                <w:rPr>
                                  <w:szCs w:val="24"/>
                                  <w:lang w:eastAsia="lt-LT"/>
                                </w:rPr>
                                <w:t>2.2.6.3</w:t>
                              </w:r>
                            </w:sdtContent>
                          </w:sdt>
                          <w:r>
                            <w:rPr>
                              <w:szCs w:val="24"/>
                              <w:lang w:eastAsia="lt-LT"/>
                            </w:rPr>
                            <w:t>. sporto, laisvalaikio ir pramogų paslaugas atvirose erdvėse, vienu metu teikiamas ne daugiau kaip 10 asmenų, išskyrus dviejų šeimų ir (ar) dviejų namų ūkių narius,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2.6-1.4 pp."/>
                        <w:tag w:val="part_4451ec9abf83478e92456411b1048700"/>
                        <w:lock w:val="sdtLocked"/>
                        <w:richText/>
                      </w:sdtPr>
                      <w:sdtContent>
                        <w:p>
                          <w:pPr>
                            <w:ind w:firstLine="720"/>
                            <w:jc w:val="both"/>
                            <w:rPr>
                              <w:szCs w:val="24"/>
                              <w:lang w:eastAsia="lt-LT"/>
                            </w:rPr>
                          </w:pPr>
                          <w:sdt>
                            <w:sdtPr>
                              <w:alias w:val="Numeris"/>
                              <w:tag w:val="nr_4451ec9abf83478e92456411b1048700"/>
                              <w:lock w:val="sdtLocked"/>
                              <w:richText/>
                            </w:sdtPr>
                            <w:sdtContent>
                              <w:r>
                                <w:rPr>
                                  <w:szCs w:val="24"/>
                                  <w:lang w:eastAsia="lt-LT"/>
                                </w:rPr>
                                <w:t>2.2.6</w:t>
                              </w:r>
                              <w:r>
                                <w:rPr>
                                  <w:szCs w:val="24"/>
                                  <w:vertAlign w:val="superscript"/>
                                  <w:lang w:eastAsia="lt-LT"/>
                                </w:rPr>
                                <w:t>1</w:t>
                              </w:r>
                              <w:r>
                                <w:rPr>
                                  <w:szCs w:val="24"/>
                                  <w:lang w:eastAsia="lt-LT"/>
                                </w:rPr>
                                <w:t>.4</w:t>
                              </w:r>
                            </w:sdtContent>
                          </w:sdt>
                          <w:r>
                            <w:rPr>
                              <w:szCs w:val="24"/>
                              <w:lang w:eastAsia="lt-LT"/>
                            </w:rPr>
                            <w:t>. fiziškai aptarnaujami lankytojai bibliotekų ir valstybės archyvų skaityklose ne didesnėmis nei 2 asmenų grupėmis, išskyrus vienos šeimos ir (ar) vieno namų ūkio narius.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fd47e64f3b5c4d50aad5c23939844d51"/>
                        <w:lock w:val="sdtLocked"/>
                        <w:richText/>
                      </w:sdtPr>
                      <w:sdtContent>
                        <w:p>
                          <w:pPr>
                            <w:ind w:firstLine="720"/>
                            <w:jc w:val="both"/>
                          </w:pPr>
                          <w:sdt>
                            <w:sdtPr>
                              <w:alias w:val="Numeris"/>
                              <w:tag w:val="nr_fd47e64f3b5c4d50aad5c23939844d51"/>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w:t>
                          </w:r>
                          <w:r>
                            <w:rPr>
                              <w:color w:val="000000"/>
                              <w:szCs w:val="24"/>
                              <w:lang w:eastAsia="lt-LT"/>
                            </w:rPr>
                            <w:t xml:space="preserve">ugdymas mokyklose pagal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kai organizuojamos konsultacijos ne daugiau kaip 5 vidurinio ugdymo programos baigiamosios klasės mokiniams, </w:t>
                          </w:r>
                          <w:r>
                            <w:rPr>
                              <w:bCs/>
                              <w:color w:val="000000"/>
                              <w:szCs w:val="24"/>
                              <w:lang w:eastAsia="lt-LT"/>
                            </w:rPr>
                            <w:t>taip pat egzaminus mokiniams, kurie baigia vidurinio ugdymo programą pagal užsienio valstybių ir tarptautinių organizacijų švietimo programas, kai egzamine vienoje patalpoje dalyvauja ne daugiau kaip 5 mokiniai,</w:t>
                          </w:r>
                          <w:r>
                            <w:rPr>
                              <w:b/>
                              <w:color w:val="000000"/>
                              <w:szCs w:val="24"/>
                              <w:lang w:eastAsia="lt-LT"/>
                            </w:rPr>
                            <w:t xml:space="preserve"> </w:t>
                          </w:r>
                          <w:r>
                            <w:rPr>
                              <w:color w:val="000000"/>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2-1 pp."/>
                        <w:tag w:val="part_d23d12b0e1234180a63c59915d59b243"/>
                        <w:lock w:val="sdtLocked"/>
                        <w:richText/>
                      </w:sdtPr>
                      <w:sdtContent>
                        <w:p>
                          <w:pPr>
                            <w:tabs>
                              <w:tab w:val="left" w:pos="1134"/>
                            </w:tabs>
                            <w:ind w:firstLine="720"/>
                            <w:jc w:val="both"/>
                          </w:pPr>
                          <w:sdt>
                            <w:sdtPr>
                              <w:alias w:val="Numeris"/>
                              <w:tag w:val="nr_d23d12b0e1234180a63c59915d59b243"/>
                              <w:lock w:val="sdtLocked"/>
                              <w:richText/>
                            </w:sdtPr>
                            <w:sdtContent>
                              <w:r>
                                <w:rPr>
                                  <w:iCs/>
                                  <w:szCs w:val="24"/>
                                  <w:shd w:val="clear" w:color="auto" w:fill="FFFFFF"/>
                                  <w:lang w:eastAsia="lt-LT"/>
                                </w:rPr>
                                <w:t>2.2.9.2</w:t>
                              </w:r>
                              <w:r>
                                <w:rPr>
                                  <w:iCs/>
                                  <w:szCs w:val="24"/>
                                  <w:shd w:val="clear" w:color="auto" w:fill="FFFFFF"/>
                                  <w:vertAlign w:val="superscript"/>
                                  <w:lang w:eastAsia="lt-LT"/>
                                </w:rPr>
                                <w:t>1</w:t>
                              </w:r>
                            </w:sdtContent>
                          </w:sdt>
                          <w:r>
                            <w:rPr>
                              <w:iCs/>
                              <w:szCs w:val="24"/>
                              <w:shd w:val="clear" w:color="auto" w:fill="FFFFFF"/>
                              <w:lang w:eastAsia="lt-LT"/>
                            </w:rPr>
                            <w:t xml:space="preserve">. </w:t>
                          </w:r>
                          <w:r>
                            <w:rPr>
                              <w:szCs w:val="24"/>
                              <w:shd w:val="clear" w:color="auto" w:fill="FFFFFF"/>
                              <w:lang w:eastAsia="lt-LT"/>
                            </w:rPr>
                            <w:t xml:space="preserve">šio nutarimo </w:t>
                          </w:r>
                          <w:r>
                            <w:rPr>
                              <w:szCs w:val="24"/>
                              <w:lang w:eastAsia="lt-LT"/>
                            </w:rPr>
                            <w:t>2</w:t>
                          </w:r>
                          <w:r>
                            <w:rPr>
                              <w:szCs w:val="24"/>
                              <w:vertAlign w:val="superscript"/>
                              <w:lang w:eastAsia="lt-LT"/>
                            </w:rPr>
                            <w:t>1</w:t>
                          </w:r>
                          <w:r>
                            <w:rPr>
                              <w:szCs w:val="24"/>
                              <w:lang w:eastAsia="lt-LT"/>
                            </w:rPr>
                            <w:t xml:space="preserve"> punkte nenurodytų</w:t>
                          </w:r>
                          <w:r>
                            <w:rPr>
                              <w:iCs/>
                              <w:szCs w:val="24"/>
                              <w:shd w:val="clear" w:color="auto" w:fill="FFFFFF"/>
                              <w:lang w:eastAsia="lt-LT"/>
                            </w:rPr>
                            <w:t xml:space="preserve"> </w:t>
                          </w:r>
                          <w:r>
                            <w:rPr>
                              <w:iCs/>
                              <w:szCs w:val="24"/>
                              <w:lang w:eastAsia="lt-LT"/>
                            </w:rPr>
                            <w:t>savivaldybių teritorijose esančiose ugdymo įstaigose ugdymas pagal pradinio ugdymo programą vykdomas nuotoliniu būdu arba šių</w:t>
                          </w:r>
                          <w:r>
                            <w:rPr>
                              <w:szCs w:val="24"/>
                              <w:lang w:eastAsia="lt-LT"/>
                            </w:rPr>
                            <w:t xml:space="preserve"> </w:t>
                          </w:r>
                          <w:r>
                            <w:rPr>
                              <w:iCs/>
                              <w:szCs w:val="24"/>
                              <w:shd w:val="clear" w:color="auto" w:fill="FFFFFF"/>
                              <w:lang w:eastAsia="lt-LT"/>
                            </w:rPr>
                            <w:t>savivaldybių administracijų pasirinktose ugdymo įstaigose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2-2 pp."/>
                        <w:tag w:val="part_78d906b8f3ba476e89412363b1c8b3c3"/>
                        <w:lock w:val="sdtLocked"/>
                        <w:richText/>
                      </w:sdtPr>
                      <w:sdtContent>
                        <w:p>
                          <w:pPr>
                            <w:tabs>
                              <w:tab w:val="left" w:pos="1134"/>
                            </w:tabs>
                            <w:ind w:firstLine="720"/>
                            <w:jc w:val="both"/>
                            <w:rPr>
                              <w:szCs w:val="24"/>
                              <w:lang w:eastAsia="lt-LT"/>
                            </w:rPr>
                          </w:pPr>
                          <w:sdt>
                            <w:sdtPr>
                              <w:alias w:val="Numeris"/>
                              <w:tag w:val="nr_78d906b8f3ba476e89412363b1c8b3c3"/>
                              <w:lock w:val="sdtLocked"/>
                              <w:richText/>
                            </w:sdtPr>
                            <w:sdtContent>
                              <w:r>
                                <w:rPr>
                                  <w:szCs w:val="24"/>
                                  <w:shd w:val="clear" w:color="auto" w:fill="FFFFFF"/>
                                  <w:lang w:eastAsia="lt-LT"/>
                                </w:rPr>
                                <w:t>2.2.9.2</w:t>
                              </w:r>
                              <w:r>
                                <w:rPr>
                                  <w:szCs w:val="24"/>
                                  <w:shd w:val="clear" w:color="auto" w:fill="FFFFFF"/>
                                  <w:vertAlign w:val="superscript"/>
                                  <w:lang w:eastAsia="lt-LT"/>
                                </w:rPr>
                                <w:t>2</w:t>
                              </w:r>
                            </w:sdtContent>
                          </w:sdt>
                          <w:r>
                            <w:rPr>
                              <w:szCs w:val="24"/>
                              <w:shd w:val="clear" w:color="auto" w:fill="FFFFFF"/>
                              <w:lang w:eastAsia="lt-LT"/>
                            </w:rPr>
                            <w:t xml:space="preserve">. šio nutarimo </w:t>
                          </w:r>
                          <w:r>
                            <w:rPr>
                              <w:szCs w:val="24"/>
                              <w:lang w:eastAsia="lt-LT"/>
                            </w:rPr>
                            <w:t>2</w:t>
                          </w:r>
                          <w:r>
                            <w:rPr>
                              <w:szCs w:val="24"/>
                              <w:vertAlign w:val="superscript"/>
                              <w:lang w:eastAsia="lt-LT"/>
                            </w:rPr>
                            <w:t>1</w:t>
                          </w:r>
                          <w:r>
                            <w:rPr>
                              <w:szCs w:val="24"/>
                              <w:lang w:eastAsia="lt-LT"/>
                            </w:rPr>
                            <w:t xml:space="preserve"> punkte nurodytų savivaldybių</w:t>
                          </w:r>
                          <w:r>
                            <w:rPr>
                              <w:iCs/>
                              <w:szCs w:val="24"/>
                              <w:lang w:eastAsia="lt-LT"/>
                            </w:rPr>
                            <w:t xml:space="preserve"> teritorijose esančiose</w:t>
                          </w:r>
                          <w:r>
                            <w:rPr>
                              <w:szCs w:val="24"/>
                              <w:lang w:eastAsia="lt-LT"/>
                            </w:rPr>
                            <w:t xml:space="preserve"> </w:t>
                          </w:r>
                          <w:r>
                            <w:rPr>
                              <w:iCs/>
                              <w:szCs w:val="24"/>
                              <w:shd w:val="clear" w:color="auto" w:fill="FFFFFF"/>
                              <w:lang w:eastAsia="lt-LT"/>
                            </w:rPr>
                            <w:t>ugdymo įstaigose</w:t>
                          </w:r>
                          <w:r>
                            <w:rPr>
                              <w:szCs w:val="24"/>
                              <w:lang w:eastAsia="lt-LT"/>
                            </w:rPr>
                            <w:t xml:space="preserve"> ugdymas pagal pradinio ugdymo programą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sdtContent>
                    </w:sdt>
                    <w:sdt>
                      <w:sdtPr>
                        <w:alias w:val="2.2.9.3 pp."/>
                        <w:tag w:val="part_a9871b11b7e84093b082e05505e63c0c"/>
                        <w:lock w:val="sdtLocked"/>
                        <w:richText/>
                      </w:sdtPr>
                      <w:sdtContent>
                        <w:p>
                          <w:pPr>
                            <w:ind w:firstLine="720"/>
                            <w:jc w:val="both"/>
                            <w:rPr>
                              <w:szCs w:val="24"/>
                              <w:lang w:eastAsia="lt-LT"/>
                            </w:rPr>
                          </w:pPr>
                          <w:sdt>
                            <w:sdtPr>
                              <w:alias w:val="Numeris"/>
                              <w:tag w:val="nr_a9871b11b7e84093b082e05505e63c0c"/>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neformaliojo vaikų švietimo užsiėmimus atvirose erdvėse, kai dalyvauja ne daugiau kaip 10 vaikų, bei neformaliojo vaikų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vaikai ir užtikrinamas 20 m</w:t>
                          </w:r>
                          <w:r>
                            <w:rPr>
                              <w:color w:val="000000"/>
                              <w:szCs w:val="24"/>
                              <w:vertAlign w:val="superscript"/>
                              <w:lang w:eastAsia="lt-LT"/>
                            </w:rPr>
                            <w:t>2</w:t>
                          </w:r>
                          <w:r>
                            <w:rPr>
                              <w:color w:val="000000"/>
                              <w:szCs w:val="24"/>
                              <w:lang w:eastAsia="lt-LT"/>
                            </w:rPr>
                            <w:t> paslaugos teikimo plotas vienam vaikui</w:t>
                          </w:r>
                          <w:r>
                            <w:rPr>
                              <w:szCs w:val="24"/>
                              <w:lang w:eastAsia="lt-LT"/>
                            </w:rPr>
                            <w:t xml:space="preserve"> arba dalyvauja ne daugiau kaip vienas vaikas</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4 pp."/>
                        <w:tag w:val="part_49ed5e5100fa4a208285a0ac64aa627f"/>
                        <w:lock w:val="sdtLocked"/>
                        <w:richText/>
                      </w:sdtPr>
                      <w:sdtContent>
                        <w:p>
                          <w:pPr>
                            <w:ind w:firstLine="720"/>
                            <w:jc w:val="both"/>
                            <w:rPr>
                              <w:szCs w:val="24"/>
                              <w:lang w:eastAsia="lt-LT"/>
                            </w:rPr>
                          </w:pPr>
                          <w:sdt>
                            <w:sdtPr>
                              <w:alias w:val="Numeris"/>
                              <w:tag w:val="nr_49ed5e5100fa4a208285a0ac64aa627f"/>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jūrininkų bei statutinių profesinio mokymo įstaigų įvadinio mokymo kursų praktinius mokymus, transporto priemonių vairavimo praktinius mokymus, sveikatos priežiūros įstaigų darbuotojų praktinius mokymus, užsienio kalbos mokėjimo lygio vertinimo egzaminus (įskaitas) asmenims, stojantiems į užsienio aukštąsias mokyklas, ir valstybinės kalbos ir Lietuvos Respublikos Konstitucijos pagrindų egzaminus, kai dalyvauja ne daugiau kaip 5  asmenys, bei neformaliojo suaugusiųjų švietimo užsiėmimus atvirose erdvėse, kai dalyvauja ne daugiau kaip 10 asmenų, bei neformaliojo suaugusiųjų švietimo užsiėmimus uždarose erdvėse, esančiose šio nutarimo 2</w:t>
                          </w:r>
                          <w:r>
                            <w:rPr>
                              <w:color w:val="000000"/>
                              <w:szCs w:val="24"/>
                              <w:vertAlign w:val="superscript"/>
                              <w:lang w:eastAsia="lt-LT"/>
                            </w:rPr>
                            <w:t>1</w:t>
                          </w:r>
                          <w:r>
                            <w:rPr>
                              <w:color w:val="000000"/>
                              <w:szCs w:val="24"/>
                              <w:lang w:eastAsia="lt-LT"/>
                            </w:rPr>
                            <w:t> punkte nurodytose savivaldybėse, kai dalyvauja ne daugiau kaip 5 asmenys ir užtikrinamas 20 m</w:t>
                          </w:r>
                          <w:r>
                            <w:rPr>
                              <w:color w:val="000000"/>
                              <w:szCs w:val="24"/>
                              <w:vertAlign w:val="superscript"/>
                              <w:lang w:eastAsia="lt-LT"/>
                            </w:rPr>
                            <w:t>2</w:t>
                          </w:r>
                          <w:r>
                            <w:rPr>
                              <w:color w:val="000000"/>
                              <w:szCs w:val="24"/>
                              <w:lang w:eastAsia="lt-LT"/>
                            </w:rPr>
                            <w:t xml:space="preserve"> paslaugos teikimo plotas vienam asmeniui </w:t>
                          </w:r>
                          <w:r>
                            <w:rPr>
                              <w:szCs w:val="24"/>
                              <w:lang w:eastAsia="lt-LT"/>
                            </w:rPr>
                            <w:t>arba dalyvauja ne daugiau kaip vienas asmuo</w:t>
                          </w:r>
                          <w:r>
                            <w:rPr>
                              <w:color w:val="000000"/>
                              <w:szCs w:val="24"/>
                              <w:lang w:eastAsia="lt-LT"/>
                            </w:rPr>
                            <w:t>,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a2e8f270d4645de82336c31033e2f1d"/>
                        <w:lock w:val="sdtLocked"/>
                        <w:richText/>
                      </w:sdtPr>
                      <w:sdtContent>
                        <w:p>
                          <w:pPr>
                            <w:pStyle w:val="PlainText"/>
                            <w:ind w:firstLine="567"/>
                            <w:jc w:val="both"/>
                            <w:rPr>
                              <w:rFonts w:ascii="Times New Roman" w:hAnsi="Times New Roman"/>
                              <w:b/>
                              <w:bCs/>
                              <w:sz w:val="22"/>
                            </w:rPr>
                          </w:pPr>
                          <w:r>
                            <w:rPr>
                              <w:rFonts w:ascii="Times New Roman" w:hAnsi="Times New Roman"/>
                              <w:sz w:val="22"/>
                            </w:rPr>
                            <w:t>2.2.9.7</w:t>
                          </w:r>
                          <w:r>
                            <w:rPr>
                              <w:rFonts w:ascii="Times New Roman" w:hAnsi="Times New Roman"/>
                              <w:sz w:val="22"/>
                            </w:rPr>
                            <w:t>.</w:t>
                          </w:r>
                          <w:r>
                            <w:rPr>
                              <w:rFonts w:ascii="Times New Roman" w:eastAsia="MS Mincho" w:hAnsi="Times New Roman"/>
                              <w:sz w:val="20"/>
                              <w:i/>
                              <w:iCs/>
                            </w:rPr>
                            <w:t xml:space="preserve"> Neteko galios nuo 2021-04-09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2-1 p."/>
            <w:tag w:val="part_197e5c15aa334d4198be184cd5a6cf7d"/>
            <w:lock w:val="sdtLocked"/>
            <w:richText/>
          </w:sdtPr>
          <w:sdtContent>
            <w:p>
              <w:pPr>
                <w:tabs>
                  <w:tab w:val="left" w:pos="1134"/>
                </w:tabs>
                <w:ind w:firstLine="720"/>
                <w:jc w:val="both"/>
              </w:pPr>
              <w:sdt>
                <w:sdtPr>
                  <w:alias w:val="Numeris"/>
                  <w:tag w:val="nr_197e5c15aa334d4198be184cd5a6cf7d"/>
                  <w:lock w:val="sdtLocked"/>
                  <w:richText/>
                </w:sdtPr>
                <w:sdtContent>
                  <w:r>
                    <w:rPr>
                      <w:szCs w:val="24"/>
                      <w:lang w:eastAsia="lt-LT"/>
                    </w:rPr>
                    <w:t>2</w:t>
                  </w:r>
                  <w:r>
                    <w:rPr>
                      <w:szCs w:val="24"/>
                      <w:vertAlign w:val="superscript"/>
                      <w:lang w:eastAsia="lt-LT"/>
                    </w:rPr>
                    <w:t>1</w:t>
                  </w:r>
                </w:sdtContent>
              </w:sdt>
              <w:r>
                <w:rPr>
                  <w:szCs w:val="24"/>
                  <w:lang w:eastAsia="lt-LT"/>
                </w:rPr>
                <w:t>. Akmenės rajono, Alytaus miesto, Alytaus rajono, Anykščių rajono, Birštono, Biržų rajono, Druskininkų, Elektrėnų, Ignalinos rajono, Jonavos rajono, Joniškio rajono, Jurbarko rajono, Kaišiadorių rajono, Kalvarijos, Kauno miesto, Kauno rajono, Kazlų Rūdos, Kelmės rajono, Kėdainių rajono, Klaipėdos miesto, Klaipėdos rajono, Kretingos rajono, Kupiškio rajono, Lazdijų rajono, Mažeikių rajono, Molėtų rajono, Neringos, Pagėgių, Pakruojo rajono, Palangos miesto, Pasvalio rajono, Plungės rajono, Prienų rajono, Radviliškio rajono, Raseinių rajono, Rietavo, Rokiškio rajono, Skuodo rajono, Šakių rajono, Šiaulių miesto, Šiaulių rajono, Šilalės rajono, Šilutės rajono, Tauragės rajono, Telšių rajono, Ukmergės rajono, Utenos rajono, Vilkaviškio rajono, Zarasų rajono savivaldybėse šiuo nutarimu gali būti nustatomos švelnesnės karantino režimo priemonės negu visoje šalyje.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2a08b0872411eb9fecb5ecd3bd711c">
                <w:r w:rsidRPr="00532B9F">
                  <w:rPr>
                    <w:rFonts w:ascii="Times New Roman" w:eastAsia="MS Mincho" w:hAnsi="Times New Roman"/>
                    <w:sz w:val="20"/>
                    <w:i/>
                    <w:iCs/>
                    <w:color w:val="0000FF" w:themeColor="hyperlink"/>
                    <w:u w:val="single"/>
                  </w:rPr>
                  <w:t>157</w:t>
                </w:r>
              </w:fldSimple>
              <w:r>
                <w:rPr>
                  <w:rFonts w:ascii="Times New Roman" w:eastAsia="MS Mincho" w:hAnsi="Times New Roman"/>
                  <w:sz w:val="20"/>
                  <w:i/>
                  <w:iCs/>
                </w:rPr>
                <w:t>,
2021-03-17,
paskelbta TAR 2021-03-17, i. k. 2021-05279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3ae7af95fcd4922a07be27628325888"/>
            <w:lock w:val="sdtLocked"/>
            <w:richText/>
          </w:sdtPr>
          <w:sdtContent>
            <w:p>
              <w:pPr>
                <w:tabs>
                  <w:tab w:val="left" w:pos="1134"/>
                </w:tabs>
                <w:ind w:firstLine="720"/>
                <w:jc w:val="both"/>
                <w:rPr>
                  <w:szCs w:val="24"/>
                  <w:lang w:eastAsia="lt-LT"/>
                </w:rPr>
              </w:pPr>
              <w:sdt>
                <w:sdtPr>
                  <w:alias w:val="Numeris"/>
                  <w:tag w:val="nr_63ae7af95fcd4922a07be27628325888"/>
                  <w:lock w:val="sdtLocked"/>
                  <w:richText/>
                </w:sdtPr>
                <w:sdtContent>
                  <w:r>
                    <w:rPr>
                      <w:szCs w:val="24"/>
                      <w:lang w:eastAsia="lt-LT"/>
                    </w:rPr>
                    <w:t>5</w:t>
                  </w:r>
                </w:sdtContent>
              </w:sdt>
              <w:r>
                <w:rPr>
                  <w:szCs w:val="24"/>
                  <w:lang w:eastAsia="lt-LT"/>
                </w:rPr>
                <w:t>. Karantino režimo trukmė – nuo 2020 m. lapkričio 7 d. 00:00 val. iki 2021 m. gegužės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1e5b08e1e11eb9fecb5ecd3bd711c">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2021-03-26,
paskelbta TAR 2021-03-26, i. k. 2021-05881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521b09ed411eb9fecb5ecd3bd711c">
                <w:r w:rsidRPr="00532B9F">
                  <w:rPr>
                    <w:rFonts w:ascii="Times New Roman" w:eastAsia="MS Mincho" w:hAnsi="Times New Roman"/>
                    <w:sz w:val="20"/>
                    <w:i/>
                    <w:iCs/>
                    <w:color w:val="0000FF" w:themeColor="hyperlink"/>
                    <w:u w:val="single"/>
                  </w:rPr>
                  <w:t>229</w:t>
                </w:r>
              </w:fldSimple>
              <w:r>
                <w:rPr>
                  <w:rFonts w:ascii="Times New Roman" w:eastAsia="MS Mincho" w:hAnsi="Times New Roman"/>
                  <w:sz w:val="20"/>
                  <w:i/>
                  <w:iCs/>
                </w:rPr>
                <w:t>,
2021-04-15,
paskelbta TAR 2021-04-16, i. k. 2021-07895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21f4cd2b836745129b62d3fe804ecfd1"/>
                <w:lock w:val="sdtLocked"/>
                <w:richText/>
              </w:sdtPr>
              <w:sdtContent>
                <w:p>
                  <w:pPr>
                    <w:ind w:firstLine="720"/>
                    <w:jc w:val="both"/>
                    <w:rPr>
                      <w:szCs w:val="24"/>
                      <w:lang w:eastAsia="lt-LT"/>
                    </w:rPr>
                  </w:pPr>
                  <w:sdt>
                    <w:sdtPr>
                      <w:alias w:val="Numeris"/>
                      <w:tag w:val="nr_21f4cd2b836745129b62d3fe804ecfd1"/>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 m. ir / arba 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 Kai parama teikiama pagal 2020 m. kovo 20 d. Europos Komisijos komunikato „Laikinoji valstybės pagalbos priemonių, skirtų ekonomikai remti reaguojant į dabartinį COVID-19 protrūkį, sistema“ su paskutiniais pakeitimais, padarytais 2021 m. sausio 28 d. Europos Komisijos komunikatu, 3.12 skirsnį, ūkinės veiklos vykdytojo ūkinės veiklos vidutinė vieno mėnesio apyvarta, skaičiuojant nuo 2020 m. lapkričio 1 d. iki 2021 m. balandžio 30 d., palyginti su 2019 m. atitinkamo laikotarpio vidutine vieno mėnesio apyvarta, remiantis VMI pateiktose PVM deklaracijose deklaruotais, o neteikiantiems PVM deklaracijų, – pareiškėjo teikiamoje paraiškoje deklaruotais duomenimis, sumažėjo ne mažiau nei 30 procentų.</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6e6fd0987011eb9fecb5ecd3bd711c">
                    <w:r w:rsidRPr="00532B9F">
                      <w:rPr>
                        <w:rFonts w:ascii="Times New Roman" w:eastAsia="MS Mincho" w:hAnsi="Times New Roman"/>
                        <w:sz w:val="20"/>
                        <w:i/>
                        <w:iCs/>
                        <w:color w:val="0000FF" w:themeColor="hyperlink"/>
                        <w:u w:val="single"/>
                      </w:rPr>
                      <w:t>216</w:t>
                    </w:r>
                  </w:fldSimple>
                  <w:r>
                    <w:rPr>
                      <w:rFonts w:ascii="Times New Roman" w:eastAsia="MS Mincho" w:hAnsi="Times New Roman"/>
                      <w:sz w:val="20"/>
                      <w:i/>
                      <w:iCs/>
                    </w:rPr>
                    <w:t>,
2021-04-07,
paskelbta TAR 2021-04-08, i. k. 2021-07289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965a65da749a4ff2b6ea0aeda21a225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965a65da749a4ff2b6ea0aeda21a225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32a08b0872411eb9fecb5ecd3bd711c">
            <w:r w:rsidRPr="00532B9F">
              <w:rPr>
                <w:rFonts w:ascii="Times New Roman" w:eastAsia="MS Mincho" w:hAnsi="Times New Roman"/>
                <w:sz w:val="20"/>
                <w:iCs/>
                <w:color w:val="0000FF" w:themeColor="hyperlink"/>
                <w:u w:val="single"/>
              </w:rPr>
              <w:t>157</w:t>
            </w:r>
          </w:fldSimple>
          <w:r>
            <w:rPr>
              <w:rFonts w:ascii="Times New Roman" w:eastAsia="MS Mincho" w:hAnsi="Times New Roman"/>
              <w:sz w:val="20"/>
              <w:iCs/>
            </w:rPr>
            <w:t>,
2021-03-17,
paskelbta TAR 2021-03-17, i. k. 2021-05279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61e5b08e1e11eb9fecb5ecd3bd711c">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2021-03-26,
paskelbta TAR 2021-03-26, i. k. 2021-05881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b6e6fd0987011eb9fecb5ecd3bd711c">
            <w:r w:rsidRPr="00532B9F">
              <w:rPr>
                <w:rFonts w:ascii="Times New Roman" w:eastAsia="MS Mincho" w:hAnsi="Times New Roman"/>
                <w:sz w:val="20"/>
                <w:iCs/>
                <w:color w:val="0000FF" w:themeColor="hyperlink"/>
                <w:u w:val="single"/>
              </w:rPr>
              <w:t>216</w:t>
            </w:r>
          </w:fldSimple>
          <w:r>
            <w:rPr>
              <w:rFonts w:ascii="Times New Roman" w:eastAsia="MS Mincho" w:hAnsi="Times New Roman"/>
              <w:sz w:val="20"/>
              <w:iCs/>
            </w:rPr>
            <w:t>,
2021-04-07,
paskelbta TAR 2021-04-08, i. k. 2021-07289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3f51bd09b8011eb9fecb5ecd3bd711c">
            <w:r w:rsidRPr="00532B9F">
              <w:rPr>
                <w:rFonts w:ascii="Times New Roman" w:eastAsia="MS Mincho" w:hAnsi="Times New Roman"/>
                <w:sz w:val="20"/>
                <w:iCs/>
                <w:color w:val="0000FF" w:themeColor="hyperlink"/>
                <w:u w:val="single"/>
              </w:rPr>
              <w:t>220</w:t>
            </w:r>
          </w:fldSimple>
          <w:r>
            <w:rPr>
              <w:rFonts w:ascii="Times New Roman" w:eastAsia="MS Mincho" w:hAnsi="Times New Roman"/>
              <w:sz w:val="20"/>
              <w:iCs/>
            </w:rPr>
            <w:t>,
2021-04-12,
paskelbta TAR 2021-04-12, i. k. 2021-07555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521b09ed411eb9fecb5ecd3bd711c">
            <w:r w:rsidRPr="00532B9F">
              <w:rPr>
                <w:rFonts w:ascii="Times New Roman" w:eastAsia="MS Mincho" w:hAnsi="Times New Roman"/>
                <w:sz w:val="20"/>
                <w:iCs/>
                <w:color w:val="0000FF" w:themeColor="hyperlink"/>
                <w:u w:val="single"/>
              </w:rPr>
              <w:t>229</w:t>
            </w:r>
          </w:fldSimple>
          <w:r>
            <w:rPr>
              <w:rFonts w:ascii="Times New Roman" w:eastAsia="MS Mincho" w:hAnsi="Times New Roman"/>
              <w:sz w:val="20"/>
              <w:iCs/>
            </w:rPr>
            <w:t>,
2021-04-15,
paskelbta TAR 2021-04-16, i. k. 2021-07895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15</w:t>
    </w:r>
    <w:r>
      <w:rPr>
        <w:lang w:eastAsia="lt-LT"/>
      </w:rPr>
      <w:fldChar w:fldCharType="end"/>
    </w:r>
  </w:p>
  <w:p>
    <w:pPr>
      <w:tabs>
        <w:tab w:val="center" w:pos="4153"/>
        <w:tab w:val="right" w:pos="8306"/>
      </w:tabs>
      <w:spacing w:after="200" w:line="276" w:lineRule="auto"/>
      <w:rPr>
        <w:lang w:eastAsia="lt-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2.xml"/>
  <Relationship Id="rId11" Type="http://schemas.openxmlformats.org/officeDocument/2006/relationships/header" Target="header83.xml"/>
  <Relationship Id="rId12" Type="http://schemas.openxmlformats.org/officeDocument/2006/relationships/footer" Target="footer82.xml"/>
  <Relationship Id="rId13" Type="http://schemas.openxmlformats.org/officeDocument/2006/relationships/footer" Target="footer83.xml"/>
  <Relationship Id="rId14" Type="http://schemas.openxmlformats.org/officeDocument/2006/relationships/header" Target="header84.xml"/>
  <Relationship Id="rId15" Type="http://schemas.openxmlformats.org/officeDocument/2006/relationships/footer" Target="footer8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67b37dbd7be94573b1a94ef15c28b780">
            <Part Type="papunktis" Nr="2.1.1.1.1" Abbr="2.1.1.1.1 pp." DocPartId="25b78cdf9125446aa8acac7372c9e64a" PartId="2ed6e9773699485e85991233e859bc82"/>
            <Part Type="papunktis" Nr="2.1.1.1.2" Abbr="2.1.1.1.2 pp." DocPartId="d5fac0d95faa48118b4c0a546dd01c2a" PartId="ddbaf681e5b941ac80a4957524ab4248"/>
            <Part Type="papunktis" Nr="2.1.1.1.3" Abbr="2.1.1.1.3 pp." DocPartId="cdf950c2ee5341f1a597d81b3e9da22a" PartId="f86c9007b10b49869f1c98497414ad8c"/>
            <Part Type="papunktis" Nr="2.1.1.1.4" Abbr="2.1.1.1.4 pp." DocPartId="789e8276caa940579e25a9a56da0a9dd" PartId="8a528507540f49309423f25f1872d0b8"/>
            <Part Type="papunktis" Nr="2.1.1.1.5" Abbr="2.1.1.1.5 pp." DocPartId="b3aa82c6c2084553882b54ababda0111" PartId="c8e8e94e2524401994a8e598597bdae3"/>
            <Part Type="papunktis" Nr="2.1.1.1.6" Abbr="2.1.1.1.6 pp." DocPartId="b0762751751a4921bfff0ac8f754e0e8" PartId="f906968f389d4958b5c57403a7a8f209"/>
            <Part Type="papunktis" Nr="2.1.1.1.7" Abbr="2.1.1.1.7 pp." DocPartId="03b8f7120fb54536bbdfb1a126a9eb56" PartId="d97450ebe8964777b4d2400c5972a7c4"/>
            <Part Type="papunktis" Nr="2.1.1.1.8" Abbr="2.1.1.1.8 pp." DocPartId="59d7247780c8421f81535928bc44fa3d" PartId="cbb415b617a344a2971169dd86b8b28d"/>
            <Part Type="papunktis" Nr="2.1.1.1.9" Abbr="2.1.1.1.9 pp." DocPartId="417b3f5fe006478db5238be2812da05a" PartId="b7746d74eec744f7baf018cf38d61b06"/>
            <Part Type="papunktis" Nr="2.1.1.1.10" Abbr="2.1.1.1.10 pp." DocPartId="5b22700d148b4df3b0b5b38d904b05eb" PartId="434c5e5e0a154117ba7e94aef6c8595c"/>
            <Part Type="papunktis" Nr="2.1.1.1.11" Abbr="2.1.1.1.11 pp." DocPartId="2535a1ba677a4f879152f4981e5bf22d" PartId="dff917465f864216aafa570c9e418b63"/>
            <Part Type="papunktis" Nr="2.1.1.1.12" Abbr="2.1.1.1.12 pp." DocPartId="beeb7091298141d28d419771a2b495c1" PartId="6eea73bafbc4454780856341112ea77e"/>
          </Part>
          <Part Type="papunktis" Nr="2.1.1.2" Abbr="2.1.1.2 pp." DocPartId="cbda1dbde8f243e68c92d3c05c38cc7d" PartId="d9f91d6dfbfd4f169ee0367749eeddb9">
            <Part Type="papunktis" Nr="2.1.1.2.1" Abbr="2.1.1.2.1 pp." DocPartId="5ea677b9c9664b41a1d9ce8cf6d433a0" PartId="7a62152d47a54b28a6cd390252287e62">
              <Part Type="papunktis" Nr="2.1.1.2.1.1" Abbr="2.1.1.2.1.1 pp." DocPartId="981ce312948d400d872776ae4bc60a44" PartId="02ff808f59884bf596a1c92a5d463a53"/>
              <Part Type="papunktis" Nr="2.1.1.2.1.2" Abbr="2.1.1.2.1.2 pp." DocPartId="817ec5d6d02d42418e0b5659acad2675" PartId="f7a25b548a044f04836f8059d576bdd3"/>
              <Part Type="papunktis" Nr="2.1.1.2.1.3" Abbr="2.1.1.2.1.3 pp." DocPartId="d1673ee79c654f50bbd32baf36a24718" PartId="1808d3adf594489c86886706539de0b2"/>
              <Part Type="papunktis" Nr="2.1.1.2.1.4" Abbr="2.1.1.2.1.4 pp." DocPartId="b9e3461ae5754e44b6ec4f3cc5c2ce7b" PartId="f047a537481b442bbb29665411ad595e"/>
              <Part Type="papunktis" Nr="2.1.1.2.1.5" Abbr="2.1.1.2.1.5 pp." DocPartId="5f47ad7b793844ee8438e82cdb315d5b" PartId="18a6ba2ec447473a9396930740cd312b"/>
              <Part Type="papunktis" Nr="2.1.1.2.1.6" Abbr="2.1.1.2.1.6 pp." DocPartId="37dc5210c60c403c94c6f844ab0d1ee5" PartId="79b75accbf6e43439d65ec49b7a319bd"/>
              <Part Type="papunktis" Nr="2.1.1.2.1.7" Abbr="2.1.1.2.1.7 pp." DocPartId="cf5134bebf5546a19e1232a6b0642cb1" PartId="a275189e87b44d15acdb087593d888a9"/>
              <Part Type="papunktis" Nr="2.1.1.2.1.8" Abbr="2.1.1.2.1.8 pp." DocPartId="5d8abb575654423aa48c39ec937f76ce" PartId="f8284396baa94d7baf1c9cf84df31e51"/>
              <Part Type="papunktis" Nr="2.1.1.2.1.9" Abbr="2.1.1.2.1.9 pp." DocPartId="d241b1879ed84716880d7565cb023299" PartId="2cec5a7154f54dc8acccbfb2b875cd0f"/>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Type="papunktis" Nr="2.1.2.13.4" Abbr="2.1.2.13.4 pp." DocPartId="9d509438fd8f4ff98a3a8e06ae8f2d43" PartId="93a1c0ad6ca5474aaa63f73ed7d7e31a"/>
          </Part>
          <Part Type="papunktis" Nr="2.1.2.14" Abbr="2.1.2.14 pp." DocPartId="7cc2d389f6a447e7af8e959bdf62b586" PartId="f6d0091931cf48a5bc732252ead72b09"/>
          <Part Type="papunktis" Nr="2.1.2.14-1" Abbr="2.1.2.14-1 pp." DocPartId="5774ffe5ee904f40bb946ffc3ddb52cc" PartId="a92958724d51411b93d7281f608f183c"/>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74b714b99dc24ed3b532f0e693356917"/>
          <Part Type="papunktis" Nr="2.1.3-1.2" Abbr="2.1.3-1.2 pp." DocPartId="f121d171cfd54e37a03599d3449ea24d" PartId="d989a8f7152c45d2b883e72cfffbd650"/>
          <Part Type="papunktis" Nr="2.1.3-1.3" Abbr="2.1.3-1.3 pp." DocPartId="99318108e9074342beca4fd5a29696d2" PartId="9f04a86b6e3246b291a5056b568d31b4"/>
          <Part Type="papunktis" Nr="2.1.3-1.4" Abbr="2.1.3-1.4 pp." DocPartId="81e2c06cfa9c43d19e8da5947e9bfbe4" PartId="befa0bfd71f74e979b5c45753af644f3"/>
          <Part Type="papunktis" Nr="2.1.3-1.5" Abbr="2.1.3-1.5 pp." DocPartId="9a57f4e7a7de4c7cbc8f3e02ce6a3eeb" PartId="d0bc7cd26e444b98b6957edc7caa8899"/>
          <Part Type="papunktis" Nr="2.1.3-1.6" Abbr="2.1.3-1.6 pp." DocPartId="4907315b87464b00ace73543ce82fd99" PartId="39bc70dd745645089f9066b21e6369f6"/>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dfc685fb90e84bdfbc1072c3fa177468"/>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1c4324136385484db6d5a6083918b2a2"/>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919e965108b3464eb81a12c3043f4895"/>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b5c892c74f5e46adb1422317b63c6a6d"/>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abeacd8a842043c3853d33000c89a39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e3e19ea0f6b545cd82ba9058ccda5962"/>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Type="papunktis" Nr="2.2.6-1.4" Abbr="2.2.6-1.4 pp." DocPartId="fb829f0346294c4ba3199d467af13988" PartId="4451ec9abf83478e92456411b1048700"/>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fd47e64f3b5c4d50aad5c23939844d51"/>
          <Part Type="papunktis" Nr="2.2.9.2-1" Abbr="2.2.9.2-1 pp." DocPartId="fa2ec9dd8ed74ee69a876d344670664a" PartId="d23d12b0e1234180a63c59915d59b243"/>
          <Part Type="papunktis" Nr="2.2.9.2-2" Abbr="2.2.9.2-2 pp." DocPartId="63b3190add554ad4b19caa8e5440d9f5" PartId="78d906b8f3ba476e89412363b1c8b3c3"/>
          <Part Type="papunktis" Nr="2.2.9.3" Abbr="2.2.9.3 pp." DocPartId="67e918b206064a3b995a2c5c212d137b" PartId="a9871b11b7e84093b082e05505e63c0c"/>
          <Part Type="papunktis" Nr="2.2.9.4" Abbr="2.2.9.4 pp." DocPartId="e60ad632291442fe93773586043fcccf" PartId="49ed5e5100fa4a208285a0ac64aa627f"/>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a2e8f270d4645de82336c31033e2f1d"/>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2-1" Abbr="2-1 p." DocPartId="27ff5028d93c4a39bff3eda09ff5f63e" PartId="197e5c15aa334d4198be184cd5a6cf7d"/>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3ae7af95fcd4922a07be27628325888"/>
    <Part Type="punktas" Nr="6" Abbr="6 p." DocPartId="3fe1cf72014b43489b56130c3a954fbd" PartId="117a40fb43df4394bff8f4686e3e9f9e">
      <Part Type="papunktis" Nr="6.1" Abbr="6.1 pp." DocPartId="ffb170051d83440fb4323a2ce8c1749f" PartId="21f4cd2b836745129b62d3fe804ecfd1"/>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965a65da749a4ff2b6ea0aeda21a2251">
    <Part Type="pabaiga" DocPartId="8aa7d51d84b848debd65b12b26547c89" PartId="eeabe54f6d92436eb4751102dd485d22"/>
  </Part>
</Parts>
</file>

<file path=customXml/itemProps1.xml><?xml version="1.0" encoding="utf-8"?>
<ds:datastoreItem xmlns:ds="http://schemas.openxmlformats.org/officeDocument/2006/customXml" ds:itemID="{F762A39D-0E58-4DE3-A6CF-E3F1538EB5A4}">
  <ds:schemaRefs>
    <ds:schemaRef ds:uri="http://lrs.lt/TAIS/DocParts"/>
  </ds:schemaRefs>
</ds:datastoreItem>
</file>

<file path=docProps/app.xml><?xml version="1.0" encoding="utf-8"?>
<Properties xmlns="http://schemas.openxmlformats.org/officeDocument/2006/extended-properties">
  <Template>Normal.dotm</Template>
  <TotalTime>121</TotalTime>
  <Pages>18</Pages>
  <Words>7471</Words>
  <Characters>55544</Characters>
  <Application>Microsoft Office Word</Application>
  <DocSecurity>0</DocSecurity>
  <Lines>462</Lines>
  <Paragraphs>125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62890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2021-04-19T09:09:00Z</dcterms:modified>
  <revision>37</revision>
</coreProperties>
</file>