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2020-12-16 iki 2020-12-16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0d638d3646f043dc9f12e2cf478cad39"/>
                        <w:lock w:val="sdtLocked"/>
                        <w:richText/>
                      </w:sdtPr>
                      <w:sdtContent>
                        <w:p>
                          <w:pPr>
                            <w:tabs>
                              <w:tab w:val="left" w:pos="1134"/>
                            </w:tabs>
                            <w:ind w:firstLine="720"/>
                            <w:jc w:val="both"/>
                            <w:rPr>
                              <w:szCs w:val="24"/>
                              <w:lang w:eastAsia="lt-LT"/>
                            </w:rPr>
                          </w:pPr>
                          <w:sdt>
                            <w:sdtPr>
                              <w:alias w:val="Numeris"/>
                              <w:tag w:val="nr_0d638d3646f043dc9f12e2cf478cad39"/>
                              <w:lock w:val="sdtLocked"/>
                              <w:richText/>
                            </w:sdtPr>
                            <w:sdtContent>
                              <w:r>
                                <w:rPr>
                                  <w:color w:val="000000"/>
                                  <w:szCs w:val="24"/>
                                  <w:lang w:eastAsia="lt-LT"/>
                                </w:rPr>
                                <w:t>2.1.5.1</w:t>
                              </w:r>
                            </w:sdtContent>
                          </w:sdt>
                          <w:r>
                            <w:rPr>
                              <w:color w:val="000000"/>
                              <w:szCs w:val="24"/>
                              <w:lang w:eastAsia="lt-LT"/>
                            </w:rPr>
                            <w:t xml:space="preserve">. viešose vietose būti ne didesnėmis nei 2 asmenų grupėmis arba </w:t>
                          </w:r>
                          <w:r>
                            <w:rPr>
                              <w:szCs w:val="24"/>
                              <w:shd w:val="clear" w:color="auto" w:fill="FFFFFF"/>
                              <w:lang w:eastAsia="lt-LT"/>
                            </w:rPr>
                            <w:t xml:space="preserve">vienos šeimos ir (ar) vieno namų ūkio narių grupėse. </w:t>
                          </w:r>
                          <w:r>
                            <w:rPr>
                              <w:color w:val="000000"/>
                              <w:szCs w:val="24"/>
                              <w:lang w:eastAsia="lt-LT"/>
                            </w:rPr>
                            <w:t>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ae7b279f4dc4d35916613d405614d5f"/>
                    <w:lock w:val="sdtLocked"/>
                    <w:richText/>
                  </w:sdtPr>
                  <w:sdtContent>
                    <w:p>
                      <w:pPr>
                        <w:tabs>
                          <w:tab w:val="left" w:pos="1134"/>
                        </w:tabs>
                        <w:ind w:firstLine="720"/>
                        <w:jc w:val="both"/>
                      </w:pPr>
                      <w:sdt>
                        <w:sdtPr>
                          <w:alias w:val="Numeris"/>
                          <w:tag w:val="nr_dae7b279f4dc4d35916613d405614d5f"/>
                          <w:lock w:val="sdtLocked"/>
                          <w:richText/>
                        </w:sdt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14288c26330c49a38e5a445241f56e85"/>
                        <w:lock w:val="sdtLocked"/>
                        <w:richText/>
                      </w:sdtPr>
                      <w:sdtContent>
                        <w:p>
                          <w:pPr>
                            <w:tabs>
                              <w:tab w:val="left" w:pos="1134"/>
                            </w:tabs>
                            <w:ind w:firstLine="720"/>
                            <w:jc w:val="both"/>
                            <w:rPr>
                              <w:szCs w:val="24"/>
                              <w:shd w:val="clear" w:color="auto" w:fill="FFFFFF"/>
                              <w:lang w:eastAsia="lt-LT"/>
                            </w:rPr>
                          </w:pPr>
                          <w:sdt>
                            <w:sdtPr>
                              <w:alias w:val="Numeris"/>
                              <w:tag w:val="nr_14288c26330c49a38e5a445241f56e85"/>
                              <w:lock w:val="sdtLocked"/>
                              <w:richText/>
                            </w:sdtPr>
                            <w:sdtContent>
                              <w:r>
                                <w:rPr>
                                  <w:szCs w:val="24"/>
                                  <w:shd w:val="clear" w:color="auto" w:fill="FFFFFF"/>
                                  <w:lang w:eastAsia="lt-LT"/>
                                </w:rPr>
                                <w:t>2.1.8.1</w:t>
                              </w:r>
                            </w:sdtContent>
                          </w:sdt>
                          <w:r>
                            <w:rPr>
                              <w:szCs w:val="24"/>
                              <w:shd w:val="clear" w:color="auto" w:fill="FFFFFF"/>
                              <w:lang w:eastAsia="lt-LT"/>
                            </w:rPr>
                            <w:t xml:space="preserve">. daugiau nei vienos šeimos ir (ar) vieno namų ūkio artimi kontaktai, išskyrus neatidėliotinus atvejus, kai reikia suteikti pagalbą, prižiūrėti sergančius ar negalinčius savimi pasirūpinti asmenis; </w:t>
                          </w:r>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9d3c64d71974453b99982df68c8a66d"/>
                        <w:lock w:val="sdtLocked"/>
                        <w:richText/>
                      </w:sdtPr>
                      <w:sdtContent>
                        <w:p>
                          <w:pPr>
                            <w:ind w:firstLine="720"/>
                            <w:jc w:val="both"/>
                            <w:rPr>
                              <w:rFonts w:eastAsia="Calibri"/>
                              <w:szCs w:val="24"/>
                              <w:lang w:eastAsia="lt-LT"/>
                            </w:rPr>
                          </w:pPr>
                          <w:sdt>
                            <w:sdtPr>
                              <w:alias w:val="Numeris"/>
                              <w:tag w:val="nr_b9d3c64d71974453b99982df68c8a66d"/>
                              <w:lock w:val="sdtLocked"/>
                              <w:richText/>
                            </w:sdtPr>
                            <w:sdtContent>
                              <w:r>
                                <w:rPr>
                                  <w:szCs w:val="24"/>
                                  <w:shd w:val="clear" w:color="auto" w:fill="FFFFFF"/>
                                  <w:lang w:eastAsia="lt-LT"/>
                                </w:rPr>
                                <w:t>2.2.2</w:t>
                              </w:r>
                              <w:r>
                                <w:rPr>
                                  <w:rFonts w:eastAsia="Calibri"/>
                                  <w:szCs w:val="24"/>
                                  <w:lang w:eastAsia="lt-LT"/>
                                </w:rPr>
                                <w:t>.3</w:t>
                              </w:r>
                            </w:sdtContent>
                          </w:sdt>
                          <w:r>
                            <w:rPr>
                              <w:rFonts w:eastAsia="Calibri"/>
                              <w:szCs w:val="24"/>
                              <w:lang w:eastAsia="lt-LT"/>
                            </w:rPr>
                            <w:t>. internetinei prekybai ir kai prekės pristatomos fiziniams ir juridiniams asmenims ar atsiimamos atsiėmimo punktuose;</w:t>
                          </w:r>
                        </w:p>
                      </w:sdtContent>
                    </w:sdt>
                    <w:sdt>
                      <w:sdtPr>
                        <w:alias w:val="2.2.2.4 pp."/>
                        <w:tag w:val="part_323c8af6e8b5425a87d43e0914710da7"/>
                        <w:lock w:val="sdtLocked"/>
                        <w:richText/>
                      </w:sdtPr>
                      <w:sdtContent>
                        <w:p>
                          <w:pPr>
                            <w:ind w:firstLine="720"/>
                            <w:jc w:val="both"/>
                          </w:pPr>
                          <w:sdt>
                            <w:sdtPr>
                              <w:alias w:val="Numeris"/>
                              <w:tag w:val="nr_323c8af6e8b5425a87d43e0914710da7"/>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rPr>
                              <w:rFonts w:eastAsia="Calibri"/>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37c1732860894d72b7949e11a1c5cd28"/>
                        <w:lock w:val="sdtLocked"/>
                        <w:richText/>
                      </w:sdtPr>
                      <w:sdtContent>
                        <w:p>
                          <w:pPr>
                            <w:tabs>
                              <w:tab w:val="left" w:pos="1134"/>
                            </w:tabs>
                            <w:ind w:firstLine="720"/>
                            <w:jc w:val="both"/>
                            <w:rPr>
                              <w:szCs w:val="24"/>
                              <w:lang w:eastAsia="lt-LT"/>
                            </w:rPr>
                          </w:pPr>
                          <w:sdt>
                            <w:sdtPr>
                              <w:alias w:val="Numeris"/>
                              <w:tag w:val="nr_37c1732860894d72b7949e11a1c5cd28"/>
                              <w:lock w:val="sdtLocked"/>
                              <w:richText/>
                            </w:sdtPr>
                            <w:sdtContent>
                              <w:r>
                                <w:rPr>
                                  <w:szCs w:val="24"/>
                                  <w:lang w:eastAsia="lt-LT"/>
                                </w:rPr>
                                <w:t>2.2.9.4</w:t>
                              </w:r>
                            </w:sdtContent>
                          </w:sdt>
                          <w:r>
                            <w:rPr>
                              <w:szCs w:val="24"/>
                              <w:lang w:eastAsia="lt-LT"/>
                            </w:rPr>
                            <w:t xml:space="preserve">. neformalusis suaugusiųjų švietimas ir neformalusis profesinis mokymas vykdomi nuotoliniu būdu arba stabdomi, išskyrus aviacijos, jūrininkų bei transporto priemonių vairavimo praktinius mokymus, taip pat </w:t>
                          </w:r>
                          <w:r>
                            <w:rPr>
                              <w:color w:val="000000"/>
                              <w:szCs w:val="24"/>
                              <w:lang w:eastAsia="lt-LT"/>
                            </w:rPr>
                            <w:t xml:space="preserve">užsienio kalbos mokėjimo lygio vertinimo egzaminus (įskaitas) asmenims, stojantiems į užsienio aukštąsias mokyklas, kai dalyvauja ne daugiau kaip 5 asmenys ir </w:t>
                          </w:r>
                          <w:r>
                            <w:rPr>
                              <w:szCs w:val="24"/>
                              <w:lang w:eastAsia="lt-LT"/>
                            </w:rPr>
                            <w:t>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cdce427ed31446218417936c34fd6768"/>
                        <w:lock w:val="sdtLocked"/>
                        <w:richText/>
                      </w:sdtPr>
                      <w:sdtContent>
                        <w:p>
                          <w:pPr>
                            <w:tabs>
                              <w:tab w:val="left" w:pos="1134"/>
                            </w:tabs>
                            <w:ind w:firstLine="720"/>
                            <w:jc w:val="both"/>
                            <w:rPr>
                              <w:rFonts w:eastAsia="Calibri"/>
                              <w:szCs w:val="24"/>
                              <w:lang w:eastAsia="lt-LT"/>
                            </w:rPr>
                          </w:pPr>
                          <w:sdt>
                            <w:sdtPr>
                              <w:alias w:val="Numeris"/>
                              <w:tag w:val="nr_cdce427ed31446218417936c34fd6768"/>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c2fc1825d274c758be1ded494d83834"/>
                <w:lock w:val="sdtLocked"/>
                <w:richText/>
              </w:sdtPr>
              <w:sdtContent>
                <w:p>
                  <w:pPr>
                    <w:tabs>
                      <w:tab w:val="left" w:pos="1134"/>
                    </w:tabs>
                    <w:ind w:firstLine="720"/>
                    <w:jc w:val="both"/>
                    <w:rPr>
                      <w:color w:val="000000"/>
                      <w:szCs w:val="24"/>
                      <w:lang w:eastAsia="lt-LT"/>
                    </w:rPr>
                  </w:pPr>
                  <w:sdt>
                    <w:sdtPr>
                      <w:alias w:val="Numeris"/>
                      <w:tag w:val="nr_4c2fc1825d274c758be1ded494d83834"/>
                      <w:lock w:val="sdtLocked"/>
                      <w:richText/>
                    </w:sdtPr>
                    <w:sdtContent>
                      <w:r>
                        <w:rPr>
                          <w:color w:val="000000"/>
                          <w:szCs w:val="24"/>
                          <w:lang w:eastAsia="lt-LT"/>
                        </w:rPr>
                        <w:t>6.1</w:t>
                      </w:r>
                    </w:sdtContent>
                  </w:sdt>
                  <w:r>
                    <w:rPr>
                      <w:color w:val="000000"/>
                      <w:szCs w:val="24"/>
                      <w:lang w:eastAsia="lt-LT"/>
                    </w:rPr>
                    <w:t xml:space="preserve">. ūkinės veiklos vykdytojo ūkinės veiklos vidutinė vieno mėnesio apyvarta, skaičiuojant nuo 2020 m. kovo 1 d. iki  spalio 31 d., palyginti su 2019 m. atitinkamo laikotarpio vidutine vieno mėnesio apyvarta, remiantis Valstybinei mokesčių inspekcijai prie Lietuvos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pPr>
                    <w:tabs>
                      <w:tab w:val="left" w:pos="1134"/>
                    </w:tabs>
                    <w:ind w:firstLine="720"/>
                    <w:jc w:val="both"/>
                    <w:rPr>
                      <w:color w:val="000000"/>
                      <w:szCs w:val="24"/>
                      <w:lang w:eastAsia="lt-LT"/>
                    </w:rPr>
                  </w:pPr>
                  <w:r>
                    <w:rPr>
                      <w:color w:val="000000"/>
                      <w:szCs w:val="24"/>
                      <w:lang w:eastAsia="lt-LT"/>
                    </w:rPr>
                    <w:t>Tuo atveju, kai ūkinės veiklos vykdytojas, skaičiuojant nuo 2019 m. kovo 1 d. iki spalio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b9b403fdf8b44e18ba389060b761214d"/>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b9b403fdf8b44e18ba389060b761214d"/>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34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34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5.xml"/>
  <Relationship Id="rId11" Type="http://schemas.openxmlformats.org/officeDocument/2006/relationships/header" Target="header26.xml"/>
  <Relationship Id="rId12" Type="http://schemas.openxmlformats.org/officeDocument/2006/relationships/footer" Target="footer25.xml"/>
  <Relationship Id="rId13" Type="http://schemas.openxmlformats.org/officeDocument/2006/relationships/footer" Target="footer26.xml"/>
  <Relationship Id="rId14" Type="http://schemas.openxmlformats.org/officeDocument/2006/relationships/header" Target="header27.xml"/>
  <Relationship Id="rId15" Type="http://schemas.openxmlformats.org/officeDocument/2006/relationships/footer" Target="footer2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0d638d3646f043dc9f12e2cf478cad3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ae7b279f4dc4d35916613d405614d5f"/>
        <Part Type="papunktis" Nr="2.1.8" Abbr="2.1.8 pp." DocPartId="03ed9f9233b1464e9c619f99ef7da538" PartId="5ee9d364cd0044e0a99d99dcb8a99672">
          <Part Type="papunktis" Nr="2.1.8.1" Abbr="2.1.8.1 pp." DocPartId="161b3ccdd90d4554b6a6adf8e2e555d6" PartId="14288c26330c49a38e5a445241f56e85"/>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9d3c64d71974453b99982df68c8a66d"/>
          <Part Type="papunktis" Nr="2.2.2.4" Abbr="2.2.2.4 pp." DocPartId="cac039cc850743c6b2b8141d3e47f684" PartId="323c8af6e8b5425a87d43e0914710da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37c1732860894d72b7949e11a1c5cd28"/>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cdce427ed31446218417936c34fd6768"/>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589a0ab97d6b4a5a9d120a6e75b4331a">
      <Part Type="papunktis" Nr="6.1" Abbr="6.1 pp." DocPartId="0bceefcb8a2848eeab2386720930e79f" PartId="4c2fc1825d274c758be1ded494d83834"/>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b9b403fdf8b44e18ba389060b761214d">
    <Part Type="pabaiga" DocPartId="8aa7d51d84b848debd65b12b26547c89" PartId="eeabe54f6d92436eb4751102dd485d22"/>
  </Part>
</Parts>
</file>

<file path=customXml/itemProps1.xml><?xml version="1.0" encoding="utf-8"?>
<ds:datastoreItem xmlns:ds="http://schemas.openxmlformats.org/officeDocument/2006/customXml" ds:itemID="{5C57FE16-DC5C-4B55-8F32-3A8A63BB70FC}">
  <ds:schemaRefs>
    <ds:schemaRef ds:uri="http://lrs.lt/TAIS/DocParts"/>
  </ds:schemaRefs>
</ds:datastoreItem>
</file>

<file path=docProps/app.xml><?xml version="1.0" encoding="utf-8"?>
<Properties xmlns="http://schemas.openxmlformats.org/officeDocument/2006/extended-properties">
  <Template>Normal.dotm</Template>
  <TotalTime>32</TotalTime>
  <Pages>14</Pages>
  <Words>5191</Words>
  <Characters>39480</Characters>
  <Application>Microsoft Office Word</Application>
  <DocSecurity>0</DocSecurity>
  <Lines>329</Lines>
  <Paragraphs>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44582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2020-12-14T19:22:00Z</dcterms:modified>
  <revision>12</revision>
</coreProperties>
</file>