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2021-04-13 iki 2021-04-16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dfc685fb90e84bdfbc1072c3fa177468"/>
                        <w:lock w:val="sdtLocked"/>
                        <w:richText/>
                      </w:sdtPr>
                      <w:sdtContent>
                        <w:p>
                          <w:pPr>
                            <w:tabs>
                              <w:tab w:val="left" w:pos="1134"/>
                            </w:tabs>
                            <w:ind w:firstLine="709"/>
                            <w:jc w:val="both"/>
                          </w:pPr>
                          <w:sdt>
                            <w:sdtPr>
                              <w:alias w:val="Numeris"/>
                              <w:tag w:val="nr_dfc685fb90e84bdfbc1072c3fa177468"/>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w:t>
                          </w:r>
                          <w:r>
                            <w:rPr>
                              <w:color w:val="000000"/>
                              <w:szCs w:val="24"/>
                              <w:lang w:eastAsia="lt-LT"/>
                            </w:rPr>
                            <w:t xml:space="preserve"> bei į vakcinacijos nuo </w:t>
                            <w:br/>
                            <w:t>COVID-19 ligos (koronaviruso infekcijos) vietą ar iš jos</w:t>
                          </w:r>
                          <w:r>
                            <w:rPr>
                              <w:szCs w:val="24"/>
                              <w:lang w:eastAsia="lt-LT"/>
                            </w:rPr>
                            <w:t>,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c724a702d3c8436cbe436246152980ef"/>
                        <w:lock w:val="sdtLocked"/>
                        <w:richText/>
                      </w:sdtPr>
                      <w:sdtContent>
                        <w:p>
                          <w:pPr>
                            <w:ind w:firstLine="720"/>
                            <w:jc w:val="both"/>
                          </w:pPr>
                          <w:sdt>
                            <w:sdtPr>
                              <w:alias w:val="Numeris"/>
                              <w:tag w:val="nr_c724a702d3c8436cbe436246152980ef"/>
                              <w:lock w:val="sdtLocked"/>
                              <w:richText/>
                            </w:sdt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parduotuvės ar paviljono klientai, ir kioskams;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e3e19ea0f6b545cd82ba9058ccda5962"/>
                        <w:lock w:val="sdtLocked"/>
                        <w:richText/>
                      </w:sdtPr>
                      <w:sdtContent>
                        <w:p>
                          <w:pPr>
                            <w:ind w:firstLine="720"/>
                            <w:jc w:val="both"/>
                          </w:pPr>
                          <w:sdt>
                            <w:sdtPr>
                              <w:alias w:val="Numeris"/>
                              <w:tag w:val="nr_e3e19ea0f6b545cd82ba9058ccda5962"/>
                              <w:lock w:val="sdtLocked"/>
                              <w:richText/>
                            </w:sdtPr>
                            <w:sdtContent>
                              <w:r>
                                <w:rPr>
                                  <w:szCs w:val="24"/>
                                  <w:lang w:eastAsia="lt-LT"/>
                                </w:rPr>
                                <w:t>2.2.6.3</w:t>
                              </w:r>
                            </w:sdtContent>
                          </w:sdt>
                          <w:r>
                            <w:rPr>
                              <w:szCs w:val="24"/>
                              <w:lang w:eastAsia="lt-LT"/>
                            </w:rPr>
                            <w:t>. sporto, laisvalaikio ir pramogų paslaugas atvirose erdvėse, vienu metu teikiamas ne daugiau kaip 10 asmenų, išskyrus dviejų šeimų ir (ar) dviejų namų ūkių narius,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fd47e64f3b5c4d50aad5c23939844d51"/>
                        <w:lock w:val="sdtLocked"/>
                        <w:richText/>
                      </w:sdtPr>
                      <w:sdtContent>
                        <w:p>
                          <w:pPr>
                            <w:ind w:firstLine="720"/>
                            <w:jc w:val="both"/>
                          </w:pPr>
                          <w:sdt>
                            <w:sdtPr>
                              <w:alias w:val="Numeris"/>
                              <w:tag w:val="nr_fd47e64f3b5c4d50aad5c23939844d51"/>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w:t>
                          </w:r>
                          <w:r>
                            <w:rPr>
                              <w:color w:val="000000"/>
                              <w:szCs w:val="24"/>
                              <w:lang w:eastAsia="lt-LT"/>
                            </w:rPr>
                            <w:t xml:space="preserve">ugdymas mokyklose pagal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kai organizuojamos konsultacijos ne daugiau kaip 5 vidurinio ugdymo programos baigiamosios klasės mokiniams, </w:t>
                          </w:r>
                          <w:r>
                            <w:rPr>
                              <w:bCs/>
                              <w:color w:val="000000"/>
                              <w:szCs w:val="24"/>
                              <w:lang w:eastAsia="lt-LT"/>
                            </w:rPr>
                            <w:t>taip pat egzaminus mokiniams, kurie baigia vidurinio ugdymo programą pagal užsienio valstybių ir tarptautinių organizacijų švietimo programas, kai egzamine vienoje patalpoje dalyvauja ne daugiau kaip 5 mokiniai,</w:t>
                          </w:r>
                          <w:r>
                            <w:rPr>
                              <w:b/>
                              <w:color w:val="000000"/>
                              <w:szCs w:val="24"/>
                              <w:lang w:eastAsia="lt-LT"/>
                            </w:rPr>
                            <w:t xml:space="preserve"> </w:t>
                          </w:r>
                          <w:r>
                            <w:rPr>
                              <w:color w:val="000000"/>
                              <w:szCs w:val="24"/>
                              <w:lang w:eastAsia="lt-LT"/>
                            </w:rPr>
                            <w:t>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2-1 pp."/>
                        <w:tag w:val="part_d23d12b0e1234180a63c59915d59b243"/>
                        <w:lock w:val="sdtLocked"/>
                        <w:richText/>
                      </w:sdtPr>
                      <w:sdtContent>
                        <w:p>
                          <w:pPr>
                            <w:tabs>
                              <w:tab w:val="left" w:pos="1134"/>
                            </w:tabs>
                            <w:ind w:firstLine="720"/>
                            <w:jc w:val="both"/>
                          </w:pPr>
                          <w:sdt>
                            <w:sdtPr>
                              <w:alias w:val="Numeris"/>
                              <w:tag w:val="nr_d23d12b0e1234180a63c59915d59b243"/>
                              <w:lock w:val="sdtLocked"/>
                              <w:richText/>
                            </w:sdtPr>
                            <w:sdtContent>
                              <w:r>
                                <w:rPr>
                                  <w:iCs/>
                                  <w:szCs w:val="24"/>
                                  <w:shd w:val="clear" w:color="auto" w:fill="FFFFFF"/>
                                  <w:lang w:eastAsia="lt-LT"/>
                                </w:rPr>
                                <w:t>2.2.9.2</w:t>
                              </w:r>
                              <w:r>
                                <w:rPr>
                                  <w:iCs/>
                                  <w:szCs w:val="24"/>
                                  <w:shd w:val="clear" w:color="auto" w:fill="FFFFFF"/>
                                  <w:vertAlign w:val="superscript"/>
                                  <w:lang w:eastAsia="lt-LT"/>
                                </w:rPr>
                                <w:t>1</w:t>
                              </w:r>
                            </w:sdtContent>
                          </w:sdt>
                          <w:r>
                            <w:rPr>
                              <w:iCs/>
                              <w:szCs w:val="24"/>
                              <w:shd w:val="clear" w:color="auto" w:fill="FFFFFF"/>
                              <w:lang w:eastAsia="lt-LT"/>
                            </w:rPr>
                            <w:t xml:space="preserve">. </w:t>
                          </w:r>
                          <w:r>
                            <w:rPr>
                              <w:szCs w:val="24"/>
                              <w:shd w:val="clear" w:color="auto" w:fill="FFFFFF"/>
                              <w:lang w:eastAsia="lt-LT"/>
                            </w:rPr>
                            <w:t xml:space="preserve">šio nutarimo </w:t>
                          </w:r>
                          <w:r>
                            <w:rPr>
                              <w:szCs w:val="24"/>
                              <w:lang w:eastAsia="lt-LT"/>
                            </w:rPr>
                            <w:t>2</w:t>
                          </w:r>
                          <w:r>
                            <w:rPr>
                              <w:szCs w:val="24"/>
                              <w:vertAlign w:val="superscript"/>
                              <w:lang w:eastAsia="lt-LT"/>
                            </w:rPr>
                            <w:t>1</w:t>
                          </w:r>
                          <w:r>
                            <w:rPr>
                              <w:szCs w:val="24"/>
                              <w:lang w:eastAsia="lt-LT"/>
                            </w:rPr>
                            <w:t xml:space="preserve"> punkte nenurodytų</w:t>
                          </w:r>
                          <w:r>
                            <w:rPr>
                              <w:iCs/>
                              <w:szCs w:val="24"/>
                              <w:shd w:val="clear" w:color="auto" w:fill="FFFFFF"/>
                              <w:lang w:eastAsia="lt-LT"/>
                            </w:rPr>
                            <w:t xml:space="preserve"> </w:t>
                          </w:r>
                          <w:r>
                            <w:rPr>
                              <w:iCs/>
                              <w:szCs w:val="24"/>
                              <w:lang w:eastAsia="lt-LT"/>
                            </w:rPr>
                            <w:t>savivaldybių teritorijose esančiose ugdymo įstaigose ugdymas pagal pradinio ugdymo programą vykdomas nuotoliniu būdu arba šių</w:t>
                          </w:r>
                          <w:r>
                            <w:rPr>
                              <w:szCs w:val="24"/>
                              <w:lang w:eastAsia="lt-LT"/>
                            </w:rPr>
                            <w:t xml:space="preserve"> </w:t>
                          </w:r>
                          <w:r>
                            <w:rPr>
                              <w:iCs/>
                              <w:szCs w:val="24"/>
                              <w:shd w:val="clear" w:color="auto" w:fill="FFFFFF"/>
                              <w:lang w:eastAsia="lt-LT"/>
                            </w:rPr>
                            <w:t>savivaldybių administracijų pasirinktose ugdymo įstaigose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197e5c15aa334d4198be184cd5a6cf7d"/>
            <w:lock w:val="sdtLocked"/>
            <w:richText/>
          </w:sdtPr>
          <w:sdtContent>
            <w:p>
              <w:pPr>
                <w:tabs>
                  <w:tab w:val="left" w:pos="1134"/>
                </w:tabs>
                <w:ind w:firstLine="720"/>
                <w:jc w:val="both"/>
              </w:pPr>
              <w:sdt>
                <w:sdtPr>
                  <w:alias w:val="Numeris"/>
                  <w:tag w:val="nr_197e5c15aa334d4198be184cd5a6cf7d"/>
                  <w:lock w:val="sdtLocked"/>
                  <w:richText/>
                </w:sdtPr>
                <w:sdtContent>
                  <w:r>
                    <w:rPr>
                      <w:szCs w:val="24"/>
                      <w:lang w:eastAsia="lt-LT"/>
                    </w:rPr>
                    <w:t>2</w:t>
                  </w:r>
                  <w:r>
                    <w:rPr>
                      <w:szCs w:val="24"/>
                      <w:vertAlign w:val="superscript"/>
                      <w:lang w:eastAsia="lt-LT"/>
                    </w:rPr>
                    <w:t>1</w:t>
                  </w:r>
                </w:sdtContent>
              </w:sdt>
              <w:r>
                <w:rPr>
                  <w:szCs w:val="24"/>
                  <w:lang w:eastAsia="lt-LT"/>
                </w:rPr>
                <w:t>. Akmenės rajono, Alytaus miesto, Alytaus rajono, Anykščių rajono, Birštono, Biržų rajono, Druskininkų, Elektrėnų, Ignalinos rajono, Jonavos rajono, Joniškio rajono, Jurbarko rajono, Kaišiadorių rajono, Kalvarijos, Kauno miesto, Kauno rajono, Kazlų Rūdos, Kelmės rajono, Kėdainių rajono, Klaipėdos miesto, Klaipėdos rajono, Kretingos rajono, Kupiškio rajono, Lazdijų rajono, Mažeikių rajono, Molėtų rajono, Neringos, Pagėgių, Pakruojo rajono, Palangos miesto, Pasvalio rajono, Plungės rajono, Prienų rajono, Radviliškio rajono, Raseinių rajono, Rietavo, Rokiškio rajono, Skuodo rajono, Šakių rajono, Šiaulių miesto, Šiaulių rajono, Šilalės rajono, Šilutės rajono, Tauragės rajono, Telšių rajono, Ukmergės rajono, Utenos rajono, Vilkaviškio rajono, Zarasų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3189cd4a93ed4adb9caccd7e81eaf605"/>
            <w:lock w:val="sdtLocked"/>
            <w:richText/>
          </w:sdtPr>
          <w:sdtContent>
            <w:p>
              <w:pPr>
                <w:tabs>
                  <w:tab w:val="left" w:pos="1134"/>
                </w:tabs>
                <w:ind w:firstLine="720"/>
                <w:jc w:val="both"/>
                <w:rPr>
                  <w:szCs w:val="24"/>
                  <w:lang w:eastAsia="lt-LT"/>
                </w:rPr>
              </w:pPr>
              <w:sdt>
                <w:sdtPr>
                  <w:alias w:val="Numeris"/>
                  <w:tag w:val="nr_3189cd4a93ed4adb9caccd7e81eaf605"/>
                  <w:lock w:val="sdtLocked"/>
                  <w:richText/>
                </w:sdtPr>
                <w:sdtContent>
                  <w:r>
                    <w:rPr>
                      <w:szCs w:val="24"/>
                      <w:lang w:eastAsia="lt-LT"/>
                    </w:rPr>
                    <w:t>5</w:t>
                  </w:r>
                </w:sdtContent>
              </w:sdt>
              <w:r>
                <w:rPr>
                  <w:szCs w:val="24"/>
                  <w:lang w:eastAsia="lt-LT"/>
                </w:rPr>
                <w:t>. Karantino režimo trukmė – nuo 2020 m. lapkričio 7 d. 00:00 val. iki 2021 m. balandžio 30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7ed8c3a2a4d848938ae1caafaf4d0ce4"/>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7ed8c3a2a4d848938ae1caafaf4d0ce4"/>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4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9.xml"/>
  <Relationship Id="rId11" Type="http://schemas.openxmlformats.org/officeDocument/2006/relationships/header" Target="header80.xml"/>
  <Relationship Id="rId12" Type="http://schemas.openxmlformats.org/officeDocument/2006/relationships/footer" Target="footer79.xml"/>
  <Relationship Id="rId13" Type="http://schemas.openxmlformats.org/officeDocument/2006/relationships/footer" Target="footer80.xml"/>
  <Relationship Id="rId14" Type="http://schemas.openxmlformats.org/officeDocument/2006/relationships/header" Target="header81.xml"/>
  <Relationship Id="rId15" Type="http://schemas.openxmlformats.org/officeDocument/2006/relationships/footer" Target="footer8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dfc685fb90e84bdfbc1072c3fa177468"/>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c724a702d3c8436cbe436246152980ef"/>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e3e19ea0f6b545cd82ba9058ccda5962"/>
          <Part Type="papunktis" Nr="2.2.6.4" Abbr="2.2.6.4 pp." DocPartId="a94f5eec04b24d1598c405e176f4d11a" PartId="73f33e3883fe47e19c66697ad1d18d7d"/>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fd47e64f3b5c4d50aad5c23939844d51"/>
          <Part Type="papunktis" Nr="2.2.9.2-1" Abbr="2.2.9.2-1 pp." DocPartId="fa2ec9dd8ed74ee69a876d344670664a" PartId="d23d12b0e1234180a63c59915d59b243"/>
          <Part Type="papunktis" Nr="2.2.9.2-2" Abbr="2.2.9.2-2 pp." DocPartId="63b3190add554ad4b19caa8e5440d9f5" PartId="78d906b8f3ba476e89412363b1c8b3c3"/>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197e5c15aa334d4198be184cd5a6cf7d"/>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3189cd4a93ed4adb9caccd7e81eaf605"/>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7ed8c3a2a4d848938ae1caafaf4d0ce4">
    <Part Type="pabaiga" DocPartId="8aa7d51d84b848debd65b12b26547c89" PartId="eeabe54f6d92436eb4751102dd485d22"/>
  </Part>
</Parts>
</file>

<file path=customXml/itemProps1.xml><?xml version="1.0" encoding="utf-8"?>
<ds:datastoreItem xmlns:ds="http://schemas.openxmlformats.org/officeDocument/2006/customXml" ds:itemID="{9D8B9924-4B57-499F-A8F5-F4E911512D84}">
  <ds:schemaRefs>
    <ds:schemaRef ds:uri="http://lrs.lt/TAIS/DocParts"/>
  </ds:schemaRefs>
</ds:datastoreItem>
</file>

<file path=docProps/app.xml><?xml version="1.0" encoding="utf-8"?>
<Properties xmlns="http://schemas.openxmlformats.org/officeDocument/2006/extended-properties">
  <Template>Normal.dotm</Template>
  <TotalTime>101</TotalTime>
  <Pages>15</Pages>
  <Words>5826</Words>
  <Characters>43989</Characters>
  <Application>Microsoft Office Word</Application>
  <DocSecurity>0</DocSecurity>
  <Lines>366</Lines>
  <Paragraphs>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49716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2021-04-12T12:43:00Z</dcterms:modified>
  <revision>36</revision>
</coreProperties>
</file>