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2021-04-12 iki 2021-04-12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67b37dbd7be94573b1a94ef15c28b780"/>
                        <w:lock w:val="sdtLocked"/>
                        <w:richText/>
                      </w:sdtPr>
                      <w:sdtContent>
                        <w:p>
                          <w:pPr>
                            <w:tabs>
                              <w:tab w:val="left" w:pos="1276"/>
                              <w:tab w:val="left" w:pos="1560"/>
                            </w:tabs>
                            <w:ind w:firstLine="720"/>
                            <w:jc w:val="both"/>
                            <w:rPr>
                              <w:szCs w:val="24"/>
                              <w:lang w:eastAsia="lt-LT"/>
                            </w:rPr>
                          </w:pPr>
                          <w:sdt>
                            <w:sdtPr>
                              <w:alias w:val="Numeris"/>
                              <w:tag w:val="nr_67b37dbd7be94573b1a94ef15c28b780"/>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2ed6e9773699485e85991233e859bc82"/>
                            <w:lock w:val="sdtLocked"/>
                            <w:richText/>
                          </w:sdtPr>
                          <w:sdtContent>
                            <w:p>
                              <w:pPr>
                                <w:tabs>
                                  <w:tab w:val="left" w:pos="1560"/>
                                </w:tabs>
                                <w:ind w:firstLine="720"/>
                                <w:jc w:val="both"/>
                                <w:rPr>
                                  <w:szCs w:val="24"/>
                                  <w:lang w:eastAsia="lt-LT"/>
                                </w:rPr>
                              </w:pPr>
                              <w:sdt>
                                <w:sdtPr>
                                  <w:alias w:val="Numeris"/>
                                  <w:tag w:val="nr_2ed6e9773699485e85991233e859bc82"/>
                                  <w:lock w:val="sdtLocked"/>
                                  <w:richText/>
                                </w:sdtPr>
                                <w:sdtContent>
                                  <w:r>
                                    <w:rPr>
                                      <w:szCs w:val="24"/>
                                      <w:lang w:eastAsia="lt-LT"/>
                                    </w:rPr>
                                    <w:t>2.1.1.1.1</w:t>
                                  </w:r>
                                </w:sdtContent>
                              </w:sdt>
                              <w:r>
                                <w:rPr>
                                  <w:szCs w:val="24"/>
                                  <w:lang w:eastAsia="lt-LT"/>
                                </w:rPr>
                                <w:t>. Ramoniškiai–Pograničnyj;</w:t>
                              </w:r>
                            </w:p>
                          </w:sdtContent>
                        </w:sdt>
                        <w:sdt>
                          <w:sdtPr>
                            <w:alias w:val="2.1.1.1.2 pp."/>
                            <w:tag w:val="part_ddbaf681e5b941ac80a4957524ab4248"/>
                            <w:lock w:val="sdtLocked"/>
                            <w:richText/>
                          </w:sdtPr>
                          <w:sdtContent>
                            <w:p>
                              <w:pPr>
                                <w:tabs>
                                  <w:tab w:val="left" w:pos="1560"/>
                                </w:tabs>
                                <w:ind w:firstLine="720"/>
                                <w:jc w:val="both"/>
                                <w:rPr>
                                  <w:szCs w:val="24"/>
                                  <w:lang w:eastAsia="lt-LT"/>
                                </w:rPr>
                              </w:pPr>
                              <w:sdt>
                                <w:sdtPr>
                                  <w:alias w:val="Numeris"/>
                                  <w:tag w:val="nr_ddbaf681e5b941ac80a4957524ab4248"/>
                                  <w:lock w:val="sdtLocked"/>
                                  <w:richText/>
                                </w:sdtPr>
                                <w:sdtContent>
                                  <w:r>
                                    <w:rPr>
                                      <w:szCs w:val="24"/>
                                      <w:lang w:eastAsia="lt-LT"/>
                                    </w:rPr>
                                    <w:t>2.1.1.1.2</w:t>
                                  </w:r>
                                </w:sdtContent>
                              </w:sdt>
                              <w:r>
                                <w:rPr>
                                  <w:szCs w:val="24"/>
                                  <w:lang w:eastAsia="lt-LT"/>
                                </w:rPr>
                                <w:t>. Nida–Morskoje;</w:t>
                              </w:r>
                            </w:p>
                          </w:sdtContent>
                        </w:sdt>
                        <w:sdt>
                          <w:sdtPr>
                            <w:alias w:val="2.1.1.1.3 pp."/>
                            <w:tag w:val="part_f86c9007b10b49869f1c98497414ad8c"/>
                            <w:lock w:val="sdtLocked"/>
                            <w:richText/>
                          </w:sdtPr>
                          <w:sdtContent>
                            <w:p>
                              <w:pPr>
                                <w:tabs>
                                  <w:tab w:val="left" w:pos="1560"/>
                                </w:tabs>
                                <w:ind w:firstLine="720"/>
                                <w:jc w:val="both"/>
                                <w:rPr>
                                  <w:szCs w:val="24"/>
                                  <w:lang w:eastAsia="lt-LT"/>
                                </w:rPr>
                              </w:pPr>
                              <w:sdt>
                                <w:sdtPr>
                                  <w:alias w:val="Numeris"/>
                                  <w:tag w:val="nr_f86c9007b10b49869f1c98497414ad8c"/>
                                  <w:lock w:val="sdtLocked"/>
                                  <w:richText/>
                                </w:sdtPr>
                                <w:sdtContent>
                                  <w:r>
                                    <w:rPr>
                                      <w:szCs w:val="24"/>
                                      <w:lang w:eastAsia="lt-LT"/>
                                    </w:rPr>
                                    <w:t>2.1.1.1.3</w:t>
                                  </w:r>
                                </w:sdtContent>
                              </w:sdt>
                              <w:r>
                                <w:rPr>
                                  <w:szCs w:val="24"/>
                                  <w:lang w:eastAsia="lt-LT"/>
                                </w:rPr>
                                <w:t>. Adutiškis–Moldevičiai;</w:t>
                              </w:r>
                            </w:p>
                          </w:sdtContent>
                        </w:sdt>
                        <w:sdt>
                          <w:sdtPr>
                            <w:alias w:val="2.1.1.1.4 pp."/>
                            <w:tag w:val="part_8a528507540f49309423f25f1872d0b8"/>
                            <w:lock w:val="sdtLocked"/>
                            <w:richText/>
                          </w:sdtPr>
                          <w:sdtContent>
                            <w:p>
                              <w:pPr>
                                <w:tabs>
                                  <w:tab w:val="left" w:pos="1560"/>
                                </w:tabs>
                                <w:ind w:firstLine="720"/>
                                <w:jc w:val="both"/>
                                <w:rPr>
                                  <w:szCs w:val="24"/>
                                  <w:lang w:eastAsia="lt-LT"/>
                                </w:rPr>
                              </w:pPr>
                              <w:sdt>
                                <w:sdtPr>
                                  <w:alias w:val="Numeris"/>
                                  <w:tag w:val="nr_8a528507540f49309423f25f1872d0b8"/>
                                  <w:lock w:val="sdtLocked"/>
                                  <w:richText/>
                                </w:sdtPr>
                                <w:sdtContent>
                                  <w:r>
                                    <w:rPr>
                                      <w:szCs w:val="24"/>
                                      <w:lang w:eastAsia="lt-LT"/>
                                    </w:rPr>
                                    <w:t>2.1.1.1.4</w:t>
                                  </w:r>
                                </w:sdtContent>
                              </w:sdt>
                              <w:r>
                                <w:rPr>
                                  <w:szCs w:val="24"/>
                                  <w:lang w:eastAsia="lt-LT"/>
                                </w:rPr>
                                <w:t>. Krakūnai–Geranainys;</w:t>
                              </w:r>
                            </w:p>
                          </w:sdtContent>
                        </w:sdt>
                        <w:sdt>
                          <w:sdtPr>
                            <w:alias w:val="2.1.1.1.5 pp."/>
                            <w:tag w:val="part_c8e8e94e2524401994a8e598597bdae3"/>
                            <w:lock w:val="sdtLocked"/>
                            <w:richText/>
                          </w:sdtPr>
                          <w:sdtContent>
                            <w:p>
                              <w:pPr>
                                <w:tabs>
                                  <w:tab w:val="left" w:pos="1560"/>
                                </w:tabs>
                                <w:ind w:firstLine="720"/>
                                <w:jc w:val="both"/>
                                <w:rPr>
                                  <w:szCs w:val="24"/>
                                  <w:lang w:eastAsia="lt-LT"/>
                                </w:rPr>
                              </w:pPr>
                              <w:sdt>
                                <w:sdtPr>
                                  <w:alias w:val="Numeris"/>
                                  <w:tag w:val="nr_c8e8e94e2524401994a8e598597bdae3"/>
                                  <w:lock w:val="sdtLocked"/>
                                  <w:richText/>
                                </w:sdtPr>
                                <w:sdtContent>
                                  <w:r>
                                    <w:rPr>
                                      <w:szCs w:val="24"/>
                                      <w:lang w:eastAsia="lt-LT"/>
                                    </w:rPr>
                                    <w:t>2.1.1.1.5</w:t>
                                  </w:r>
                                </w:sdtContent>
                              </w:sdt>
                              <w:r>
                                <w:rPr>
                                  <w:szCs w:val="24"/>
                                  <w:lang w:eastAsia="lt-LT"/>
                                </w:rPr>
                                <w:t>. Eišiškės–Dotiškės;</w:t>
                              </w:r>
                            </w:p>
                          </w:sdtContent>
                        </w:sdt>
                        <w:sdt>
                          <w:sdtPr>
                            <w:alias w:val="2.1.1.1.6 pp."/>
                            <w:tag w:val="part_f906968f389d4958b5c57403a7a8f209"/>
                            <w:lock w:val="sdtLocked"/>
                            <w:richText/>
                          </w:sdtPr>
                          <w:sdtContent>
                            <w:p>
                              <w:pPr>
                                <w:tabs>
                                  <w:tab w:val="left" w:pos="1560"/>
                                </w:tabs>
                                <w:ind w:firstLine="720"/>
                                <w:jc w:val="both"/>
                                <w:rPr>
                                  <w:szCs w:val="24"/>
                                  <w:lang w:eastAsia="lt-LT"/>
                                </w:rPr>
                              </w:pPr>
                              <w:sdt>
                                <w:sdtPr>
                                  <w:alias w:val="Numeris"/>
                                  <w:tag w:val="nr_f906968f389d4958b5c57403a7a8f209"/>
                                  <w:lock w:val="sdtLocked"/>
                                  <w:richText/>
                                </w:sdtPr>
                                <w:sdtContent>
                                  <w:r>
                                    <w:rPr>
                                      <w:szCs w:val="24"/>
                                      <w:lang w:eastAsia="lt-LT"/>
                                    </w:rPr>
                                    <w:t>2.1.1.1.6</w:t>
                                  </w:r>
                                </w:sdtContent>
                              </w:sdt>
                              <w:r>
                                <w:rPr>
                                  <w:szCs w:val="24"/>
                                  <w:lang w:eastAsia="lt-LT"/>
                                </w:rPr>
                                <w:t>. Rakai–Petiulevcai;</w:t>
                              </w:r>
                            </w:p>
                          </w:sdtContent>
                        </w:sdt>
                        <w:sdt>
                          <w:sdtPr>
                            <w:alias w:val="2.1.1.1.7 pp."/>
                            <w:tag w:val="part_d97450ebe8964777b4d2400c5972a7c4"/>
                            <w:lock w:val="sdtLocked"/>
                            <w:richText/>
                          </w:sdtPr>
                          <w:sdtContent>
                            <w:p>
                              <w:pPr>
                                <w:tabs>
                                  <w:tab w:val="left" w:pos="1560"/>
                                </w:tabs>
                                <w:ind w:firstLine="720"/>
                                <w:jc w:val="both"/>
                                <w:rPr>
                                  <w:szCs w:val="24"/>
                                  <w:lang w:eastAsia="lt-LT"/>
                                </w:rPr>
                              </w:pPr>
                              <w:sdt>
                                <w:sdtPr>
                                  <w:alias w:val="Numeris"/>
                                  <w:tag w:val="nr_d97450ebe8964777b4d2400c5972a7c4"/>
                                  <w:lock w:val="sdtLocked"/>
                                  <w:richText/>
                                </w:sdtPr>
                                <w:sdtContent>
                                  <w:r>
                                    <w:rPr>
                                      <w:szCs w:val="24"/>
                                      <w:lang w:eastAsia="lt-LT"/>
                                    </w:rPr>
                                    <w:t>2.1.1.1.7</w:t>
                                  </w:r>
                                </w:sdtContent>
                              </w:sdt>
                              <w:r>
                                <w:rPr>
                                  <w:szCs w:val="24"/>
                                  <w:lang w:eastAsia="lt-LT"/>
                                </w:rPr>
                                <w:t>. Norviliškės–Pickūnai;</w:t>
                              </w:r>
                            </w:p>
                          </w:sdtContent>
                        </w:sdt>
                        <w:sdt>
                          <w:sdtPr>
                            <w:alias w:val="2.1.1.1.8 pp."/>
                            <w:tag w:val="part_cbb415b617a344a2971169dd86b8b28d"/>
                            <w:lock w:val="sdtLocked"/>
                            <w:richText/>
                          </w:sdtPr>
                          <w:sdtContent>
                            <w:p>
                              <w:pPr>
                                <w:tabs>
                                  <w:tab w:val="left" w:pos="1560"/>
                                </w:tabs>
                                <w:ind w:firstLine="720"/>
                                <w:jc w:val="both"/>
                                <w:rPr>
                                  <w:szCs w:val="24"/>
                                  <w:lang w:eastAsia="lt-LT"/>
                                </w:rPr>
                              </w:pPr>
                              <w:sdt>
                                <w:sdtPr>
                                  <w:alias w:val="Numeris"/>
                                  <w:tag w:val="nr_cbb415b617a344a2971169dd86b8b28d"/>
                                  <w:lock w:val="sdtLocked"/>
                                  <w:richText/>
                                </w:sdtPr>
                                <w:sdtContent>
                                  <w:r>
                                    <w:rPr>
                                      <w:szCs w:val="24"/>
                                      <w:lang w:eastAsia="lt-LT"/>
                                    </w:rPr>
                                    <w:t>2.1.1.1.8</w:t>
                                  </w:r>
                                </w:sdtContent>
                              </w:sdt>
                              <w:r>
                                <w:rPr>
                                  <w:szCs w:val="24"/>
                                  <w:lang w:eastAsia="lt-LT"/>
                                </w:rPr>
                                <w:t>. Latežeris–Pariečė;</w:t>
                              </w:r>
                            </w:p>
                          </w:sdtContent>
                        </w:sdt>
                        <w:sdt>
                          <w:sdtPr>
                            <w:alias w:val="2.1.1.1.9 pp."/>
                            <w:tag w:val="part_b7746d74eec744f7baf018cf38d61b06"/>
                            <w:lock w:val="sdtLocked"/>
                            <w:richText/>
                          </w:sdtPr>
                          <w:sdtContent>
                            <w:p>
                              <w:pPr>
                                <w:tabs>
                                  <w:tab w:val="left" w:pos="1560"/>
                                </w:tabs>
                                <w:ind w:firstLine="720"/>
                                <w:jc w:val="both"/>
                                <w:rPr>
                                  <w:szCs w:val="24"/>
                                  <w:lang w:eastAsia="lt-LT"/>
                                </w:rPr>
                              </w:pPr>
                              <w:sdt>
                                <w:sdtPr>
                                  <w:alias w:val="Numeris"/>
                                  <w:tag w:val="nr_b7746d74eec744f7baf018cf38d61b06"/>
                                  <w:lock w:val="sdtLocked"/>
                                  <w:richText/>
                                </w:sdtPr>
                                <w:sdtContent>
                                  <w:r>
                                    <w:rPr>
                                      <w:szCs w:val="24"/>
                                      <w:lang w:eastAsia="lt-LT"/>
                                    </w:rPr>
                                    <w:t>2.1.1.1.9</w:t>
                                  </w:r>
                                </w:sdtContent>
                              </w:sdt>
                              <w:r>
                                <w:rPr>
                                  <w:szCs w:val="24"/>
                                  <w:lang w:eastAsia="lt-LT"/>
                                </w:rPr>
                                <w:t>. Švendubrė–Privalka;</w:t>
                              </w:r>
                            </w:p>
                          </w:sdtContent>
                        </w:sdt>
                        <w:sdt>
                          <w:sdtPr>
                            <w:alias w:val="2.1.1.1.10 pp."/>
                            <w:tag w:val="part_434c5e5e0a154117ba7e94aef6c8595c"/>
                            <w:lock w:val="sdtLocked"/>
                            <w:richText/>
                          </w:sdtPr>
                          <w:sdtContent>
                            <w:p>
                              <w:pPr>
                                <w:tabs>
                                  <w:tab w:val="left" w:pos="1560"/>
                                </w:tabs>
                                <w:ind w:firstLine="720"/>
                                <w:jc w:val="both"/>
                                <w:rPr>
                                  <w:szCs w:val="24"/>
                                  <w:lang w:eastAsia="lt-LT"/>
                                </w:rPr>
                              </w:pPr>
                              <w:sdt>
                                <w:sdtPr>
                                  <w:alias w:val="Numeris"/>
                                  <w:tag w:val="nr_434c5e5e0a154117ba7e94aef6c8595c"/>
                                  <w:lock w:val="sdtLocked"/>
                                  <w:richText/>
                                </w:sdtPr>
                                <w:sdtContent>
                                  <w:r>
                                    <w:rPr>
                                      <w:szCs w:val="24"/>
                                      <w:lang w:eastAsia="lt-LT"/>
                                    </w:rPr>
                                    <w:t>2.1.1.1.10</w:t>
                                  </w:r>
                                </w:sdtContent>
                              </w:sdt>
                              <w:r>
                                <w:rPr>
                                  <w:szCs w:val="24"/>
                                  <w:lang w:eastAsia="lt-LT"/>
                                </w:rPr>
                                <w:t>. Nida–Rybačij;</w:t>
                              </w:r>
                            </w:p>
                          </w:sdtContent>
                        </w:sdt>
                        <w:sdt>
                          <w:sdtPr>
                            <w:alias w:val="2.1.1.1.11 pp."/>
                            <w:tag w:val="part_dff917465f864216aafa570c9e418b63"/>
                            <w:lock w:val="sdtLocked"/>
                            <w:richText/>
                          </w:sdtPr>
                          <w:sdtContent>
                            <w:p>
                              <w:pPr>
                                <w:tabs>
                                  <w:tab w:val="left" w:pos="1560"/>
                                </w:tabs>
                                <w:ind w:firstLine="720"/>
                                <w:jc w:val="both"/>
                                <w:rPr>
                                  <w:szCs w:val="24"/>
                                  <w:lang w:eastAsia="lt-LT"/>
                                </w:rPr>
                              </w:pPr>
                              <w:sdt>
                                <w:sdtPr>
                                  <w:alias w:val="Numeris"/>
                                  <w:tag w:val="nr_dff917465f864216aafa570c9e418b63"/>
                                  <w:lock w:val="sdtLocked"/>
                                  <w:richText/>
                                </w:sdtPr>
                                <w:sdtContent>
                                  <w:r>
                                    <w:rPr>
                                      <w:szCs w:val="24"/>
                                      <w:lang w:eastAsia="lt-LT"/>
                                    </w:rPr>
                                    <w:t>2.1.1.1.11</w:t>
                                  </w:r>
                                </w:sdtContent>
                              </w:sdt>
                              <w:r>
                                <w:rPr>
                                  <w:szCs w:val="24"/>
                                  <w:lang w:eastAsia="lt-LT"/>
                                </w:rPr>
                                <w:t>. Jurbarkas–Sovetskas;</w:t>
                              </w:r>
                            </w:p>
                          </w:sdtContent>
                        </w:sdt>
                        <w:sdt>
                          <w:sdtPr>
                            <w:alias w:val="2.1.1.1.12 pp."/>
                            <w:tag w:val="part_6eea73bafbc4454780856341112ea77e"/>
                            <w:lock w:val="sdtLocked"/>
                            <w:richText/>
                          </w:sdtPr>
                          <w:sdtContent>
                            <w:p>
                              <w:pPr>
                                <w:tabs>
                                  <w:tab w:val="left" w:pos="1560"/>
                                </w:tabs>
                                <w:ind w:firstLine="720"/>
                                <w:jc w:val="both"/>
                                <w:rPr>
                                  <w:szCs w:val="24"/>
                                  <w:lang w:eastAsia="lt-LT"/>
                                </w:rPr>
                              </w:pPr>
                              <w:sdt>
                                <w:sdtPr>
                                  <w:alias w:val="Numeris"/>
                                  <w:tag w:val="nr_6eea73bafbc4454780856341112ea77e"/>
                                  <w:lock w:val="sdtLocked"/>
                                  <w:richText/>
                                </w:sdtPr>
                                <w:sdtContent>
                                  <w:r>
                                    <w:rPr>
                                      <w:szCs w:val="24"/>
                                      <w:lang w:eastAsia="lt-LT"/>
                                    </w:rPr>
                                    <w:t>2.1.1.1.12</w:t>
                                  </w:r>
                                </w:sdtContent>
                              </w:sdt>
                              <w:r>
                                <w:rPr>
                                  <w:szCs w:val="24"/>
                                  <w:lang w:eastAsia="lt-LT"/>
                                </w:rPr>
                                <w:t>. Rusnė–Sovetskas.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7a62152d47a54b28a6cd390252287e62"/>
                            <w:lock w:val="sdtLocked"/>
                            <w:richText/>
                          </w:sdtPr>
                          <w:sdtContent>
                            <w:p>
                              <w:pPr>
                                <w:ind w:firstLine="720"/>
                                <w:jc w:val="both"/>
                                <w:rPr>
                                  <w:szCs w:val="24"/>
                                  <w:lang w:eastAsia="lt-LT"/>
                                </w:rPr>
                              </w:pPr>
                              <w:sdt>
                                <w:sdtPr>
                                  <w:alias w:val="Numeris"/>
                                  <w:tag w:val="nr_7a62152d47a54b28a6cd390252287e62"/>
                                  <w:lock w:val="sdtLocked"/>
                                  <w:richText/>
                                </w:sdtPr>
                                <w:sdtContent>
                                  <w:r>
                                    <w:rPr>
                                      <w:szCs w:val="24"/>
                                      <w:lang w:eastAsia="lt-LT"/>
                                    </w:rPr>
                                    <w:t>2.1.1.2.1</w:t>
                                  </w:r>
                                </w:sdtContent>
                              </w:sdt>
                              <w:r>
                                <w:rPr>
                                  <w:szCs w:val="24"/>
                                  <w:lang w:eastAsia="lt-LT"/>
                                </w:rPr>
                                <w:t>. automobilių kelių:</w:t>
                              </w:r>
                            </w:p>
                            <w:sdt>
                              <w:sdtPr>
                                <w:alias w:val="2.1.1.2.1.1 pp."/>
                                <w:tag w:val="part_02ff808f59884bf596a1c92a5d463a53"/>
                                <w:lock w:val="sdtLocked"/>
                                <w:richText/>
                              </w:sdtPr>
                              <w:sdtContent>
                                <w:p>
                                  <w:pPr>
                                    <w:ind w:firstLine="720"/>
                                    <w:jc w:val="both"/>
                                    <w:rPr>
                                      <w:szCs w:val="24"/>
                                      <w:lang w:eastAsia="lt-LT"/>
                                    </w:rPr>
                                  </w:pPr>
                                  <w:sdt>
                                    <w:sdtPr>
                                      <w:alias w:val="Numeris"/>
                                      <w:tag w:val="nr_02ff808f59884bf596a1c92a5d463a53"/>
                                      <w:lock w:val="sdtLocked"/>
                                      <w:richText/>
                                    </w:sdtPr>
                                    <w:sdtContent>
                                      <w:r>
                                        <w:rPr>
                                          <w:szCs w:val="24"/>
                                          <w:lang w:eastAsia="lt-LT"/>
                                        </w:rPr>
                                        <w:t>2.1.1.2.1.1</w:t>
                                      </w:r>
                                    </w:sdtContent>
                                  </w:sdt>
                                  <w:r>
                                    <w:rPr>
                                      <w:szCs w:val="24"/>
                                      <w:lang w:eastAsia="lt-LT"/>
                                    </w:rPr>
                                    <w:t>. Medininkai–Kamenyj Log;</w:t>
                                  </w:r>
                                </w:p>
                              </w:sdtContent>
                            </w:sdt>
                            <w:sdt>
                              <w:sdtPr>
                                <w:alias w:val="2.1.1.2.1.2 pp."/>
                                <w:tag w:val="part_f7a25b548a044f04836f8059d576bdd3"/>
                                <w:lock w:val="sdtLocked"/>
                                <w:richText/>
                              </w:sdtPr>
                              <w:sdtContent>
                                <w:p>
                                  <w:pPr>
                                    <w:ind w:firstLine="720"/>
                                    <w:jc w:val="both"/>
                                    <w:rPr>
                                      <w:szCs w:val="24"/>
                                      <w:lang w:eastAsia="lt-LT"/>
                                    </w:rPr>
                                  </w:pPr>
                                  <w:sdt>
                                    <w:sdtPr>
                                      <w:alias w:val="Numeris"/>
                                      <w:tag w:val="nr_f7a25b548a044f04836f8059d576bdd3"/>
                                      <w:lock w:val="sdtLocked"/>
                                      <w:richText/>
                                    </w:sdtPr>
                                    <w:sdtContent>
                                      <w:r>
                                        <w:rPr>
                                          <w:szCs w:val="24"/>
                                          <w:lang w:eastAsia="lt-LT"/>
                                        </w:rPr>
                                        <w:t>2.1.1.2.1.2</w:t>
                                      </w:r>
                                    </w:sdtContent>
                                  </w:sdt>
                                  <w:r>
                                    <w:rPr>
                                      <w:szCs w:val="24"/>
                                      <w:lang w:eastAsia="lt-LT"/>
                                    </w:rPr>
                                    <w:t>. Šalčininkai–Benekainys;</w:t>
                                  </w:r>
                                </w:p>
                              </w:sdtContent>
                            </w:sdt>
                            <w:sdt>
                              <w:sdtPr>
                                <w:alias w:val="2.1.1.2.1.3 pp."/>
                                <w:tag w:val="part_1808d3adf594489c86886706539de0b2"/>
                                <w:lock w:val="sdtLocked"/>
                                <w:richText/>
                              </w:sdtPr>
                              <w:sdtContent>
                                <w:p>
                                  <w:pPr>
                                    <w:ind w:firstLine="720"/>
                                    <w:jc w:val="both"/>
                                    <w:rPr>
                                      <w:szCs w:val="24"/>
                                      <w:lang w:eastAsia="lt-LT"/>
                                    </w:rPr>
                                  </w:pPr>
                                  <w:sdt>
                                    <w:sdtPr>
                                      <w:alias w:val="Numeris"/>
                                      <w:tag w:val="nr_1808d3adf594489c86886706539de0b2"/>
                                      <w:lock w:val="sdtLocked"/>
                                      <w:richText/>
                                    </w:sdtPr>
                                    <w:sdtContent>
                                      <w:r>
                                        <w:rPr>
                                          <w:szCs w:val="24"/>
                                          <w:lang w:eastAsia="lt-LT"/>
                                        </w:rPr>
                                        <w:t>2.1.1.2.1.3</w:t>
                                      </w:r>
                                    </w:sdtContent>
                                  </w:sdt>
                                  <w:r>
                                    <w:rPr>
                                      <w:szCs w:val="24"/>
                                      <w:lang w:eastAsia="lt-LT"/>
                                    </w:rPr>
                                    <w:t>. Raigardas–Privalka;</w:t>
                                  </w:r>
                                </w:p>
                              </w:sdtContent>
                            </w:sdt>
                            <w:sdt>
                              <w:sdtPr>
                                <w:alias w:val="2.1.1.2.1.4 pp."/>
                                <w:tag w:val="part_f047a537481b442bbb29665411ad595e"/>
                                <w:lock w:val="sdtLocked"/>
                                <w:richText/>
                              </w:sdtPr>
                              <w:sdtContent>
                                <w:p>
                                  <w:pPr>
                                    <w:ind w:firstLine="720"/>
                                    <w:jc w:val="both"/>
                                    <w:rPr>
                                      <w:szCs w:val="24"/>
                                      <w:lang w:eastAsia="lt-LT"/>
                                    </w:rPr>
                                  </w:pPr>
                                  <w:sdt>
                                    <w:sdtPr>
                                      <w:alias w:val="Numeris"/>
                                      <w:tag w:val="nr_f047a537481b442bbb29665411ad595e"/>
                                      <w:lock w:val="sdtLocked"/>
                                      <w:richText/>
                                    </w:sdtPr>
                                    <w:sdtContent>
                                      <w:r>
                                        <w:rPr>
                                          <w:szCs w:val="24"/>
                                          <w:lang w:eastAsia="lt-LT"/>
                                        </w:rPr>
                                        <w:t>2.1.1.2.1.4</w:t>
                                      </w:r>
                                    </w:sdtContent>
                                  </w:sdt>
                                  <w:r>
                                    <w:rPr>
                                      <w:szCs w:val="24"/>
                                      <w:lang w:eastAsia="lt-LT"/>
                                    </w:rPr>
                                    <w:t>. Kybartai–Černyševskoje;</w:t>
                                  </w:r>
                                </w:p>
                              </w:sdtContent>
                            </w:sdt>
                            <w:sdt>
                              <w:sdtPr>
                                <w:alias w:val="2.1.1.2.1.5 pp."/>
                                <w:tag w:val="part_18a6ba2ec447473a9396930740cd312b"/>
                                <w:lock w:val="sdtLocked"/>
                                <w:richText/>
                              </w:sdtPr>
                              <w:sdtContent>
                                <w:p>
                                  <w:pPr>
                                    <w:ind w:firstLine="720"/>
                                    <w:jc w:val="both"/>
                                    <w:rPr>
                                      <w:szCs w:val="24"/>
                                      <w:lang w:eastAsia="lt-LT"/>
                                    </w:rPr>
                                  </w:pPr>
                                  <w:sdt>
                                    <w:sdtPr>
                                      <w:alias w:val="Numeris"/>
                                      <w:tag w:val="nr_18a6ba2ec447473a9396930740cd312b"/>
                                      <w:lock w:val="sdtLocked"/>
                                      <w:richText/>
                                    </w:sdtPr>
                                    <w:sdtContent>
                                      <w:r>
                                        <w:rPr>
                                          <w:szCs w:val="24"/>
                                          <w:lang w:eastAsia="lt-LT"/>
                                        </w:rPr>
                                        <w:t>2.1.1.2.1.5</w:t>
                                      </w:r>
                                    </w:sdtContent>
                                  </w:sdt>
                                  <w:r>
                                    <w:rPr>
                                      <w:szCs w:val="24"/>
                                      <w:lang w:eastAsia="lt-LT"/>
                                    </w:rPr>
                                    <w:t>. Panemunė–Sovetsk;</w:t>
                                  </w:r>
                                </w:p>
                              </w:sdtContent>
                            </w:sdt>
                            <w:sdt>
                              <w:sdtPr>
                                <w:alias w:val="2.1.1.2.1.6 pp."/>
                                <w:tag w:val="part_79b75accbf6e43439d65ec49b7a319bd"/>
                                <w:lock w:val="sdtLocked"/>
                                <w:richText/>
                              </w:sdtPr>
                              <w:sdtContent>
                                <w:p>
                                  <w:pPr>
                                    <w:ind w:firstLine="720"/>
                                    <w:jc w:val="both"/>
                                    <w:rPr>
                                      <w:szCs w:val="24"/>
                                      <w:lang w:eastAsia="lt-LT"/>
                                    </w:rPr>
                                  </w:pPr>
                                  <w:sdt>
                                    <w:sdtPr>
                                      <w:alias w:val="Numeris"/>
                                      <w:tag w:val="nr_79b75accbf6e43439d65ec49b7a319bd"/>
                                      <w:lock w:val="sdtLocked"/>
                                      <w:richText/>
                                    </w:sdtPr>
                                    <w:sdtContent>
                                      <w:r>
                                        <w:rPr>
                                          <w:szCs w:val="24"/>
                                          <w:lang w:eastAsia="lt-LT"/>
                                        </w:rPr>
                                        <w:t>2.1.1.2.1.6</w:t>
                                      </w:r>
                                    </w:sdtContent>
                                  </w:sdt>
                                  <w:r>
                                    <w:rPr>
                                      <w:szCs w:val="24"/>
                                      <w:lang w:eastAsia="lt-LT"/>
                                    </w:rPr>
                                    <w:t>. Lavoriškės–Kotlovka;</w:t>
                                  </w:r>
                                </w:p>
                              </w:sdtContent>
                            </w:sdt>
                            <w:sdt>
                              <w:sdtPr>
                                <w:alias w:val="2.1.1.2.1.7 pp."/>
                                <w:tag w:val="part_a275189e87b44d15acdb087593d888a9"/>
                                <w:lock w:val="sdtLocked"/>
                                <w:richText/>
                              </w:sdtPr>
                              <w:sdtContent>
                                <w:p>
                                  <w:pPr>
                                    <w:ind w:firstLine="720"/>
                                    <w:jc w:val="both"/>
                                    <w:rPr>
                                      <w:szCs w:val="24"/>
                                      <w:lang w:eastAsia="lt-LT"/>
                                    </w:rPr>
                                  </w:pPr>
                                  <w:sdt>
                                    <w:sdtPr>
                                      <w:alias w:val="Numeris"/>
                                      <w:tag w:val="nr_a275189e87b44d15acdb087593d888a9"/>
                                      <w:lock w:val="sdtLocked"/>
                                      <w:richText/>
                                    </w:sdtPr>
                                    <w:sdtContent>
                                      <w:r>
                                        <w:rPr>
                                          <w:szCs w:val="24"/>
                                          <w:lang w:eastAsia="lt-LT"/>
                                        </w:rPr>
                                        <w:t>2.1.1.2.1.7</w:t>
                                      </w:r>
                                    </w:sdtContent>
                                  </w:sdt>
                                  <w:r>
                                    <w:rPr>
                                      <w:szCs w:val="24"/>
                                      <w:lang w:eastAsia="lt-LT"/>
                                    </w:rPr>
                                    <w:t>. Tverečius–Vidžiai;</w:t>
                                  </w:r>
                                </w:p>
                              </w:sdtContent>
                            </w:sdt>
                            <w:sdt>
                              <w:sdtPr>
                                <w:alias w:val="2.1.1.2.1.8 pp."/>
                                <w:tag w:val="part_f8284396baa94d7baf1c9cf84df31e51"/>
                                <w:lock w:val="sdtLocked"/>
                                <w:richText/>
                              </w:sdtPr>
                              <w:sdtContent>
                                <w:p>
                                  <w:pPr>
                                    <w:ind w:firstLine="720"/>
                                    <w:jc w:val="both"/>
                                    <w:rPr>
                                      <w:szCs w:val="24"/>
                                      <w:lang w:eastAsia="lt-LT"/>
                                    </w:rPr>
                                  </w:pPr>
                                  <w:sdt>
                                    <w:sdtPr>
                                      <w:alias w:val="Numeris"/>
                                      <w:tag w:val="nr_f8284396baa94d7baf1c9cf84df31e51"/>
                                      <w:lock w:val="sdtLocked"/>
                                      <w:richText/>
                                    </w:sdtPr>
                                    <w:sdtContent>
                                      <w:r>
                                        <w:rPr>
                                          <w:szCs w:val="24"/>
                                          <w:lang w:eastAsia="lt-LT"/>
                                        </w:rPr>
                                        <w:t>2.1.1.2.1.8</w:t>
                                      </w:r>
                                    </w:sdtContent>
                                  </w:sdt>
                                  <w:r>
                                    <w:rPr>
                                      <w:szCs w:val="24"/>
                                      <w:lang w:eastAsia="lt-LT"/>
                                    </w:rPr>
                                    <w:t>. Papelekis–Lentupis (tik transporto priemonėms, vežančioms didžiagabaričius ir sunkiasvorius krovinius, turinčioms teisės aktų nustatyta tvarka išduotą leidimą);</w:t>
                                  </w:r>
                                </w:p>
                              </w:sdtContent>
                            </w:sdt>
                            <w:sdt>
                              <w:sdtPr>
                                <w:alias w:val="2.1.1.2.1.9 pp."/>
                                <w:tag w:val="part_2cec5a7154f54dc8acccbfb2b875cd0f"/>
                                <w:lock w:val="sdtLocked"/>
                                <w:richText/>
                              </w:sdtPr>
                              <w:sdtContent>
                                <w:p>
                                  <w:pPr>
                                    <w:tabs>
                                      <w:tab w:val="left" w:pos="1560"/>
                                    </w:tabs>
                                    <w:ind w:firstLine="720"/>
                                    <w:jc w:val="both"/>
                                    <w:rPr>
                                      <w:szCs w:val="24"/>
                                      <w:lang w:eastAsia="lt-LT"/>
                                    </w:rPr>
                                  </w:pPr>
                                  <w:sdt>
                                    <w:sdtPr>
                                      <w:alias w:val="Numeris"/>
                                      <w:tag w:val="nr_2cec5a7154f54dc8acccbfb2b875cd0f"/>
                                      <w:lock w:val="sdtLocked"/>
                                      <w:richText/>
                                    </w:sdtPr>
                                    <w:sdtContent>
                                      <w:r>
                                        <w:rPr>
                                          <w:szCs w:val="24"/>
                                          <w:lang w:eastAsia="lt-LT"/>
                                        </w:rPr>
                                        <w:t>2.1.1.2.1.9</w:t>
                                      </w:r>
                                    </w:sdtContent>
                                  </w:sdt>
                                  <w:r>
                                    <w:rPr>
                                      <w:szCs w:val="24"/>
                                      <w:lang w:eastAsia="lt-LT"/>
                                    </w:rPr>
                                    <w:t>. Šumskas–Loša;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
                          <w:sdtPr>
                            <w:alias w:val="2.1.2.13.4 pp."/>
                            <w:tag w:val="part_93a1c0ad6ca5474aaa63f73ed7d7e31a"/>
                            <w:lock w:val="sdtLocked"/>
                            <w:richText/>
                          </w:sdtPr>
                          <w:sdtContent>
                            <w:p>
                              <w:pPr>
                                <w:tabs>
                                  <w:tab w:val="left" w:pos="1134"/>
                                </w:tabs>
                                <w:ind w:firstLine="720"/>
                                <w:jc w:val="both"/>
                                <w:rPr>
                                  <w:szCs w:val="24"/>
                                  <w:lang w:eastAsia="lt-LT"/>
                                </w:rPr>
                              </w:pPr>
                              <w:sdt>
                                <w:sdtPr>
                                  <w:alias w:val="Numeris"/>
                                  <w:tag w:val="nr_93a1c0ad6ca5474aaa63f73ed7d7e31a"/>
                                  <w:lock w:val="sdtLocked"/>
                                  <w:richText/>
                                </w:sdtPr>
                                <w:sdtContent>
                                  <w:r>
                                    <w:rPr>
                                      <w:szCs w:val="24"/>
                                      <w:lang w:eastAsia="lt-LT"/>
                                    </w:rPr>
                                    <w:t>2.1.2.13.4</w:t>
                                  </w:r>
                                </w:sdtContent>
                              </w:sdt>
                              <w:r>
                                <w:rPr>
                                  <w:szCs w:val="24"/>
                                  <w:lang w:eastAsia="lt-LT"/>
                                </w:rPr>
                                <w:t>. užsieniečiams, vykstantiems 2.1.2.13.3 papunktyje nurodytais tranzitiniais traukiniais, be teisės išlipti ir įlipti Lietuvos Respublikos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4-1 pp."/>
                        <w:tag w:val="part_a92958724d51411b93d7281f608f183c"/>
                        <w:lock w:val="sdtLocked"/>
                        <w:richText/>
                      </w:sdtPr>
                      <w:sdtContent>
                        <w:p>
                          <w:pPr>
                            <w:ind w:firstLine="720"/>
                            <w:jc w:val="both"/>
                            <w:rPr>
                              <w:szCs w:val="24"/>
                              <w:lang w:eastAsia="lt-LT"/>
                            </w:rPr>
                          </w:pPr>
                          <w:sdt>
                            <w:sdtPr>
                              <w:alias w:val="Numeris"/>
                              <w:tag w:val="nr_a92958724d51411b93d7281f608f183c"/>
                              <w:lock w:val="sdtLocked"/>
                              <w:richText/>
                            </w:sdtPr>
                            <w:sdtContent>
                              <w:r>
                                <w:rPr>
                                  <w:szCs w:val="24"/>
                                  <w:lang w:eastAsia="lt-LT"/>
                                </w:rPr>
                                <w:t>2.1.2.14</w:t>
                              </w:r>
                              <w:r>
                                <w:rPr>
                                  <w:szCs w:val="24"/>
                                  <w:vertAlign w:val="superscript"/>
                                  <w:lang w:eastAsia="lt-LT"/>
                                </w:rPr>
                                <w:t>1</w:t>
                              </w:r>
                            </w:sdtContent>
                          </w:sdt>
                          <w:r>
                            <w:rPr>
                              <w:szCs w:val="24"/>
                              <w:lang w:eastAsia="lt-LT"/>
                            </w:rPr>
                            <w:t>. užsieniečiams, atvykstantiems į Lietuvos Respublikoje veikiančias kompetentingos institucijos patvirtintas mokymo organizacijas ar organizacijas, naudojančias imituojamo skrydžio treniruoklius, dalyvauti aviacijos specialistams skirtuose mokymuose, turint šių organizacijų kvietimą;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3-1 pp."/>
                    <w:tag w:val="part_0c4522fe75b748ddb6b97366fb4e1639"/>
                    <w:lock w:val="sdtLocked"/>
                    <w:richText/>
                  </w:sdtPr>
                  <w:sdtContent>
                    <w:p>
                      <w:pPr>
                        <w:tabs>
                          <w:tab w:val="left" w:pos="1134"/>
                        </w:tabs>
                        <w:ind w:firstLine="709"/>
                        <w:jc w:val="both"/>
                        <w:rPr>
                          <w:szCs w:val="24"/>
                          <w:lang w:eastAsia="lt-LT"/>
                        </w:rPr>
                      </w:pPr>
                      <w:sdt>
                        <w:sdtPr>
                          <w:alias w:val="Numeris"/>
                          <w:tag w:val="nr_0c4522fe75b748ddb6b97366fb4e1639"/>
                          <w:lock w:val="sdtLocked"/>
                          <w:richText/>
                        </w:sdtPr>
                        <w:sdtContent>
                          <w:r>
                            <w:rPr>
                              <w:szCs w:val="24"/>
                              <w:lang w:eastAsia="lt-LT"/>
                            </w:rPr>
                            <w:t>2.1.3</w:t>
                          </w:r>
                          <w:r>
                            <w:rPr>
                              <w:szCs w:val="24"/>
                              <w:vertAlign w:val="superscript"/>
                              <w:lang w:eastAsia="lt-LT"/>
                            </w:rPr>
                            <w:t>1</w:t>
                          </w:r>
                        </w:sdtContent>
                      </w:sdt>
                      <w:r>
                        <w:rPr>
                          <w:szCs w:val="24"/>
                          <w:lang w:eastAsia="lt-LT"/>
                        </w:rPr>
                        <w:t>. Visi asmenys, grįžtantys ar atvykstantys į Lietuvos Respubliką keleivių vežimo tarptautinio susisiekimo maršrutais reguliariais, specialiais ir užsakomaisiais reisais (visų rūšių transportu), privalo turėti dokumentą (parengtą viena iš oficialių Europos Sąjungos kalbų) apie asmeniui ne anksčiau nei 72 valandų laikotarpiu prieš grįžtant ar atvykstant į Lietuvos Respubliką atliktą tyrimą COVID-19 ligai (koronaviruso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w:t>
                      </w:r>
                      <w:r>
                        <w:rPr>
                          <w:b/>
                          <w:szCs w:val="24"/>
                        </w:rPr>
                        <w:t xml:space="preserve"> </w:t>
                      </w:r>
                      <w:r>
                        <w:rPr>
                          <w:bCs/>
                          <w:szCs w:val="24"/>
                          <w:lang w:eastAsia="lt-LT"/>
                        </w:rPr>
                        <w:t>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p>
                    <w:sdt>
                      <w:sdtPr>
                        <w:alias w:val="2.1.3-1.1 pp."/>
                        <w:tag w:val="part_74b714b99dc24ed3b532f0e693356917"/>
                        <w:lock w:val="sdtLocked"/>
                        <w:richText/>
                      </w:sdtPr>
                      <w:sdtContent>
                        <w:p>
                          <w:pPr>
                            <w:tabs>
                              <w:tab w:val="left" w:pos="1134"/>
                            </w:tabs>
                            <w:ind w:firstLine="720"/>
                            <w:jc w:val="both"/>
                            <w:rPr>
                              <w:szCs w:val="24"/>
                              <w:lang w:eastAsia="lt-LT"/>
                            </w:rPr>
                          </w:pPr>
                          <w:sdt>
                            <w:sdtPr>
                              <w:alias w:val="Numeris"/>
                              <w:tag w:val="nr_74b714b99dc24ed3b532f0e693356917"/>
                              <w:lock w:val="sdtLocked"/>
                              <w:richText/>
                            </w:sdtPr>
                            <w:sdtContent>
                              <w:r>
                                <w:rPr>
                                  <w:szCs w:val="24"/>
                                  <w:lang w:eastAsia="lt-LT"/>
                                </w:rPr>
                                <w:t>2.1.3</w:t>
                              </w:r>
                              <w:r>
                                <w:rPr>
                                  <w:szCs w:val="24"/>
                                  <w:vertAlign w:val="superscript"/>
                                  <w:lang w:eastAsia="lt-LT"/>
                                </w:rPr>
                                <w:t>1</w:t>
                              </w:r>
                              <w:r>
                                <w:rPr>
                                  <w:szCs w:val="24"/>
                                  <w:lang w:eastAsia="lt-LT"/>
                                </w:rPr>
                                <w:t>.1</w:t>
                              </w:r>
                            </w:sdtContent>
                          </w:sdt>
                          <w:r>
                            <w:rPr>
                              <w:szCs w:val="24"/>
                              <w:lang w:eastAsia="lt-LT"/>
                            </w:rPr>
                            <w:t>. ekipažų ir įgulų nariams, kurie vykdo keleivių vežimus tarptautinio susisiekimo maršrutais visų rūšių transporto priemonėmis,</w:t>
                          </w:r>
                          <w:r>
                            <w:rPr>
                              <w:color w:val="000000"/>
                              <w:szCs w:val="24"/>
                              <w:lang w:eastAsia="lt-LT"/>
                            </w:rPr>
                            <w:t xml:space="preserve"> </w:t>
                          </w:r>
                          <w:r>
                            <w:rPr>
                              <w:szCs w:val="24"/>
                              <w:lang w:eastAsia="lt-LT"/>
                            </w:rPr>
                            <w:t>jei jų buvimo Lietuvos Respublikos teritorijoje laikas yra trumpesnis nei 72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3-1.2 pp."/>
                        <w:tag w:val="part_d989a8f7152c45d2b883e72cfffbd650"/>
                        <w:lock w:val="sdtLocked"/>
                        <w:richText/>
                      </w:sdtPr>
                      <w:sdtContent>
                        <w:p>
                          <w:pPr>
                            <w:tabs>
                              <w:tab w:val="left" w:pos="1134"/>
                            </w:tabs>
                            <w:ind w:firstLine="709"/>
                            <w:jc w:val="both"/>
                            <w:rPr>
                              <w:szCs w:val="24"/>
                              <w:lang w:eastAsia="lt-LT"/>
                            </w:rPr>
                          </w:pPr>
                          <w:sdt>
                            <w:sdtPr>
                              <w:alias w:val="Numeris"/>
                              <w:tag w:val="nr_d989a8f7152c45d2b883e72cfffbd650"/>
                              <w:lock w:val="sdtLocked"/>
                              <w:richText/>
                            </w:sdtPr>
                            <w:sdtContent>
                              <w:r>
                                <w:rPr>
                                  <w:szCs w:val="24"/>
                                  <w:lang w:eastAsia="lt-LT"/>
                                </w:rPr>
                                <w:t>2.1.3</w:t>
                              </w:r>
                              <w:r>
                                <w:rPr>
                                  <w:szCs w:val="24"/>
                                  <w:vertAlign w:val="superscript"/>
                                  <w:lang w:eastAsia="lt-LT"/>
                                </w:rPr>
                                <w:t>1</w:t>
                              </w:r>
                              <w:r>
                                <w:rPr>
                                  <w:szCs w:val="24"/>
                                  <w:lang w:eastAsia="lt-LT"/>
                                </w:rPr>
                                <w:t>.2</w:t>
                              </w:r>
                            </w:sdtContent>
                          </w:sdt>
                          <w:r>
                            <w:rPr>
                              <w:szCs w:val="24"/>
                              <w:lang w:eastAsia="lt-LT"/>
                            </w:rPr>
                            <w:t>. tranzitu per Lietuvos Respubliką vykstantiems asmenims;</w:t>
                          </w:r>
                        </w:p>
                      </w:sdtContent>
                    </w:sdt>
                    <w:sdt>
                      <w:sdtPr>
                        <w:alias w:val="2.1.3-1.3 pp."/>
                        <w:tag w:val="part_9f04a86b6e3246b291a5056b568d31b4"/>
                        <w:lock w:val="sdtLocked"/>
                        <w:richText/>
                      </w:sdtPr>
                      <w:sdtContent>
                        <w:p>
                          <w:pPr>
                            <w:tabs>
                              <w:tab w:val="left" w:pos="1134"/>
                            </w:tabs>
                            <w:ind w:firstLine="720"/>
                            <w:jc w:val="both"/>
                            <w:rPr>
                              <w:szCs w:val="24"/>
                              <w:lang w:eastAsia="lt-LT"/>
                            </w:rPr>
                          </w:pPr>
                          <w:sdt>
                            <w:sdtPr>
                              <w:alias w:val="Numeris"/>
                              <w:tag w:val="nr_9f04a86b6e3246b291a5056b568d31b4"/>
                              <w:lock w:val="sdtLocked"/>
                              <w:richText/>
                            </w:sdtPr>
                            <w:sdtContent>
                              <w:r>
                                <w:rPr>
                                  <w:szCs w:val="24"/>
                                  <w:lang w:eastAsia="lt-LT"/>
                                </w:rPr>
                                <w:t>2.1.3</w:t>
                              </w:r>
                              <w:r>
                                <w:rPr>
                                  <w:szCs w:val="24"/>
                                  <w:vertAlign w:val="superscript"/>
                                  <w:lang w:eastAsia="lt-LT"/>
                                </w:rPr>
                                <w:t>1</w:t>
                              </w:r>
                              <w:r>
                                <w:rPr>
                                  <w:szCs w:val="24"/>
                                  <w:lang w:eastAsia="lt-LT"/>
                                </w:rPr>
                                <w:t>.3</w:t>
                              </w:r>
                            </w:sdtContent>
                          </w:sdt>
                          <w:r>
                            <w:rPr>
                              <w:szCs w:val="24"/>
                              <w:lang w:eastAsia="lt-LT"/>
                            </w:rPr>
                            <w:t>. asmenims, turintiems asmens sveikatos priežiūros įstaigos dokumentą, patvirtinantį, kad asmuo persirgo COVID-19 liga (koronaviruso infekcija), kai diagnozė buvo patvirtinta remiantis teigiamu SARS-CoV-2 PGR tyrimo ar antigeno testo rezultatu, ir nuo teigiamo tyrimo rezultato praėjo ne daugiau kaip 180 dienų iki grįžimo / atvykimo į Lietuvos Respubliką, arba asmenims, turintiems asmens sveikatos priežiūros įstaigos dokumentą, konkrečios šalies skiepijimų sertifikatą arba tarptautinį skiepijimų sertifikatą, nurodantį, kad asmens skiepijimas Sąjungos vaistinių preparatų registre įregistruota COVID-19 ligos (koronaviruso infekcijos) vakcina pagal skiepijimo schemą yra baigtas (šiame papunktyje nurodyti dokumentai turi būti parengti viena iš oficialių Europos Sąjungos kalbų);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3-1.4 pp."/>
                        <w:tag w:val="part_befa0bfd71f74e979b5c45753af644f3"/>
                        <w:lock w:val="sdtLocked"/>
                        <w:richText/>
                      </w:sdtPr>
                      <w:sdtContent>
                        <w:p>
                          <w:pPr>
                            <w:tabs>
                              <w:tab w:val="left" w:pos="1134"/>
                            </w:tabs>
                            <w:ind w:firstLine="709"/>
                            <w:jc w:val="both"/>
                            <w:rPr>
                              <w:szCs w:val="24"/>
                              <w:lang w:eastAsia="lt-LT"/>
                            </w:rPr>
                          </w:pPr>
                          <w:sdt>
                            <w:sdtPr>
                              <w:alias w:val="Numeris"/>
                              <w:tag w:val="nr_befa0bfd71f74e979b5c45753af644f3"/>
                              <w:lock w:val="sdtLocked"/>
                              <w:richText/>
                            </w:sdtPr>
                            <w:sdtContent>
                              <w:r>
                                <w:rPr>
                                  <w:szCs w:val="24"/>
                                  <w:lang w:eastAsia="lt-LT"/>
                                </w:rPr>
                                <w:t>2.1.3</w:t>
                              </w:r>
                              <w:r>
                                <w:rPr>
                                  <w:szCs w:val="24"/>
                                  <w:vertAlign w:val="superscript"/>
                                  <w:lang w:eastAsia="lt-LT"/>
                                </w:rPr>
                                <w:t>1</w:t>
                              </w:r>
                              <w:r>
                                <w:rPr>
                                  <w:szCs w:val="24"/>
                                  <w:lang w:eastAsia="lt-LT"/>
                                </w:rPr>
                                <w:t>.4</w:t>
                              </w:r>
                            </w:sdtContent>
                          </w:sdt>
                          <w:r>
                            <w:rPr>
                              <w:szCs w:val="24"/>
                              <w:lang w:eastAsia="lt-LT"/>
                            </w:rPr>
                            <w:t>. asmenims iki 16 metų.</w:t>
                          </w:r>
                          <w:r>
                            <w:t xml:space="preserve"> </w:t>
                          </w:r>
                        </w:p>
                      </w:sdtContent>
                    </w:sdt>
                    <w:sdt>
                      <w:sdtPr>
                        <w:alias w:val="2.1.3-1.5 pp."/>
                        <w:tag w:val="part_d0bc7cd26e444b98b6957edc7caa8899"/>
                        <w:lock w:val="sdtLocked"/>
                        <w:richText/>
                      </w:sdtPr>
                      <w:sdtContent>
                        <w:p>
                          <w:pPr>
                            <w:tabs>
                              <w:tab w:val="left" w:pos="1134"/>
                            </w:tabs>
                            <w:ind w:firstLine="720"/>
                            <w:jc w:val="both"/>
                            <w:rPr>
                              <w:szCs w:val="24"/>
                              <w:lang w:eastAsia="lt-LT"/>
                            </w:rPr>
                          </w:pPr>
                          <w:sdt>
                            <w:sdtPr>
                              <w:alias w:val="Numeris"/>
                              <w:tag w:val="nr_d0bc7cd26e444b98b6957edc7caa8899"/>
                              <w:lock w:val="sdtLocked"/>
                              <w:richText/>
                            </w:sdtPr>
                            <w:sdtContent>
                              <w:r>
                                <w:rPr>
                                  <w:szCs w:val="24"/>
                                  <w:shd w:val="clear" w:color="auto" w:fill="FFFFFF"/>
                                  <w:lang w:eastAsia="lt-LT"/>
                                </w:rPr>
                                <w:t>2.1.3</w:t>
                              </w:r>
                              <w:r>
                                <w:rPr>
                                  <w:szCs w:val="24"/>
                                  <w:shd w:val="clear" w:color="auto" w:fill="FFFFFF"/>
                                  <w:vertAlign w:val="superscript"/>
                                  <w:lang w:eastAsia="lt-LT"/>
                                </w:rPr>
                                <w:t>1</w:t>
                              </w:r>
                              <w:r>
                                <w:rPr>
                                  <w:szCs w:val="24"/>
                                  <w:shd w:val="clear" w:color="auto" w:fill="FFFFFF"/>
                                  <w:lang w:eastAsia="lt-LT"/>
                                </w:rPr>
                                <w:t>.5</w:t>
                              </w:r>
                            </w:sdtContent>
                          </w:sdt>
                          <w:r>
                            <w:rPr>
                              <w:szCs w:val="24"/>
                              <w:shd w:val="clear" w:color="auto" w:fill="FFFFFF"/>
                              <w:lang w:eastAsia="lt-LT"/>
                            </w:rPr>
                            <w:t>. oficialių delegacijų nariams.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3-1.6 pp."/>
                        <w:tag w:val="part_39bc70dd745645089f9066b21e6369f6"/>
                        <w:lock w:val="sdtLocked"/>
                        <w:richText/>
                      </w:sdtPr>
                      <w:sdtContent>
                        <w:p>
                          <w:pPr>
                            <w:tabs>
                              <w:tab w:val="left" w:pos="1134"/>
                            </w:tabs>
                            <w:ind w:firstLine="720"/>
                            <w:jc w:val="both"/>
                            <w:rPr>
                              <w:szCs w:val="24"/>
                              <w:lang w:eastAsia="lt-LT"/>
                            </w:rPr>
                          </w:pPr>
                          <w:sdt>
                            <w:sdtPr>
                              <w:alias w:val="Numeris"/>
                              <w:tag w:val="nr_39bc70dd745645089f9066b21e6369f6"/>
                              <w:lock w:val="sdtLocked"/>
                              <w:richText/>
                            </w:sdtPr>
                            <w:sdtContent>
                              <w:r>
                                <w:rPr>
                                  <w:szCs w:val="24"/>
                                  <w:lang w:eastAsia="lt-LT"/>
                                </w:rPr>
                                <w:t>2.1.3</w:t>
                              </w:r>
                              <w:r>
                                <w:rPr>
                                  <w:szCs w:val="24"/>
                                  <w:vertAlign w:val="superscript"/>
                                  <w:lang w:eastAsia="lt-LT"/>
                                </w:rPr>
                                <w:t>1</w:t>
                              </w:r>
                              <w:r>
                                <w:rPr>
                                  <w:szCs w:val="24"/>
                                  <w:lang w:eastAsia="lt-LT"/>
                                </w:rPr>
                                <w:t>.6</w:t>
                              </w:r>
                            </w:sdtContent>
                          </w:sdt>
                          <w:r>
                            <w:rPr>
                              <w:szCs w:val="24"/>
                              <w:lang w:eastAsia="lt-LT"/>
                            </w:rPr>
                            <w:t>. asmenims, nurodytiems šio nutarimo 2.1.2.16 papunktyje (COVID-19 tyrimą atlieka atvykę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e46607daf11eb9601893677bfd7d8">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2021-03-05,
paskelbta TAR 2021-03-05, i. k. 2021-04675            </w:t>
                      </w:r>
                    </w:p>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441f2c9970bc4a5d9d0e8c5501ff3859"/>
                        <w:lock w:val="sdtLocked"/>
                        <w:richText/>
                      </w:sdtPr>
                      <w:sdtContent>
                        <w:p>
                          <w:pPr>
                            <w:ind w:firstLine="709"/>
                            <w:jc w:val="both"/>
                          </w:pPr>
                          <w:sdt>
                            <w:sdtPr>
                              <w:alias w:val="Numeris"/>
                              <w:tag w:val="nr_441f2c9970bc4a5d9d0e8c5501ff3859"/>
                              <w:lock w:val="sdtLocked"/>
                              <w:richText/>
                            </w:sdtPr>
                            <w:sdtContent>
                              <w:r>
                                <w:rPr>
                                  <w:szCs w:val="24"/>
                                  <w:lang w:eastAsia="lt-LT"/>
                                </w:rPr>
                                <w:t>2.1.5.1</w:t>
                              </w:r>
                            </w:sdtContent>
                          </w:sdt>
                          <w:r>
                            <w:rPr>
                              <w:szCs w:val="24"/>
                              <w:lang w:eastAsia="lt-LT"/>
                            </w:rPr>
                            <w:t>. viešose uždarose vietose ir transporto priemonėse, išskyrus miesto, tarpmiestinio ir priemiestinio reguliaraus susisiekimo keleivinio transporto priemones ar transporto priemones, kuriomis vykstama į darbo vietą ar iš jos, būti ne didesnėmis nei 2 asmenų arba vienos šeimos ir (ar) vieno namų ūkio narių grupėmis (teikiant keleivių vežimo už atlygį lengvaisiais automobiliais pagal užsakymą ir lengvaisiais automobiliais taksi paslaugas, transporto priemonės vairuotojas į šį skaičių neįskaičiuojamas). Viešose atvirose vietose asmenys gali būti ne didesnėmis nei 5 asmenų arba dviejų šeimų ir (ar) dviejų namų ūkių narių grupėmis. 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c51985aa931b4357bcf436ff24269600"/>
                            <w:lock w:val="sdtLocked"/>
                            <w:richText/>
                          </w:sdtPr>
                          <w:sdtContent>
                            <w:p>
                              <w:pPr>
                                <w:ind w:firstLine="720"/>
                                <w:jc w:val="both"/>
                              </w:pPr>
                              <w:sdt>
                                <w:sdtPr>
                                  <w:alias w:val="Numeris"/>
                                  <w:tag w:val="nr_c51985aa931b4357bcf436ff24269600"/>
                                  <w:lock w:val="sdtLocked"/>
                                  <w:richText/>
                                </w:sdtPr>
                                <w:sdtContent>
                                  <w:r>
                                    <w:rPr>
                                      <w:szCs w:val="24"/>
                                      <w:shd w:val="clear" w:color="auto" w:fill="FFFFFF"/>
                                      <w:lang w:eastAsia="lt-LT"/>
                                    </w:rPr>
                                    <w:t>2.1.5.2.5</w:t>
                                  </w:r>
                                </w:sdtContent>
                              </w:sdt>
                              <w:r>
                                <w:rPr>
                                  <w:szCs w:val="24"/>
                                  <w:shd w:val="clear" w:color="auto" w:fill="FFFFFF"/>
                                  <w:lang w:eastAsia="lt-LT"/>
                                </w:rPr>
                                <w:t>. atvirose erdvėse, kai šalia 2 metrų atstumu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09938d8dcc5e45b289b590e14ecada62"/>
                    <w:lock w:val="sdtLocked"/>
                    <w:richText/>
                  </w:sdtPr>
                  <w:sdtContent>
                    <w:p>
                      <w:pPr>
                        <w:tabs>
                          <w:tab w:val="left" w:pos="1134"/>
                        </w:tabs>
                        <w:ind w:firstLine="720"/>
                        <w:jc w:val="both"/>
                        <w:rPr>
                          <w:color w:val="000000"/>
                          <w:szCs w:val="24"/>
                          <w:lang w:eastAsia="lt-LT"/>
                        </w:rPr>
                      </w:pPr>
                      <w:sdt>
                        <w:sdtPr>
                          <w:alias w:val="Numeris"/>
                          <w:tag w:val="nr_09938d8dcc5e45b289b590e14ecada62"/>
                          <w:lock w:val="sdtLocked"/>
                          <w:richText/>
                        </w:sdtPr>
                        <w:sdtContent>
                          <w:r>
                            <w:rPr>
                              <w:szCs w:val="24"/>
                              <w:shd w:val="clear" w:color="auto" w:fill="FFFFFF"/>
                              <w:lang w:eastAsia="lt-LT"/>
                            </w:rPr>
                            <w:t>2.1.6</w:t>
                          </w:r>
                        </w:sdtContent>
                      </w:sdt>
                      <w:r>
                        <w:rPr>
                          <w:szCs w:val="24"/>
                          <w:shd w:val="clear" w:color="auto" w:fill="FFFFFF"/>
                          <w:lang w:eastAsia="lt-LT"/>
                        </w:rPr>
                        <w:t>. Ribojamas keliavimas miesto, tarpmiestinio ir priemiestinio reguliaraus susisiekimo keleivinio transporto maršrutais – tarpmiestiniame ir priemiestiniame transporte leidžiama užimti tik sėdimas vietas ne mažesniu kaip vieno metro atstumu, o miesto transporte leidžiama užimti sėdimas ir stovimas vietas, jei tarp asmenų užtikrinamas ne mažesnis kaip vieno metro atstumas.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7 pp."/>
                    <w:tag w:val="part_1c4324136385484db6d5a6083918b2a2"/>
                    <w:lock w:val="sdtLocked"/>
                    <w:richText/>
                  </w:sdtPr>
                  <w:sdtContent>
                    <w:p>
                      <w:pPr>
                        <w:pStyle w:val="PlainText"/>
                        <w:ind w:firstLine="567"/>
                        <w:jc w:val="both"/>
                        <w:rPr>
                          <w:rFonts w:ascii="Times New Roman" w:hAnsi="Times New Roman"/>
                          <w:b/>
                          <w:bCs/>
                          <w:sz w:val="22"/>
                        </w:rPr>
                      </w:pPr>
                      <w:r>
                        <w:rPr>
                          <w:rFonts w:ascii="Times New Roman" w:hAnsi="Times New Roman"/>
                          <w:sz w:val="22"/>
                        </w:rPr>
                        <w:t>2.1.7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sdtContent>
                </w:sdt>
                <w:sdt>
                  <w:sdtPr>
                    <w:alias w:val="2.1.8 pp."/>
                    <w:tag w:val="part_40b89ac91da84c8488ecb99bf7e66a5f"/>
                    <w:lock w:val="sdtLocked"/>
                    <w:richText/>
                  </w:sdtPr>
                  <w:sdtContent>
                    <w:p>
                      <w:pPr>
                        <w:ind w:firstLine="709"/>
                        <w:jc w:val="both"/>
                        <w:rPr>
                          <w:szCs w:val="24"/>
                          <w:lang w:eastAsia="lt-LT"/>
                        </w:rPr>
                      </w:pPr>
                      <w:sdt>
                        <w:sdtPr>
                          <w:alias w:val="Numeris"/>
                          <w:tag w:val="nr_40b89ac91da84c8488ecb99bf7e66a5f"/>
                          <w:lock w:val="sdtLocked"/>
                          <w:richText/>
                        </w:sdtPr>
                        <w:sdtContent>
                          <w:r>
                            <w:rPr>
                              <w:szCs w:val="24"/>
                              <w:lang w:eastAsia="lt-LT"/>
                            </w:rPr>
                            <w:t>2.1.8</w:t>
                          </w:r>
                        </w:sdtContent>
                      </w:sdt>
                      <w:r>
                        <w:rPr>
                          <w:szCs w:val="24"/>
                          <w:lang w:eastAsia="lt-LT"/>
                        </w:rPr>
                        <w:t>. Draudžiama:</w:t>
                      </w:r>
                    </w:p>
                    <w:sdt>
                      <w:sdtPr>
                        <w:alias w:val="2.1.8.1 pp."/>
                        <w:tag w:val="part_00aa4ad8b70040188dab7639200457a4"/>
                        <w:lock w:val="sdtLocked"/>
                        <w:richText/>
                      </w:sdtPr>
                      <w:sdtContent>
                        <w:p>
                          <w:pPr>
                            <w:ind w:firstLine="709"/>
                            <w:jc w:val="both"/>
                            <w:rPr>
                              <w:szCs w:val="24"/>
                              <w:lang w:eastAsia="lt-LT"/>
                            </w:rPr>
                          </w:pPr>
                          <w:sdt>
                            <w:sdtPr>
                              <w:alias w:val="Numeris"/>
                              <w:tag w:val="nr_00aa4ad8b70040188dab7639200457a4"/>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8915693e41164f14931e29f25ccdeed1"/>
                            <w:lock w:val="sdtLocked"/>
                            <w:richText/>
                          </w:sdtPr>
                          <w:sdtContent>
                            <w:p>
                              <w:pPr>
                                <w:ind w:firstLine="709"/>
                                <w:jc w:val="both"/>
                                <w:rPr>
                                  <w:szCs w:val="24"/>
                                  <w:lang w:eastAsia="lt-LT"/>
                                </w:rPr>
                              </w:pPr>
                              <w:sdt>
                                <w:sdtPr>
                                  <w:alias w:val="Numeris"/>
                                  <w:tag w:val="nr_8915693e41164f14931e29f25ccdeed1"/>
                                  <w:lock w:val="sdtLocked"/>
                                  <w:richText/>
                                </w:sdtPr>
                                <w:sdtContent>
                                  <w:r>
                                    <w:rPr>
                                      <w:szCs w:val="24"/>
                                      <w:lang w:eastAsia="lt-LT"/>
                                    </w:rPr>
                                    <w:t>2.1.8.1.1</w:t>
                                  </w:r>
                                </w:sdtContent>
                              </w:sdt>
                              <w:r>
                                <w:rPr>
                                  <w:szCs w:val="24"/>
                                  <w:lang w:eastAsia="lt-LT"/>
                                </w:rPr>
                                <w:t>. dviejų šeimų ir (ar) dviejų namų ūkių artimus kontaktus, jeigu viename iš jų yra 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bc750ed0df1642d696d34cf7551ea10e"/>
                            <w:lock w:val="sdtLocked"/>
                            <w:richText/>
                          </w:sdtPr>
                          <w:sdtContent>
                            <w:p>
                              <w:pPr>
                                <w:ind w:firstLine="709"/>
                                <w:jc w:val="both"/>
                                <w:rPr>
                                  <w:szCs w:val="24"/>
                                  <w:lang w:eastAsia="lt-LT"/>
                                </w:rPr>
                              </w:pPr>
                              <w:sdt>
                                <w:sdtPr>
                                  <w:alias w:val="Numeris"/>
                                  <w:tag w:val="nr_bc750ed0df1642d696d34cf7551ea10e"/>
                                  <w:lock w:val="sdtLocked"/>
                                  <w:richText/>
                                </w:sdtPr>
                                <w:sdtContent>
                                  <w:r>
                                    <w:rPr>
                                      <w:szCs w:val="24"/>
                                      <w:lang w:eastAsia="lt-LT"/>
                                    </w:rPr>
                                    <w:t>2.1.8.1.2</w:t>
                                  </w:r>
                                </w:sdtContent>
                              </w:sdt>
                              <w:r>
                                <w:rPr>
                                  <w:szCs w:val="24"/>
                                  <w:lang w:eastAsia="lt-LT"/>
                                </w:rPr>
                                <w:t>. dviejų šeimų ir (ar) dviejų namų ūkių artimus kontaktus atvirose erdvėse;</w:t>
                              </w:r>
                            </w:p>
                          </w:sdtContent>
                        </w:sdt>
                        <w:sdt>
                          <w:sdtPr>
                            <w:alias w:val="2.1.8.1.3 pp."/>
                            <w:tag w:val="part_aeb3c0341a9c4a7a96787984c341672c"/>
                            <w:lock w:val="sdtLocked"/>
                            <w:richText/>
                          </w:sdtPr>
                          <w:sdtContent>
                            <w:p>
                              <w:pPr>
                                <w:ind w:firstLine="709"/>
                                <w:jc w:val="both"/>
                                <w:rPr>
                                  <w:szCs w:val="24"/>
                                  <w:lang w:eastAsia="lt-LT"/>
                                </w:rPr>
                              </w:pPr>
                              <w:sdt>
                                <w:sdtPr>
                                  <w:alias w:val="Numeris"/>
                                  <w:tag w:val="nr_aeb3c0341a9c4a7a96787984c341672c"/>
                                  <w:lock w:val="sdtLocked"/>
                                  <w:richText/>
                                </w:sdtPr>
                                <w:sdtContent>
                                  <w:r>
                                    <w:rPr>
                                      <w:szCs w:val="24"/>
                                      <w:lang w:eastAsia="lt-LT"/>
                                    </w:rPr>
                                    <w:t>2.1.8.1.3</w:t>
                                  </w:r>
                                </w:sdtContent>
                              </w:sdt>
                              <w:r>
                                <w:rPr>
                                  <w:szCs w:val="24"/>
                                  <w:lang w:eastAsia="lt-LT"/>
                                </w:rPr>
                                <w:t>. neatidėliotinus atvejus, kai reikia suteikti pagalbą, prižiūrėti sergančius ar negalinčius savimi pasirūpinti asmenis;</w:t>
                              </w:r>
                            </w:p>
                          </w:sdtContent>
                        </w:sdt>
                        <w:sdt>
                          <w:sdtPr>
                            <w:alias w:val="2.1.8.1.4 pp."/>
                            <w:tag w:val="part_8798758460a549fd8dc77a26c96b41d0"/>
                            <w:lock w:val="sdtLocked"/>
                            <w:richText/>
                          </w:sdtPr>
                          <w:sdtContent>
                            <w:p>
                              <w:pPr>
                                <w:ind w:firstLine="709"/>
                                <w:jc w:val="both"/>
                                <w:rPr>
                                  <w:szCs w:val="24"/>
                                  <w:lang w:eastAsia="lt-LT"/>
                                </w:rPr>
                              </w:pPr>
                              <w:sdt>
                                <w:sdtPr>
                                  <w:alias w:val="Numeris"/>
                                  <w:tag w:val="nr_8798758460a549fd8dc77a26c96b41d0"/>
                                  <w:lock w:val="sdtLocked"/>
                                  <w:richText/>
                                </w:sdtPr>
                                <w:sdtContent>
                                  <w:r>
                                    <w:rPr>
                                      <w:szCs w:val="24"/>
                                      <w:lang w:eastAsia="lt-LT"/>
                                    </w:rPr>
                                    <w:t>2.1.8.1.4</w:t>
                                  </w:r>
                                </w:sdtContent>
                              </w:sdt>
                              <w:r>
                                <w:rPr>
                                  <w:szCs w:val="24"/>
                                  <w:lang w:eastAsia="lt-LT"/>
                                </w:rPr>
                                <w:t>. šio nutarimo 2.1.5.1 papunktyje nustatytus atvejus;</w:t>
                              </w:r>
                            </w:p>
                          </w:sdtContent>
                        </w:sdt>
                      </w:sdtContent>
                    </w:sdt>
                    <w:sdt>
                      <w:sdtPr>
                        <w:alias w:val="2.1.8.2 pp."/>
                        <w:tag w:val="part_1457452cf8d64f77996b97455d836017"/>
                        <w:lock w:val="sdtLocked"/>
                        <w:richText/>
                      </w:sdtPr>
                      <w:sdtContent>
                        <w:p>
                          <w:pPr>
                            <w:ind w:firstLine="709"/>
                            <w:jc w:val="both"/>
                            <w:rPr>
                              <w:color w:val="000000"/>
                              <w:szCs w:val="24"/>
                              <w:lang w:eastAsia="lt-LT"/>
                            </w:rPr>
                          </w:pPr>
                          <w:sdt>
                            <w:sdtPr>
                              <w:alias w:val="Numeris"/>
                              <w:tag w:val="nr_1457452cf8d64f77996b97455d836017"/>
                              <w:lock w:val="sdtLocked"/>
                              <w:richText/>
                            </w:sdtPr>
                            <w:sdtContent>
                              <w:r>
                                <w:rPr>
                                  <w:color w:val="000000"/>
                                  <w:szCs w:val="24"/>
                                  <w:shd w:val="clear" w:color="auto" w:fill="FFFFFF"/>
                                  <w:lang w:eastAsia="lt-LT"/>
                                </w:rPr>
                                <w:t>2.1.8.2</w:t>
                              </w:r>
                            </w:sdtContent>
                          </w:sdt>
                          <w:r>
                            <w:rPr>
                              <w:color w:val="000000"/>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 išskyrus šventes atvirose erdvėse, kai dalyvauja ne daugiau nei</w:t>
                          </w:r>
                          <w:r>
                            <w:rPr>
                              <w:szCs w:val="24"/>
                              <w:lang w:eastAsia="lt-LT"/>
                            </w:rPr>
                            <w:t xml:space="preserve"> dvi šeimos ir (ar) du namų ūkiai</w:t>
                          </w:r>
                          <w:r>
                            <w:rPr>
                              <w:color w:val="000000"/>
                              <w:szCs w:val="24"/>
                              <w:lang w:eastAsia="lt-LT"/>
                            </w:rPr>
                            <w:t>;</w:t>
                          </w:r>
                        </w:p>
                      </w:sdtContent>
                    </w:sdt>
                    <w:sdt>
                      <w:sdtPr>
                        <w:alias w:val="2.1.8.3 pp."/>
                        <w:tag w:val="part_919e965108b3464eb81a12c3043f4895"/>
                        <w:lock w:val="sdtLocked"/>
                        <w:richText/>
                      </w:sdtPr>
                      <w:sdtContent>
                        <w:p>
                          <w:pPr>
                            <w:pStyle w:val="PlainText"/>
                            <w:ind w:firstLine="567"/>
                            <w:jc w:val="both"/>
                            <w:rPr>
                              <w:rFonts w:ascii="Times New Roman" w:hAnsi="Times New Roman"/>
                              <w:b/>
                              <w:bCs/>
                              <w:sz w:val="22"/>
                            </w:rPr>
                          </w:pPr>
                          <w:r>
                            <w:rPr>
                              <w:rFonts w:ascii="Times New Roman" w:hAnsi="Times New Roman"/>
                              <w:sz w:val="22"/>
                            </w:rPr>
                            <w:t>2.1.8.3</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cad3f48ef6ff4eccaef3590dbb0d6106"/>
                        <w:lock w:val="sdtLocked"/>
                        <w:richText/>
                      </w:sdtPr>
                      <w:sdtContent>
                        <w:p>
                          <w:pPr>
                            <w:ind w:firstLine="709"/>
                            <w:jc w:val="both"/>
                            <w:rPr>
                              <w:rFonts w:eastAsia="Calibri"/>
                              <w:szCs w:val="24"/>
                              <w:lang w:eastAsia="lt-LT"/>
                            </w:rPr>
                          </w:pPr>
                          <w:sdt>
                            <w:sdtPr>
                              <w:alias w:val="Numeris"/>
                              <w:tag w:val="nr_cad3f48ef6ff4eccaef3590dbb0d6106"/>
                              <w:lock w:val="sdtLocked"/>
                              <w:richText/>
                            </w:sdtPr>
                            <w:sdtContent>
                              <w:r>
                                <w:rPr>
                                  <w:szCs w:val="24"/>
                                  <w:shd w:val="clear" w:color="auto" w:fill="FFFFFF"/>
                                  <w:lang w:eastAsia="lt-LT"/>
                                </w:rPr>
                                <w:t>2.2.2.1</w:t>
                              </w:r>
                            </w:sdtContent>
                          </w:sdt>
                          <w:r>
                            <w:rPr>
                              <w:szCs w:val="24"/>
                              <w:shd w:val="clear" w:color="auto" w:fill="FFFFFF"/>
                              <w:lang w:eastAsia="lt-LT"/>
                            </w:rPr>
                            <w:t>. parduotuvėms (įskaitant parduotuves prekybos ir (arba) pramogų centruose), kurių pagrindinė veikla yra maisto, veterinarijos, pašarų gyvūnams, vaistinių, gėlių, optikos prekių ir ortopedijos techninių priemonių pardavimas;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2 pp."/>
                        <w:tag w:val="part_e00b7361c721488f94cc77d57549b83a"/>
                        <w:lock w:val="sdtLocked"/>
                        <w:richText/>
                      </w:sdtPr>
                      <w:sdtContent>
                        <w:p>
                          <w:pPr>
                            <w:ind w:firstLine="709"/>
                            <w:jc w:val="both"/>
                            <w:rPr>
                              <w:rFonts w:eastAsia="Calibri"/>
                              <w:szCs w:val="24"/>
                              <w:lang w:eastAsia="lt-LT"/>
                            </w:rPr>
                          </w:pPr>
                          <w:sdt>
                            <w:sdtPr>
                              <w:alias w:val="Numeris"/>
                              <w:tag w:val="nr_e00b7361c721488f94cc77d57549b83a"/>
                              <w:lock w:val="sdtLocked"/>
                              <w:richText/>
                            </w:sdtPr>
                            <w:sdtContent>
                              <w:r>
                                <w:rPr>
                                  <w:szCs w:val="24"/>
                                  <w:shd w:val="clear" w:color="auto" w:fill="FFFFFF"/>
                                  <w:lang w:eastAsia="lt-LT"/>
                                </w:rPr>
                                <w:t>2.2.2.2</w:t>
                              </w:r>
                            </w:sdtContent>
                          </w:sdt>
                          <w:r>
                            <w:rPr>
                              <w:szCs w:val="24"/>
                              <w:shd w:val="clear" w:color="auto" w:fill="FFFFFF"/>
                              <w:lang w:eastAsia="lt-LT"/>
                            </w:rPr>
                            <w:t>. maisto ir gėlių prekybai turgavietėse ir kitose viešose prekybos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3 pp."/>
                        <w:tag w:val="part_b5b5b65a8d9a41cab9623cc8a46fc6bd"/>
                        <w:lock w:val="sdtLocked"/>
                        <w:richText/>
                      </w:sdtPr>
                      <w:sdtContent>
                        <w:p>
                          <w:pPr>
                            <w:ind w:firstLine="720"/>
                            <w:jc w:val="both"/>
                            <w:rPr>
                              <w:rFonts w:eastAsia="Calibri"/>
                              <w:szCs w:val="24"/>
                              <w:lang w:eastAsia="lt-LT"/>
                            </w:rPr>
                          </w:pPr>
                          <w:sdt>
                            <w:sdtPr>
                              <w:alias w:val="Numeris"/>
                              <w:tag w:val="nr_b5b5b65a8d9a41cab9623cc8a46fc6bd"/>
                              <w:lock w:val="sdtLocked"/>
                              <w:richText/>
                            </w:sdtPr>
                            <w:sdtContent>
                              <w:r>
                                <w:rPr>
                                  <w:szCs w:val="24"/>
                                  <w:lang w:eastAsia="lt-LT"/>
                                </w:rPr>
                                <w:t>2.2.2.3</w:t>
                              </w:r>
                            </w:sdtContent>
                          </w:sdt>
                          <w:r>
                            <w:rPr>
                              <w:szCs w:val="24"/>
                              <w:lang w:eastAsia="lt-LT"/>
                            </w:rPr>
                            <w:t>. nuotolinei (internetinei ar vykdomai kitomis ryšio priemonėmis) prekybai, kai prekės pristatomos fiziniams ir juridiniams asmenims ar atsiimamos atsiėmimo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4 pp."/>
                        <w:tag w:val="part_c42b513d70ed476da843c83f29a28f46"/>
                        <w:lock w:val="sdtLocked"/>
                        <w:richText/>
                      </w:sdtPr>
                      <w:sdtContent>
                        <w:p>
                          <w:pPr>
                            <w:pStyle w:val="PlainText"/>
                            <w:ind w:firstLine="567"/>
                            <w:jc w:val="both"/>
                            <w:rPr>
                              <w:rFonts w:ascii="Times New Roman" w:hAnsi="Times New Roman"/>
                              <w:b/>
                              <w:bCs/>
                              <w:sz w:val="22"/>
                            </w:rPr>
                          </w:pPr>
                          <w:r>
                            <w:rPr>
                              <w:rFonts w:ascii="Times New Roman" w:hAnsi="Times New Roman"/>
                              <w:sz w:val="22"/>
                            </w:rPr>
                            <w:t>2.2.2.4</w:t>
                          </w:r>
                          <w:r>
                            <w:rPr>
                              <w:rFonts w:ascii="Times New Roman" w:hAnsi="Times New Roman"/>
                              <w:sz w:val="22"/>
                            </w:rPr>
                            <w:t>.</w:t>
                          </w:r>
                          <w:r>
                            <w:rPr>
                              <w:rFonts w:ascii="Times New Roman" w:eastAsia="MS Mincho" w:hAnsi="Times New Roman"/>
                              <w:sz w:val="20"/>
                              <w:i/>
                              <w:iCs/>
                            </w:rPr>
                            <w:t xml:space="preserve"> Neteko galios nuo 2021-02-15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5 pp."/>
                        <w:tag w:val="part_4ed5c202d2d04b7d9b5ea4f6f71da4d7"/>
                        <w:lock w:val="sdtLocked"/>
                        <w:richText/>
                      </w:sdtPr>
                      <w:sdtContent>
                        <w:p>
                          <w:pPr>
                            <w:ind w:firstLine="720"/>
                            <w:jc w:val="both"/>
                          </w:pPr>
                          <w:sdt>
                            <w:sdtPr>
                              <w:alias w:val="Numeris"/>
                              <w:tag w:val="nr_4ed5c202d2d04b7d9b5ea4f6f71da4d7"/>
                              <w:lock w:val="sdtLocked"/>
                              <w:richText/>
                            </w:sdtPr>
                            <w:sdtContent>
                              <w:r>
                                <w:rPr>
                                  <w:color w:val="000000"/>
                                  <w:szCs w:val="24"/>
                                  <w:lang w:eastAsia="lt-LT"/>
                                </w:rPr>
                                <w:t>2.2.2.5</w:t>
                              </w:r>
                            </w:sdtContent>
                          </w:sdt>
                          <w:r>
                            <w:rPr>
                              <w:color w:val="000000"/>
                              <w:szCs w:val="24"/>
                              <w:lang w:eastAsia="lt-LT"/>
                            </w:rPr>
                            <w:t>. laidojimo reikmenų parduotuvėms.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6 pp."/>
                        <w:tag w:val="part_c724a702d3c8436cbe436246152980ef"/>
                        <w:lock w:val="sdtLocked"/>
                        <w:richText/>
                      </w:sdtPr>
                      <w:sdtContent>
                        <w:p>
                          <w:pPr>
                            <w:ind w:firstLine="720"/>
                            <w:jc w:val="both"/>
                          </w:pPr>
                          <w:sdt>
                            <w:sdtPr>
                              <w:alias w:val="Numeris"/>
                              <w:tag w:val="nr_c724a702d3c8436cbe436246152980ef"/>
                              <w:lock w:val="sdtLocked"/>
                              <w:richText/>
                            </w:sdtPr>
                            <w:sdtContent>
                              <w:r>
                                <w:rPr>
                                  <w:szCs w:val="24"/>
                                  <w:lang w:eastAsia="lt-LT"/>
                                </w:rPr>
                                <w:t>2.2.2.6</w:t>
                              </w:r>
                            </w:sdtContent>
                          </w:sdt>
                          <w:r>
                            <w:rPr>
                              <w:szCs w:val="24"/>
                              <w:lang w:eastAsia="lt-LT"/>
                            </w:rPr>
                            <w:t>. parduotuvėms ir paviljonams (išskyrus paviljonų kompleksus su dengtu stogu, esančius turgavietėse), turintiems tiesioginį įėjimą iš lauko klientams arba atskirą įėjimą, kuriuo naudojasi tik tos parduotuvės ar paviljono klientai, ir kioskams;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2.7 pp."/>
                        <w:tag w:val="part_628030520a3e4d18b6361f1184e6e8ca"/>
                        <w:lock w:val="sdtLocked"/>
                        <w:richText/>
                      </w:sdtPr>
                      <w:sdtContent>
                        <w:p>
                          <w:pPr>
                            <w:ind w:firstLine="709"/>
                            <w:jc w:val="both"/>
                          </w:pPr>
                          <w:sdt>
                            <w:sdtPr>
                              <w:alias w:val="Numeris"/>
                              <w:tag w:val="nr_628030520a3e4d18b6361f1184e6e8ca"/>
                              <w:lock w:val="sdtLocked"/>
                              <w:richText/>
                            </w:sdtPr>
                            <w:sdtContent>
                              <w:r>
                                <w:rPr>
                                  <w:szCs w:val="24"/>
                                  <w:lang w:eastAsia="lt-LT"/>
                                </w:rPr>
                                <w:t>2.2.2.7</w:t>
                              </w:r>
                            </w:sdtContent>
                          </w:sdt>
                          <w:r>
                            <w:rPr>
                              <w:szCs w:val="24"/>
                              <w:lang w:eastAsia="lt-LT"/>
                            </w:rPr>
                            <w:t>. ne maisto prekių prekybai lauko sąlygomis nuo laikinų prekybos įrenginių, taip pat ne prekybos patalpose sudaromoms sutartims (išnešiojamoji prekyba).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1 pp."/>
                    <w:tag w:val="part_c8a9f2f15e0743538da15ccef84a740f"/>
                    <w:lock w:val="sdtLocked"/>
                    <w:richText/>
                  </w:sdtPr>
                  <w:sdtContent>
                    <w:p>
                      <w:pPr>
                        <w:ind w:firstLine="709"/>
                        <w:jc w:val="both"/>
                        <w:rPr>
                          <w:szCs w:val="24"/>
                          <w:lang w:eastAsia="lt-LT"/>
                        </w:rPr>
                      </w:pPr>
                      <w:sdt>
                        <w:sdtPr>
                          <w:alias w:val="Numeris"/>
                          <w:tag w:val="nr_c8a9f2f15e0743538da15ccef84a740f"/>
                          <w:lock w:val="sdtLocked"/>
                          <w:richText/>
                        </w:sdtPr>
                        <w:sdtContent>
                          <w:r>
                            <w:rPr>
                              <w:szCs w:val="24"/>
                              <w:lang w:eastAsia="lt-LT"/>
                            </w:rPr>
                            <w:t>2.2.2</w:t>
                          </w:r>
                          <w:r>
                            <w:rPr>
                              <w:szCs w:val="24"/>
                              <w:vertAlign w:val="superscript"/>
                              <w:lang w:eastAsia="lt-LT"/>
                            </w:rPr>
                            <w:t>1</w:t>
                          </w:r>
                        </w:sdtContent>
                      </w:sdt>
                      <w:r>
                        <w:rPr>
                          <w:szCs w:val="24"/>
                          <w:lang w:eastAsia="lt-LT"/>
                        </w:rPr>
                        <w:t>. Parduotuvėse, įskaitant parduotuves prekybos ir (arba) pramogų centruose, turgavietėse ir kitose viešose prekybos vietose, kurių veikla nedraudžiama, turi būti užtikrinamas 15 m</w:t>
                      </w:r>
                      <w:r>
                        <w:rPr>
                          <w:szCs w:val="24"/>
                          <w:vertAlign w:val="superscript"/>
                          <w:lang w:eastAsia="lt-LT"/>
                        </w:rPr>
                        <w:t xml:space="preserve">2 </w:t>
                      </w:r>
                      <w:r>
                        <w:rPr>
                          <w:szCs w:val="24"/>
                          <w:lang w:eastAsia="lt-LT"/>
                        </w:rPr>
                        <w:t>prekybos plotas vienam lankytojui arba vienu metu aptarnaujamas ne daugiau kaip vienas asmuo, o parduotuvėse ir prekybos vietose, nurodytose šio nutarimo 2.2.2.6 ir 2.2.2.7 papunkčiuose, – 20 m</w:t>
                      </w:r>
                      <w:r>
                        <w:rPr>
                          <w:szCs w:val="24"/>
                          <w:vertAlign w:val="superscript"/>
                          <w:lang w:eastAsia="lt-LT"/>
                        </w:rPr>
                        <w:t>2</w:t>
                      </w:r>
                      <w:r>
                        <w:rPr>
                          <w:szCs w:val="24"/>
                          <w:lang w:eastAsia="lt-LT"/>
                        </w:rPr>
                        <w:t xml:space="preserve"> prekybos plotas vienam lankytojui arba vienu metu aptarnaujamas ne daugiau kaip vienas asmuo, taip pat turi būti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 pp."/>
                    <w:tag w:val="part_d10665b3036744258afe79aaa4c84bd5"/>
                    <w:lock w:val="sdtLocked"/>
                    <w:richText/>
                  </w:sdtPr>
                  <w:sdtContent>
                    <w:p>
                      <w:pPr>
                        <w:ind w:firstLine="709"/>
                        <w:jc w:val="both"/>
                        <w:rPr>
                          <w:szCs w:val="24"/>
                          <w:lang w:eastAsia="lt-LT"/>
                        </w:rPr>
                      </w:pPr>
                      <w:sdt>
                        <w:sdtPr>
                          <w:alias w:val="Numeris"/>
                          <w:tag w:val="nr_d10665b3036744258afe79aaa4c84bd5"/>
                          <w:lock w:val="sdtLocked"/>
                          <w:richText/>
                        </w:sdtPr>
                        <w:sdtContent>
                          <w:r>
                            <w:rPr>
                              <w:szCs w:val="24"/>
                              <w:lang w:eastAsia="lt-LT"/>
                            </w:rPr>
                            <w:t>2.2.3</w:t>
                          </w:r>
                        </w:sdtContent>
                      </w:sdt>
                      <w:r>
                        <w:rPr>
                          <w:szCs w:val="24"/>
                          <w:lang w:eastAsia="lt-LT"/>
                        </w:rPr>
                        <w:t>. Draudžiama teikti paslaugas, kurių teikimo metu būtinas ilgesnis nei 15 minučių kontaktas tarp paslaugos teikėjo ir paslaugos gavėjo. Šis draudimas netaikomas:</w:t>
                      </w:r>
                    </w:p>
                    <w:sdt>
                      <w:sdtPr>
                        <w:alias w:val="2.2.3.1 pp."/>
                        <w:tag w:val="part_b70005d735544c8eb12101c057c4b488"/>
                        <w:lock w:val="sdtLocked"/>
                        <w:richText/>
                      </w:sdtPr>
                      <w:sdtContent>
                        <w:p>
                          <w:pPr>
                            <w:ind w:firstLine="709"/>
                            <w:jc w:val="both"/>
                            <w:rPr>
                              <w:szCs w:val="24"/>
                              <w:lang w:eastAsia="lt-LT"/>
                            </w:rPr>
                          </w:pPr>
                          <w:sdt>
                            <w:sdtPr>
                              <w:alias w:val="Numeris"/>
                              <w:tag w:val="nr_b70005d735544c8eb12101c057c4b488"/>
                              <w:lock w:val="sdtLocked"/>
                              <w:richText/>
                            </w:sdtPr>
                            <w:sdtContent>
                              <w:r>
                                <w:rPr>
                                  <w:szCs w:val="24"/>
                                  <w:shd w:val="clear" w:color="auto" w:fill="FFFFFF"/>
                                  <w:lang w:eastAsia="lt-LT"/>
                                </w:rPr>
                                <w:t>2.2.3.1</w:t>
                              </w:r>
                            </w:sdtContent>
                          </w:sdt>
                          <w:r>
                            <w:rPr>
                              <w:szCs w:val="24"/>
                              <w:shd w:val="clear" w:color="auto" w:fill="FFFFFF"/>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w:t>
                          </w:r>
                          <w:r>
                            <w:rPr>
                              <w:szCs w:val="24"/>
                              <w:lang w:eastAsia="lt-LT"/>
                            </w:rPr>
                            <w:t xml:space="preserve"> transporto priemonių vairavimo egzaminavimo paslaugoms,</w:t>
                          </w:r>
                          <w:r>
                            <w:rPr>
                              <w:szCs w:val="24"/>
                              <w:shd w:val="clear" w:color="auto" w:fill="FFFFFF"/>
                              <w:lang w:eastAsia="lt-LT"/>
                            </w:rPr>
                            <w:t xml:space="preserve"> finansinėms paslaugoms ir kvalifikuotų patikimumo užtikrinimo paslaugų teikėjų sudarytų kvalifikuotų sertifikatų išdavimo paslaugoms, kurių neįmanoma suteikti nuotoliniu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3.2 pp."/>
                        <w:tag w:val="part_82b7f806d5cb42b99ff64b717a30f5e2"/>
                        <w:lock w:val="sdtLocked"/>
                        <w:richText/>
                      </w:sdtPr>
                      <w:sdtContent>
                        <w:p>
                          <w:pPr>
                            <w:ind w:firstLine="709"/>
                            <w:jc w:val="both"/>
                            <w:rPr>
                              <w:szCs w:val="24"/>
                              <w:lang w:eastAsia="lt-LT"/>
                            </w:rPr>
                          </w:pPr>
                          <w:sdt>
                            <w:sdtPr>
                              <w:alias w:val="Numeris"/>
                              <w:tag w:val="nr_82b7f806d5cb42b99ff64b717a30f5e2"/>
                              <w:lock w:val="sdtLocked"/>
                              <w:richText/>
                            </w:sdtPr>
                            <w:sdtContent>
                              <w:r>
                                <w:rPr>
                                  <w:szCs w:val="24"/>
                                  <w:lang w:eastAsia="lt-LT"/>
                                </w:rPr>
                                <w:t>2.2.3.2</w:t>
                              </w:r>
                            </w:sdtContent>
                          </w:sdt>
                          <w:r>
                            <w:rPr>
                              <w:szCs w:val="24"/>
                              <w:lang w:eastAsia="lt-LT"/>
                            </w:rPr>
                            <w:t>. individualioms paslaugoms, kurių teikimo metu yra kontaktas tik tarp vieno paslaugos teikėjo ir vieno paslaugos gavėjo, jeigu jos nėra tiesiogiai uždraustos šiuo nutarimu;</w:t>
                          </w:r>
                        </w:p>
                      </w:sdtContent>
                    </w:sdt>
                    <w:sdt>
                      <w:sdtPr>
                        <w:alias w:val="2.2.3.3 pp."/>
                        <w:tag w:val="part_df7a0781d93942329624b7cac5cf881a"/>
                        <w:lock w:val="sdtLocked"/>
                        <w:richText/>
                      </w:sdtPr>
                      <w:sdtContent>
                        <w:p>
                          <w:pPr>
                            <w:ind w:firstLine="709"/>
                            <w:jc w:val="both"/>
                          </w:pPr>
                          <w:sdt>
                            <w:sdtPr>
                              <w:alias w:val="Numeris"/>
                              <w:tag w:val="nr_df7a0781d93942329624b7cac5cf881a"/>
                              <w:lock w:val="sdtLocked"/>
                              <w:richText/>
                            </w:sdtPr>
                            <w:sdtContent>
                              <w:r>
                                <w:rPr>
                                  <w:szCs w:val="24"/>
                                  <w:lang w:eastAsia="lt-LT"/>
                                </w:rPr>
                                <w:t>2.2.3.3</w:t>
                              </w:r>
                            </w:sdtContent>
                          </w:sdt>
                          <w:r>
                            <w:rPr>
                              <w:szCs w:val="24"/>
                              <w:lang w:eastAsia="lt-LT"/>
                            </w:rPr>
                            <w:t>. paslaugoms, kurias leidžiama teikti pagal šio nutarimo 2.1.6, 2.2.4, 2.2.6, 2.2.6</w:t>
                          </w:r>
                          <w:r>
                            <w:rPr>
                              <w:szCs w:val="24"/>
                              <w:vertAlign w:val="superscript"/>
                              <w:lang w:eastAsia="lt-LT"/>
                            </w:rPr>
                            <w:t>1</w:t>
                          </w:r>
                          <w:r>
                            <w:rPr>
                              <w:szCs w:val="24"/>
                              <w:lang w:eastAsia="lt-LT"/>
                            </w:rPr>
                            <w:t>, 2.2.7, 2.2.9–2.2.11 papunkčius.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1 pp."/>
                    <w:tag w:val="part_bf208820155443dcb7ffe5c75fbc49e1"/>
                    <w:lock w:val="sdtLocked"/>
                    <w:richText/>
                  </w:sdtPr>
                  <w:sdtContent>
                    <w:p>
                      <w:pPr>
                        <w:ind w:firstLine="720"/>
                        <w:jc w:val="both"/>
                        <w:rPr>
                          <w:szCs w:val="24"/>
                          <w:lang w:eastAsia="lt-LT"/>
                        </w:rPr>
                      </w:pPr>
                      <w:sdt>
                        <w:sdtPr>
                          <w:alias w:val="Numeris"/>
                          <w:tag w:val="nr_bf208820155443dcb7ffe5c75fbc49e1"/>
                          <w:lock w:val="sdtLocked"/>
                          <w:richText/>
                        </w:sdt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2.2.6</w:t>
                      </w:r>
                      <w:r>
                        <w:rPr>
                          <w:szCs w:val="24"/>
                          <w:vertAlign w:val="superscript"/>
                          <w:lang w:eastAsia="lt-LT"/>
                        </w:rPr>
                        <w:t>1</w:t>
                      </w:r>
                      <w:r>
                        <w:rPr>
                          <w:szCs w:val="24"/>
                          <w:lang w:eastAsia="lt-LT"/>
                        </w:rPr>
                        <w:t>.3, 2.2.9–2.2.11 papunkčiuose, teikimo vietas), kai paslaugos teikimo metu būtinas trumpesnis nei 15 minučių kontaktas tarp paslaugos teikėjo ir paslaugos gavėjo, turi būti užtikrinamas 10 m</w:t>
                      </w:r>
                      <w:r>
                        <w:rPr>
                          <w:szCs w:val="24"/>
                          <w:vertAlign w:val="superscript"/>
                          <w:lang w:eastAsia="lt-LT"/>
                        </w:rPr>
                        <w:t>2</w:t>
                      </w:r>
                      <w:r>
                        <w:rPr>
                          <w:szCs w:val="24"/>
                          <w:lang w:eastAsia="lt-LT"/>
                        </w:rPr>
                        <w:t>, o kai paslaugos teikimo metu būtinas ilgesnis nei 15 minučių kontaktas tarp paslaugos teikėjo ir paslaugos gavėjo, – 20 m</w:t>
                      </w:r>
                      <w:r>
                        <w:rPr>
                          <w:szCs w:val="24"/>
                          <w:vertAlign w:val="superscript"/>
                          <w:lang w:eastAsia="lt-LT"/>
                        </w:rPr>
                        <w:t>2</w:t>
                      </w:r>
                      <w:r>
                        <w:rPr>
                          <w:szCs w:val="24"/>
                          <w:lang w:eastAsia="lt-LT"/>
                        </w:rPr>
                        <w:t xml:space="preserve"> paslaugos teikimo plotas vienam paslaugos gavėjui, arba jei patalpos, kurioje teikiama paslauga konkrečiam paslaugos gavėjui, plotas yra mažesnis nei 20 m</w:t>
                      </w:r>
                      <w:r>
                        <w:rPr>
                          <w:szCs w:val="24"/>
                          <w:vertAlign w:val="superscript"/>
                          <w:lang w:eastAsia="lt-LT"/>
                        </w:rPr>
                        <w:t>2</w:t>
                      </w:r>
                      <w:r>
                        <w:rPr>
                          <w:szCs w:val="24"/>
                          <w:lang w:eastAsia="lt-LT"/>
                        </w:rPr>
                        <w:t>, vienu metu aptarnaujamas ne daugiau kaip vienas paslaugos gavėjas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3-2 pp."/>
                    <w:tag w:val="part_b5c892c74f5e46adb1422317b63c6a6d"/>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abeacd8a842043c3853d33000c89a399"/>
                    <w:lock w:val="sdtLocked"/>
                    <w:richText/>
                  </w:sdtPr>
                  <w:sdtContent>
                    <w:p>
                      <w:pPr>
                        <w:pStyle w:val="PlainText"/>
                        <w:ind w:firstLine="567"/>
                        <w:jc w:val="both"/>
                        <w:rPr>
                          <w:rFonts w:ascii="Times New Roman" w:hAnsi="Times New Roman"/>
                          <w:b/>
                          <w:bCs/>
                          <w:sz w:val="22"/>
                        </w:rPr>
                      </w:pPr>
                      <w:r>
                        <w:rPr>
                          <w:rFonts w:ascii="Times New Roman" w:hAnsi="Times New Roman"/>
                          <w:sz w:val="22"/>
                        </w:rPr>
                        <w:t>2.2.5</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 pp."/>
                    <w:tag w:val="part_4e4a4951e7a145eca1e7f6c92ee4b141"/>
                    <w:lock w:val="sdtLocked"/>
                    <w:richText/>
                  </w:sdtPr>
                  <w:sdtContent>
                    <w:p>
                      <w:pPr>
                        <w:ind w:firstLine="720"/>
                        <w:jc w:val="both"/>
                        <w:textAlignment w:val="baseline"/>
                        <w:rPr>
                          <w:szCs w:val="24"/>
                          <w:lang w:eastAsia="lt-LT"/>
                        </w:rPr>
                      </w:pPr>
                      <w:sdt>
                        <w:sdtPr>
                          <w:alias w:val="Numeris"/>
                          <w:tag w:val="nr_4e4a4951e7a145eca1e7f6c92ee4b141"/>
                          <w:lock w:val="sdtLocked"/>
                          <w:richText/>
                        </w:sdtPr>
                        <w:sdtContent>
                          <w:r>
                            <w:rPr>
                              <w:szCs w:val="24"/>
                              <w:lang w:eastAsia="lt-LT"/>
                            </w:rPr>
                            <w:t>2.2.6</w:t>
                          </w:r>
                        </w:sdtContent>
                      </w:sdt>
                      <w:r>
                        <w:rPr>
                          <w:szCs w:val="24"/>
                          <w:lang w:eastAsia="lt-LT"/>
                        </w:rPr>
                        <w:t xml:space="preserve">.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w:t>
                      </w:r>
                    </w:p>
                    <w:sdt>
                      <w:sdtPr>
                        <w:alias w:val="2.2.6.1 pp."/>
                        <w:tag w:val="part_b8662eb601a74e138639d1a7f344e201"/>
                        <w:lock w:val="sdtLocked"/>
                        <w:richText/>
                      </w:sdtPr>
                      <w:sdtContent>
                        <w:p>
                          <w:pPr>
                            <w:ind w:firstLine="720"/>
                            <w:jc w:val="both"/>
                            <w:textAlignment w:val="baseline"/>
                            <w:rPr>
                              <w:szCs w:val="24"/>
                              <w:lang w:eastAsia="lt-LT"/>
                            </w:rPr>
                          </w:pPr>
                          <w:sdt>
                            <w:sdtPr>
                              <w:alias w:val="Numeris"/>
                              <w:tag w:val="nr_b8662eb601a74e138639d1a7f344e201"/>
                              <w:lock w:val="sdtLocked"/>
                              <w:richText/>
                            </w:sdtPr>
                            <w:sdtContent>
                              <w:r>
                                <w:rPr>
                                  <w:szCs w:val="24"/>
                                  <w:lang w:eastAsia="lt-LT"/>
                                </w:rPr>
                                <w:t>2.2.6.1</w:t>
                              </w:r>
                            </w:sdtContent>
                          </w:sdt>
                          <w:r>
                            <w:rPr>
                              <w:szCs w:val="24"/>
                              <w:lang w:eastAsia="lt-LT"/>
                            </w:rPr>
                            <w:t>.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6.2 pp."/>
                        <w:tag w:val="part_51a14c8d184e4762be23e46e4fe84613"/>
                        <w:lock w:val="sdtLocked"/>
                        <w:richText/>
                      </w:sdtPr>
                      <w:sdtContent>
                        <w:p>
                          <w:pPr>
                            <w:ind w:firstLine="720"/>
                            <w:jc w:val="both"/>
                            <w:textAlignment w:val="baseline"/>
                          </w:pPr>
                          <w:sdt>
                            <w:sdtPr>
                              <w:alias w:val="Numeris"/>
                              <w:tag w:val="nr_51a14c8d184e4762be23e46e4fe84613"/>
                              <w:lock w:val="sdtLocked"/>
                              <w:richText/>
                            </w:sdtPr>
                            <w:sdtContent>
                              <w:r>
                                <w:rPr>
                                  <w:szCs w:val="24"/>
                                  <w:lang w:eastAsia="lt-LT"/>
                                </w:rPr>
                                <w:t>2.2.6.2</w:t>
                              </w:r>
                            </w:sdtContent>
                          </w:sdt>
                          <w:r>
                            <w:rPr>
                              <w:szCs w:val="24"/>
                              <w:lang w:eastAsia="lt-LT"/>
                            </w:rPr>
                            <w:t>. lauko slidinėjimo trasų paslaugas, užtikrinant bilietų platinimą elektroniniu būdu ir išankstinę lankytojų registraciją. Teikti slidinėjimo įrangos nuomos ir kitas nei slidinėjimo trasų paslaugas lauko slidinėjimo trasų paslaugų teikimo vietose draudžiama.</w:t>
                          </w:r>
                          <w:r>
                            <w:rPr>
                              <w:b/>
                              <w:bCs/>
                              <w:szCs w:val="24"/>
                              <w:lang w:eastAsia="lt-LT"/>
                            </w:rPr>
                            <w:t xml:space="preserve"> </w:t>
                          </w:r>
                          <w:r>
                            <w:rPr>
                              <w:szCs w:val="24"/>
                              <w:lang w:eastAsia="lt-LT"/>
                            </w:rPr>
                            <w:t>Slidinėjimo trasų paslaugų teikimo vietoje turi būti užtikrintas lankytojų srauto ribojimas – didžiausias vienu metu leidžiamas lankytojų skaičius apskaičiuojamas pagal veikiančių keltuvų skaičių: vienam keltuvui gali tekti ne daugiau kaip 30 lankytojų.</w:t>
                          </w:r>
                        </w:p>
                      </w:sdtContent>
                    </w:sdt>
                    <w:sdt>
                      <w:sdtPr>
                        <w:alias w:val="2.2.6.3 pp."/>
                        <w:tag w:val="part_e3e19ea0f6b545cd82ba9058ccda5962"/>
                        <w:lock w:val="sdtLocked"/>
                        <w:richText/>
                      </w:sdtPr>
                      <w:sdtContent>
                        <w:p>
                          <w:pPr>
                            <w:ind w:firstLine="720"/>
                            <w:jc w:val="both"/>
                          </w:pPr>
                          <w:sdt>
                            <w:sdtPr>
                              <w:alias w:val="Numeris"/>
                              <w:tag w:val="nr_e3e19ea0f6b545cd82ba9058ccda5962"/>
                              <w:lock w:val="sdtLocked"/>
                              <w:richText/>
                            </w:sdtPr>
                            <w:sdtContent>
                              <w:r>
                                <w:rPr>
                                  <w:szCs w:val="24"/>
                                  <w:lang w:eastAsia="lt-LT"/>
                                </w:rPr>
                                <w:t>2.2.6.3</w:t>
                              </w:r>
                            </w:sdtContent>
                          </w:sdt>
                          <w:r>
                            <w:rPr>
                              <w:szCs w:val="24"/>
                              <w:lang w:eastAsia="lt-LT"/>
                            </w:rPr>
                            <w:t>. sporto, laisvalaikio ir pramogų paslaugas atvirose erdvėse, vienu metu teikiamas ne daugiau kaip 10 asmenų, išskyrus dviejų šeimų ir (ar) dviejų namų ūkių narius, ir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4 pp."/>
                        <w:tag w:val="part_73f33e3883fe47e19c66697ad1d18d7d"/>
                        <w:lock w:val="sdtLocked"/>
                        <w:richText/>
                      </w:sdtPr>
                      <w:sdtContent>
                        <w:p>
                          <w:pPr>
                            <w:ind w:firstLine="720"/>
                            <w:jc w:val="both"/>
                          </w:pPr>
                          <w:sdt>
                            <w:sdtPr>
                              <w:alias w:val="Numeris"/>
                              <w:tag w:val="nr_73f33e3883fe47e19c66697ad1d18d7d"/>
                              <w:lock w:val="sdtLocked"/>
                              <w:richText/>
                            </w:sdtPr>
                            <w:sdtContent>
                              <w:r>
                                <w:rPr>
                                  <w:szCs w:val="24"/>
                                  <w:lang w:eastAsia="lt-LT"/>
                                </w:rPr>
                                <w:t>2.2.6.4</w:t>
                              </w:r>
                            </w:sdtContent>
                          </w:sdt>
                          <w:r>
                            <w:rPr>
                              <w:szCs w:val="24"/>
                              <w:lang w:eastAsia="lt-LT"/>
                            </w:rPr>
                            <w:t>. baseinų ir pirčių paslaugas, teikiamas kaimo turizmo sodybose ne daugiau kaip vienos šeimos ir (ar) vieno namų ūkio nariams,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8b510649311eb9dc7b575f08e8be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2021-02-01,
paskelbta TAR 2021-02-01, i. k. 2021-01740            </w:t>
                      </w:r>
                    </w:p>
                    <w:p/>
                  </w:sdtContent>
                </w:sdt>
                <w:sdt>
                  <w:sdtPr>
                    <w:alias w:val="2.2.6-1 pp."/>
                    <w:tag w:val="part_6d3faa262bae435b87971752c41b6abd"/>
                    <w:lock w:val="sdtLocked"/>
                    <w:richText/>
                  </w:sdtPr>
                  <w:sdtContent>
                    <w:p>
                      <w:pPr>
                        <w:tabs>
                          <w:tab w:val="left" w:pos="1134"/>
                        </w:tabs>
                        <w:ind w:firstLine="709"/>
                        <w:jc w:val="both"/>
                        <w:rPr>
                          <w:strike/>
                          <w:szCs w:val="24"/>
                          <w:lang w:eastAsia="lt-LT"/>
                        </w:rPr>
                      </w:pPr>
                      <w:sdt>
                        <w:sdtPr>
                          <w:alias w:val="Numeris"/>
                          <w:tag w:val="nr_6d3faa262bae435b87971752c41b6abd"/>
                          <w:lock w:val="sdtLocked"/>
                          <w:richText/>
                        </w:sdtPr>
                        <w:sdtContent>
                          <w:r>
                            <w:rPr>
                              <w:szCs w:val="24"/>
                              <w:lang w:eastAsia="lt-LT"/>
                            </w:rPr>
                            <w:t>2.2.6</w:t>
                          </w:r>
                          <w:r>
                            <w:rPr>
                              <w:szCs w:val="24"/>
                              <w:vertAlign w:val="superscript"/>
                              <w:lang w:eastAsia="lt-LT"/>
                            </w:rPr>
                            <w:t>1</w:t>
                          </w:r>
                        </w:sdtContent>
                      </w:sdt>
                      <w:r>
                        <w:rPr>
                          <w:szCs w:val="24"/>
                          <w:lang w:eastAsia="lt-LT"/>
                        </w:rPr>
                        <w:t xml:space="preserve">. Draudžiamas kultūros įstaigų lankymas ir fizinis lankytojų aptarnavimas, išskyrus </w:t>
                      </w:r>
                      <w:r>
                        <w:rPr>
                          <w:color w:val="000000"/>
                          <w:szCs w:val="24"/>
                          <w:shd w:val="clear" w:color="auto" w:fill="FFFFFF"/>
                          <w:lang w:eastAsia="lt-LT"/>
                        </w:rPr>
                        <w:t xml:space="preserve">atvejus, kai užtikrinamos </w:t>
                      </w:r>
                      <w:r>
                        <w:rPr>
                          <w:szCs w:val="24"/>
                          <w:lang w:eastAsia="lt-LT"/>
                        </w:rPr>
                        <w:t>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6-1.1 pp."/>
                        <w:tag w:val="part_d3f90748b559456b88f325a9dc4421a1"/>
                        <w:lock w:val="sdtLocked"/>
                        <w:richText/>
                      </w:sdtPr>
                      <w:sdtContent>
                        <w:p>
                          <w:pPr>
                            <w:tabs>
                              <w:tab w:val="left" w:pos="1134"/>
                            </w:tabs>
                            <w:ind w:firstLine="709"/>
                            <w:jc w:val="both"/>
                            <w:rPr>
                              <w:strike/>
                              <w:szCs w:val="24"/>
                              <w:lang w:eastAsia="lt-LT"/>
                            </w:rPr>
                          </w:pPr>
                          <w:sdt>
                            <w:sdtPr>
                              <w:alias w:val="Numeris"/>
                              <w:tag w:val="nr_d3f90748b559456b88f325a9dc4421a1"/>
                              <w:lock w:val="sdtLocked"/>
                              <w:richText/>
                            </w:sdtPr>
                            <w:sdtContent>
                              <w:r>
                                <w:rPr>
                                  <w:color w:val="000000"/>
                                  <w:szCs w:val="24"/>
                                  <w:shd w:val="clear" w:color="auto" w:fill="FFFFFF"/>
                                  <w:lang w:eastAsia="lt-LT"/>
                                </w:rPr>
                                <w:t>2.2.6</w:t>
                              </w:r>
                              <w:r>
                                <w:rPr>
                                  <w:color w:val="000000"/>
                                  <w:szCs w:val="24"/>
                                  <w:shd w:val="clear" w:color="auto" w:fill="FFFFFF"/>
                                  <w:vertAlign w:val="superscript"/>
                                  <w:lang w:eastAsia="lt-LT"/>
                                </w:rPr>
                                <w:t>1</w:t>
                              </w:r>
                              <w:r>
                                <w:rPr>
                                  <w:color w:val="000000"/>
                                  <w:szCs w:val="24"/>
                                  <w:shd w:val="clear" w:color="auto" w:fill="FFFFFF"/>
                                  <w:lang w:eastAsia="lt-LT"/>
                                </w:rPr>
                                <w:t>.1</w:t>
                              </w:r>
                            </w:sdtContent>
                          </w:sdt>
                          <w:r>
                            <w:rPr>
                              <w:color w:val="000000"/>
                              <w:szCs w:val="24"/>
                              <w:shd w:val="clear" w:color="auto" w:fill="FFFFFF"/>
                              <w:lang w:eastAsia="lt-LT"/>
                            </w:rPr>
                            <w:t>. fiziškai aptarnaujami lankytojai bibliotekose;</w:t>
                          </w:r>
                        </w:p>
                      </w:sdtContent>
                    </w:sdt>
                    <w:sdt>
                      <w:sdtPr>
                        <w:alias w:val="2.2.6-1.2 pp."/>
                        <w:tag w:val="part_e64a6bebfac1467681cebe2984734dad"/>
                        <w:lock w:val="sdtLocked"/>
                        <w:richText/>
                      </w:sdtPr>
                      <w:sdtContent>
                        <w:p>
                          <w:pPr>
                            <w:ind w:firstLine="709"/>
                            <w:jc w:val="both"/>
                            <w:rPr>
                              <w:szCs w:val="24"/>
                              <w:lang w:eastAsia="lt-LT"/>
                            </w:rPr>
                          </w:pPr>
                          <w:sdt>
                            <w:sdtPr>
                              <w:alias w:val="Numeris"/>
                              <w:tag w:val="nr_e64a6bebfac1467681cebe2984734dad"/>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.2</w:t>
                              </w:r>
                            </w:sdtContent>
                          </w:sdt>
                          <w:r>
                            <w:rPr>
                              <w:szCs w:val="24"/>
                              <w:shd w:val="clear" w:color="auto" w:fill="FFFFFF"/>
                              <w:lang w:eastAsia="lt-LT"/>
                            </w:rPr>
                            <w:t xml:space="preserve">. lankomi pažintiniai ir mokomieji takai, parkai, muziejai, galerijos ir kitos ekspozicinės erdvės, zoologijos ir botanikos sodai, esantys atvirose lauko erdvėse, ne didesnėmis nei 5 asmenų grupėmis, išskyrus </w:t>
                          </w:r>
                          <w:r>
                            <w:rPr>
                              <w:szCs w:val="24"/>
                              <w:lang w:eastAsia="lt-LT"/>
                            </w:rPr>
                            <w:t xml:space="preserve">dviejų šeimų ir (ar) dviejų namų ūkių </w:t>
                          </w:r>
                          <w:r>
                            <w:rPr>
                              <w:szCs w:val="24"/>
                              <w:shd w:val="clear" w:color="auto" w:fill="FFFFFF"/>
                              <w:lang w:eastAsia="lt-LT"/>
                            </w:rPr>
                            <w:t>narius.</w:t>
                          </w:r>
                          <w:r>
                            <w:t xml:space="preserve"> </w:t>
                          </w:r>
                        </w:p>
                      </w:sdtContent>
                    </w:sdt>
                    <w:sdt>
                      <w:sdtPr>
                        <w:alias w:val="2.2.6-1.3 pp."/>
                        <w:tag w:val="part_a55c21e2666f4594a04c2b4f12a30bff"/>
                        <w:lock w:val="sdtLocked"/>
                        <w:richText/>
                      </w:sdtPr>
                      <w:sdtContent>
                        <w:p>
                          <w:pPr>
                            <w:tabs>
                              <w:tab w:val="left" w:pos="1134"/>
                            </w:tabs>
                            <w:ind w:firstLine="709"/>
                            <w:jc w:val="both"/>
                            <w:rPr>
                              <w:szCs w:val="24"/>
                              <w:lang w:eastAsia="lt-LT"/>
                            </w:rPr>
                          </w:pPr>
                          <w:sdt>
                            <w:sdtPr>
                              <w:alias w:val="Numeris"/>
                              <w:tag w:val="nr_a55c21e2666f4594a04c2b4f12a30bff"/>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.3</w:t>
                              </w:r>
                            </w:sdtContent>
                          </w:sdt>
                          <w:r>
                            <w:rPr>
                              <w:szCs w:val="24"/>
                              <w:shd w:val="clear" w:color="auto" w:fill="FFFFFF"/>
                              <w:lang w:eastAsia="lt-LT"/>
                            </w:rPr>
                            <w:t>. lankomi uždarose erdvėse esantys muziejai, galerijos ir kitos ekspozicinės erdvės, zoologijos ir botanikos sodai, užtikrinant lankytojų srauto ribojimą, – didžiausias vienu metu leidžiamas lankytojų skaičius apskaičiuojamas pagal viešai lankomą plotą, kad vienam lankytojui tektų ne mažiau kaip 20 m</w:t>
                          </w:r>
                          <w:r>
                            <w:rPr>
                              <w:szCs w:val="24"/>
                              <w:shd w:val="clear" w:color="auto" w:fill="FFFFFF"/>
                              <w:vertAlign w:val="superscript"/>
                              <w:lang w:eastAsia="lt-LT"/>
                            </w:rPr>
                            <w:t>2</w:t>
                          </w:r>
                          <w:r>
                            <w:rPr>
                              <w:szCs w:val="24"/>
                              <w:shd w:val="clear" w:color="auto" w:fill="FFFFFF"/>
                              <w:lang w:eastAsia="lt-LT"/>
                            </w:rPr>
                            <w:t> ploto.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sdtContent>
                    </w:sdt>
                    <w:sdt>
                      <w:sdtPr>
                        <w:alias w:val="2.2.6-1.4 pp."/>
                        <w:tag w:val="part_4451ec9abf83478e92456411b1048700"/>
                        <w:lock w:val="sdtLocked"/>
                        <w:richText/>
                      </w:sdtPr>
                      <w:sdtContent>
                        <w:p>
                          <w:pPr>
                            <w:ind w:firstLine="720"/>
                            <w:jc w:val="both"/>
                            <w:rPr>
                              <w:szCs w:val="24"/>
                              <w:lang w:eastAsia="lt-LT"/>
                            </w:rPr>
                          </w:pPr>
                          <w:sdt>
                            <w:sdtPr>
                              <w:alias w:val="Numeris"/>
                              <w:tag w:val="nr_4451ec9abf83478e92456411b1048700"/>
                              <w:lock w:val="sdtLocked"/>
                              <w:richText/>
                            </w:sdtPr>
                            <w:sdtContent>
                              <w:r>
                                <w:rPr>
                                  <w:szCs w:val="24"/>
                                  <w:lang w:eastAsia="lt-LT"/>
                                </w:rPr>
                                <w:t>2.2.6</w:t>
                              </w:r>
                              <w:r>
                                <w:rPr>
                                  <w:szCs w:val="24"/>
                                  <w:vertAlign w:val="superscript"/>
                                  <w:lang w:eastAsia="lt-LT"/>
                                </w:rPr>
                                <w:t>1</w:t>
                              </w:r>
                              <w:r>
                                <w:rPr>
                                  <w:szCs w:val="24"/>
                                  <w:lang w:eastAsia="lt-LT"/>
                                </w:rPr>
                                <w:t>.4</w:t>
                              </w:r>
                            </w:sdtContent>
                          </w:sdt>
                          <w:r>
                            <w:rPr>
                              <w:szCs w:val="24"/>
                              <w:lang w:eastAsia="lt-LT"/>
                            </w:rPr>
                            <w:t>. fiziškai aptarnaujami lankytojai bibliotekų ir valstybės archyvų skaityklose ne didesnėmis nei 2 asmenų grupėmis,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8.3 pp."/>
                        <w:tag w:val="part_7d231989b2e4468fa9ad5d6543c8cf73"/>
                        <w:lock w:val="sdtLocked"/>
                        <w:richText/>
                      </w:sdtPr>
                      <w:sdtContent>
                        <w:p>
                          <w:pPr>
                            <w:ind w:firstLine="709"/>
                            <w:jc w:val="both"/>
                            <w:rPr>
                              <w:bCs/>
                              <w:szCs w:val="24"/>
                              <w:lang w:eastAsia="lt-LT"/>
                            </w:rPr>
                          </w:pPr>
                          <w:sdt>
                            <w:sdtPr>
                              <w:alias w:val="Numeris"/>
                              <w:tag w:val="nr_7d231989b2e4468fa9ad5d6543c8cf73"/>
                              <w:lock w:val="sdtLocked"/>
                              <w:richText/>
                            </w:sdtPr>
                            <w:sdtContent>
                              <w:r>
                                <w:rPr>
                                  <w:color w:val="000000"/>
                                  <w:szCs w:val="24"/>
                                  <w:shd w:val="clear" w:color="auto" w:fill="FFFFFF"/>
                                  <w:lang w:eastAsia="lt-LT"/>
                                </w:rPr>
                                <w:t>2.2.8.3</w:t>
                              </w:r>
                            </w:sdtContent>
                          </w:sdt>
                          <w:r>
                            <w:rPr>
                              <w:color w:val="000000"/>
                              <w:szCs w:val="24"/>
                              <w:shd w:val="clear" w:color="auto" w:fill="FFFFFF"/>
                              <w:lang w:eastAsia="lt-LT"/>
                            </w:rPr>
                            <w:t>. renginius, kurių metu neišlipama iš automobilio ir automobilyje yra ne daugiau nei 2 asmenys, išskyrus vienos šeimos ir (ar) vieno namų ūkio narius,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fd47e64f3b5c4d50aad5c23939844d51"/>
                        <w:lock w:val="sdtLocked"/>
                        <w:richText/>
                      </w:sdtPr>
                      <w:sdtContent>
                        <w:p>
                          <w:pPr>
                            <w:ind w:firstLine="720"/>
                            <w:jc w:val="both"/>
                          </w:pPr>
                          <w:sdt>
                            <w:sdtPr>
                              <w:alias w:val="Numeris"/>
                              <w:tag w:val="nr_fd47e64f3b5c4d50aad5c23939844d51"/>
                              <w:lock w:val="sdtLocked"/>
                              <w:richText/>
                            </w:sdtPr>
                            <w:sdtContent>
                              <w:r>
                                <w:rPr>
                                  <w:szCs w:val="24"/>
                                  <w:lang w:eastAsia="lt-LT"/>
                                </w:rPr>
                                <w:t>2.2.9.2</w:t>
                              </w:r>
                            </w:sdtContent>
                          </w:sdt>
                          <w:r>
                            <w:rPr>
                              <w:szCs w:val="24"/>
                              <w:lang w:eastAsia="lt-LT"/>
                            </w:rPr>
                            <w:t>.</w:t>
                          </w:r>
                          <w:r>
                            <w:rPr>
                              <w:rFonts w:eastAsia="Calibri"/>
                              <w:color w:val="201F1E"/>
                              <w:szCs w:val="24"/>
                              <w:lang w:eastAsia="lt-LT"/>
                            </w:rPr>
                            <w:t xml:space="preserve"> </w:t>
                          </w:r>
                          <w:r>
                            <w:rPr>
                              <w:color w:val="000000"/>
                              <w:szCs w:val="24"/>
                              <w:lang w:eastAsia="lt-LT"/>
                            </w:rPr>
                            <w:t xml:space="preserve">ugdymas mokyklose pagal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ir kai organizuojamos konsultacijos ne daugiau kaip 5 vidurinio ugdymo programos baigiamosios klasės mokiniams, </w:t>
                          </w:r>
                          <w:r>
                            <w:rPr>
                              <w:bCs/>
                              <w:color w:val="000000"/>
                              <w:szCs w:val="24"/>
                              <w:lang w:eastAsia="lt-LT"/>
                            </w:rPr>
                            <w:t>taip pat egzaminus mokiniams, kurie baigia vidurinio ugdymo programą pagal užsienio valstybių ir tarptautinių organizacijų švietimo programas, kai egzamine vienoje patalpoje dalyvauja ne daugiau kaip 5 mokiniai,</w:t>
                          </w:r>
                          <w:r>
                            <w:rPr>
                              <w:b/>
                              <w:color w:val="000000"/>
                              <w:szCs w:val="24"/>
                              <w:lang w:eastAsia="lt-LT"/>
                            </w:rPr>
                            <w:t xml:space="preserve"> </w:t>
                          </w:r>
                          <w:r>
                            <w:rPr>
                              <w:color w:val="000000"/>
                              <w:szCs w:val="24"/>
                              <w:lang w:eastAsia="lt-LT"/>
                            </w:rPr>
                            <w:t>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2-1 pp."/>
                        <w:tag w:val="part_d23d12b0e1234180a63c59915d59b243"/>
                        <w:lock w:val="sdtLocked"/>
                        <w:richText/>
                      </w:sdtPr>
                      <w:sdtContent>
                        <w:p>
                          <w:pPr>
                            <w:tabs>
                              <w:tab w:val="left" w:pos="1134"/>
                            </w:tabs>
                            <w:ind w:firstLine="720"/>
                            <w:jc w:val="both"/>
                          </w:pPr>
                          <w:sdt>
                            <w:sdtPr>
                              <w:alias w:val="Numeris"/>
                              <w:tag w:val="nr_d23d12b0e1234180a63c59915d59b243"/>
                              <w:lock w:val="sdtLocked"/>
                              <w:richText/>
                            </w:sdtPr>
                            <w:sdtContent>
                              <w:r>
                                <w:rPr>
                                  <w:iCs/>
                                  <w:szCs w:val="24"/>
                                  <w:shd w:val="clear" w:color="auto" w:fill="FFFFFF"/>
                                  <w:lang w:eastAsia="lt-LT"/>
                                </w:rPr>
                                <w:t>2.2.9.2</w:t>
                              </w:r>
                              <w:r>
                                <w:rPr>
                                  <w:iCs/>
                                  <w:szCs w:val="24"/>
                                  <w:shd w:val="clear" w:color="auto" w:fill="FFFFFF"/>
                                  <w:vertAlign w:val="superscript"/>
                                  <w:lang w:eastAsia="lt-LT"/>
                                </w:rPr>
                                <w:t>1</w:t>
                              </w:r>
                            </w:sdtContent>
                          </w:sdt>
                          <w:r>
                            <w:rPr>
                              <w:iCs/>
                              <w:szCs w:val="24"/>
                              <w:shd w:val="clear" w:color="auto" w:fill="FFFFFF"/>
                              <w:lang w:eastAsia="lt-LT"/>
                            </w:rPr>
                            <w:t xml:space="preserve">. </w:t>
                          </w:r>
                          <w:r>
                            <w:rPr>
                              <w:szCs w:val="24"/>
                              <w:shd w:val="clear" w:color="auto" w:fill="FFFFFF"/>
                              <w:lang w:eastAsia="lt-LT"/>
                            </w:rPr>
                            <w:t xml:space="preserve">šio nutarimo </w:t>
                          </w:r>
                          <w:r>
                            <w:rPr>
                              <w:szCs w:val="24"/>
                              <w:lang w:eastAsia="lt-LT"/>
                            </w:rPr>
                            <w:t>2</w:t>
                          </w:r>
                          <w:r>
                            <w:rPr>
                              <w:szCs w:val="24"/>
                              <w:vertAlign w:val="superscript"/>
                              <w:lang w:eastAsia="lt-LT"/>
                            </w:rPr>
                            <w:t>1</w:t>
                          </w:r>
                          <w:r>
                            <w:rPr>
                              <w:szCs w:val="24"/>
                              <w:lang w:eastAsia="lt-LT"/>
                            </w:rPr>
                            <w:t xml:space="preserve"> punkte nenurodytų</w:t>
                          </w:r>
                          <w:r>
                            <w:rPr>
                              <w:iCs/>
                              <w:szCs w:val="24"/>
                              <w:shd w:val="clear" w:color="auto" w:fill="FFFFFF"/>
                              <w:lang w:eastAsia="lt-LT"/>
                            </w:rPr>
                            <w:t xml:space="preserve"> </w:t>
                          </w:r>
                          <w:r>
                            <w:rPr>
                              <w:iCs/>
                              <w:szCs w:val="24"/>
                              <w:lang w:eastAsia="lt-LT"/>
                            </w:rPr>
                            <w:t>savivaldybių teritorijose esančiose ugdymo įstaigose ugdymas pagal pradinio ugdymo programą vykdomas nuotoliniu būdu arba šių</w:t>
                          </w:r>
                          <w:r>
                            <w:rPr>
                              <w:szCs w:val="24"/>
                              <w:lang w:eastAsia="lt-LT"/>
                            </w:rPr>
                            <w:t xml:space="preserve"> </w:t>
                          </w:r>
                          <w:r>
                            <w:rPr>
                              <w:iCs/>
                              <w:szCs w:val="24"/>
                              <w:shd w:val="clear" w:color="auto" w:fill="FFFFFF"/>
                              <w:lang w:eastAsia="lt-LT"/>
                            </w:rPr>
                            <w:t>savivaldybių administracijų pasirinktose ugdymo įstaigose vykdomas mišriu būdu, periodiškai jose atliekant pagal pradinio ugdymo programą ugdomų mokinių namų ūkių ir įstaigose kontaktiniu būdu dirbančių darbuotojų bandomąjį profilaktinį tyrimą COVID-19 ligai (koronaviruso infekcijai) diagnozuoti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2-2 pp."/>
                        <w:tag w:val="part_78d906b8f3ba476e89412363b1c8b3c3"/>
                        <w:lock w:val="sdtLocked"/>
                        <w:richText/>
                      </w:sdtPr>
                      <w:sdtContent>
                        <w:p>
                          <w:pPr>
                            <w:tabs>
                              <w:tab w:val="left" w:pos="1134"/>
                            </w:tabs>
                            <w:ind w:firstLine="720"/>
                            <w:jc w:val="both"/>
                            <w:rPr>
                              <w:szCs w:val="24"/>
                              <w:lang w:eastAsia="lt-LT"/>
                            </w:rPr>
                          </w:pPr>
                          <w:sdt>
                            <w:sdtPr>
                              <w:alias w:val="Numeris"/>
                              <w:tag w:val="nr_78d906b8f3ba476e89412363b1c8b3c3"/>
                              <w:lock w:val="sdtLocked"/>
                              <w:richText/>
                            </w:sdtPr>
                            <w:sdtContent>
                              <w:r>
                                <w:rPr>
                                  <w:szCs w:val="24"/>
                                  <w:shd w:val="clear" w:color="auto" w:fill="FFFFFF"/>
                                  <w:lang w:eastAsia="lt-LT"/>
                                </w:rPr>
                                <w:t>2.2.9.2</w:t>
                              </w:r>
                              <w:r>
                                <w:rPr>
                                  <w:szCs w:val="24"/>
                                  <w:shd w:val="clear" w:color="auto" w:fill="FFFFFF"/>
                                  <w:vertAlign w:val="superscript"/>
                                  <w:lang w:eastAsia="lt-LT"/>
                                </w:rPr>
                                <w:t>2</w:t>
                              </w:r>
                            </w:sdtContent>
                          </w:sdt>
                          <w:r>
                            <w:rPr>
                              <w:szCs w:val="24"/>
                              <w:shd w:val="clear" w:color="auto" w:fill="FFFFFF"/>
                              <w:lang w:eastAsia="lt-LT"/>
                            </w:rPr>
                            <w:t xml:space="preserve">. šio nutarimo </w:t>
                          </w:r>
                          <w:r>
                            <w:rPr>
                              <w:szCs w:val="24"/>
                              <w:lang w:eastAsia="lt-LT"/>
                            </w:rPr>
                            <w:t>2</w:t>
                          </w:r>
                          <w:r>
                            <w:rPr>
                              <w:szCs w:val="24"/>
                              <w:vertAlign w:val="superscript"/>
                              <w:lang w:eastAsia="lt-LT"/>
                            </w:rPr>
                            <w:t>1</w:t>
                          </w:r>
                          <w:r>
                            <w:rPr>
                              <w:szCs w:val="24"/>
                              <w:lang w:eastAsia="lt-LT"/>
                            </w:rPr>
                            <w:t xml:space="preserve"> punkte nurodytų savivaldybių</w:t>
                          </w:r>
                          <w:r>
                            <w:rPr>
                              <w:iCs/>
                              <w:szCs w:val="24"/>
                              <w:lang w:eastAsia="lt-LT"/>
                            </w:rPr>
                            <w:t xml:space="preserve"> teritorijose esančiose</w:t>
                          </w:r>
                          <w:r>
                            <w:rPr>
                              <w:szCs w:val="24"/>
                              <w:lang w:eastAsia="lt-LT"/>
                            </w:rPr>
                            <w:t xml:space="preserve"> </w:t>
                          </w:r>
                          <w:r>
                            <w:rPr>
                              <w:iCs/>
                              <w:szCs w:val="24"/>
                              <w:shd w:val="clear" w:color="auto" w:fill="FFFFFF"/>
                              <w:lang w:eastAsia="lt-LT"/>
                            </w:rPr>
                            <w:t>ugdymo įstaigose</w:t>
                          </w:r>
                          <w:r>
                            <w:rPr>
                              <w:szCs w:val="24"/>
                              <w:lang w:eastAsia="lt-LT"/>
                            </w:rPr>
                            <w:t xml:space="preserve"> ugdymas pagal pradinio ugdymo programą vykdomas mišriu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3 pp."/>
                        <w:tag w:val="part_a9871b11b7e84093b082e05505e63c0c"/>
                        <w:lock w:val="sdtLocked"/>
                        <w:richText/>
                      </w:sdtPr>
                      <w:sdtContent>
                        <w:p>
                          <w:pPr>
                            <w:ind w:firstLine="720"/>
                            <w:jc w:val="both"/>
                            <w:rPr>
                              <w:szCs w:val="24"/>
                              <w:lang w:eastAsia="lt-LT"/>
                            </w:rPr>
                          </w:pPr>
                          <w:sdt>
                            <w:sdtPr>
                              <w:alias w:val="Numeris"/>
                              <w:tag w:val="nr_a9871b11b7e84093b082e05505e63c0c"/>
                              <w:lock w:val="sdtLocked"/>
                              <w:richText/>
                            </w:sdtPr>
                            <w:sdtContent>
                              <w:r>
                                <w:rPr>
                                  <w:color w:val="000000"/>
                                  <w:szCs w:val="24"/>
                                  <w:lang w:eastAsia="lt-LT"/>
                                </w:rPr>
                                <w:t>2.2.9.3</w:t>
                              </w:r>
                            </w:sdtContent>
                          </w:sdt>
                          <w:r>
                            <w:rPr>
                              <w:color w:val="000000"/>
                              <w:szCs w:val="24"/>
                              <w:lang w:eastAsia="lt-LT"/>
                            </w:rPr>
                            <w:t>. neformalusis vaikų švietimas vykdomas nuotoliniu būdu arba stabdomas, išskyrus užsienio kalbos mokėjimo lygio vertinimo egzaminus (įskaitas) mokiniams, kai dalyvauja ne daugiau kaip 5 mokiniai, neformaliojo vaikų švietimo užsiėmimus atvirose erdvėse, kai dalyvauja ne daugiau kaip 10 vaikų, bei neformaliojo vaikų švietimo užsiėmimus uždarose erdvėse, esančiose šio nutarimo 2</w:t>
                          </w:r>
                          <w:r>
                            <w:rPr>
                              <w:color w:val="000000"/>
                              <w:szCs w:val="24"/>
                              <w:vertAlign w:val="superscript"/>
                              <w:lang w:eastAsia="lt-LT"/>
                            </w:rPr>
                            <w:t>1</w:t>
                          </w:r>
                          <w:r>
                            <w:rPr>
                              <w:color w:val="000000"/>
                              <w:szCs w:val="24"/>
                              <w:lang w:eastAsia="lt-LT"/>
                            </w:rPr>
                            <w:t> punkte nurodytose savivaldybėse, kai dalyvauja ne daugiau kaip 5 vaikai ir užtikrinamas 20 m</w:t>
                          </w:r>
                          <w:r>
                            <w:rPr>
                              <w:color w:val="000000"/>
                              <w:szCs w:val="24"/>
                              <w:vertAlign w:val="superscript"/>
                              <w:lang w:eastAsia="lt-LT"/>
                            </w:rPr>
                            <w:t>2</w:t>
                          </w:r>
                          <w:r>
                            <w:rPr>
                              <w:color w:val="000000"/>
                              <w:szCs w:val="24"/>
                              <w:lang w:eastAsia="lt-LT"/>
                            </w:rPr>
                            <w:t> paslaugos teikimo plotas vienam vaikui</w:t>
                          </w:r>
                          <w:r>
                            <w:rPr>
                              <w:szCs w:val="24"/>
                              <w:lang w:eastAsia="lt-LT"/>
                            </w:rPr>
                            <w:t xml:space="preserve"> arba dalyvauja ne daugiau kaip vienas vaikas</w:t>
                          </w:r>
                          <w:r>
                            <w:rPr>
                              <w:color w:val="000000"/>
                              <w:szCs w:val="24"/>
                              <w:lang w:eastAsia="lt-LT"/>
                            </w:rPr>
                            <w:t>,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4 pp."/>
                        <w:tag w:val="part_49ed5e5100fa4a208285a0ac64aa627f"/>
                        <w:lock w:val="sdtLocked"/>
                        <w:richText/>
                      </w:sdtPr>
                      <w:sdtContent>
                        <w:p>
                          <w:pPr>
                            <w:ind w:firstLine="720"/>
                            <w:jc w:val="both"/>
                            <w:rPr>
                              <w:szCs w:val="24"/>
                              <w:lang w:eastAsia="lt-LT"/>
                            </w:rPr>
                          </w:pPr>
                          <w:sdt>
                            <w:sdtPr>
                              <w:alias w:val="Numeris"/>
                              <w:tag w:val="nr_49ed5e5100fa4a208285a0ac64aa627f"/>
                              <w:lock w:val="sdtLocked"/>
                              <w:richText/>
                            </w:sdtPr>
                            <w:sdtContent>
                              <w:r>
                                <w:rPr>
                                  <w:color w:val="000000"/>
                                  <w:szCs w:val="24"/>
                                  <w:lang w:eastAsia="lt-LT"/>
                                </w:rPr>
                                <w:t>2.2.9.4</w:t>
                              </w:r>
                            </w:sdtContent>
                          </w:sdt>
                          <w:r>
                            <w:rPr>
                              <w:color w:val="000000"/>
                              <w:szCs w:val="24"/>
                              <w:lang w:eastAsia="lt-LT"/>
                            </w:rPr>
                            <w:t>. neformalusis suaugusiųjų švietimas ir neformalusis profesinis mokymas vykdomi nuotoliniu būdu arba stabdomi, išskyrus aviacijos, jūrininkų bei statutinių profesinio mokymo įstaigų įvadinio mokymo kursų praktinius mokymus, transporto priemonių vairavimo praktinius mokymus, sveikatos priežiūros įstaigų darbuotojų praktinius mokymus, užsienio kalbos mokėjimo lygio vertinimo egzaminus (įskaitas) asmenims, stojantiems į užsienio aukštąsias mokyklas, ir valstybinės kalbos ir Lietuvos Respublikos Konstitucijos pagrindų egzaminus, kai dalyvauja ne daugiau kaip 5  asmenys, bei neformaliojo suaugusiųjų švietimo užsiėmimus atvirose erdvėse, kai dalyvauja ne daugiau kaip 10 asmenų, bei neformaliojo suaugusiųjų švietimo užsiėmimus uždarose erdvėse, esančiose šio nutarimo 2</w:t>
                          </w:r>
                          <w:r>
                            <w:rPr>
                              <w:color w:val="000000"/>
                              <w:szCs w:val="24"/>
                              <w:vertAlign w:val="superscript"/>
                              <w:lang w:eastAsia="lt-LT"/>
                            </w:rPr>
                            <w:t>1</w:t>
                          </w:r>
                          <w:r>
                            <w:rPr>
                              <w:color w:val="000000"/>
                              <w:szCs w:val="24"/>
                              <w:lang w:eastAsia="lt-LT"/>
                            </w:rPr>
                            <w:t> punkte nurodytose savivaldybėse, kai dalyvauja ne daugiau kaip 5 asmenys ir užtikrinamas 20 m</w:t>
                          </w:r>
                          <w:r>
                            <w:rPr>
                              <w:color w:val="000000"/>
                              <w:szCs w:val="24"/>
                              <w:vertAlign w:val="superscript"/>
                              <w:lang w:eastAsia="lt-LT"/>
                            </w:rPr>
                            <w:t>2</w:t>
                          </w:r>
                          <w:r>
                            <w:rPr>
                              <w:color w:val="000000"/>
                              <w:szCs w:val="24"/>
                              <w:lang w:eastAsia="lt-LT"/>
                            </w:rPr>
                            <w:t xml:space="preserve"> paslaugos teikimo plotas vienam asmeniui </w:t>
                          </w:r>
                          <w:r>
                            <w:rPr>
                              <w:szCs w:val="24"/>
                              <w:lang w:eastAsia="lt-LT"/>
                            </w:rPr>
                            <w:t>arba dalyvauja ne daugiau kaip vienas asmuo</w:t>
                          </w:r>
                          <w:r>
                            <w:rPr>
                              <w:color w:val="000000"/>
                              <w:szCs w:val="24"/>
                              <w:lang w:eastAsia="lt-LT"/>
                            </w:rPr>
                            <w:t>,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a2e8f270d4645de82336c31033e2f1d"/>
                        <w:lock w:val="sdtLocked"/>
                        <w:richText/>
                      </w:sdtPr>
                      <w:sdtContent>
                        <w:p>
                          <w:pPr>
                            <w:pStyle w:val="PlainText"/>
                            <w:ind w:firstLine="567"/>
                            <w:jc w:val="both"/>
                            <w:rPr>
                              <w:rFonts w:ascii="Times New Roman" w:hAnsi="Times New Roman"/>
                              <w:b/>
                              <w:bCs/>
                              <w:sz w:val="22"/>
                            </w:rPr>
                          </w:pPr>
                          <w:r>
                            <w:rPr>
                              <w:rFonts w:ascii="Times New Roman" w:hAnsi="Times New Roman"/>
                              <w:sz w:val="22"/>
                            </w:rPr>
                            <w:t>2.2.9.7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4679613073244e7f9500ea5433b6c7a8"/>
                    <w:lock w:val="sdtLocked"/>
                    <w:richText/>
                  </w:sdtPr>
                  <w:sdtContent>
                    <w:p>
                      <w:pPr>
                        <w:ind w:firstLine="709"/>
                        <w:jc w:val="both"/>
                        <w:rPr>
                          <w:bCs/>
                          <w:szCs w:val="24"/>
                          <w:lang w:eastAsia="lt-LT"/>
                        </w:rPr>
                      </w:pPr>
                      <w:sdt>
                        <w:sdtPr>
                          <w:alias w:val="Numeris"/>
                          <w:tag w:val="nr_4679613073244e7f9500ea5433b6c7a8"/>
                          <w:lock w:val="sdtLocked"/>
                          <w:richText/>
                        </w:sdtPr>
                        <w:sdtContent>
                          <w:r>
                            <w:rPr>
                              <w:color w:val="000000"/>
                              <w:szCs w:val="24"/>
                              <w:lang w:eastAsia="lt-LT"/>
                            </w:rPr>
                            <w:t>2.2.12</w:t>
                          </w:r>
                        </w:sdtContent>
                      </w:sdt>
                      <w:r>
                        <w:rPr>
                          <w:color w:val="000000"/>
                          <w:szCs w:val="24"/>
                          <w:lang w:eastAsia="lt-LT"/>
                        </w:rPr>
                        <w:t>. Apribojamas ilgalaikių pasimatymų pataisos įstaigose ir tardymo izoliatoriuose organizavimas ir vykdymas. Trumpalaikiai pasimatymai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2-1 p."/>
            <w:tag w:val="part_197e5c15aa334d4198be184cd5a6cf7d"/>
            <w:lock w:val="sdtLocked"/>
            <w:richText/>
          </w:sdtPr>
          <w:sdtContent>
            <w:p>
              <w:pPr>
                <w:tabs>
                  <w:tab w:val="left" w:pos="1134"/>
                </w:tabs>
                <w:ind w:firstLine="720"/>
                <w:jc w:val="both"/>
              </w:pPr>
              <w:sdt>
                <w:sdtPr>
                  <w:alias w:val="Numeris"/>
                  <w:tag w:val="nr_197e5c15aa334d4198be184cd5a6cf7d"/>
                  <w:lock w:val="sdtLocked"/>
                  <w:richText/>
                </w:sdtPr>
                <w:sdtContent>
                  <w:r>
                    <w:rPr>
                      <w:szCs w:val="24"/>
                      <w:lang w:eastAsia="lt-LT"/>
                    </w:rPr>
                    <w:t>2</w:t>
                  </w:r>
                  <w:r>
                    <w:rPr>
                      <w:szCs w:val="24"/>
                      <w:vertAlign w:val="superscript"/>
                      <w:lang w:eastAsia="lt-LT"/>
                    </w:rPr>
                    <w:t>1</w:t>
                  </w:r>
                </w:sdtContent>
              </w:sdt>
              <w:r>
                <w:rPr>
                  <w:szCs w:val="24"/>
                  <w:lang w:eastAsia="lt-LT"/>
                </w:rPr>
                <w:t>. Akmenės rajono, Alytaus miesto, Alytaus rajono, Anykščių rajono, Birštono, Biržų rajono, Druskininkų, Elektrėnų, Ignalinos rajono, Jonavos rajono, Joniškio rajono, Jurbarko rajono, Kaišiadorių rajono, Kalvarijos, Kauno miesto, Kauno rajono, Kazlų Rūdos, Kelmės rajono, Kėdainių rajono, Klaipėdos miesto, Klaipėdos rajono, Kretingos rajono, Kupiškio rajono, Lazdijų rajono, Mažeikių rajono, Molėtų rajono, Neringos, Pagėgių, Pakruojo rajono, Palangos miesto, Pasvalio rajono, Plungės rajono, Prienų rajono, Radviliškio rajono, Raseinių rajono, Rietavo, Rokiškio rajono, Skuodo rajono, Šakių rajono, Šiaulių miesto, Šiaulių rajono, Šilalės rajono, Šilutės rajono, Tauragės rajono, Telšių rajono, Ukmergės rajono, Utenos rajono, Vilkaviškio rajono, Zarasų rajono savivaldybėse šiuo nutarimu gali būti nustatomos švelnesnės karantino režimo priemonės negu visoje šalyje.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3189cd4a93ed4adb9caccd7e81eaf605"/>
            <w:lock w:val="sdtLocked"/>
            <w:richText/>
          </w:sdtPr>
          <w:sdtContent>
            <w:p>
              <w:pPr>
                <w:tabs>
                  <w:tab w:val="left" w:pos="1134"/>
                </w:tabs>
                <w:ind w:firstLine="720"/>
                <w:jc w:val="both"/>
                <w:rPr>
                  <w:szCs w:val="24"/>
                  <w:lang w:eastAsia="lt-LT"/>
                </w:rPr>
              </w:pPr>
              <w:sdt>
                <w:sdtPr>
                  <w:alias w:val="Numeris"/>
                  <w:tag w:val="nr_3189cd4a93ed4adb9caccd7e81eaf605"/>
                  <w:lock w:val="sdtLocked"/>
                  <w:richText/>
                </w:sdtPr>
                <w:sdtContent>
                  <w:r>
                    <w:rPr>
                      <w:szCs w:val="24"/>
                      <w:lang w:eastAsia="lt-LT"/>
                    </w:rPr>
                    <w:t>5</w:t>
                  </w:r>
                </w:sdtContent>
              </w:sdt>
              <w:r>
                <w:rPr>
                  <w:szCs w:val="24"/>
                  <w:lang w:eastAsia="lt-LT"/>
                </w:rPr>
                <w:t>. Karantino režimo trukmė – nuo 2020 m. lapkričio 7 d. 00:00 val. iki 2021 m. balandžio 30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21f4cd2b836745129b62d3fe804ecfd1"/>
                <w:lock w:val="sdtLocked"/>
                <w:richText/>
              </w:sdtPr>
              <w:sdtContent>
                <w:p>
                  <w:pPr>
                    <w:ind w:firstLine="720"/>
                    <w:jc w:val="both"/>
                    <w:rPr>
                      <w:szCs w:val="24"/>
                      <w:lang w:eastAsia="lt-LT"/>
                    </w:rPr>
                  </w:pPr>
                  <w:sdt>
                    <w:sdtPr>
                      <w:alias w:val="Numeris"/>
                      <w:tag w:val="nr_21f4cd2b836745129b62d3fe804ecfd1"/>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 m. ir / arba 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 Kai parama teikiama pagal 2020 m. kovo 20 d. Europos Komisijos komunikato „Laikinoji valstybės pagalbos priemonių, skirtų ekonomikai remti reaguojant į dabartinį COVID-19 protrūkį, sistema“ su paskutiniais pakeitimais, padarytais 2021 m. sausio 28 d. Europos Komisijos komunikatu, 3.12 skirsnį, ūkinės veiklos vykdytojo ūkinės veiklos vidutinė vieno mėnesio apyvarta, skaičiuojant nuo 2020 m. lapkričio 1 d. iki 2021 m. balandžio 30 d., palyginti su 2019 m. atitinkamo laikotarpio vidutine vieno mėnesio apyvarta, remiantis VMI pateiktose PVM deklaracijose deklaruotais, o neteikiantiems PVM deklaracijų, – pareiškėjo teikiamoje paraiškoje deklaruotais duomenimis, sumažėjo ne mažiau nei 30 procentų.</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d46a9e12101b4c9c8c5d681bb8ab2c15"/>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d46a9e12101b4c9c8c5d681bb8ab2c15"/>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5943f0713b11eb9601893677bfd7d8">
            <w:r w:rsidRPr="00532B9F">
              <w:rPr>
                <w:rFonts w:ascii="Times New Roman" w:eastAsia="MS Mincho" w:hAnsi="Times New Roman"/>
                <w:sz w:val="20"/>
                <w:iCs/>
                <w:color w:val="0000FF" w:themeColor="hyperlink"/>
                <w:u w:val="single"/>
              </w:rPr>
              <w:t>98</w:t>
            </w:r>
          </w:fldSimple>
          <w:r>
            <w:rPr>
              <w:rFonts w:ascii="Times New Roman" w:eastAsia="MS Mincho" w:hAnsi="Times New Roman"/>
              <w:sz w:val="20"/>
              <w:iCs/>
            </w:rPr>
            <w:t>,
2021-02-17,
paskelbta TAR 2021-02-17, i. k. 2021-02901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2df91f076ac11eb9601893677bfd7d8">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2021-02-24,
paskelbta TAR 2021-02-24, i. k. 2021-03415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eaa4d07cc011eb9601893677bfd7d8">
            <w:r w:rsidRPr="00532B9F">
              <w:rPr>
                <w:rFonts w:ascii="Times New Roman" w:eastAsia="MS Mincho" w:hAnsi="Times New Roman"/>
                <w:sz w:val="20"/>
                <w:iCs/>
                <w:color w:val="0000FF" w:themeColor="hyperlink"/>
                <w:u w:val="single"/>
              </w:rPr>
              <w:t>128</w:t>
            </w:r>
          </w:fldSimple>
          <w:r>
            <w:rPr>
              <w:rFonts w:ascii="Times New Roman" w:eastAsia="MS Mincho" w:hAnsi="Times New Roman"/>
              <w:sz w:val="20"/>
              <w:iCs/>
            </w:rPr>
            <w:t>,
2021-03-03,
paskelbta TAR 2021-03-04, i. k. 2021-04486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0e46607daf11eb9601893677bfd7d8">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2021-03-05,
paskelbta TAR 2021-03-05, i. k. 2021-04675                </w:t>
          </w:r>
        </w:p>
        <w:p>
          <w:pPr>
            <w:jc w:val="both"/>
            <w:rPr>
              <w:rFonts w:ascii="Times New Roman" w:hAnsi="Times New Roman"/>
            </w:rPr>
          </w:pPr>
          <w:r>
            <w:rPr>
              <w:rFonts w:ascii="Times New Roman" w:hAnsi="Times New Roman"/>
              <w:sz w:val="20"/>
            </w:rPr>
            <w:t>Dėl Lietuvos Respublikos Vyriausybės 2021 m. kovo 3 d. nutarimo Nr. 128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fde80081ce11eb9601893677bfd7d8">
            <w:r w:rsidRPr="00532B9F">
              <w:rPr>
                <w:rFonts w:ascii="Times New Roman" w:eastAsia="MS Mincho" w:hAnsi="Times New Roman"/>
                <w:sz w:val="20"/>
                <w:iCs/>
                <w:color w:val="0000FF" w:themeColor="hyperlink"/>
                <w:u w:val="single"/>
              </w:rPr>
              <w:t>146</w:t>
            </w:r>
          </w:fldSimple>
          <w:r>
            <w:rPr>
              <w:rFonts w:ascii="Times New Roman" w:eastAsia="MS Mincho" w:hAnsi="Times New Roman"/>
              <w:sz w:val="20"/>
              <w:iCs/>
            </w:rPr>
            <w:t>,
2021-03-10,
paskelbta TAR 2021-03-10, i. k. 2021-05005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64933d0858111eb9fecb5ecd3bd711c">
            <w:r w:rsidRPr="00532B9F">
              <w:rPr>
                <w:rFonts w:ascii="Times New Roman" w:eastAsia="MS Mincho" w:hAnsi="Times New Roman"/>
                <w:sz w:val="20"/>
                <w:iCs/>
                <w:color w:val="0000FF" w:themeColor="hyperlink"/>
                <w:u w:val="single"/>
              </w:rPr>
              <w:t>153</w:t>
            </w:r>
          </w:fldSimple>
          <w:r>
            <w:rPr>
              <w:rFonts w:ascii="Times New Roman" w:eastAsia="MS Mincho" w:hAnsi="Times New Roman"/>
              <w:sz w:val="20"/>
              <w:iCs/>
            </w:rPr>
            <w:t>,
2021-03-15,
paskelbta TAR 2021-03-15, i. k. 2021-05110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2a08b0872411eb9fecb5ecd3bd711c">
            <w:r w:rsidRPr="00532B9F">
              <w:rPr>
                <w:rFonts w:ascii="Times New Roman" w:eastAsia="MS Mincho" w:hAnsi="Times New Roman"/>
                <w:sz w:val="20"/>
                <w:iCs/>
                <w:color w:val="0000FF" w:themeColor="hyperlink"/>
                <w:u w:val="single"/>
              </w:rPr>
              <w:t>157</w:t>
            </w:r>
          </w:fldSimple>
          <w:r>
            <w:rPr>
              <w:rFonts w:ascii="Times New Roman" w:eastAsia="MS Mincho" w:hAnsi="Times New Roman"/>
              <w:sz w:val="20"/>
              <w:iCs/>
            </w:rPr>
            <w:t>,
2021-03-17,
paskelbta TAR 2021-03-17, i. k. 2021-05279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61e5b08e1e11eb9fecb5ecd3bd711c">
            <w:r w:rsidRPr="00532B9F">
              <w:rPr>
                <w:rFonts w:ascii="Times New Roman" w:eastAsia="MS Mincho" w:hAnsi="Times New Roman"/>
                <w:sz w:val="20"/>
                <w:iCs/>
                <w:color w:val="0000FF" w:themeColor="hyperlink"/>
                <w:u w:val="single"/>
              </w:rPr>
              <w:t>179</w:t>
            </w:r>
          </w:fldSimple>
          <w:r>
            <w:rPr>
              <w:rFonts w:ascii="Times New Roman" w:eastAsia="MS Mincho" w:hAnsi="Times New Roman"/>
              <w:sz w:val="20"/>
              <w:iCs/>
            </w:rPr>
            <w:t>,
2021-03-26,
paskelbta TAR 2021-03-26, i. k. 2021-05881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b6e6fd0987011eb9fecb5ecd3bd711c">
            <w:r w:rsidRPr="00532B9F">
              <w:rPr>
                <w:rFonts w:ascii="Times New Roman" w:eastAsia="MS Mincho" w:hAnsi="Times New Roman"/>
                <w:sz w:val="20"/>
                <w:iCs/>
                <w:color w:val="0000FF" w:themeColor="hyperlink"/>
                <w:u w:val="single"/>
              </w:rPr>
              <w:t>216</w:t>
            </w:r>
          </w:fldSimple>
          <w:r>
            <w:rPr>
              <w:rFonts w:ascii="Times New Roman" w:eastAsia="MS Mincho" w:hAnsi="Times New Roman"/>
              <w:sz w:val="20"/>
              <w:iCs/>
            </w:rPr>
            <w:t>,
2021-04-07,
paskelbta TAR 2021-04-08, i. k. 2021-07289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05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059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6.xml"/>
  <Relationship Id="rId11" Type="http://schemas.openxmlformats.org/officeDocument/2006/relationships/header" Target="header77.xml"/>
  <Relationship Id="rId12" Type="http://schemas.openxmlformats.org/officeDocument/2006/relationships/footer" Target="footer76.xml"/>
  <Relationship Id="rId13" Type="http://schemas.openxmlformats.org/officeDocument/2006/relationships/footer" Target="footer77.xml"/>
  <Relationship Id="rId14" Type="http://schemas.openxmlformats.org/officeDocument/2006/relationships/header" Target="header78.xml"/>
  <Relationship Id="rId15" Type="http://schemas.openxmlformats.org/officeDocument/2006/relationships/footer" Target="footer78.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67b37dbd7be94573b1a94ef15c28b780">
            <Part Type="papunktis" Nr="2.1.1.1.1" Abbr="2.1.1.1.1 pp." DocPartId="25b78cdf9125446aa8acac7372c9e64a" PartId="2ed6e9773699485e85991233e859bc82"/>
            <Part Type="papunktis" Nr="2.1.1.1.2" Abbr="2.1.1.1.2 pp." DocPartId="d5fac0d95faa48118b4c0a546dd01c2a" PartId="ddbaf681e5b941ac80a4957524ab4248"/>
            <Part Type="papunktis" Nr="2.1.1.1.3" Abbr="2.1.1.1.3 pp." DocPartId="cdf950c2ee5341f1a597d81b3e9da22a" PartId="f86c9007b10b49869f1c98497414ad8c"/>
            <Part Type="papunktis" Nr="2.1.1.1.4" Abbr="2.1.1.1.4 pp." DocPartId="789e8276caa940579e25a9a56da0a9dd" PartId="8a528507540f49309423f25f1872d0b8"/>
            <Part Type="papunktis" Nr="2.1.1.1.5" Abbr="2.1.1.1.5 pp." DocPartId="b3aa82c6c2084553882b54ababda0111" PartId="c8e8e94e2524401994a8e598597bdae3"/>
            <Part Type="papunktis" Nr="2.1.1.1.6" Abbr="2.1.1.1.6 pp." DocPartId="b0762751751a4921bfff0ac8f754e0e8" PartId="f906968f389d4958b5c57403a7a8f209"/>
            <Part Type="papunktis" Nr="2.1.1.1.7" Abbr="2.1.1.1.7 pp." DocPartId="03b8f7120fb54536bbdfb1a126a9eb56" PartId="d97450ebe8964777b4d2400c5972a7c4"/>
            <Part Type="papunktis" Nr="2.1.1.1.8" Abbr="2.1.1.1.8 pp." DocPartId="59d7247780c8421f81535928bc44fa3d" PartId="cbb415b617a344a2971169dd86b8b28d"/>
            <Part Type="papunktis" Nr="2.1.1.1.9" Abbr="2.1.1.1.9 pp." DocPartId="417b3f5fe006478db5238be2812da05a" PartId="b7746d74eec744f7baf018cf38d61b06"/>
            <Part Type="papunktis" Nr="2.1.1.1.10" Abbr="2.1.1.1.10 pp." DocPartId="5b22700d148b4df3b0b5b38d904b05eb" PartId="434c5e5e0a154117ba7e94aef6c8595c"/>
            <Part Type="papunktis" Nr="2.1.1.1.11" Abbr="2.1.1.1.11 pp." DocPartId="2535a1ba677a4f879152f4981e5bf22d" PartId="dff917465f864216aafa570c9e418b63"/>
            <Part Type="papunktis" Nr="2.1.1.1.12" Abbr="2.1.1.1.12 pp." DocPartId="beeb7091298141d28d419771a2b495c1" PartId="6eea73bafbc4454780856341112ea77e"/>
          </Part>
          <Part Type="papunktis" Nr="2.1.1.2" Abbr="2.1.1.2 pp." DocPartId="cbda1dbde8f243e68c92d3c05c38cc7d" PartId="d9f91d6dfbfd4f169ee0367749eeddb9">
            <Part Type="papunktis" Nr="2.1.1.2.1" Abbr="2.1.1.2.1 pp." DocPartId="5ea677b9c9664b41a1d9ce8cf6d433a0" PartId="7a62152d47a54b28a6cd390252287e62">
              <Part Type="papunktis" Nr="2.1.1.2.1.1" Abbr="2.1.1.2.1.1 pp." DocPartId="981ce312948d400d872776ae4bc60a44" PartId="02ff808f59884bf596a1c92a5d463a53"/>
              <Part Type="papunktis" Nr="2.1.1.2.1.2" Abbr="2.1.1.2.1.2 pp." DocPartId="817ec5d6d02d42418e0b5659acad2675" PartId="f7a25b548a044f04836f8059d576bdd3"/>
              <Part Type="papunktis" Nr="2.1.1.2.1.3" Abbr="2.1.1.2.1.3 pp." DocPartId="d1673ee79c654f50bbd32baf36a24718" PartId="1808d3adf594489c86886706539de0b2"/>
              <Part Type="papunktis" Nr="2.1.1.2.1.4" Abbr="2.1.1.2.1.4 pp." DocPartId="b9e3461ae5754e44b6ec4f3cc5c2ce7b" PartId="f047a537481b442bbb29665411ad595e"/>
              <Part Type="papunktis" Nr="2.1.1.2.1.5" Abbr="2.1.1.2.1.5 pp." DocPartId="5f47ad7b793844ee8438e82cdb315d5b" PartId="18a6ba2ec447473a9396930740cd312b"/>
              <Part Type="papunktis" Nr="2.1.1.2.1.6" Abbr="2.1.1.2.1.6 pp." DocPartId="37dc5210c60c403c94c6f844ab0d1ee5" PartId="79b75accbf6e43439d65ec49b7a319bd"/>
              <Part Type="papunktis" Nr="2.1.1.2.1.7" Abbr="2.1.1.2.1.7 pp." DocPartId="cf5134bebf5546a19e1232a6b0642cb1" PartId="a275189e87b44d15acdb087593d888a9"/>
              <Part Type="papunktis" Nr="2.1.1.2.1.8" Abbr="2.1.1.2.1.8 pp." DocPartId="5d8abb575654423aa48c39ec937f76ce" PartId="f8284396baa94d7baf1c9cf84df31e51"/>
              <Part Type="papunktis" Nr="2.1.1.2.1.9" Abbr="2.1.1.2.1.9 pp." DocPartId="d241b1879ed84716880d7565cb023299" PartId="2cec5a7154f54dc8acccbfb2b875cd0f"/>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Type="papunktis" Nr="2.1.2.13.4" Abbr="2.1.2.13.4 pp." DocPartId="9d509438fd8f4ff98a3a8e06ae8f2d43" PartId="93a1c0ad6ca5474aaa63f73ed7d7e31a"/>
          </Part>
          <Part Type="papunktis" Nr="2.1.2.14" Abbr="2.1.2.14 pp." DocPartId="7cc2d389f6a447e7af8e959bdf62b586" PartId="f6d0091931cf48a5bc732252ead72b09"/>
          <Part Type="papunktis" Nr="2.1.2.14-1" Abbr="2.1.2.14-1 pp." DocPartId="5774ffe5ee904f40bb946ffc3ddb52cc" PartId="a92958724d51411b93d7281f608f183c"/>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3-1" Abbr="2.1.3-1 pp." DocPartId="f0033d3d26d04692b6d75b6e65d11de2" PartId="0c4522fe75b748ddb6b97366fb4e1639">
          <Part Type="papunktis" Nr="2.1.3-1.1" Abbr="2.1.3-1.1 pp." DocPartId="1b8d269666504bde9ab7cf581cfaee17" PartId="74b714b99dc24ed3b532f0e693356917"/>
          <Part Type="papunktis" Nr="2.1.3-1.2" Abbr="2.1.3-1.2 pp." DocPartId="f121d171cfd54e37a03599d3449ea24d" PartId="d989a8f7152c45d2b883e72cfffbd650"/>
          <Part Type="papunktis" Nr="2.1.3-1.3" Abbr="2.1.3-1.3 pp." DocPartId="99318108e9074342beca4fd5a29696d2" PartId="9f04a86b6e3246b291a5056b568d31b4"/>
          <Part Type="papunktis" Nr="2.1.3-1.4" Abbr="2.1.3-1.4 pp." DocPartId="81e2c06cfa9c43d19e8da5947e9bfbe4" PartId="befa0bfd71f74e979b5c45753af644f3"/>
          <Part Type="papunktis" Nr="2.1.3-1.5" Abbr="2.1.3-1.5 pp." DocPartId="9a57f4e7a7de4c7cbc8f3e02ce6a3eeb" PartId="d0bc7cd26e444b98b6957edc7caa8899"/>
          <Part Type="papunktis" Nr="2.1.3-1.6" Abbr="2.1.3-1.6 pp." DocPartId="4907315b87464b00ace73543ce82fd99" PartId="39bc70dd745645089f9066b21e6369f6"/>
        </Part>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441f2c9970bc4a5d9d0e8c5501ff3859"/>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c51985aa931b4357bcf436ff24269600"/>
            <Part Type="papunktis" Nr="2.1.5.2.6" Abbr="2.1.5.2.6 pp." DocPartId="7b6c0c1a270a4499a73d5e7330200ecd" PartId="d65417a897204f24a0565ff6a700c4d8"/>
          </Part>
        </Part>
        <Part Type="papunktis" Nr="2.1.6" Abbr="2.1.6 pp." DocPartId="1137bba8fcaf4fabb9ea53990288e6f0" PartId="09938d8dcc5e45b289b590e14ecada62"/>
        <Part Type="papunktis" Nr="2.1.7" Abbr="2.1.7 pp." DocPartId="88d3e06345f64af696d0123200569198" PartId="1c4324136385484db6d5a6083918b2a2"/>
        <Part Type="papunktis" Nr="2.1.8" Abbr="2.1.8 pp." DocPartId="03ed9f9233b1464e9c619f99ef7da538" PartId="40b89ac91da84c8488ecb99bf7e66a5f">
          <Part Type="papunktis" Nr="2.1.8.1" Abbr="2.1.8.1 pp." DocPartId="c4c5e18545fa4032af686e044f0f6276" PartId="00aa4ad8b70040188dab7639200457a4">
            <Part Type="papunktis" Nr="2.1.8.1.1" Abbr="2.1.8.1.1 pp." DocPartId="addfee91e34947c9abaed60ce1f6e65d" PartId="8915693e41164f14931e29f25ccdeed1"/>
            <Part Type="papunktis" Nr="2.1.8.1.2" Abbr="2.1.8.1.2 pp." DocPartId="81c8f790214f4a838ccd42b4fe35b52f" PartId="bc750ed0df1642d696d34cf7551ea10e"/>
            <Part Type="papunktis" Nr="2.1.8.1.3" Abbr="2.1.8.1.3 pp." DocPartId="95cdb0944bd7429790252589c8669958" PartId="aeb3c0341a9c4a7a96787984c341672c"/>
            <Part Type="papunktis" Nr="2.1.8.1.4" Abbr="2.1.8.1.4 pp." DocPartId="ec94a0e7b4ad4643bddff43998b8196a" PartId="8798758460a549fd8dc77a26c96b41d0"/>
          </Part>
          <Part Type="papunktis" Nr="2.1.8.2" Abbr="2.1.8.2 pp." DocPartId="c8774f4654cb4eec94778754d8308ab7" PartId="1457452cf8d64f77996b97455d836017"/>
          <Part Type="papunktis" Nr="2.1.8.3" Abbr="2.1.8.3 pp." DocPartId="0142b1860ba84811b11ee0322aba2ff7" PartId="919e965108b3464eb81a12c3043f4895"/>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cad3f48ef6ff4eccaef3590dbb0d6106"/>
          <Part Type="papunktis" Nr="2.2.2.2" Abbr="2.2.2.2 pp." DocPartId="fb7a210718c64d62924d35e07205d64a" PartId="e00b7361c721488f94cc77d57549b83a"/>
          <Part Type="papunktis" Nr="2.2.2.3" Abbr="2.2.2.3 pp." DocPartId="716118d28a484da7a1f726c0a1b6520c" PartId="b5b5b65a8d9a41cab9623cc8a46fc6bd"/>
          <Part Type="papunktis" Nr="2.2.2.4" Abbr="2.2.2.4 pp." DocPartId="cac039cc850743c6b2b8141d3e47f684" PartId="c42b513d70ed476da843c83f29a28f46"/>
          <Part Type="papunktis" Nr="2.2.2.5" Abbr="2.2.2.5 pp." DocPartId="8b735764867347b7b70e8cd0189addc5" PartId="4ed5c202d2d04b7d9b5ea4f6f71da4d7"/>
          <Part Type="papunktis" Nr="2.2.2.6" Abbr="2.2.2.6 pp." DocPartId="bd2eef74523f493e9849ac7d923e0810" PartId="c724a702d3c8436cbe436246152980ef"/>
          <Part Type="papunktis" Nr="2.2.2.7" Abbr="2.2.2.7 pp." DocPartId="9da1b78268794f91ad55acc2c8c6f20d" PartId="628030520a3e4d18b6361f1184e6e8ca"/>
        </Part>
        <Part Type="papunktis" Nr="2.2.2-1" Abbr="2.2.2-1 pp." DocPartId="47e35d3d85f7486aa5428c0b13523d40" PartId="c8a9f2f15e0743538da15ccef84a740f"/>
        <Part Type="papunktis" Nr="2.2.3" Abbr="2.2.3 pp." DocPartId="bcc5c49ba58c431ab3d87de22de791e6" PartId="d10665b3036744258afe79aaa4c84bd5">
          <Part Type="papunktis" Nr="2.2.3.1" Abbr="2.2.3.1 pp." DocPartId="8971ee41741e4f55a3e0557e95e58c00" PartId="b70005d735544c8eb12101c057c4b488"/>
          <Part Type="papunktis" Nr="2.2.3.2" Abbr="2.2.3.2 pp." DocPartId="2059541619304c81b8ae0bacde70f6ee" PartId="82b7f806d5cb42b99ff64b717a30f5e2"/>
          <Part Type="papunktis" Nr="2.2.3.3" Abbr="2.2.3.3 pp." DocPartId="e0d4c704c1874953ba32e1d6f379034b" PartId="df7a0781d93942329624b7cac5cf881a"/>
        </Part>
        <Part Type="papunktis" Nr="2.2.3-1" Abbr="2.2.3-1 pp." DocPartId="eb4e35e9b2ea4ab28c39efeb6bc2a1a9" PartId="a0be78ba046a4187a295298ea97c778e"/>
        <Part Type="papunktis" Nr="2.2.3-1" Abbr="2.2.3-1 pp." DocPartId="710fb0b2321d435b8fa5f6b07be02c7e" PartId="bf208820155443dcb7ffe5c75fbc49e1"/>
        <Part Type="papunktis" Nr="2.2.3-2" Abbr="2.2.3-2 pp." DocPartId="45cd7f47c12246c3b097d40c051a1aa6" PartId="b5c892c74f5e46adb1422317b63c6a6d"/>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abeacd8a842043c3853d33000c89a399"/>
        <Part Type="papunktis" Nr="2.2.6" Abbr="2.2.6 pp." DocPartId="0488f042bacf47ad81e5667c822a4baa" PartId="4e4a4951e7a145eca1e7f6c92ee4b141">
          <Part Type="papunktis" Nr="2.2.6.1" Abbr="2.2.6.1 pp." DocPartId="32abca1a1a5143a1a375a31c2eca6a9b" PartId="b8662eb601a74e138639d1a7f344e201"/>
          <Part Type="papunktis" Nr="2.2.6.2" Abbr="2.2.6.2 pp." DocPartId="28a0cf0567f94d3ba3136fe3f32f7f27" PartId="51a14c8d184e4762be23e46e4fe84613"/>
          <Part Type="papunktis" Nr="2.2.6.3" Abbr="2.2.6.3 pp." DocPartId="50383ef6443b4172861e771f09a5de1a" PartId="e3e19ea0f6b545cd82ba9058ccda5962"/>
          <Part Type="papunktis" Nr="2.2.6.4" Abbr="2.2.6.4 pp." DocPartId="a94f5eec04b24d1598c405e176f4d11a" PartId="73f33e3883fe47e19c66697ad1d18d7d"/>
        </Part>
        <Part Type="papunktis" Nr="2.2.6-1" Abbr="2.2.6-1 pp." DocPartId="62cd7d48202148ad9be8e090326cd720" PartId="6d3faa262bae435b87971752c41b6abd">
          <Part Type="papunktis" Nr="2.2.6-1.1" Abbr="2.2.6-1.1 pp." DocPartId="622203c7bb3440808dcbe56d710e8b75" PartId="d3f90748b559456b88f325a9dc4421a1"/>
          <Part Type="papunktis" Nr="2.2.6-1.2" Abbr="2.2.6-1.2 pp." DocPartId="8ae7638cfaa94c61924a78d4d1b69d50" PartId="e64a6bebfac1467681cebe2984734dad"/>
          <Part Type="papunktis" Nr="2.2.6-1.3" Abbr="2.2.6-1.3 pp." DocPartId="6f81406b9ee0463689265a2a639c057b" PartId="a55c21e2666f4594a04c2b4f12a30bff"/>
          <Part Type="papunktis" Nr="2.2.6-1.4" Abbr="2.2.6-1.4 pp." DocPartId="fb829f0346294c4ba3199d467af13988" PartId="4451ec9abf83478e92456411b1048700"/>
        </Part>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673dde6ab37b410faca2c6bedab066be"/>
          <Part Type="papunktis" Nr="2.2.8.3" Abbr="2.2.8.3 pp." DocPartId="41a8e784aff94791852426fadeae358a" PartId="7d231989b2e4468fa9ad5d6543c8cf73"/>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fd47e64f3b5c4d50aad5c23939844d51"/>
          <Part Type="papunktis" Nr="2.2.9.2-1" Abbr="2.2.9.2-1 pp." DocPartId="fa2ec9dd8ed74ee69a876d344670664a" PartId="d23d12b0e1234180a63c59915d59b243"/>
          <Part Type="papunktis" Nr="2.2.9.2-2" Abbr="2.2.9.2-2 pp." DocPartId="63b3190add554ad4b19caa8e5440d9f5" PartId="78d906b8f3ba476e89412363b1c8b3c3"/>
          <Part Type="papunktis" Nr="2.2.9.3" Abbr="2.2.9.3 pp." DocPartId="67e918b206064a3b995a2c5c212d137b" PartId="a9871b11b7e84093b082e05505e63c0c"/>
          <Part Type="papunktis" Nr="2.2.9.4" Abbr="2.2.9.4 pp." DocPartId="e60ad632291442fe93773586043fcccf" PartId="49ed5e5100fa4a208285a0ac64aa627f"/>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a2e8f270d4645de82336c31033e2f1d"/>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4679613073244e7f9500ea5433b6c7a8"/>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2-1" Abbr="2-1 p." DocPartId="27ff5028d93c4a39bff3eda09ff5f63e" PartId="197e5c15aa334d4198be184cd5a6cf7d"/>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3189cd4a93ed4adb9caccd7e81eaf605"/>
    <Part Type="punktas" Nr="6" Abbr="6 p." DocPartId="3fe1cf72014b43489b56130c3a954fbd" PartId="117a40fb43df4394bff8f4686e3e9f9e">
      <Part Type="papunktis" Nr="6.1" Abbr="6.1 pp." DocPartId="ffb170051d83440fb4323a2ce8c1749f" PartId="21f4cd2b836745129b62d3fe804ecfd1"/>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d46a9e12101b4c9c8c5d681bb8ab2c15">
    <Part Type="pabaiga" DocPartId="8aa7d51d84b848debd65b12b26547c89" PartId="eeabe54f6d92436eb4751102dd485d22"/>
  </Part>
</Parts>
</file>

<file path=customXml/itemProps1.xml><?xml version="1.0" encoding="utf-8"?>
<ds:datastoreItem xmlns:ds="http://schemas.openxmlformats.org/officeDocument/2006/customXml" ds:itemID="{99E3CB9F-9A9F-465F-95E2-28E2E086A8E6}">
  <ds:schemaRefs>
    <ds:schemaRef ds:uri="http://lrs.lt/TAIS/DocParts"/>
  </ds:schemaRefs>
</ds:datastoreItem>
</file>

<file path=docProps/app.xml><?xml version="1.0" encoding="utf-8"?>
<Properties xmlns="http://schemas.openxmlformats.org/officeDocument/2006/extended-properties">
  <Template>Normal.dotm</Template>
  <TotalTime>98</TotalTime>
  <Pages>17</Pages>
  <Words>6850</Words>
  <Characters>51489</Characters>
  <Application>Microsoft Office Word</Application>
  <DocSecurity>0</DocSecurity>
  <Lines>429</Lines>
  <Paragraphs>116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58223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2021-04-09T07:52:00Z</dcterms:modified>
  <revision>35</revision>
</coreProperties>
</file>