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2020-12-08 iki 2020-12-08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5112b8eb8dcc4506b26b12489affd6c2"/>
                        <w:lock w:val="sdtLocked"/>
                        <w:richText/>
                      </w:sdtPr>
                      <w:sdtContent>
                        <w:p>
                          <w:pPr>
                            <w:tabs>
                              <w:tab w:val="left" w:pos="1560"/>
                            </w:tabs>
                            <w:ind w:firstLine="720"/>
                            <w:jc w:val="both"/>
                            <w:rPr>
                              <w:szCs w:val="24"/>
                              <w:lang w:eastAsia="lt-LT"/>
                            </w:rPr>
                          </w:pPr>
                          <w:sdt>
                            <w:sdtPr>
                              <w:alias w:val="Numeris"/>
                              <w:tag w:val="nr_5112b8eb8dcc4506b26b12489affd6c2"/>
                              <w:lock w:val="sdtLocked"/>
                              <w:richText/>
                            </w:sdtPr>
                            <w:sdtContent>
                              <w:r>
                                <w:rPr>
                                  <w:szCs w:val="24"/>
                                  <w:lang w:eastAsia="lt-LT"/>
                                </w:rPr>
                                <w:t>2.1.2.12</w:t>
                              </w:r>
                            </w:sdtContent>
                          </w:sdt>
                          <w:r>
                            <w:rPr>
                              <w:szCs w:val="24"/>
                              <w:lang w:eastAsia="lt-LT"/>
                            </w:rPr>
                            <w:t>. kitais išimtiniais atvejais, kai užsieniečiams leidžiama atvykti į Lietuvos Respubliką atskiru atitinkamos valdymo srities ministro leidimu ir jų atvykimui pritaria Vyriausybė;</w:t>
                          </w:r>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791f5901fcab4ebf9af943980bc5b53d"/>
                        <w:lock w:val="sdtLocked"/>
                        <w:richText/>
                      </w:sdtPr>
                      <w:sdtContent>
                        <w:p>
                          <w:pPr>
                            <w:tabs>
                              <w:tab w:val="left" w:pos="1134"/>
                            </w:tabs>
                            <w:ind w:firstLine="720"/>
                            <w:jc w:val="both"/>
                            <w:rPr>
                              <w:szCs w:val="24"/>
                              <w:lang w:eastAsia="lt-LT"/>
                            </w:rPr>
                          </w:pPr>
                          <w:sdt>
                            <w:sdtPr>
                              <w:alias w:val="Numeris"/>
                              <w:tag w:val="nr_791f5901fcab4ebf9af943980bc5b53d"/>
                              <w:lock w:val="sdtLocked"/>
                              <w:richText/>
                            </w:sdtPr>
                            <w:sdtContent>
                              <w:r>
                                <w:rPr>
                                  <w:color w:val="000000"/>
                                  <w:szCs w:val="24"/>
                                  <w:shd w:val="clear" w:color="auto" w:fill="FFFFFF"/>
                                  <w:lang w:eastAsia="lt-LT"/>
                                </w:rPr>
                                <w:t>2.1.5.1</w:t>
                              </w:r>
                            </w:sdtContent>
                          </w:sdt>
                          <w:r>
                            <w:rPr>
                              <w:color w:val="000000"/>
                              <w:szCs w:val="24"/>
                              <w:shd w:val="clear" w:color="auto" w:fill="FFFFFF"/>
                              <w:lang w:eastAsia="lt-LT"/>
                            </w:rPr>
                            <w:t>. viešose vietose būti ne didesnėmis nei 2 asmenų grupėmis, išskyrus šeimos narius (sutuoktinį arba asmenį, su kuriuo sudaryta registruotos partnerystės sutartis, vaikus (įvaikius), įskaitant asmens ir jo sutuoktinio arba asmens, su kuriuo sudaryta registruotos partnerystės sutartis, nepilnamečius vaikus, tėvus (įtėvius), globėjus), laikytis ne mažesnio kaip 2 metrų atstumo tarp asmenų ar asmenų grupių (iki 2 asmenų ar šeimos narių), vengti tiesioginio fizinio kontakto, laikytis asmens higienos reikalavimų. Laidotuvėse gali dalyvauti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2e7aad794be34ce5b5bf03ab6b942771"/>
                            <w:lock w:val="sdtLocked"/>
                            <w:richText/>
                          </w:sdtPr>
                          <w:sdtContent>
                            <w:p>
                              <w:pPr>
                                <w:shd w:val="clear" w:color="auto" w:fill="FFFFFF"/>
                                <w:ind w:firstLine="720"/>
                                <w:jc w:val="both"/>
                              </w:pPr>
                              <w:sdt>
                                <w:sdtPr>
                                  <w:alias w:val="Numeris"/>
                                  <w:tag w:val="nr_2e7aad794be34ce5b5bf03ab6b942771"/>
                                  <w:lock w:val="sdtLocked"/>
                                  <w:richText/>
                                </w:sdtPr>
                                <w:sdtContent>
                                  <w:r>
                                    <w:rPr>
                                      <w:color w:val="000000"/>
                                      <w:szCs w:val="24"/>
                                      <w:lang w:val="en-US" w:eastAsia="lt-LT"/>
                                    </w:rPr>
                                    <w:t>2</w:t>
                                  </w:r>
                                  <w:r>
                                    <w:rPr>
                                      <w:color w:val="000000"/>
                                      <w:szCs w:val="24"/>
                                      <w:lang w:eastAsia="lt-LT"/>
                                    </w:rPr>
                                    <w:t>.1.5.2.5</w:t>
                                  </w:r>
                                </w:sdtContent>
                              </w:sdt>
                              <w:r>
                                <w:rPr>
                                  <w:color w:val="000000"/>
                                  <w:szCs w:val="24"/>
                                  <w:lang w:eastAsia="lt-LT"/>
                                </w:rPr>
                                <w:t>. už gyvenamosios vietovės (miestų, miestelių, kaimų, viensėdžių, sodininkų bendrijų) ribų ir kai šalia 20 metrų spinduliu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8160b0a7a9b544a9b8a258356e72c5f5"/>
                    <w:lock w:val="sdtLocked"/>
                    <w:richText/>
                  </w:sdtPr>
                  <w:sdtContent>
                    <w:p>
                      <w:pPr>
                        <w:shd w:val="clear" w:color="auto" w:fill="FFFFFF"/>
                        <w:ind w:firstLine="720"/>
                        <w:jc w:val="both"/>
                        <w:rPr>
                          <w:color w:val="000000"/>
                          <w:szCs w:val="24"/>
                          <w:lang w:eastAsia="lt-LT"/>
                        </w:rPr>
                      </w:pPr>
                      <w:sdt>
                        <w:sdtPr>
                          <w:alias w:val="Numeris"/>
                          <w:tag w:val="nr_8160b0a7a9b544a9b8a258356e72c5f5"/>
                          <w:lock w:val="sdtLocked"/>
                          <w:richText/>
                        </w:sdtPr>
                        <w:sdtContent>
                          <w:r>
                            <w:rPr>
                              <w:color w:val="000000"/>
                              <w:szCs w:val="24"/>
                              <w:lang w:eastAsia="lt-LT"/>
                            </w:rPr>
                            <w:t>2.1.6</w:t>
                          </w:r>
                        </w:sdtContent>
                      </w:sdt>
                      <w:r>
                        <w:rPr>
                          <w:color w:val="000000"/>
                          <w:szCs w:val="24"/>
                          <w:lang w:eastAsia="lt-LT"/>
                        </w:rPr>
                        <w:t xml:space="preserve">. </w:t>
                      </w:r>
                      <w:r>
                        <w:rPr>
                          <w:szCs w:val="24"/>
                          <w:lang w:eastAsia="lt-LT"/>
                        </w:rPr>
                        <w:t>Ribojamas keliavimas miesto, tarpmiestinio ir priemiestinio reguliaraus susisiekimo keleivinio transporto maršrutais –</w:t>
                      </w:r>
                      <w:r>
                        <w:rPr>
                          <w:color w:val="000000"/>
                          <w:szCs w:val="24"/>
                          <w:lang w:eastAsia="lt-LT"/>
                        </w:rPr>
                        <w:t xml:space="preserve"> leidžiama užimti tik sėdimas vietas ne mažesniu kaip vieno metro atstumu.</w:t>
                      </w:r>
                    </w:p>
                  </w:sdtContent>
                </w:sdt>
                <w:sdt>
                  <w:sdtPr>
                    <w:alias w:val="2.1.7 pp."/>
                    <w:tag w:val="part_8695c1b0bfcd4050bdf51b7e08eb0177"/>
                    <w:lock w:val="sdtLocked"/>
                    <w:richText/>
                  </w:sdtPr>
                  <w:sdtContent>
                    <w:p>
                      <w:pPr>
                        <w:shd w:val="clear" w:color="auto" w:fill="FFFFFF"/>
                        <w:ind w:firstLine="720"/>
                        <w:jc w:val="both"/>
                        <w:rPr>
                          <w:color w:val="000000"/>
                          <w:szCs w:val="24"/>
                          <w:lang w:eastAsia="lt-LT"/>
                        </w:rPr>
                      </w:pPr>
                      <w:sdt>
                        <w:sdtPr>
                          <w:alias w:val="Numeris"/>
                          <w:tag w:val="nr_8695c1b0bfcd4050bdf51b7e08eb0177"/>
                          <w:lock w:val="sdtLocked"/>
                          <w:richText/>
                        </w:sdtPr>
                        <w:sdtContent>
                          <w:r>
                            <w:rPr>
                              <w:color w:val="000000"/>
                              <w:szCs w:val="24"/>
                              <w:lang w:eastAsia="lt-LT"/>
                            </w:rPr>
                            <w:t>2.1.7</w:t>
                          </w:r>
                        </w:sdtContent>
                      </w:sdt>
                      <w:r>
                        <w:rPr>
                          <w:color w:val="000000"/>
                          <w:szCs w:val="24"/>
                          <w:lang w:eastAsia="lt-LT"/>
                        </w:rPr>
                        <w:t xml:space="preserve">. Rekomenduojama: </w:t>
                      </w:r>
                    </w:p>
                    <w:sdt>
                      <w:sdtPr>
                        <w:alias w:val="2.1.7.1 pp."/>
                        <w:tag w:val="part_2f8afb32a50e4dc1aa001df95180cc10"/>
                        <w:lock w:val="sdtLocked"/>
                        <w:richText/>
                      </w:sdtPr>
                      <w:sdtContent>
                        <w:p>
                          <w:pPr>
                            <w:shd w:val="clear" w:color="auto" w:fill="FFFFFF"/>
                            <w:ind w:firstLine="720"/>
                            <w:jc w:val="both"/>
                            <w:rPr>
                              <w:color w:val="000000"/>
                              <w:szCs w:val="24"/>
                              <w:lang w:eastAsia="lt-LT"/>
                            </w:rPr>
                          </w:pPr>
                          <w:sdt>
                            <w:sdtPr>
                              <w:alias w:val="Numeris"/>
                              <w:tag w:val="nr_2f8afb32a50e4dc1aa001df95180cc10"/>
                              <w:lock w:val="sdtLocked"/>
                              <w:richText/>
                            </w:sdtPr>
                            <w:sdtContent>
                              <w:r>
                                <w:rPr>
                                  <w:color w:val="000000"/>
                                  <w:szCs w:val="24"/>
                                  <w:lang w:val="en-US" w:eastAsia="lt-LT"/>
                                </w:rPr>
                                <w:t>2.1.7.1</w:t>
                              </w:r>
                            </w:sdtContent>
                          </w:sdt>
                          <w:r>
                            <w:rPr>
                              <w:color w:val="000000"/>
                              <w:szCs w:val="24"/>
                              <w:lang w:val="en-US" w:eastAsia="lt-LT"/>
                            </w:rPr>
                            <w:t xml:space="preserve">. </w:t>
                          </w:r>
                          <w:r>
                            <w:rPr>
                              <w:color w:val="000000"/>
                              <w:szCs w:val="24"/>
                              <w:lang w:eastAsia="lt-LT"/>
                            </w:rPr>
                            <w:t>riboti judėjimą dėl nebūtinų priežasčių – palikti gyvenamąją vietą tik vykstant į darbą, prekybos vietą, dėl sveikatos priežiūros ir kitų paslaugų;</w:t>
                          </w:r>
                        </w:p>
                      </w:sdtContent>
                    </w:sdt>
                    <w:sdt>
                      <w:sdtPr>
                        <w:alias w:val="2.1.7.2 pp."/>
                        <w:tag w:val="part_0c81595f2e754855b41d654e3f0a4de4"/>
                        <w:lock w:val="sdtLocked"/>
                        <w:richText/>
                      </w:sdtPr>
                      <w:sdtContent>
                        <w:p>
                          <w:pPr>
                            <w:shd w:val="clear" w:color="auto" w:fill="FFFFFF"/>
                            <w:ind w:firstLine="720"/>
                            <w:jc w:val="both"/>
                            <w:rPr>
                              <w:szCs w:val="24"/>
                              <w:lang w:eastAsia="lt-LT"/>
                            </w:rPr>
                          </w:pPr>
                          <w:sdt>
                            <w:sdtPr>
                              <w:alias w:val="Numeris"/>
                              <w:tag w:val="nr_0c81595f2e754855b41d654e3f0a4de4"/>
                              <w:lock w:val="sdtLocked"/>
                              <w:richText/>
                            </w:sdtPr>
                            <w:sdtContent>
                              <w:r>
                                <w:rPr>
                                  <w:szCs w:val="24"/>
                                  <w:lang w:eastAsia="lt-LT"/>
                                </w:rPr>
                                <w:t>2.1.7.2</w:t>
                              </w:r>
                            </w:sdtContent>
                          </w:sdt>
                          <w:r>
                            <w:rPr>
                              <w:szCs w:val="24"/>
                              <w:lang w:eastAsia="lt-LT"/>
                            </w:rPr>
                            <w:t>. nerengti asmeninių švenčių privačiose erdvėse arba jas organizuoti taip, kad jose dalyvautų ne daugiau nei 10 asmenų ir dėvėtų kaukes;</w:t>
                          </w:r>
                        </w:p>
                      </w:sdtContent>
                    </w:sdt>
                    <w:sdt>
                      <w:sdtPr>
                        <w:alias w:val="2.1.7.3 pp."/>
                        <w:tag w:val="part_a6540c58335f4c6aaa500b76fd8ba0cd"/>
                        <w:lock w:val="sdtLocked"/>
                        <w:richText/>
                      </w:sdtPr>
                      <w:sdtContent>
                        <w:p>
                          <w:pPr>
                            <w:shd w:val="clear" w:color="auto" w:fill="FFFFFF"/>
                            <w:ind w:firstLine="720"/>
                            <w:jc w:val="both"/>
                            <w:rPr>
                              <w:szCs w:val="24"/>
                              <w:lang w:val="en-US" w:eastAsia="lt-LT"/>
                            </w:rPr>
                          </w:pPr>
                          <w:sdt>
                            <w:sdtPr>
                              <w:alias w:val="Numeris"/>
                              <w:tag w:val="nr_a6540c58335f4c6aaa500b76fd8ba0cd"/>
                              <w:lock w:val="sdtLocked"/>
                              <w:richText/>
                            </w:sdtPr>
                            <w:sdtContent>
                              <w:r>
                                <w:rPr>
                                  <w:szCs w:val="24"/>
                                  <w:lang w:val="en-US" w:eastAsia="lt-LT"/>
                                </w:rPr>
                                <w:t>2.1.7.3</w:t>
                              </w:r>
                            </w:sdtContent>
                          </w:sdt>
                          <w:r>
                            <w:rPr>
                              <w:szCs w:val="24"/>
                              <w:lang w:val="en-US" w:eastAsia="lt-LT"/>
                            </w:rPr>
                            <w:t xml:space="preserve">. </w:t>
                          </w:r>
                          <w:r>
                            <w:rPr>
                              <w:szCs w:val="24"/>
                              <w:lang w:eastAsia="lt-LT"/>
                            </w:rPr>
                            <w:t>riboti artimą kontaktą su kitų šeimų ir (ar) namų ūkių nariais arba susitikti ne daugiau nei dviejų šeimų ir (ar) namų ūkių nariams ir dėvėti</w:t>
                          </w:r>
                          <w:r>
                            <w:rPr>
                              <w:szCs w:val="24"/>
                              <w:lang w:val="en-US" w:eastAsia="lt-LT"/>
                            </w:rPr>
                            <w:t xml:space="preserve"> </w:t>
                          </w:r>
                          <w:r>
                            <w:rPr>
                              <w:szCs w:val="24"/>
                              <w:lang w:eastAsia="lt-LT"/>
                            </w:rPr>
                            <w:t>kaukes</w:t>
                          </w:r>
                          <w:r>
                            <w:rPr>
                              <w:szCs w:val="24"/>
                              <w:lang w:val="en-US" w:eastAsia="lt-LT"/>
                            </w:rPr>
                            <w:t>.</w:t>
                          </w:r>
                        </w:p>
                      </w:sdtContent>
                    </w:sdt>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0ca0db6079fc4623a19200450cde8507"/>
                    <w:lock w:val="sdtLocked"/>
                    <w:richText/>
                  </w:sdtPr>
                  <w:sdtContent>
                    <w:p>
                      <w:pPr>
                        <w:tabs>
                          <w:tab w:val="left" w:pos="1134"/>
                        </w:tabs>
                        <w:ind w:firstLine="720"/>
                        <w:jc w:val="both"/>
                        <w:rPr>
                          <w:szCs w:val="24"/>
                          <w:lang w:eastAsia="lt-LT"/>
                        </w:rPr>
                      </w:pPr>
                      <w:sdt>
                        <w:sdtPr>
                          <w:alias w:val="Numeris"/>
                          <w:tag w:val="nr_0ca0db6079fc4623a19200450cde8507"/>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darbas organizuojamas ir klientai aptarnaujami nuotoliniu būdu arba daliniu nuotoliniu būdu, išskyrus atvejus, kai atitinkamas funkcijas būtina atlikti darbo vietoje, ir užtikrinamos kitos valstybės lygio ekstremaliosios situacijos operacijų vadovo nustatytos asmenų srautų valdymo, saugaus atstumo laikymosi, būtinos visuomenės sveikatos saugos, higienos, asmenų aprūpinimo būtinosiomis asmeninėmis apsaugos priemonėmis sąlygos. Privačiam sektoriui rekomenduojama dirbti tokia pat darbo organizavimo forma kaip ir viešajame sektoriuje.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2 pp."/>
                    <w:tag w:val="part_42beb45beaa34f95bce1697385c0d1e8"/>
                    <w:lock w:val="sdtLocked"/>
                    <w:richText/>
                  </w:sdtPr>
                  <w:sdtContent>
                    <w:p>
                      <w:pPr>
                        <w:tabs>
                          <w:tab w:val="left" w:pos="1560"/>
                        </w:tabs>
                        <w:ind w:firstLine="720"/>
                        <w:jc w:val="both"/>
                        <w:rPr>
                          <w:szCs w:val="24"/>
                          <w:lang w:eastAsia="lt-LT"/>
                        </w:rPr>
                      </w:pPr>
                      <w:sdt>
                        <w:sdtPr>
                          <w:alias w:val="Numeris"/>
                          <w:tag w:val="nr_42beb45beaa34f95bce1697385c0d1e8"/>
                          <w:lock w:val="sdtLocked"/>
                          <w:richText/>
                        </w:sdtPr>
                        <w:sdtContent>
                          <w:r>
                            <w:rPr>
                              <w:szCs w:val="24"/>
                              <w:shd w:val="clear" w:color="auto" w:fill="FFFFFF"/>
                              <w:lang w:val="en-US" w:eastAsia="lt-LT"/>
                            </w:rPr>
                            <w:t>2.2.2</w:t>
                          </w:r>
                        </w:sdtContent>
                      </w:sdt>
                      <w:r>
                        <w:rPr>
                          <w:szCs w:val="24"/>
                          <w:shd w:val="clear" w:color="auto" w:fill="FFFFFF"/>
                          <w:lang w:val="en-US" w:eastAsia="lt-LT"/>
                        </w:rPr>
                        <w:t xml:space="preserve">. </w:t>
                      </w:r>
                      <w:r>
                        <w:rPr>
                          <w:bCs/>
                          <w:szCs w:val="24"/>
                          <w:lang w:eastAsia="lt-LT"/>
                        </w:rPr>
                        <w:t>Parduotuvėse, prekybos centruose, turgavietėse ir kitose viešose prekybos vietose ir teritorijose šalia jų turi būti užtikrinamas 10 m</w:t>
                      </w:r>
                      <w:r>
                        <w:rPr>
                          <w:bCs/>
                          <w:szCs w:val="24"/>
                          <w:vertAlign w:val="superscript"/>
                          <w:lang w:eastAsia="lt-LT"/>
                        </w:rPr>
                        <w:t>2</w:t>
                      </w:r>
                      <w:r>
                        <w:rPr>
                          <w:bCs/>
                          <w:szCs w:val="24"/>
                          <w:lang w:eastAsia="lt-LT"/>
                        </w:rPr>
                        <w:t xml:space="preserve"> prekybos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 pp."/>
                    <w:tag w:val="part_e840cdf0b75240e3bad0da1422943eb8"/>
                    <w:lock w:val="sdtLocked"/>
                    <w:richText/>
                  </w:sdtPr>
                  <w:sdtContent>
                    <w:p>
                      <w:pPr>
                        <w:tabs>
                          <w:tab w:val="left" w:pos="1560"/>
                        </w:tabs>
                        <w:ind w:firstLine="720"/>
                        <w:jc w:val="both"/>
                        <w:rPr>
                          <w:szCs w:val="24"/>
                          <w:lang w:eastAsia="lt-LT"/>
                        </w:rPr>
                      </w:pPr>
                      <w:sdt>
                        <w:sdtPr>
                          <w:alias w:val="Numeris"/>
                          <w:tag w:val="nr_e840cdf0b75240e3bad0da1422943eb8"/>
                          <w:lock w:val="sdtLocked"/>
                          <w:richText/>
                        </w:sdtPr>
                        <w:sdtContent>
                          <w:r>
                            <w:rPr>
                              <w:szCs w:val="24"/>
                              <w:lang w:eastAsia="lt-LT"/>
                            </w:rPr>
                            <w:t>2.2.3</w:t>
                          </w:r>
                        </w:sdtContent>
                      </w:sdt>
                      <w:r>
                        <w:rPr>
                          <w:szCs w:val="24"/>
                          <w:lang w:eastAsia="lt-LT"/>
                        </w:rPr>
                        <w:t xml:space="preserve">. </w:t>
                      </w:r>
                      <w:r>
                        <w:rPr>
                          <w:bCs/>
                          <w:szCs w:val="24"/>
                          <w:lang w:eastAsia="lt-LT"/>
                        </w:rPr>
                        <w:t>Paslaugų teikimo vietose (išskyrus apgyvendinimo paslaugų teikimo vietas) turi būti užtikrinamas 10 m</w:t>
                      </w:r>
                      <w:r>
                        <w:rPr>
                          <w:bCs/>
                          <w:szCs w:val="24"/>
                          <w:vertAlign w:val="superscript"/>
                          <w:lang w:eastAsia="lt-LT"/>
                        </w:rPr>
                        <w:t>2</w:t>
                      </w:r>
                      <w:r>
                        <w:rPr>
                          <w:bCs/>
                          <w:szCs w:val="24"/>
                          <w:lang w:eastAsia="lt-LT"/>
                        </w:rPr>
                        <w:t xml:space="preserve"> paslaugos teikimo plotas vienam lankytojui arba vienu metu aptarnaujamas ne daugiau kaip vienas asmuo ir užtikrinamos </w:t>
                      </w:r>
                      <w:r>
                        <w:rPr>
                          <w:szCs w:val="24"/>
                          <w:lang w:eastAsia="lt-LT"/>
                        </w:rPr>
                        <w:t>kitos valstybės lygio ekstremaliosios situacijos operacijų vadovo nustatytos asmenų srautų valdymo, saugaus atstumo laikymosi, būtinos visuomenės sveikatos saugos, higienos, asmenų aprūpinimo būtinosiomis asmeninėmis apsaugos priemonėmis sąlygos.</w:t>
                      </w:r>
                    </w:p>
                  </w:sdtContent>
                </w:sdt>
                <w:sdt>
                  <w:sdtPr>
                    <w:alias w:val="2.2.3-1 pp."/>
                    <w:tag w:val="part_598477cdcfc9430d8439fc5c2e1de512"/>
                    <w:lock w:val="sdtLocked"/>
                    <w:richText/>
                  </w:sdtPr>
                  <w:sdtContent>
                    <w:p>
                      <w:pPr>
                        <w:tabs>
                          <w:tab w:val="left" w:pos="1134"/>
                        </w:tabs>
                        <w:ind w:firstLine="720"/>
                        <w:jc w:val="both"/>
                      </w:pPr>
                      <w:sdt>
                        <w:sdtPr>
                          <w:alias w:val="Numeris"/>
                          <w:tag w:val="nr_598477cdcfc9430d8439fc5c2e1de512"/>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1</w:t>
                          </w:r>
                        </w:sdtContent>
                      </w:sdt>
                      <w:r>
                        <w:rPr>
                          <w:color w:val="000000"/>
                          <w:szCs w:val="24"/>
                          <w:shd w:val="clear" w:color="auto" w:fill="FFFFFF"/>
                          <w:lang w:eastAsia="lt-LT"/>
                        </w:rPr>
                        <w:t xml:space="preserve">. Draudžiama </w:t>
                      </w:r>
                      <w:r>
                        <w:rPr>
                          <w:szCs w:val="24"/>
                          <w:shd w:val="clear" w:color="auto" w:fill="FFFFFF"/>
                          <w:lang w:eastAsia="lt-LT"/>
                        </w:rPr>
                        <w:t>visose parduotuvėse, prekybos centruose bei paslaugų teikimo vietose vykdyti prekybą laikinose prekybos vietose (išskyrus prekybą maisto produktais, pirotechnikos priemonėmis ir stacionarias prekybines saleles).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2 pp."/>
                    <w:tag w:val="part_1fb4c2eb7ad84a579817ba6e3907155b"/>
                    <w:lock w:val="sdtLocked"/>
                    <w:richText/>
                  </w:sdtPr>
                  <w:sdtContent>
                    <w:p>
                      <w:pPr>
                        <w:tabs>
                          <w:tab w:val="left" w:pos="1134"/>
                        </w:tabs>
                        <w:ind w:firstLine="720"/>
                        <w:jc w:val="both"/>
                        <w:rPr>
                          <w:szCs w:val="24"/>
                          <w:lang w:eastAsia="lt-LT"/>
                        </w:rPr>
                      </w:pPr>
                      <w:sdt>
                        <w:sdtPr>
                          <w:alias w:val="Numeris"/>
                          <w:tag w:val="nr_1fb4c2eb7ad84a579817ba6e3907155b"/>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 nenaudoti trumpalaikių pardavimų skatinimo priemonių (išpardavimų, nuolaidų valandų, degustacijų ir kt.), kurios didina pirkėjų ir lankytojų srautus tam tikru itin trumpu laiku ir tam tikroje vietoje (išskyrus prekybą internetu).</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 pp."/>
                    <w:tag w:val="part_18817b035746456ba50adae360f25e3d"/>
                    <w:lock w:val="sdtLocked"/>
                    <w:richText/>
                  </w:sdtPr>
                  <w:sdtContent>
                    <w:p>
                      <w:pPr>
                        <w:tabs>
                          <w:tab w:val="left" w:pos="1560"/>
                        </w:tabs>
                        <w:ind w:firstLine="720"/>
                        <w:jc w:val="both"/>
                        <w:rPr>
                          <w:bCs/>
                          <w:szCs w:val="24"/>
                          <w:lang w:eastAsia="lt-LT"/>
                        </w:rPr>
                      </w:pPr>
                      <w:sdt>
                        <w:sdtPr>
                          <w:alias w:val="Numeris"/>
                          <w:tag w:val="nr_18817b035746456ba50adae360f25e3d"/>
                          <w:lock w:val="sdtLocked"/>
                          <w:richText/>
                        </w:sdtPr>
                        <w:sdtContent>
                          <w:r>
                            <w:rPr>
                              <w:szCs w:val="24"/>
                              <w:lang w:eastAsia="lt-LT"/>
                            </w:rPr>
                            <w:t>2.2.4</w:t>
                          </w:r>
                        </w:sdtContent>
                      </w:sdt>
                      <w:r>
                        <w:rPr>
                          <w:szCs w:val="24"/>
                          <w:lang w:eastAsia="lt-LT"/>
                        </w:rPr>
                        <w:t xml:space="preserve">. </w:t>
                      </w:r>
                      <w:r>
                        <w:rPr>
                          <w:bCs/>
                          <w:szCs w:val="24"/>
                          <w:lang w:eastAsia="lt-LT"/>
                        </w:rPr>
                        <w:t>Apgyvendinimo paslaugos teikiamos:</w:t>
                      </w:r>
                    </w:p>
                    <w:sdt>
                      <w:sdtPr>
                        <w:alias w:val="2.2.4.1 pp."/>
                        <w:tag w:val="part_65b043bacd904fdab7c261082654102c"/>
                        <w:lock w:val="sdtLocked"/>
                        <w:richText/>
                      </w:sdtPr>
                      <w:sdtContent>
                        <w:p>
                          <w:pPr>
                            <w:tabs>
                              <w:tab w:val="left" w:pos="1560"/>
                            </w:tabs>
                            <w:ind w:firstLine="720"/>
                            <w:jc w:val="both"/>
                            <w:rPr>
                              <w:color w:val="000000"/>
                              <w:szCs w:val="24"/>
                              <w:lang w:eastAsia="lt-LT"/>
                            </w:rPr>
                          </w:pPr>
                          <w:sdt>
                            <w:sdtPr>
                              <w:alias w:val="Numeris"/>
                              <w:tag w:val="nr_65b043bacd904fdab7c261082654102c"/>
                              <w:lock w:val="sdtLocked"/>
                              <w:richText/>
                            </w:sdtPr>
                            <w:sdtContent>
                              <w:r>
                                <w:rPr>
                                  <w:bCs/>
                                  <w:szCs w:val="24"/>
                                  <w:lang w:val="en-US" w:eastAsia="lt-LT"/>
                                </w:rPr>
                                <w:t>2.2.4.1</w:t>
                              </w:r>
                            </w:sdtContent>
                          </w:sdt>
                          <w:r>
                            <w:rPr>
                              <w:bCs/>
                              <w:szCs w:val="24"/>
                              <w:lang w:val="en-US" w:eastAsia="lt-LT"/>
                            </w:rPr>
                            <w:t xml:space="preserve">. </w:t>
                          </w:r>
                          <w:r>
                            <w:rPr>
                              <w:bCs/>
                              <w:szCs w:val="24"/>
                              <w:lang w:eastAsia="lt-LT"/>
                            </w:rPr>
                            <w:t xml:space="preserve">apgyvendinant viename kambaryje ne daugiau nei po 2 asmenis, išskyrus </w:t>
                          </w:r>
                          <w:r>
                            <w:rPr>
                              <w:color w:val="000000"/>
                              <w:szCs w:val="24"/>
                              <w:lang w:eastAsia="lt-LT"/>
                            </w:rPr>
                            <w:t>šeimos narius (sutuoktinį arba asmenį, su kuriuo sudaryta registruotos partnerystės sutartis, vaikus (įvaikius), įskaitant asmens ir jo sutuoktinio arba asmens, su kuriuo sudaryta registruotos partnerystės sutartis, nepilnamečius vaikus, tėvus (įtėvius), globėjus);</w:t>
                          </w:r>
                        </w:p>
                      </w:sdtContent>
                    </w:sdt>
                    <w:sdt>
                      <w:sdtPr>
                        <w:alias w:val="2.2.4.2 pp."/>
                        <w:tag w:val="part_ae624db9848c4485a003ce374756a27f"/>
                        <w:lock w:val="sdtLocked"/>
                        <w:richText/>
                      </w:sdtPr>
                      <w:sdtContent>
                        <w:p>
                          <w:pPr>
                            <w:tabs>
                              <w:tab w:val="left" w:pos="1134"/>
                            </w:tabs>
                            <w:ind w:firstLine="720"/>
                            <w:jc w:val="both"/>
                            <w:rPr>
                              <w:bCs/>
                              <w:szCs w:val="24"/>
                              <w:lang w:eastAsia="lt-LT"/>
                            </w:rPr>
                          </w:pPr>
                          <w:sdt>
                            <w:sdtPr>
                              <w:alias w:val="Numeris"/>
                              <w:tag w:val="nr_ae624db9848c4485a003ce374756a27f"/>
                              <w:lock w:val="sdtLocked"/>
                              <w:richText/>
                            </w:sdtPr>
                            <w:sdtContent>
                              <w:r>
                                <w:rPr>
                                  <w:color w:val="000000"/>
                                  <w:szCs w:val="24"/>
                                  <w:shd w:val="clear" w:color="auto" w:fill="FFFFFF"/>
                                  <w:lang w:eastAsia="lt-LT"/>
                                </w:rPr>
                                <w:t>2.2.4.2</w:t>
                              </w:r>
                            </w:sdtContent>
                          </w:sdt>
                          <w:r>
                            <w:rPr>
                              <w:color w:val="000000"/>
                              <w:szCs w:val="24"/>
                              <w:shd w:val="clear" w:color="auto" w:fill="FFFFFF"/>
                              <w:lang w:eastAsia="lt-LT"/>
                            </w:rPr>
                            <w:t>. bendro naudojimo patalpose užtikrinant visų asmenų kaukių dėvėjimą ir laikantis ne mažesnio kaip 2 metrų atstumo tarp asmenų ar asmenų grupių (iki 2 asmenų ar šeimos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4.3 pp."/>
                        <w:tag w:val="part_d2a7246ca3504b6286c23764cd73c935"/>
                        <w:lock w:val="sdtLocked"/>
                        <w:richText/>
                      </w:sdtPr>
                      <w:sdtContent>
                        <w:p>
                          <w:pPr>
                            <w:tabs>
                              <w:tab w:val="left" w:pos="1418"/>
                            </w:tabs>
                            <w:ind w:firstLine="720"/>
                            <w:jc w:val="both"/>
                            <w:rPr>
                              <w:szCs w:val="24"/>
                              <w:lang w:eastAsia="lt-LT"/>
                            </w:rPr>
                          </w:pPr>
                          <w:sdt>
                            <w:sdtPr>
                              <w:alias w:val="Numeris"/>
                              <w:tag w:val="nr_d2a7246ca3504b6286c23764cd73c935"/>
                              <w:lock w:val="sdtLocked"/>
                              <w:richText/>
                            </w:sdtPr>
                            <w:sdtContent>
                              <w:r>
                                <w:rPr>
                                  <w:bCs/>
                                  <w:szCs w:val="24"/>
                                  <w:lang w:val="en-US" w:eastAsia="lt-LT"/>
                                </w:rPr>
                                <w:t>2.2.4.3</w:t>
                              </w:r>
                            </w:sdtContent>
                          </w:sdt>
                          <w:r>
                            <w:rPr>
                              <w:bCs/>
                              <w:szCs w:val="24"/>
                              <w:lang w:val="en-US" w:eastAsia="lt-LT"/>
                            </w:rPr>
                            <w:t xml:space="preserve">. </w:t>
                          </w:r>
                          <w:r>
                            <w:rPr>
                              <w:szCs w:val="24"/>
                              <w:lang w:eastAsia="lt-LT"/>
                            </w:rPr>
                            <w:t>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148a69ca43f64d93951fd1fd08e65d77"/>
                    <w:lock w:val="sdtLocked"/>
                    <w:richText/>
                  </w:sdtPr>
                  <w:sdtContent>
                    <w:p>
                      <w:pPr>
                        <w:ind w:firstLine="720"/>
                        <w:jc w:val="both"/>
                      </w:pPr>
                      <w:sdt>
                        <w:sdtPr>
                          <w:alias w:val="Numeris"/>
                          <w:tag w:val="nr_148a69ca43f64d93951fd1fd08e65d77"/>
                          <w:lock w:val="sdtLocked"/>
                          <w:richText/>
                        </w:sdtPr>
                        <w:sdtContent>
                          <w:r>
                            <w:rPr>
                              <w:szCs w:val="24"/>
                              <w:lang w:eastAsia="lt-LT"/>
                            </w:rPr>
                            <w:t>2.2.6</w:t>
                          </w:r>
                        </w:sdtContent>
                      </w:sdt>
                      <w:r>
                        <w:rPr>
                          <w:szCs w:val="24"/>
                          <w:lang w:eastAsia="lt-LT"/>
                        </w:rPr>
                        <w:t>.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aukšto meistriškumo sporto pratybas, individualius (vienam lankytojui) fizinio aktyvumo užsiėmimus, teikiamus fizinio aktyvumo ar sporto specialisto, instruktoriaus ar fizinio aktyvumo ar sporto specialisto paslaugų teikėjo,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sdtContent>
                </w:sdt>
                <w:sdt>
                  <w:sdtPr>
                    <w:alias w:val="2.2.6-1 pp."/>
                    <w:tag w:val="part_88af6677304a4395b3986b124a66fcaa"/>
                    <w:lock w:val="sdtLocked"/>
                    <w:richText/>
                  </w:sdtPr>
                  <w:sdtContent>
                    <w:p>
                      <w:pPr>
                        <w:tabs>
                          <w:tab w:val="left" w:pos="709"/>
                          <w:tab w:val="left" w:pos="851"/>
                        </w:tabs>
                        <w:ind w:firstLine="720"/>
                        <w:jc w:val="both"/>
                        <w:rPr>
                          <w:szCs w:val="24"/>
                          <w:lang w:eastAsia="lt-LT"/>
                        </w:rPr>
                      </w:pPr>
                      <w:sdt>
                        <w:sdtPr>
                          <w:alias w:val="Numeris"/>
                          <w:tag w:val="nr_88af6677304a4395b3986b124a66fcaa"/>
                          <w:lock w:val="sdtLocked"/>
                          <w:richText/>
                        </w:sdtPr>
                        <w:sdtContent>
                          <w:r>
                            <w:rPr>
                              <w:szCs w:val="24"/>
                              <w:shd w:val="clear" w:color="auto" w:fill="FFFFFF"/>
                              <w:lang w:eastAsia="lt-LT"/>
                            </w:rPr>
                            <w:t>2.2.6</w:t>
                          </w:r>
                          <w:r>
                            <w:rPr>
                              <w:szCs w:val="24"/>
                              <w:shd w:val="clear" w:color="auto" w:fill="FFFFFF"/>
                              <w:vertAlign w:val="superscript"/>
                              <w:lang w:eastAsia="lt-LT"/>
                            </w:rPr>
                            <w:t>1</w:t>
                          </w:r>
                        </w:sdtContent>
                      </w:sdt>
                      <w:r>
                        <w:rPr>
                          <w:szCs w:val="24"/>
                          <w:shd w:val="clear" w:color="auto" w:fill="FFFFFF"/>
                          <w:lang w:eastAsia="lt-LT"/>
                        </w:rPr>
                        <w:t>. Draudžiamas kultūros įstaigų lankymas ir fizinis lankytojų aptarnavimas, išskyrus fizinį aptarnavimą bibliotekose,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17d5ba8e9ee6434f8b3954a05aa4fc1e"/>
                        <w:lock w:val="sdtLocked"/>
                        <w:richText/>
                      </w:sdtPr>
                      <w:sdtContent>
                        <w:p>
                          <w:pPr>
                            <w:ind w:firstLine="720"/>
                            <w:jc w:val="both"/>
                            <w:rPr>
                              <w:bCs/>
                              <w:szCs w:val="24"/>
                              <w:lang w:eastAsia="lt-LT"/>
                            </w:rPr>
                          </w:pPr>
                          <w:sdt>
                            <w:sdtPr>
                              <w:alias w:val="Numeris"/>
                              <w:tag w:val="nr_17d5ba8e9ee6434f8b3954a05aa4fc1e"/>
                              <w:lock w:val="sdtLocked"/>
                              <w:richText/>
                            </w:sdtPr>
                            <w:sdtContent>
                              <w:r>
                                <w:rPr>
                                  <w:bCs/>
                                  <w:szCs w:val="24"/>
                                  <w:lang w:eastAsia="lt-LT"/>
                                </w:rPr>
                                <w:t>2.2.8.2</w:t>
                              </w:r>
                            </w:sdtContent>
                          </w:sdt>
                          <w:r>
                            <w:rPr>
                              <w:bCs/>
                              <w:szCs w:val="24"/>
                              <w:lang w:eastAsia="lt-LT"/>
                            </w:rPr>
                            <w:t xml:space="preserve">. laidotuves, kai jose </w:t>
                          </w:r>
                          <w:r>
                            <w:rPr>
                              <w:szCs w:val="24"/>
                              <w:lang w:eastAsia="lt-LT"/>
                            </w:rPr>
                            <w:t xml:space="preserve">dalyvauja ne daugiau nei 10 asmenų, </w:t>
                          </w:r>
                          <w:r>
                            <w:rPr>
                              <w:color w:val="000000"/>
                              <w:szCs w:val="24"/>
                              <w:lang w:eastAsia="lt-LT"/>
                            </w:rPr>
                            <w:t>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w:t>
                          </w:r>
                          <w:r>
                            <w:rPr>
                              <w:bCs/>
                              <w:szCs w:val="24"/>
                              <w:lang w:eastAsia="lt-LT"/>
                            </w:rPr>
                            <w:t>.</w:t>
                          </w:r>
                        </w:p>
                      </w:sdtContent>
                    </w:sdt>
                  </w:sdtContent>
                </w:sdt>
                <w:sdt>
                  <w:sdtPr>
                    <w:alias w:val="2.2.9 pp."/>
                    <w:tag w:val="part_29b286a168254838abfe6c9b878abdc8"/>
                    <w:lock w:val="sdtLocked"/>
                    <w:richText/>
                  </w:sdtPr>
                  <w:sdtContent>
                    <w:p>
                      <w:pPr>
                        <w:tabs>
                          <w:tab w:val="left" w:pos="1701"/>
                        </w:tabs>
                        <w:ind w:firstLine="720"/>
                        <w:jc w:val="both"/>
                        <w:rPr>
                          <w:szCs w:val="24"/>
                          <w:lang w:eastAsia="lt-LT"/>
                        </w:rPr>
                      </w:pPr>
                      <w:sdt>
                        <w:sdtPr>
                          <w:alias w:val="Numeris"/>
                          <w:tag w:val="nr_29b286a168254838abfe6c9b878abdc8"/>
                          <w:lock w:val="sdtLocked"/>
                          <w:richText/>
                        </w:sdtPr>
                        <w:sdtContent>
                          <w:r>
                            <w:rPr>
                              <w:szCs w:val="24"/>
                              <w:lang w:eastAsia="lt-LT"/>
                            </w:rPr>
                            <w:t>2.2.9</w:t>
                          </w:r>
                        </w:sdtContent>
                      </w:sdt>
                      <w:r>
                        <w:rPr>
                          <w:szCs w:val="24"/>
                          <w:lang w:eastAsia="lt-LT"/>
                        </w:rPr>
                        <w:t xml:space="preserve">. Švietimo veiklos organizavimo ir vykdymo srityje: </w:t>
                      </w:r>
                    </w:p>
                    <w:sdt>
                      <w:sdtPr>
                        <w:alias w:val="2.2.9.1 pp."/>
                        <w:tag w:val="part_04262070ee28495e93c4b270cb95d54e"/>
                        <w:lock w:val="sdtLocked"/>
                        <w:richText/>
                      </w:sdtPr>
                      <w:sdtContent>
                        <w:p>
                          <w:pPr>
                            <w:ind w:firstLine="720"/>
                            <w:jc w:val="both"/>
                            <w:rPr>
                              <w:szCs w:val="24"/>
                              <w:lang w:eastAsia="lt-LT"/>
                            </w:rPr>
                          </w:pPr>
                          <w:sdt>
                            <w:sdtPr>
                              <w:alias w:val="Numeris"/>
                              <w:tag w:val="nr_04262070ee28495e93c4b270cb95d54e"/>
                              <w:lock w:val="sdtLocked"/>
                              <w:richText/>
                            </w:sdtPr>
                            <w:sdtContent>
                              <w:r>
                                <w:rPr>
                                  <w:szCs w:val="24"/>
                                  <w:lang w:eastAsia="lt-LT"/>
                                </w:rPr>
                                <w:t>2.2.9.1</w:t>
                              </w:r>
                            </w:sdtContent>
                          </w:sdt>
                          <w:r>
                            <w:rPr>
                              <w:szCs w:val="24"/>
                              <w:lang w:eastAsia="lt-LT"/>
                            </w:rPr>
                            <w:t xml:space="preserve">. ikimokyklinis, priešmokyklinis ir pradinis ugdymas vykdomi, užtikrinant valstybės lygio ekstremaliosios situacijos operacijų vadovo nustatytas asmenų srautų valdymo, saugaus atstumo laikymosi ir kitas būtinas visuomenės sveikatos saugos, higienos, asmenų aprūpinimo būtinosiomis asmeninėmis apsaugos priemonėmis sąlygas; </w:t>
                          </w:r>
                        </w:p>
                      </w:sdtContent>
                    </w:sdt>
                    <w:sdt>
                      <w:sdtPr>
                        <w:alias w:val="2.2.9.2 pp."/>
                        <w:tag w:val="part_0e1e6d8ba0254fb7bd632a16052f634d"/>
                        <w:lock w:val="sdtLocked"/>
                        <w:richText/>
                      </w:sdtPr>
                      <w:sdtContent>
                        <w:p>
                          <w:pPr>
                            <w:shd w:val="clear" w:color="auto" w:fill="FFFFFF"/>
                            <w:ind w:firstLine="720"/>
                            <w:jc w:val="both"/>
                            <w:rPr>
                              <w:szCs w:val="24"/>
                              <w:lang w:val="en-GB"/>
                            </w:rPr>
                          </w:pPr>
                          <w:sdt>
                            <w:sdtPr>
                              <w:alias w:val="Numeris"/>
                              <w:tag w:val="nr_0e1e6d8ba0254fb7bd632a16052f634d"/>
                              <w:lock w:val="sdtLocked"/>
                              <w:richText/>
                            </w:sdtPr>
                            <w:sdtContent>
                              <w:r>
                                <w:rPr>
                                  <w:szCs w:val="24"/>
                                  <w:lang w:val="en-GB"/>
                                </w:rPr>
                                <w:t>2.2.9.2</w:t>
                              </w:r>
                            </w:sdtContent>
                          </w:sdt>
                          <w:r>
                            <w:rPr>
                              <w:szCs w:val="24"/>
                              <w:lang w:val="en-GB"/>
                            </w:rPr>
                            <w:t xml:space="preserve">. </w:t>
                          </w:r>
                          <w:r>
                            <w:rPr>
                              <w:color w:val="000000"/>
                              <w:szCs w:val="24"/>
                              <w:lang w:val="en-GB"/>
                            </w:rPr>
                            <w:t xml:space="preserve">ugdymas mokyklose pagal pagrindinio ugdymo ir vidurinio ugdymo </w:t>
                          </w:r>
                          <w:r>
                            <w:rPr>
                              <w:szCs w:val="24"/>
                              <w:lang w:val="en-GB"/>
                            </w:rPr>
                            <w:t>programas vykdomas nuotoliniu būdu arba derinant nuotolinį su kasdieniu būdu</w:t>
                          </w:r>
                          <w:r>
                            <w:rPr>
                              <w:color w:val="000000"/>
                              <w:szCs w:val="24"/>
                              <w:lang w:val="en-GB"/>
                            </w:rPr>
                            <w:t>, išskyrus specialiosiose mokyklose ir bendrojo ugdymo mokyklų specialiosiose klasėse ugdomus mokinius pagal pagrindinio ugdymo (pagrindinio ugdymo individualizuotą), vidurinio ugdymo (socialinių įgūdžių ugdymo) programas, 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3 pp."/>
                        <w:tag w:val="part_49872fb0149742f995e796f7d6b26db3"/>
                        <w:lock w:val="sdtLocked"/>
                        <w:richText/>
                      </w:sdtPr>
                      <w:sdtContent>
                        <w:p>
                          <w:pPr>
                            <w:shd w:val="clear" w:color="auto" w:fill="FFFFFF"/>
                            <w:ind w:firstLine="720"/>
                            <w:jc w:val="both"/>
                            <w:rPr>
                              <w:szCs w:val="24"/>
                              <w:lang w:val="en-GB"/>
                            </w:rPr>
                          </w:pPr>
                          <w:sdt>
                            <w:sdtPr>
                              <w:alias w:val="Numeris"/>
                              <w:tag w:val="nr_49872fb0149742f995e796f7d6b26db3"/>
                              <w:lock w:val="sdtLocked"/>
                              <w:richText/>
                            </w:sdtPr>
                            <w:sdtContent>
                              <w:r>
                                <w:rPr>
                                  <w:szCs w:val="24"/>
                                  <w:lang w:val="en-GB"/>
                                </w:rPr>
                                <w:t>2.2.9.3</w:t>
                              </w:r>
                            </w:sdtContent>
                          </w:sdt>
                          <w:r>
                            <w:rPr>
                              <w:szCs w:val="24"/>
                              <w:lang w:val="en-GB"/>
                            </w:rPr>
                            <w:t>. neformalusis vaikų švietimas vykdomas nuotoliniu būdu arba stabdomas,</w:t>
                          </w:r>
                          <w:r>
                            <w:rPr>
                              <w:color w:val="000000"/>
                              <w:szCs w:val="24"/>
                              <w:lang w:val="en-GB"/>
                            </w:rPr>
                            <w:t xml:space="preserve"> išskyrus programas, kurias vykdant </w:t>
                          </w:r>
                          <w:r>
                            <w:rPr>
                              <w:szCs w:val="24"/>
                              <w:lang w:val="en-GB"/>
                            </w:rPr>
                            <w:t>užtikrinamos valstybės lygio ekstremaliosios situacijos operacijų vadovo nustatytos asmenų srautų valdymo, saugaus atstumo laikymosi ir kitos būtinos visuomenės sveikatos saugos, higienos, asmenų aprūpinimo būtinosiomis asmeninėmis apsaugos priemonėmis sąlygos ir kurios</w:t>
                          </w:r>
                          <w:r>
                            <w:rPr>
                              <w:color w:val="000000"/>
                              <w:szCs w:val="24"/>
                              <w:lang w:val="en-GB"/>
                            </w:rPr>
                            <w:t>:</w:t>
                          </w:r>
                        </w:p>
                        <w:sdt>
                          <w:sdtPr>
                            <w:alias w:val="2.2.9.3.1 pp."/>
                            <w:tag w:val="part_d006c6d61f264540a708056140d91c80"/>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d006c6d61f264540a708056140d91c80"/>
                                  <w:lock w:val="sdtLocked"/>
                                  <w:richText/>
                                </w:sdtPr>
                                <w:sdtContent>
                                  <w:r>
                                    <w:rPr>
                                      <w:szCs w:val="24"/>
                                      <w:lang w:eastAsia="lt-LT"/>
                                    </w:rPr>
                                    <w:t>2.2.9.3.1</w:t>
                                  </w:r>
                                </w:sdtContent>
                              </w:sdt>
                              <w:r>
                                <w:rPr>
                                  <w:szCs w:val="24"/>
                                  <w:lang w:eastAsia="lt-LT"/>
                                </w:rPr>
                                <w:t xml:space="preserve">. </w:t>
                              </w:r>
                              <w:r>
                                <w:rPr>
                                  <w:color w:val="000000"/>
                                  <w:szCs w:val="24"/>
                                  <w:lang w:eastAsia="lt-LT"/>
                                </w:rPr>
                                <w:t>įgyvendinamos mokyklose, kuriose ugdymas vykdomas kasdieniu būdu arba derinant nuotolinį su kasdieniu būdu, vykdant tos mokyklos ugdymo planą, pailgintos dienos grupių ar visos dienos mokyklos veiklą;</w:t>
                              </w:r>
                            </w:p>
                          </w:sdtContent>
                        </w:sdt>
                        <w:sdt>
                          <w:sdtPr>
                            <w:alias w:val="2.2.9.3.2 pp."/>
                            <w:tag w:val="part_2d36d470505347c8a363510e4d4437c5"/>
                            <w:lock w:val="sdtLocked"/>
                            <w:richText/>
                          </w:sdtPr>
                          <w:sdtContent>
                            <w:p>
                              <w:pPr>
                                <w:tabs>
                                  <w:tab w:val="left" w:pos="1276"/>
                                  <w:tab w:val="left" w:pos="1701"/>
                                </w:tabs>
                                <w:ind w:firstLine="720"/>
                                <w:jc w:val="both"/>
                                <w:textAlignment w:val="baseline"/>
                                <w:rPr>
                                  <w:color w:val="000000"/>
                                  <w:szCs w:val="24"/>
                                  <w:lang w:eastAsia="lt-LT"/>
                                </w:rPr>
                              </w:pPr>
                              <w:sdt>
                                <w:sdtPr>
                                  <w:alias w:val="Numeris"/>
                                  <w:tag w:val="nr_2d36d470505347c8a363510e4d4437c5"/>
                                  <w:lock w:val="sdtLocked"/>
                                  <w:richText/>
                                </w:sdtPr>
                                <w:sdtContent>
                                  <w:r>
                                    <w:rPr>
                                      <w:szCs w:val="24"/>
                                      <w:lang w:eastAsia="lt-LT"/>
                                    </w:rPr>
                                    <w:t>2.2.9.3.2</w:t>
                                  </w:r>
                                </w:sdtContent>
                              </w:sdt>
                              <w:r>
                                <w:rPr>
                                  <w:szCs w:val="24"/>
                                  <w:lang w:eastAsia="lt-LT"/>
                                </w:rPr>
                                <w:t xml:space="preserve">. </w:t>
                              </w:r>
                              <w:r>
                                <w:rPr>
                                  <w:color w:val="000000"/>
                                  <w:szCs w:val="24"/>
                                  <w:lang w:eastAsia="lt-LT"/>
                                </w:rPr>
                                <w:t>organizuojamos atvirose erdvėse (lauke);</w:t>
                              </w:r>
                            </w:p>
                          </w:sdtContent>
                        </w:sdt>
                        <w:sdt>
                          <w:sdtPr>
                            <w:alias w:val="2.2.9.3.3 pp."/>
                            <w:tag w:val="part_549ba5d99cac46c3ba2839d60ec3aff4"/>
                            <w:lock w:val="sdtLocked"/>
                            <w:richText/>
                          </w:sdtPr>
                          <w:sdtContent>
                            <w:p>
                              <w:pPr>
                                <w:tabs>
                                  <w:tab w:val="left" w:pos="1276"/>
                                  <w:tab w:val="left" w:pos="1701"/>
                                </w:tabs>
                                <w:ind w:firstLine="720"/>
                                <w:jc w:val="both"/>
                                <w:textAlignment w:val="baseline"/>
                                <w:rPr>
                                  <w:szCs w:val="24"/>
                                  <w:lang w:eastAsia="lt-LT"/>
                                </w:rPr>
                              </w:pPr>
                              <w:sdt>
                                <w:sdtPr>
                                  <w:alias w:val="Numeris"/>
                                  <w:tag w:val="nr_549ba5d99cac46c3ba2839d60ec3aff4"/>
                                  <w:lock w:val="sdtLocked"/>
                                  <w:richText/>
                                </w:sdtPr>
                                <w:sdtContent>
                                  <w:r>
                                    <w:rPr>
                                      <w:szCs w:val="24"/>
                                      <w:lang w:eastAsia="lt-LT"/>
                                    </w:rPr>
                                    <w:t>2.2.9.3.3</w:t>
                                  </w:r>
                                </w:sdtContent>
                              </w:sdt>
                              <w:r>
                                <w:rPr>
                                  <w:szCs w:val="24"/>
                                  <w:lang w:eastAsia="lt-LT"/>
                                </w:rPr>
                                <w:t xml:space="preserve">. </w:t>
                              </w:r>
                              <w:r>
                                <w:rPr>
                                  <w:color w:val="000000"/>
                                  <w:szCs w:val="24"/>
                                  <w:lang w:eastAsia="lt-LT"/>
                                </w:rPr>
                                <w:t>vykdomos individualaus mokymo / ugdymo forma;</w:t>
                              </w:r>
                            </w:p>
                          </w:sdtContent>
                        </w:sdt>
                        <w:sdt>
                          <w:sdtPr>
                            <w:alias w:val="2.2.9.3.4 pp."/>
                            <w:tag w:val="part_2f3011cdef07436da0e07b69187c7088"/>
                            <w:lock w:val="sdtLocked"/>
                            <w:richText/>
                          </w:sdtPr>
                          <w:sdtContent>
                            <w:p>
                              <w:pPr>
                                <w:tabs>
                                  <w:tab w:val="left" w:pos="1134"/>
                                </w:tabs>
                                <w:ind w:firstLine="720"/>
                                <w:jc w:val="both"/>
                                <w:rPr>
                                  <w:szCs w:val="24"/>
                                  <w:lang w:eastAsia="lt-LT"/>
                                </w:rPr>
                              </w:pPr>
                              <w:sdt>
                                <w:sdtPr>
                                  <w:alias w:val="Numeris"/>
                                  <w:tag w:val="nr_2f3011cdef07436da0e07b69187c7088"/>
                                  <w:lock w:val="sdtLocked"/>
                                  <w:richText/>
                                </w:sdtPr>
                                <w:sdtContent>
                                  <w:r>
                                    <w:rPr>
                                      <w:color w:val="000000"/>
                                      <w:szCs w:val="24"/>
                                      <w:shd w:val="clear" w:color="auto" w:fill="FFFFFF"/>
                                      <w:lang w:eastAsia="lt-LT"/>
                                    </w:rPr>
                                    <w:t>2.2.9.3.4</w:t>
                                  </w:r>
                                </w:sdtContent>
                              </w:sdt>
                              <w:r>
                                <w:rPr>
                                  <w:color w:val="000000"/>
                                  <w:szCs w:val="24"/>
                                  <w:shd w:val="clear" w:color="auto" w:fill="FFFFFF"/>
                                  <w:lang w:eastAsia="lt-LT"/>
                                </w:rPr>
                                <w:t>. vykdomos mokytojo, dirbančio tik su viena, ne didesne kaip 2 mokinių grupe ir tik vienoje įstaigoje, patalpose užtikrinant 10 m</w:t>
                              </w:r>
                              <w:r>
                                <w:rPr>
                                  <w:color w:val="000000"/>
                                  <w:szCs w:val="24"/>
                                  <w:shd w:val="clear" w:color="auto" w:fill="FFFFFF"/>
                                  <w:vertAlign w:val="superscript"/>
                                  <w:lang w:eastAsia="lt-LT"/>
                                </w:rPr>
                                <w:t>2</w:t>
                              </w:r>
                              <w:r>
                                <w:rPr>
                                  <w:color w:val="000000"/>
                                  <w:szCs w:val="24"/>
                                  <w:shd w:val="clear" w:color="auto" w:fill="FFFFFF"/>
                                  <w:lang w:eastAsia="lt-LT"/>
                                </w:rPr>
                                <w:t xml:space="preserve"> plotą vienam besimokančiajam;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
                      <w:sdtPr>
                        <w:alias w:val="2.2.9.4 pp."/>
                        <w:tag w:val="part_cc02417e462b4ca8aed005b616dd877a"/>
                        <w:lock w:val="sdtLocked"/>
                        <w:richText/>
                      </w:sdtPr>
                      <w:sdtContent>
                        <w:p>
                          <w:pPr>
                            <w:tabs>
                              <w:tab w:val="left" w:pos="1134"/>
                            </w:tabs>
                            <w:ind w:firstLine="720"/>
                            <w:jc w:val="both"/>
                            <w:rPr>
                              <w:rFonts w:eastAsia="Calibri"/>
                              <w:color w:val="000000"/>
                              <w:szCs w:val="24"/>
                              <w:lang w:eastAsia="lt-LT"/>
                            </w:rPr>
                          </w:pPr>
                          <w:sdt>
                            <w:sdtPr>
                              <w:alias w:val="Numeris"/>
                              <w:tag w:val="nr_cc02417e462b4ca8aed005b616dd877a"/>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atvejus, kai mokymas vykdomas užtikrinant valstybės lygio ekstremaliosios situacijos operacijų vadovo nustatytas asmenų srautų valdymo, saugaus atstumo laikymosi ir kitas būtinas visuomenės sveikatos saugos, higienos, asmenų aprūpinimo būtinosiomis asmeninėmis apsaugos priemonėmis sąlygas ne didesnėmis kaip 2  asmenų grupėmis, patalpose, kuriose vykdomas mokymas, užtikrinant 10 m</w:t>
                          </w:r>
                          <w:r>
                            <w:rPr>
                              <w:szCs w:val="24"/>
                              <w:shd w:val="clear" w:color="auto" w:fill="FFFFFF"/>
                              <w:vertAlign w:val="superscript"/>
                              <w:lang w:eastAsia="lt-LT"/>
                            </w:rPr>
                            <w:t>2</w:t>
                          </w:r>
                          <w:r>
                            <w:rPr>
                              <w:szCs w:val="24"/>
                              <w:shd w:val="clear" w:color="auto" w:fill="FFFFFF"/>
                              <w:lang w:eastAsia="lt-LT"/>
                            </w:rPr>
                            <w:t xml:space="preserve"> plotą vienam besimokančiajam;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9.5 pp."/>
                        <w:tag w:val="part_ba26b8905cdd4781948dcf92c6a0d127"/>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ba26b8905cdd4781948dcf92c6a0d127"/>
                              <w:lock w:val="sdtLocked"/>
                              <w:richText/>
                            </w:sdtPr>
                            <w:sdtContent>
                              <w:r>
                                <w:rPr>
                                  <w:rFonts w:eastAsia="Calibri"/>
                                  <w:szCs w:val="24"/>
                                  <w:lang w:eastAsia="lt-LT"/>
                                </w:rPr>
                                <w:t>2.2.9.5</w:t>
                              </w:r>
                            </w:sdtContent>
                          </w:sdt>
                          <w:r>
                            <w:rPr>
                              <w:rFonts w:eastAsia="Calibri"/>
                              <w:szCs w:val="24"/>
                              <w:lang w:eastAsia="lt-LT"/>
                            </w:rPr>
                            <w:t>. profesinis mokymas (ar jo dalis), išskyrus pirminį profesinį mokymą, vykdomą kartu su socialinių įgūdžių programa, ir aukštojo mokslo studijos (ar jų dalis) vykdomi nuotoliniu būdu</w:t>
                          </w:r>
                          <w:r>
                            <w:rPr>
                              <w:rFonts w:eastAsia="Calibri"/>
                              <w:szCs w:val="24"/>
                              <w:shd w:val="clear" w:color="auto" w:fill="FFFFFF"/>
                              <w:lang w:eastAsia="lt-LT"/>
                            </w:rPr>
                            <w:t xml:space="preserve">, </w:t>
                          </w:r>
                          <w:r>
                            <w:rPr>
                              <w:rFonts w:eastAsia="Calibri"/>
                              <w:szCs w:val="24"/>
                              <w:lang w:eastAsia="lt-LT"/>
                            </w:rPr>
                            <w:t>užtikrinant valstybės lygio ekstremaliosios situacijos operacijų vadovo nustatytas asmenų srautų valdymo, saugaus atstumo laikymosi ir kitas būtinas visuomenės sveikatos saugos, higienos, asmenų aprūpinimo būtinosiomis asmeninėmis apsaugos priemonėmis sąlygas;</w:t>
                          </w:r>
                        </w:p>
                      </w:sdtContent>
                    </w:sdt>
                    <w:sdt>
                      <w:sdtPr>
                        <w:alias w:val="2.2.9.6 pp."/>
                        <w:tag w:val="part_87840093abd04b30a1ffac9aefe9637b"/>
                        <w:lock w:val="sdtLocked"/>
                        <w:richText/>
                      </w:sdtPr>
                      <w:sdtContent>
                        <w:p>
                          <w:pPr>
                            <w:tabs>
                              <w:tab w:val="left" w:pos="1276"/>
                              <w:tab w:val="left" w:pos="1701"/>
                            </w:tabs>
                            <w:ind w:firstLine="720"/>
                            <w:jc w:val="both"/>
                            <w:textAlignment w:val="baseline"/>
                            <w:rPr>
                              <w:rFonts w:eastAsia="Calibri"/>
                              <w:szCs w:val="24"/>
                              <w:lang w:eastAsia="lt-LT"/>
                            </w:rPr>
                          </w:pPr>
                          <w:sdt>
                            <w:sdtPr>
                              <w:alias w:val="Numeris"/>
                              <w:tag w:val="nr_87840093abd04b30a1ffac9aefe9637b"/>
                              <w:lock w:val="sdtLocked"/>
                              <w:richText/>
                            </w:sdtPr>
                            <w:sdtContent>
                              <w:r>
                                <w:rPr>
                                  <w:rFonts w:eastAsia="Calibri"/>
                                  <w:szCs w:val="24"/>
                                  <w:lang w:eastAsia="lt-LT"/>
                                </w:rPr>
                                <w:t>2.2.9.6</w:t>
                              </w:r>
                            </w:sdtContent>
                          </w:sdt>
                          <w:r>
                            <w:rPr>
                              <w:rFonts w:eastAsia="Calibri"/>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Content>
                </w:sdt>
                <w:sdt>
                  <w:sdtPr>
                    <w:alias w:val="2.2.12 pp."/>
                    <w:tag w:val="part_0c26f0a33c714eb6a866641b0e50e525"/>
                    <w:lock w:val="sdtLocked"/>
                    <w:richText/>
                  </w:sdtPr>
                  <w:sdtContent>
                    <w:p>
                      <w:pPr>
                        <w:ind w:firstLine="720"/>
                        <w:jc w:val="both"/>
                        <w:rPr>
                          <w:bCs/>
                          <w:szCs w:val="24"/>
                          <w:lang w:eastAsia="lt-LT"/>
                        </w:rPr>
                      </w:pPr>
                      <w:sdt>
                        <w:sdtPr>
                          <w:alias w:val="Numeris"/>
                          <w:tag w:val="nr_0c26f0a33c714eb6a866641b0e50e525"/>
                          <w:lock w:val="sdtLocked"/>
                          <w:richText/>
                        </w:sdtPr>
                        <w:sdtContent>
                          <w:r>
                            <w:rPr>
                              <w:szCs w:val="24"/>
                              <w:lang w:eastAsia="lt-LT"/>
                            </w:rPr>
                            <w:t>2.2.12</w:t>
                          </w:r>
                        </w:sdtContent>
                      </w:sdt>
                      <w:r>
                        <w:rPr>
                          <w:szCs w:val="24"/>
                          <w:lang w:eastAsia="lt-LT"/>
                        </w:rPr>
                        <w:t>. Apribojamas trumpalaikių ir ilgalaikių pasimatymų pataisos įstaigose ir tardymo izoliatoriuose organizavimas ir vykdymas</w:t>
                      </w:r>
                      <w:r>
                        <w:rPr>
                          <w:bCs/>
                          <w:szCs w:val="24"/>
                          <w:lang w:eastAsia="lt-LT"/>
                        </w:rPr>
                        <w:t>.</w:t>
                      </w:r>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768336108cb14a7bbc9d46ca90165cf9"/>
                    <w:lock w:val="sdtLocked"/>
                    <w:richText/>
                  </w:sdtPr>
                  <w:sdtContent>
                    <w:p>
                      <w:pPr>
                        <w:tabs>
                          <w:tab w:val="left" w:pos="1134"/>
                        </w:tabs>
                        <w:ind w:firstLine="720"/>
                        <w:jc w:val="both"/>
                        <w:rPr>
                          <w:bCs/>
                          <w:szCs w:val="24"/>
                          <w:lang w:eastAsia="lt-LT"/>
                        </w:rPr>
                      </w:pPr>
                      <w:sdt>
                        <w:sdtPr>
                          <w:alias w:val="Numeris"/>
                          <w:tag w:val="nr_768336108cb14a7bbc9d46ca90165cf9"/>
                          <w:lock w:val="sdtLocked"/>
                          <w:richText/>
                        </w:sdtPr>
                        <w:sdtContent>
                          <w:r>
                            <w:rPr>
                              <w:szCs w:val="24"/>
                              <w:shd w:val="clear" w:color="auto" w:fill="FFFFFF"/>
                              <w:lang w:eastAsia="lt-LT"/>
                            </w:rPr>
                            <w:t>2.2.14</w:t>
                          </w:r>
                        </w:sdtContent>
                      </w:sdt>
                      <w:r>
                        <w:rPr>
                          <w:szCs w:val="24"/>
                          <w:shd w:val="clear" w:color="auto" w:fill="FFFFFF"/>
                          <w:lang w:eastAsia="lt-LT"/>
                        </w:rPr>
                        <w:t>. Rekomenduojama veikiančioms religinėms bendruomenėms organizuoti religines apeigas nuotoliniu būdu (išskyrus laidotuvių apeigas, kai dalyvaujama ne daugiau nei 10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 ir ritualines paslaugas teikiančius asmenis) arba tokiu būdu, kad būtų išvengta susibūrimų (užtikrinamas 10 m</w:t>
                      </w:r>
                      <w:r>
                        <w:rPr>
                          <w:szCs w:val="24"/>
                          <w:shd w:val="clear" w:color="auto" w:fill="FFFFFF"/>
                          <w:vertAlign w:val="superscript"/>
                          <w:lang w:eastAsia="lt-LT"/>
                        </w:rPr>
                        <w:t>2</w:t>
                      </w:r>
                      <w:r>
                        <w:rPr>
                          <w:szCs w:val="24"/>
                          <w:shd w:val="clear" w:color="auto" w:fill="FFFFFF"/>
                          <w:lang w:eastAsia="lt-LT"/>
                        </w:rPr>
                        <w:t xml:space="preserve"> plotas vienam asmeniui ir laikomasi ne mažesnio kaip 2 metrų atstumo tarp asmenų ar asmenų grupių (iki 2 asmenų ar šeimos narių),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Content>
            </w:sdt>
          </w:sdtContent>
        </w:sdt>
        <w:sdt>
          <w:sdtPr>
            <w:alias w:val="3 p."/>
            <w:tag w:val="part_52c0be770d6e4a298c4819b78f08d5ac"/>
            <w:lock w:val="sdtLocked"/>
            <w:richText/>
          </w:sdtPr>
          <w:sdtContent>
            <w:p>
              <w:pPr>
                <w:tabs>
                  <w:tab w:val="left" w:pos="1276"/>
                </w:tabs>
                <w:ind w:firstLine="720"/>
                <w:jc w:val="both"/>
                <w:rPr>
                  <w:szCs w:val="24"/>
                  <w:lang w:eastAsia="lt-LT"/>
                </w:rPr>
              </w:pPr>
              <w:sdt>
                <w:sdtPr>
                  <w:alias w:val="Numeris"/>
                  <w:tag w:val="nr_52c0be770d6e4a298c4819b78f08d5ac"/>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sveikatos apsaugos ministrui –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460b5127293445fbb3206f35f96a25ae"/>
            <w:lock w:val="sdtLocked"/>
            <w:richText/>
          </w:sdtPr>
          <w:sdtContent>
            <w:p>
              <w:pPr>
                <w:tabs>
                  <w:tab w:val="left" w:pos="1134"/>
                  <w:tab w:val="left" w:pos="1276"/>
                </w:tabs>
                <w:ind w:firstLine="720"/>
                <w:jc w:val="both"/>
                <w:rPr>
                  <w:szCs w:val="24"/>
                  <w:lang w:eastAsia="lt-LT"/>
                </w:rPr>
              </w:pPr>
              <w:sdt>
                <w:sdtPr>
                  <w:alias w:val="Numeris"/>
                  <w:tag w:val="nr_460b5127293445fbb3206f35f96a25ae"/>
                  <w:lock w:val="sdtLocked"/>
                  <w:richText/>
                </w:sdtPr>
                <w:sdtContent>
                  <w:r>
                    <w:rPr>
                      <w:szCs w:val="24"/>
                      <w:shd w:val="clear" w:color="auto" w:fill="FFFFFF"/>
                      <w:lang w:eastAsia="lt-LT"/>
                    </w:rPr>
                    <w:t>5</w:t>
                  </w:r>
                </w:sdtContent>
              </w:sdt>
              <w:r>
                <w:rPr>
                  <w:szCs w:val="24"/>
                  <w:shd w:val="clear" w:color="auto" w:fill="FFFFFF"/>
                  <w:lang w:eastAsia="lt-LT"/>
                </w:rPr>
                <w:t>. Karantino režimo trukmė – nuo 2020 m. lapkričio 7 d. 00:00 val. iki 2</w:t>
              </w:r>
              <w:r>
                <w:rPr>
                  <w:color w:val="000000"/>
                  <w:szCs w:val="24"/>
                  <w:shd w:val="clear" w:color="auto" w:fill="FFFFFF"/>
                  <w:lang w:eastAsia="lt-LT"/>
                </w:rPr>
                <w:t xml:space="preserve">020 m. </w:t>
              </w:r>
              <w:r>
                <w:rPr>
                  <w:szCs w:val="24"/>
                  <w:shd w:val="clear" w:color="auto" w:fill="FFFFFF"/>
                  <w:lang w:eastAsia="lt-LT"/>
                </w:rPr>
                <w:t>gruodžio 17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6 p."/>
            <w:tag w:val="part_589a0ab97d6b4a5a9d120a6e75b4331a"/>
            <w:lock w:val="sdtLocked"/>
            <w:richText/>
          </w:sdtPr>
          <w:sdtContent>
            <w:p>
              <w:pPr>
                <w:tabs>
                  <w:tab w:val="left" w:pos="1134"/>
                </w:tabs>
                <w:ind w:firstLine="720"/>
                <w:jc w:val="both"/>
                <w:rPr>
                  <w:color w:val="000000"/>
                  <w:szCs w:val="24"/>
                  <w:lang w:eastAsia="lt-LT"/>
                </w:rPr>
              </w:pPr>
              <w:sdt>
                <w:sdtPr>
                  <w:alias w:val="Numeris"/>
                  <w:tag w:val="nr_589a0ab97d6b4a5a9d120a6e75b4331a"/>
                  <w:lock w:val="sdtLocked"/>
                  <w:richText/>
                </w:sdtPr>
                <w:sdtContent>
                  <w:r>
                    <w:rPr>
                      <w:color w:val="000000"/>
                      <w:szCs w:val="24"/>
                      <w:lang w:eastAsia="lt-LT"/>
                    </w:rPr>
                    <w:t>6</w:t>
                  </w:r>
                </w:sdtContent>
              </w:sdt>
              <w:r>
                <w:rPr>
                  <w:color w:val="000000"/>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4c2fc1825d274c758be1ded494d83834"/>
                <w:lock w:val="sdtLocked"/>
                <w:richText/>
              </w:sdtPr>
              <w:sdtContent>
                <w:p>
                  <w:pPr>
                    <w:tabs>
                      <w:tab w:val="left" w:pos="1134"/>
                    </w:tabs>
                    <w:ind w:firstLine="720"/>
                    <w:jc w:val="both"/>
                    <w:rPr>
                      <w:color w:val="000000"/>
                      <w:szCs w:val="24"/>
                      <w:lang w:eastAsia="lt-LT"/>
                    </w:rPr>
                  </w:pPr>
                  <w:sdt>
                    <w:sdtPr>
                      <w:alias w:val="Numeris"/>
                      <w:tag w:val="nr_4c2fc1825d274c758be1ded494d83834"/>
                      <w:lock w:val="sdtLocked"/>
                      <w:richText/>
                    </w:sdtPr>
                    <w:sdtContent>
                      <w:r>
                        <w:rPr>
                          <w:color w:val="000000"/>
                          <w:szCs w:val="24"/>
                          <w:lang w:eastAsia="lt-LT"/>
                        </w:rPr>
                        <w:t>6.1</w:t>
                      </w:r>
                    </w:sdtContent>
                  </w:sdt>
                  <w:r>
                    <w:rPr>
                      <w:color w:val="000000"/>
                      <w:szCs w:val="24"/>
                      <w:lang w:eastAsia="lt-LT"/>
                    </w:rPr>
                    <w:t xml:space="preserve">. ūkinės veiklos vykdytojo ūkinės veiklos vidutinė vieno mėnesio apyvarta, skaičiuojant nuo 2020 m. kovo 1 d. iki  spalio 31 d., palyginti su 2019 m. atitinkamo laikotarpio vidutine vieno mėnesio apyvarta, remiantis Valstybinei mokesčių inspekcijai prie Lietuvos Respublikos finansų ministerijos (toliau – VMI) pateiktose </w:t>
                  </w:r>
                  <w:r>
                    <w:rPr>
                      <w:szCs w:val="24"/>
                      <w:lang w:eastAsia="lt-LT"/>
                    </w:rPr>
                    <w:t>PVM deklaracijose deklaruotais, o neteikiantiems PVM deklaracijų,</w:t>
                  </w:r>
                  <w:r>
                    <w:rPr>
                      <w:color w:val="000000"/>
                      <w:szCs w:val="24"/>
                      <w:lang w:eastAsia="lt-LT"/>
                    </w:rPr>
                    <w:t xml:space="preserve"> –</w:t>
                  </w:r>
                  <w:r>
                    <w:rPr>
                      <w:szCs w:val="24"/>
                      <w:lang w:eastAsia="lt-LT"/>
                    </w:rPr>
                    <w:t xml:space="preserve"> pareiškėjo teikiamoje paraiškoje deklaruotais duomenimis, </w:t>
                  </w:r>
                  <w:r>
                    <w:rPr>
                      <w:color w:val="000000"/>
                      <w:szCs w:val="24"/>
                      <w:lang w:eastAsia="lt-LT"/>
                    </w:rPr>
                    <w:t xml:space="preserve">sumažėjo ne mažiau nei 30 procentų. </w:t>
                  </w:r>
                </w:p>
                <w:p>
                  <w:pPr>
                    <w:tabs>
                      <w:tab w:val="left" w:pos="1134"/>
                    </w:tabs>
                    <w:ind w:firstLine="720"/>
                    <w:jc w:val="both"/>
                    <w:rPr>
                      <w:color w:val="000000"/>
                      <w:szCs w:val="24"/>
                      <w:lang w:eastAsia="lt-LT"/>
                    </w:rPr>
                  </w:pPr>
                  <w:r>
                    <w:rPr>
                      <w:color w:val="000000"/>
                      <w:szCs w:val="24"/>
                      <w:lang w:eastAsia="lt-LT"/>
                    </w:rPr>
                    <w:t>Tuo atveju, kai ūkinės veiklos vykdytojas, skaičiuojant nuo 2019 m. kovo 1 d. iki spalio 31 d., pajamų negavo, jam gali būti taikomos paramos priemonės pagal šio nutarimo 6.2 papunktį paramos priemonių aprašuose nustatyta tvarka ir sąlygomis, išskyrus atvejus, kai ūkinės veiklos vykdytojas buvo sustabdęs veiklą;</w:t>
                  </w:r>
                </w:p>
              </w:sdtContent>
            </w:sdt>
            <w:sdt>
              <w:sdtPr>
                <w:alias w:val="6.2 pp."/>
                <w:tag w:val="part_6bb5ed9984774e3498a72577d39d2843"/>
                <w:lock w:val="sdtLocked"/>
                <w:richText/>
              </w:sdtPr>
              <w:sdtContent>
                <w:p>
                  <w:pPr>
                    <w:ind w:firstLine="720"/>
                    <w:jc w:val="both"/>
                    <w:rPr>
                      <w:lang w:eastAsia="lt-LT"/>
                    </w:rPr>
                  </w:pPr>
                  <w:sdt>
                    <w:sdtPr>
                      <w:alias w:val="Numeris"/>
                      <w:tag w:val="nr_6bb5ed9984774e3498a72577d39d2843"/>
                      <w:lock w:val="sdtLocked"/>
                      <w:richText/>
                    </w:sdtPr>
                    <w:sdtContent>
                      <w:r>
                        <w:rPr>
                          <w:szCs w:val="24"/>
                          <w:lang w:eastAsia="lt-LT"/>
                        </w:rPr>
                        <w:t>6.2</w:t>
                      </w:r>
                    </w:sdtContent>
                  </w:sdt>
                  <w:r>
                    <w:rPr>
                      <w:szCs w:val="24"/>
                      <w:lang w:eastAsia="lt-LT"/>
                    </w:rPr>
                    <w:t xml:space="preserve">. </w:t>
                  </w:r>
                  <w:r>
                    <w:rPr>
                      <w:color w:val="000000"/>
                      <w:szCs w:val="24"/>
                      <w:lang w:eastAsia="lt-LT"/>
                    </w:rPr>
                    <w:t>ūkinės veiklos vykdytojo vykdoma ūkinė veikla yra įtraukta į sąrašą, tvirtinamą</w:t>
                  </w:r>
                  <w:r>
                    <w:rPr>
                      <w:szCs w:val="24"/>
                      <w:lang w:eastAsia="lt-LT"/>
                    </w:rPr>
                    <w:t xml:space="preserve">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a3ba2f8ce130419b9766a70fdfa7e75e"/>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a3ba2f8ce130419b9766a70fdfa7e75e"/>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view w:val="normal"/>
  <w:zoom w:percent="9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939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5112b8eb8dcc4506b26b12489affd6c2"/>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791f5901fcab4ebf9af943980bc5b53d"/>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2e7aad794be34ce5b5bf03ab6b942771"/>
            <Part Type="papunktis" Nr="2.1.5.2.6" Abbr="2.1.5.2.6 pp." DocPartId="7b6c0c1a270a4499a73d5e7330200ecd" PartId="d65417a897204f24a0565ff6a700c4d8"/>
          </Part>
        </Part>
        <Part Type="papunktis" Nr="2.1.6" Abbr="2.1.6 pp." DocPartId="1137bba8fcaf4fabb9ea53990288e6f0" PartId="8160b0a7a9b544a9b8a258356e72c5f5"/>
        <Part Type="papunktis" Nr="2.1.7" Abbr="2.1.7 pp." DocPartId="88d3e06345f64af696d0123200569198" PartId="8695c1b0bfcd4050bdf51b7e08eb0177">
          <Part Type="papunktis" Nr="2.1.7.1" Abbr="2.1.7.1 pp." DocPartId="2a5c865812ef464ab56e1e19f3c7f914" PartId="2f8afb32a50e4dc1aa001df95180cc10"/>
          <Part Type="papunktis" Nr="2.1.7.2" Abbr="2.1.7.2 pp." DocPartId="ca03bd8a6d254ef1bcff44e261381f22" PartId="0c81595f2e754855b41d654e3f0a4de4"/>
          <Part Type="papunktis" Nr="2.1.7.3" Abbr="2.1.7.3 pp." DocPartId="af5c0700fd3246658de2adf6552264b4" PartId="a6540c58335f4c6aaa500b76fd8ba0cd"/>
        </Part>
      </Part>
      <Part Type="papunktis" Nr="2.2" Abbr="2.2 pp." DocPartId="079c5a0a04e34f4bb0c39342b9a21eef" PartId="a6106cda2f5d45afb968702221353dcd">
        <Part Type="papunktis" Nr="2.2.1" Abbr="2.2.1 pp." DocPartId="c25ce7dab620424589bb6d6353908918" PartId="0ca0db6079fc4623a19200450cde8507"/>
        <Part Type="papunktis" Nr="2.2.2" Abbr="2.2.2 pp." DocPartId="7274c9587bc141f9bc6a39e6fcb9bb3c" PartId="42beb45beaa34f95bce1697385c0d1e8"/>
        <Part Type="papunktis" Nr="2.2.3" Abbr="2.2.3 pp." DocPartId="bcc5c49ba58c431ab3d87de22de791e6" PartId="e840cdf0b75240e3bad0da1422943eb8"/>
        <Part Type="papunktis" Nr="2.2.3-1" Abbr="2.2.3-1 pp." DocPartId="eb4e35e9b2ea4ab28c39efeb6bc2a1a9" PartId="598477cdcfc9430d8439fc5c2e1de512"/>
        <Part Type="papunktis" Nr="2.2.3-2" Abbr="2.2.3-2 pp." DocPartId="45cd7f47c12246c3b097d40c051a1aa6" PartId="1fb4c2eb7ad84a579817ba6e3907155b"/>
        <Part Type="papunktis" Nr="2.2.4" Abbr="2.2.4 pp." DocPartId="e67e6c6569024a48ae8dd122bc1c91a1" PartId="18817b035746456ba50adae360f25e3d">
          <Part Type="papunktis" Nr="2.2.4.1" Abbr="2.2.4.1 pp." DocPartId="377cd4c6b213464dbeee3d78622f7c7a" PartId="65b043bacd904fdab7c261082654102c"/>
          <Part Type="papunktis" Nr="2.2.4.2" Abbr="2.2.4.2 pp." DocPartId="a5ef7b9957d148bd800fbc13304cab01" PartId="ae624db9848c4485a003ce374756a27f"/>
          <Part Type="papunktis" Nr="2.2.4.3" Abbr="2.2.4.3 pp." DocPartId="b5482ce0f79040459609b108c3dbbbe4" PartId="d2a7246ca3504b6286c23764cd73c935"/>
        </Part>
        <Part Type="papunktis" Nr="2.2.5" Abbr="2.2.5 pp." DocPartId="69da48298fee4300a3e693210e90fcd2" PartId="b9dd9375d0ae4877890f986f18ffb3d9"/>
        <Part Type="papunktis" Nr="2.2.6" Abbr="2.2.6 pp." DocPartId="0488f042bacf47ad81e5667c822a4baa" PartId="148a69ca43f64d93951fd1fd08e65d77"/>
        <Part Type="papunktis" Nr="2.2.6-1" Abbr="2.2.6-1 pp." DocPartId="62cd7d48202148ad9be8e090326cd720" PartId="88af6677304a4395b3986b124a66fcaa"/>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17d5ba8e9ee6434f8b3954a05aa4fc1e"/>
        </Part>
        <Part Type="papunktis" Nr="2.2.9" Abbr="2.2.9 pp." DocPartId="3dc32b0f567f45699915fa1a5bac2f7c" PartId="29b286a168254838abfe6c9b878abdc8">
          <Part Type="papunktis" Nr="2.2.9.1" Abbr="2.2.9.1 pp." DocPartId="397dd493c2dd41e48457eca3de808cb8" PartId="04262070ee28495e93c4b270cb95d54e"/>
          <Part Type="papunktis" Nr="2.2.9.2" Abbr="2.2.9.2 pp." DocPartId="5a98a014f6f346b08b8b740de54b091f" PartId="0e1e6d8ba0254fb7bd632a16052f634d"/>
          <Part Type="papunktis" Nr="2.2.9.3" Abbr="2.2.9.3 pp." DocPartId="5851a84eb49440ef8c94d5a32d2818fa" PartId="49872fb0149742f995e796f7d6b26db3">
            <Part Type="papunktis" Nr="2.2.9.3.1" Abbr="2.2.9.3.1 pp." DocPartId="fd6f0c5a4f6f4944b6150e3d09baa859" PartId="d006c6d61f264540a708056140d91c80"/>
            <Part Type="papunktis" Nr="2.2.9.3.2" Abbr="2.2.9.3.2 pp." DocPartId="0a8b8b6495e646a5aab820621ebd909a" PartId="2d36d470505347c8a363510e4d4437c5"/>
            <Part Type="papunktis" Nr="2.2.9.3.3" Abbr="2.2.9.3.3 pp." DocPartId="1785f984089d4e0a878ffe203b758cad" PartId="549ba5d99cac46c3ba2839d60ec3aff4"/>
            <Part Type="papunktis" Nr="2.2.9.3.4" Abbr="2.2.9.3.4 pp." DocPartId="d0109b0f67f04c38a1b98fa9eeea3d66" PartId="2f3011cdef07436da0e07b69187c7088"/>
          </Part>
          <Part Type="papunktis" Nr="2.2.9.4" Abbr="2.2.9.4 pp." DocPartId="29cbbfeef84f4835932ec5d55f0c2089" PartId="cc02417e462b4ca8aed005b616dd877a"/>
          <Part Type="papunktis" Nr="2.2.9.5" Abbr="2.2.9.5 pp." DocPartId="9b9a4c5be1824253b4ed24819cf97629" PartId="ba26b8905cdd4781948dcf92c6a0d127"/>
          <Part Type="papunktis" Nr="2.2.9.6" Abbr="2.2.9.6 pp." DocPartId="9158640737994efabc2de95d0499d7a6" PartId="87840093abd04b30a1ffac9aefe9637b"/>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Part Type="papunktis" Nr="2.2.12" Abbr="2.2.12 pp." DocPartId="d213453eac6847eb91bbd922bec6a90e" PartId="0c26f0a33c714eb6a866641b0e50e525"/>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768336108cb14a7bbc9d46ca90165cf9"/>
      </Part>
    </Part>
    <Part Type="punktas" Nr="3" Abbr="3 p." DocPartId="abdb102a4da34cdd9fd1473c8e31317a" PartId="52c0be770d6e4a298c4819b78f08d5ac"/>
    <Part Type="punktas" Nr="4" Abbr="4 p." DocPartId="2521b71763a54e1ba3038c81d671eb24" PartId="f8c34f8c642744dc8af9ba0c8262b9b2"/>
    <Part Type="punktas" Nr="5" Abbr="5 p." DocPartId="013aff6e443d4bd491c67b92efe23f26" PartId="460b5127293445fbb3206f35f96a25ae"/>
    <Part Type="punktas" Nr="6" Abbr="6 p." DocPartId="3fe1cf72014b43489b56130c3a954fbd" PartId="589a0ab97d6b4a5a9d120a6e75b4331a">
      <Part Type="papunktis" Nr="6.1" Abbr="6.1 pp." DocPartId="0bceefcb8a2848eeab2386720930e79f" PartId="4c2fc1825d274c758be1ded494d83834"/>
      <Part Type="papunktis" Nr="6.2" Abbr="6.2 pp." DocPartId="7d12e4b6e3f347409db1d9438c9d6411" PartId="6bb5ed9984774e3498a72577d39d2843"/>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a3ba2f8ce130419b9766a70fdfa7e75e">
    <Part Type="pabaiga" DocPartId="8aa7d51d84b848debd65b12b26547c89" PartId="eeabe54f6d92436eb4751102dd485d22"/>
  </Part>
</Parts>
</file>

<file path=customXml/itemProps1.xml><?xml version="1.0" encoding="utf-8"?>
<ds:datastoreItem xmlns:ds="http://schemas.openxmlformats.org/officeDocument/2006/customXml" ds:itemID="{66C34269-79DD-4E99-A3A2-DB898B4BFD26}">
  <ds:schemaRefs>
    <ds:schemaRef ds:uri="http://lrs.lt/TAIS/DocParts"/>
  </ds:schemaRefs>
</ds:datastoreItem>
</file>

<file path=docProps/app.xml><?xml version="1.0" encoding="utf-8"?>
<Properties xmlns="http://schemas.openxmlformats.org/officeDocument/2006/extended-properties">
  <Template>Normal.dotm</Template>
  <TotalTime>24</TotalTime>
  <Pages>11</Pages>
  <Words>4151</Words>
  <Characters>31783</Characters>
  <Application>Microsoft Office Word</Application>
  <DocSecurity>0</DocSecurity>
  <Lines>264</Lines>
  <Paragraphs>71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35863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2020-12-07T16:03:00Z</dcterms:modified>
  <revision>10</revision>
</coreProperties>
</file>