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2021-05-17 iki 2021-05-23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67b37dbd7be94573b1a94ef15c28b780"/>
                        <w:lock w:val="sdtLocked"/>
                        <w:richText/>
                      </w:sdtPr>
                      <w:sdtContent>
                        <w:p>
                          <w:pPr>
                            <w:tabs>
                              <w:tab w:val="left" w:pos="1276"/>
                              <w:tab w:val="left" w:pos="1560"/>
                            </w:tabs>
                            <w:ind w:firstLine="720"/>
                            <w:jc w:val="both"/>
                            <w:rPr>
                              <w:szCs w:val="24"/>
                              <w:lang w:eastAsia="lt-LT"/>
                            </w:rPr>
                          </w:pPr>
                          <w:sdt>
                            <w:sdtPr>
                              <w:alias w:val="Numeris"/>
                              <w:tag w:val="nr_67b37dbd7be94573b1a94ef15c28b780"/>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2ed6e9773699485e85991233e859bc82"/>
                            <w:lock w:val="sdtLocked"/>
                            <w:richText/>
                          </w:sdtPr>
                          <w:sdtContent>
                            <w:p>
                              <w:pPr>
                                <w:tabs>
                                  <w:tab w:val="left" w:pos="1560"/>
                                </w:tabs>
                                <w:ind w:firstLine="720"/>
                                <w:jc w:val="both"/>
                                <w:rPr>
                                  <w:szCs w:val="24"/>
                                  <w:lang w:eastAsia="lt-LT"/>
                                </w:rPr>
                              </w:pPr>
                              <w:sdt>
                                <w:sdtPr>
                                  <w:alias w:val="Numeris"/>
                                  <w:tag w:val="nr_2ed6e9773699485e85991233e859bc82"/>
                                  <w:lock w:val="sdtLocked"/>
                                  <w:richText/>
                                </w:sdtPr>
                                <w:sdtContent>
                                  <w:r>
                                    <w:rPr>
                                      <w:szCs w:val="24"/>
                                      <w:lang w:eastAsia="lt-LT"/>
                                    </w:rPr>
                                    <w:t>2.1.1.1.1</w:t>
                                  </w:r>
                                </w:sdtContent>
                              </w:sdt>
                              <w:r>
                                <w:rPr>
                                  <w:szCs w:val="24"/>
                                  <w:lang w:eastAsia="lt-LT"/>
                                </w:rPr>
                                <w:t>. Ramoniškiai–Pograničnyj;</w:t>
                              </w:r>
                            </w:p>
                          </w:sdtContent>
                        </w:sdt>
                        <w:sdt>
                          <w:sdtPr>
                            <w:alias w:val="2.1.1.1.2 pp."/>
                            <w:tag w:val="part_ddbaf681e5b941ac80a4957524ab4248"/>
                            <w:lock w:val="sdtLocked"/>
                            <w:richText/>
                          </w:sdtPr>
                          <w:sdtContent>
                            <w:p>
                              <w:pPr>
                                <w:tabs>
                                  <w:tab w:val="left" w:pos="1560"/>
                                </w:tabs>
                                <w:ind w:firstLine="720"/>
                                <w:jc w:val="both"/>
                                <w:rPr>
                                  <w:szCs w:val="24"/>
                                  <w:lang w:eastAsia="lt-LT"/>
                                </w:rPr>
                              </w:pPr>
                              <w:sdt>
                                <w:sdtPr>
                                  <w:alias w:val="Numeris"/>
                                  <w:tag w:val="nr_ddbaf681e5b941ac80a4957524ab4248"/>
                                  <w:lock w:val="sdtLocked"/>
                                  <w:richText/>
                                </w:sdtPr>
                                <w:sdtContent>
                                  <w:r>
                                    <w:rPr>
                                      <w:szCs w:val="24"/>
                                      <w:lang w:eastAsia="lt-LT"/>
                                    </w:rPr>
                                    <w:t>2.1.1.1.2</w:t>
                                  </w:r>
                                </w:sdtContent>
                              </w:sdt>
                              <w:r>
                                <w:rPr>
                                  <w:szCs w:val="24"/>
                                  <w:lang w:eastAsia="lt-LT"/>
                                </w:rPr>
                                <w:t>. Nida–Morskoje;</w:t>
                              </w:r>
                            </w:p>
                          </w:sdtContent>
                        </w:sdt>
                        <w:sdt>
                          <w:sdtPr>
                            <w:alias w:val="2.1.1.1.3 pp."/>
                            <w:tag w:val="part_f86c9007b10b49869f1c98497414ad8c"/>
                            <w:lock w:val="sdtLocked"/>
                            <w:richText/>
                          </w:sdtPr>
                          <w:sdtContent>
                            <w:p>
                              <w:pPr>
                                <w:tabs>
                                  <w:tab w:val="left" w:pos="1560"/>
                                </w:tabs>
                                <w:ind w:firstLine="720"/>
                                <w:jc w:val="both"/>
                                <w:rPr>
                                  <w:szCs w:val="24"/>
                                  <w:lang w:eastAsia="lt-LT"/>
                                </w:rPr>
                              </w:pPr>
                              <w:sdt>
                                <w:sdtPr>
                                  <w:alias w:val="Numeris"/>
                                  <w:tag w:val="nr_f86c9007b10b49869f1c98497414ad8c"/>
                                  <w:lock w:val="sdtLocked"/>
                                  <w:richText/>
                                </w:sdtPr>
                                <w:sdtContent>
                                  <w:r>
                                    <w:rPr>
                                      <w:szCs w:val="24"/>
                                      <w:lang w:eastAsia="lt-LT"/>
                                    </w:rPr>
                                    <w:t>2.1.1.1.3</w:t>
                                  </w:r>
                                </w:sdtContent>
                              </w:sdt>
                              <w:r>
                                <w:rPr>
                                  <w:szCs w:val="24"/>
                                  <w:lang w:eastAsia="lt-LT"/>
                                </w:rPr>
                                <w:t>. Adutiškis–Moldevičiai;</w:t>
                              </w:r>
                            </w:p>
                          </w:sdtContent>
                        </w:sdt>
                        <w:sdt>
                          <w:sdtPr>
                            <w:alias w:val="2.1.1.1.4 pp."/>
                            <w:tag w:val="part_8a528507540f49309423f25f1872d0b8"/>
                            <w:lock w:val="sdtLocked"/>
                            <w:richText/>
                          </w:sdtPr>
                          <w:sdtContent>
                            <w:p>
                              <w:pPr>
                                <w:tabs>
                                  <w:tab w:val="left" w:pos="1560"/>
                                </w:tabs>
                                <w:ind w:firstLine="720"/>
                                <w:jc w:val="both"/>
                                <w:rPr>
                                  <w:szCs w:val="24"/>
                                  <w:lang w:eastAsia="lt-LT"/>
                                </w:rPr>
                              </w:pPr>
                              <w:sdt>
                                <w:sdtPr>
                                  <w:alias w:val="Numeris"/>
                                  <w:tag w:val="nr_8a528507540f49309423f25f1872d0b8"/>
                                  <w:lock w:val="sdtLocked"/>
                                  <w:richText/>
                                </w:sdtPr>
                                <w:sdtContent>
                                  <w:r>
                                    <w:rPr>
                                      <w:szCs w:val="24"/>
                                      <w:lang w:eastAsia="lt-LT"/>
                                    </w:rPr>
                                    <w:t>2.1.1.1.4</w:t>
                                  </w:r>
                                </w:sdtContent>
                              </w:sdt>
                              <w:r>
                                <w:rPr>
                                  <w:szCs w:val="24"/>
                                  <w:lang w:eastAsia="lt-LT"/>
                                </w:rPr>
                                <w:t>. Krakūnai–Geranainys;</w:t>
                              </w:r>
                            </w:p>
                          </w:sdtContent>
                        </w:sdt>
                        <w:sdt>
                          <w:sdtPr>
                            <w:alias w:val="2.1.1.1.5 pp."/>
                            <w:tag w:val="part_c8e8e94e2524401994a8e598597bdae3"/>
                            <w:lock w:val="sdtLocked"/>
                            <w:richText/>
                          </w:sdtPr>
                          <w:sdtContent>
                            <w:p>
                              <w:pPr>
                                <w:tabs>
                                  <w:tab w:val="left" w:pos="1560"/>
                                </w:tabs>
                                <w:ind w:firstLine="720"/>
                                <w:jc w:val="both"/>
                                <w:rPr>
                                  <w:szCs w:val="24"/>
                                  <w:lang w:eastAsia="lt-LT"/>
                                </w:rPr>
                              </w:pPr>
                              <w:sdt>
                                <w:sdtPr>
                                  <w:alias w:val="Numeris"/>
                                  <w:tag w:val="nr_c8e8e94e2524401994a8e598597bdae3"/>
                                  <w:lock w:val="sdtLocked"/>
                                  <w:richText/>
                                </w:sdtPr>
                                <w:sdtContent>
                                  <w:r>
                                    <w:rPr>
                                      <w:szCs w:val="24"/>
                                      <w:lang w:eastAsia="lt-LT"/>
                                    </w:rPr>
                                    <w:t>2.1.1.1.5</w:t>
                                  </w:r>
                                </w:sdtContent>
                              </w:sdt>
                              <w:r>
                                <w:rPr>
                                  <w:szCs w:val="24"/>
                                  <w:lang w:eastAsia="lt-LT"/>
                                </w:rPr>
                                <w:t>. Eišiškės–Dotiškės;</w:t>
                              </w:r>
                            </w:p>
                          </w:sdtContent>
                        </w:sdt>
                        <w:sdt>
                          <w:sdtPr>
                            <w:alias w:val="2.1.1.1.6 pp."/>
                            <w:tag w:val="part_f906968f389d4958b5c57403a7a8f209"/>
                            <w:lock w:val="sdtLocked"/>
                            <w:richText/>
                          </w:sdtPr>
                          <w:sdtContent>
                            <w:p>
                              <w:pPr>
                                <w:tabs>
                                  <w:tab w:val="left" w:pos="1560"/>
                                </w:tabs>
                                <w:ind w:firstLine="720"/>
                                <w:jc w:val="both"/>
                                <w:rPr>
                                  <w:szCs w:val="24"/>
                                  <w:lang w:eastAsia="lt-LT"/>
                                </w:rPr>
                              </w:pPr>
                              <w:sdt>
                                <w:sdtPr>
                                  <w:alias w:val="Numeris"/>
                                  <w:tag w:val="nr_f906968f389d4958b5c57403a7a8f209"/>
                                  <w:lock w:val="sdtLocked"/>
                                  <w:richText/>
                                </w:sdtPr>
                                <w:sdtContent>
                                  <w:r>
                                    <w:rPr>
                                      <w:szCs w:val="24"/>
                                      <w:lang w:eastAsia="lt-LT"/>
                                    </w:rPr>
                                    <w:t>2.1.1.1.6</w:t>
                                  </w:r>
                                </w:sdtContent>
                              </w:sdt>
                              <w:r>
                                <w:rPr>
                                  <w:szCs w:val="24"/>
                                  <w:lang w:eastAsia="lt-LT"/>
                                </w:rPr>
                                <w:t>. Rakai–Petiulevcai;</w:t>
                              </w:r>
                            </w:p>
                          </w:sdtContent>
                        </w:sdt>
                        <w:sdt>
                          <w:sdtPr>
                            <w:alias w:val="2.1.1.1.7 pp."/>
                            <w:tag w:val="part_d97450ebe8964777b4d2400c5972a7c4"/>
                            <w:lock w:val="sdtLocked"/>
                            <w:richText/>
                          </w:sdtPr>
                          <w:sdtContent>
                            <w:p>
                              <w:pPr>
                                <w:tabs>
                                  <w:tab w:val="left" w:pos="1560"/>
                                </w:tabs>
                                <w:ind w:firstLine="720"/>
                                <w:jc w:val="both"/>
                                <w:rPr>
                                  <w:szCs w:val="24"/>
                                  <w:lang w:eastAsia="lt-LT"/>
                                </w:rPr>
                              </w:pPr>
                              <w:sdt>
                                <w:sdtPr>
                                  <w:alias w:val="Numeris"/>
                                  <w:tag w:val="nr_d97450ebe8964777b4d2400c5972a7c4"/>
                                  <w:lock w:val="sdtLocked"/>
                                  <w:richText/>
                                </w:sdtPr>
                                <w:sdtContent>
                                  <w:r>
                                    <w:rPr>
                                      <w:szCs w:val="24"/>
                                      <w:lang w:eastAsia="lt-LT"/>
                                    </w:rPr>
                                    <w:t>2.1.1.1.7</w:t>
                                  </w:r>
                                </w:sdtContent>
                              </w:sdt>
                              <w:r>
                                <w:rPr>
                                  <w:szCs w:val="24"/>
                                  <w:lang w:eastAsia="lt-LT"/>
                                </w:rPr>
                                <w:t>. Norviliškės–Pickūnai;</w:t>
                              </w:r>
                            </w:p>
                          </w:sdtContent>
                        </w:sdt>
                        <w:sdt>
                          <w:sdtPr>
                            <w:alias w:val="2.1.1.1.8 pp."/>
                            <w:tag w:val="part_cbb415b617a344a2971169dd86b8b28d"/>
                            <w:lock w:val="sdtLocked"/>
                            <w:richText/>
                          </w:sdtPr>
                          <w:sdtContent>
                            <w:p>
                              <w:pPr>
                                <w:tabs>
                                  <w:tab w:val="left" w:pos="1560"/>
                                </w:tabs>
                                <w:ind w:firstLine="720"/>
                                <w:jc w:val="both"/>
                                <w:rPr>
                                  <w:szCs w:val="24"/>
                                  <w:lang w:eastAsia="lt-LT"/>
                                </w:rPr>
                              </w:pPr>
                              <w:sdt>
                                <w:sdtPr>
                                  <w:alias w:val="Numeris"/>
                                  <w:tag w:val="nr_cbb415b617a344a2971169dd86b8b28d"/>
                                  <w:lock w:val="sdtLocked"/>
                                  <w:richText/>
                                </w:sdtPr>
                                <w:sdtContent>
                                  <w:r>
                                    <w:rPr>
                                      <w:szCs w:val="24"/>
                                      <w:lang w:eastAsia="lt-LT"/>
                                    </w:rPr>
                                    <w:t>2.1.1.1.8</w:t>
                                  </w:r>
                                </w:sdtContent>
                              </w:sdt>
                              <w:r>
                                <w:rPr>
                                  <w:szCs w:val="24"/>
                                  <w:lang w:eastAsia="lt-LT"/>
                                </w:rPr>
                                <w:t>. Latežeris–Pariečė;</w:t>
                              </w:r>
                            </w:p>
                          </w:sdtContent>
                        </w:sdt>
                        <w:sdt>
                          <w:sdtPr>
                            <w:alias w:val="2.1.1.1.9 pp."/>
                            <w:tag w:val="part_b7746d74eec744f7baf018cf38d61b06"/>
                            <w:lock w:val="sdtLocked"/>
                            <w:richText/>
                          </w:sdtPr>
                          <w:sdtContent>
                            <w:p>
                              <w:pPr>
                                <w:tabs>
                                  <w:tab w:val="left" w:pos="1560"/>
                                </w:tabs>
                                <w:ind w:firstLine="720"/>
                                <w:jc w:val="both"/>
                                <w:rPr>
                                  <w:szCs w:val="24"/>
                                  <w:lang w:eastAsia="lt-LT"/>
                                </w:rPr>
                              </w:pPr>
                              <w:sdt>
                                <w:sdtPr>
                                  <w:alias w:val="Numeris"/>
                                  <w:tag w:val="nr_b7746d74eec744f7baf018cf38d61b06"/>
                                  <w:lock w:val="sdtLocked"/>
                                  <w:richText/>
                                </w:sdtPr>
                                <w:sdtContent>
                                  <w:r>
                                    <w:rPr>
                                      <w:szCs w:val="24"/>
                                      <w:lang w:eastAsia="lt-LT"/>
                                    </w:rPr>
                                    <w:t>2.1.1.1.9</w:t>
                                  </w:r>
                                </w:sdtContent>
                              </w:sdt>
                              <w:r>
                                <w:rPr>
                                  <w:szCs w:val="24"/>
                                  <w:lang w:eastAsia="lt-LT"/>
                                </w:rPr>
                                <w:t>. Švendubrė–Privalka;</w:t>
                              </w:r>
                            </w:p>
                          </w:sdtContent>
                        </w:sdt>
                        <w:sdt>
                          <w:sdtPr>
                            <w:alias w:val="2.1.1.1.10 pp."/>
                            <w:tag w:val="part_434c5e5e0a154117ba7e94aef6c8595c"/>
                            <w:lock w:val="sdtLocked"/>
                            <w:richText/>
                          </w:sdtPr>
                          <w:sdtContent>
                            <w:p>
                              <w:pPr>
                                <w:tabs>
                                  <w:tab w:val="left" w:pos="1560"/>
                                </w:tabs>
                                <w:ind w:firstLine="720"/>
                                <w:jc w:val="both"/>
                                <w:rPr>
                                  <w:szCs w:val="24"/>
                                  <w:lang w:eastAsia="lt-LT"/>
                                </w:rPr>
                              </w:pPr>
                              <w:sdt>
                                <w:sdtPr>
                                  <w:alias w:val="Numeris"/>
                                  <w:tag w:val="nr_434c5e5e0a154117ba7e94aef6c8595c"/>
                                  <w:lock w:val="sdtLocked"/>
                                  <w:richText/>
                                </w:sdtPr>
                                <w:sdtContent>
                                  <w:r>
                                    <w:rPr>
                                      <w:szCs w:val="24"/>
                                      <w:lang w:eastAsia="lt-LT"/>
                                    </w:rPr>
                                    <w:t>2.1.1.1.10</w:t>
                                  </w:r>
                                </w:sdtContent>
                              </w:sdt>
                              <w:r>
                                <w:rPr>
                                  <w:szCs w:val="24"/>
                                  <w:lang w:eastAsia="lt-LT"/>
                                </w:rPr>
                                <w:t>. Nida–Rybačij;</w:t>
                              </w:r>
                            </w:p>
                          </w:sdtContent>
                        </w:sdt>
                        <w:sdt>
                          <w:sdtPr>
                            <w:alias w:val="2.1.1.1.11 pp."/>
                            <w:tag w:val="part_dff917465f864216aafa570c9e418b63"/>
                            <w:lock w:val="sdtLocked"/>
                            <w:richText/>
                          </w:sdtPr>
                          <w:sdtContent>
                            <w:p>
                              <w:pPr>
                                <w:tabs>
                                  <w:tab w:val="left" w:pos="1560"/>
                                </w:tabs>
                                <w:ind w:firstLine="720"/>
                                <w:jc w:val="both"/>
                                <w:rPr>
                                  <w:szCs w:val="24"/>
                                  <w:lang w:eastAsia="lt-LT"/>
                                </w:rPr>
                              </w:pPr>
                              <w:sdt>
                                <w:sdtPr>
                                  <w:alias w:val="Numeris"/>
                                  <w:tag w:val="nr_dff917465f864216aafa570c9e418b63"/>
                                  <w:lock w:val="sdtLocked"/>
                                  <w:richText/>
                                </w:sdtPr>
                                <w:sdtContent>
                                  <w:r>
                                    <w:rPr>
                                      <w:szCs w:val="24"/>
                                      <w:lang w:eastAsia="lt-LT"/>
                                    </w:rPr>
                                    <w:t>2.1.1.1.11</w:t>
                                  </w:r>
                                </w:sdtContent>
                              </w:sdt>
                              <w:r>
                                <w:rPr>
                                  <w:szCs w:val="24"/>
                                  <w:lang w:eastAsia="lt-LT"/>
                                </w:rPr>
                                <w:t>. Jurbarkas–Sovetskas;</w:t>
                              </w:r>
                            </w:p>
                          </w:sdtContent>
                        </w:sdt>
                        <w:sdt>
                          <w:sdtPr>
                            <w:alias w:val="2.1.1.1.12 pp."/>
                            <w:tag w:val="part_6eea73bafbc4454780856341112ea77e"/>
                            <w:lock w:val="sdtLocked"/>
                            <w:richText/>
                          </w:sdtPr>
                          <w:sdtContent>
                            <w:p>
                              <w:pPr>
                                <w:tabs>
                                  <w:tab w:val="left" w:pos="1560"/>
                                </w:tabs>
                                <w:ind w:firstLine="720"/>
                                <w:jc w:val="both"/>
                                <w:rPr>
                                  <w:szCs w:val="24"/>
                                  <w:lang w:eastAsia="lt-LT"/>
                                </w:rPr>
                              </w:pPr>
                              <w:sdt>
                                <w:sdtPr>
                                  <w:alias w:val="Numeris"/>
                                  <w:tag w:val="nr_6eea73bafbc4454780856341112ea77e"/>
                                  <w:lock w:val="sdtLocked"/>
                                  <w:richText/>
                                </w:sdtPr>
                                <w:sdtContent>
                                  <w:r>
                                    <w:rPr>
                                      <w:szCs w:val="24"/>
                                      <w:lang w:eastAsia="lt-LT"/>
                                    </w:rPr>
                                    <w:t>2.1.1.1.12</w:t>
                                  </w:r>
                                </w:sdtContent>
                              </w:sdt>
                              <w:r>
                                <w:rPr>
                                  <w:szCs w:val="24"/>
                                  <w:lang w:eastAsia="lt-LT"/>
                                </w:rPr>
                                <w:t>. Rusnė–Sovetskas.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7a62152d47a54b28a6cd390252287e62"/>
                            <w:lock w:val="sdtLocked"/>
                            <w:richText/>
                          </w:sdtPr>
                          <w:sdtContent>
                            <w:p>
                              <w:pPr>
                                <w:ind w:firstLine="720"/>
                                <w:jc w:val="both"/>
                                <w:rPr>
                                  <w:szCs w:val="24"/>
                                  <w:lang w:eastAsia="lt-LT"/>
                                </w:rPr>
                              </w:pPr>
                              <w:sdt>
                                <w:sdtPr>
                                  <w:alias w:val="Numeris"/>
                                  <w:tag w:val="nr_7a62152d47a54b28a6cd390252287e62"/>
                                  <w:lock w:val="sdtLocked"/>
                                  <w:richText/>
                                </w:sdtPr>
                                <w:sdtContent>
                                  <w:r>
                                    <w:rPr>
                                      <w:szCs w:val="24"/>
                                      <w:lang w:eastAsia="lt-LT"/>
                                    </w:rPr>
                                    <w:t>2.1.1.2.1</w:t>
                                  </w:r>
                                </w:sdtContent>
                              </w:sdt>
                              <w:r>
                                <w:rPr>
                                  <w:szCs w:val="24"/>
                                  <w:lang w:eastAsia="lt-LT"/>
                                </w:rPr>
                                <w:t>. automobilių kelių:</w:t>
                              </w:r>
                            </w:p>
                            <w:sdt>
                              <w:sdtPr>
                                <w:alias w:val="2.1.1.2.1.1 pp."/>
                                <w:tag w:val="part_02ff808f59884bf596a1c92a5d463a53"/>
                                <w:lock w:val="sdtLocked"/>
                                <w:richText/>
                              </w:sdtPr>
                              <w:sdtContent>
                                <w:p>
                                  <w:pPr>
                                    <w:ind w:firstLine="720"/>
                                    <w:jc w:val="both"/>
                                    <w:rPr>
                                      <w:szCs w:val="24"/>
                                      <w:lang w:eastAsia="lt-LT"/>
                                    </w:rPr>
                                  </w:pPr>
                                  <w:sdt>
                                    <w:sdtPr>
                                      <w:alias w:val="Numeris"/>
                                      <w:tag w:val="nr_02ff808f59884bf596a1c92a5d463a53"/>
                                      <w:lock w:val="sdtLocked"/>
                                      <w:richText/>
                                    </w:sdtPr>
                                    <w:sdtContent>
                                      <w:r>
                                        <w:rPr>
                                          <w:szCs w:val="24"/>
                                          <w:lang w:eastAsia="lt-LT"/>
                                        </w:rPr>
                                        <w:t>2.1.1.2.1.1</w:t>
                                      </w:r>
                                    </w:sdtContent>
                                  </w:sdt>
                                  <w:r>
                                    <w:rPr>
                                      <w:szCs w:val="24"/>
                                      <w:lang w:eastAsia="lt-LT"/>
                                    </w:rPr>
                                    <w:t>. Medininkai–Kamenyj Log;</w:t>
                                  </w:r>
                                </w:p>
                              </w:sdtContent>
                            </w:sdt>
                            <w:sdt>
                              <w:sdtPr>
                                <w:alias w:val="2.1.1.2.1.2 pp."/>
                                <w:tag w:val="part_f7a25b548a044f04836f8059d576bdd3"/>
                                <w:lock w:val="sdtLocked"/>
                                <w:richText/>
                              </w:sdtPr>
                              <w:sdtContent>
                                <w:p>
                                  <w:pPr>
                                    <w:ind w:firstLine="720"/>
                                    <w:jc w:val="both"/>
                                    <w:rPr>
                                      <w:szCs w:val="24"/>
                                      <w:lang w:eastAsia="lt-LT"/>
                                    </w:rPr>
                                  </w:pPr>
                                  <w:sdt>
                                    <w:sdtPr>
                                      <w:alias w:val="Numeris"/>
                                      <w:tag w:val="nr_f7a25b548a044f04836f8059d576bdd3"/>
                                      <w:lock w:val="sdtLocked"/>
                                      <w:richText/>
                                    </w:sdtPr>
                                    <w:sdtContent>
                                      <w:r>
                                        <w:rPr>
                                          <w:szCs w:val="24"/>
                                          <w:lang w:eastAsia="lt-LT"/>
                                        </w:rPr>
                                        <w:t>2.1.1.2.1.2</w:t>
                                      </w:r>
                                    </w:sdtContent>
                                  </w:sdt>
                                  <w:r>
                                    <w:rPr>
                                      <w:szCs w:val="24"/>
                                      <w:lang w:eastAsia="lt-LT"/>
                                    </w:rPr>
                                    <w:t>. Šalčininkai–Benekainys;</w:t>
                                  </w:r>
                                </w:p>
                              </w:sdtContent>
                            </w:sdt>
                            <w:sdt>
                              <w:sdtPr>
                                <w:alias w:val="2.1.1.2.1.3 pp."/>
                                <w:tag w:val="part_1808d3adf594489c86886706539de0b2"/>
                                <w:lock w:val="sdtLocked"/>
                                <w:richText/>
                              </w:sdtPr>
                              <w:sdtContent>
                                <w:p>
                                  <w:pPr>
                                    <w:ind w:firstLine="720"/>
                                    <w:jc w:val="both"/>
                                    <w:rPr>
                                      <w:szCs w:val="24"/>
                                      <w:lang w:eastAsia="lt-LT"/>
                                    </w:rPr>
                                  </w:pPr>
                                  <w:sdt>
                                    <w:sdtPr>
                                      <w:alias w:val="Numeris"/>
                                      <w:tag w:val="nr_1808d3adf594489c86886706539de0b2"/>
                                      <w:lock w:val="sdtLocked"/>
                                      <w:richText/>
                                    </w:sdtPr>
                                    <w:sdtContent>
                                      <w:r>
                                        <w:rPr>
                                          <w:szCs w:val="24"/>
                                          <w:lang w:eastAsia="lt-LT"/>
                                        </w:rPr>
                                        <w:t>2.1.1.2.1.3</w:t>
                                      </w:r>
                                    </w:sdtContent>
                                  </w:sdt>
                                  <w:r>
                                    <w:rPr>
                                      <w:szCs w:val="24"/>
                                      <w:lang w:eastAsia="lt-LT"/>
                                    </w:rPr>
                                    <w:t>. Raigardas–Privalka;</w:t>
                                  </w:r>
                                </w:p>
                              </w:sdtContent>
                            </w:sdt>
                            <w:sdt>
                              <w:sdtPr>
                                <w:alias w:val="2.1.1.2.1.4 pp."/>
                                <w:tag w:val="part_f047a537481b442bbb29665411ad595e"/>
                                <w:lock w:val="sdtLocked"/>
                                <w:richText/>
                              </w:sdtPr>
                              <w:sdtContent>
                                <w:p>
                                  <w:pPr>
                                    <w:ind w:firstLine="720"/>
                                    <w:jc w:val="both"/>
                                    <w:rPr>
                                      <w:szCs w:val="24"/>
                                      <w:lang w:eastAsia="lt-LT"/>
                                    </w:rPr>
                                  </w:pPr>
                                  <w:sdt>
                                    <w:sdtPr>
                                      <w:alias w:val="Numeris"/>
                                      <w:tag w:val="nr_f047a537481b442bbb29665411ad595e"/>
                                      <w:lock w:val="sdtLocked"/>
                                      <w:richText/>
                                    </w:sdtPr>
                                    <w:sdtContent>
                                      <w:r>
                                        <w:rPr>
                                          <w:szCs w:val="24"/>
                                          <w:lang w:eastAsia="lt-LT"/>
                                        </w:rPr>
                                        <w:t>2.1.1.2.1.4</w:t>
                                      </w:r>
                                    </w:sdtContent>
                                  </w:sdt>
                                  <w:r>
                                    <w:rPr>
                                      <w:szCs w:val="24"/>
                                      <w:lang w:eastAsia="lt-LT"/>
                                    </w:rPr>
                                    <w:t>. Kybartai–Černyševskoje;</w:t>
                                  </w:r>
                                </w:p>
                              </w:sdtContent>
                            </w:sdt>
                            <w:sdt>
                              <w:sdtPr>
                                <w:alias w:val="2.1.1.2.1.5 pp."/>
                                <w:tag w:val="part_18a6ba2ec447473a9396930740cd312b"/>
                                <w:lock w:val="sdtLocked"/>
                                <w:richText/>
                              </w:sdtPr>
                              <w:sdtContent>
                                <w:p>
                                  <w:pPr>
                                    <w:ind w:firstLine="720"/>
                                    <w:jc w:val="both"/>
                                    <w:rPr>
                                      <w:szCs w:val="24"/>
                                      <w:lang w:eastAsia="lt-LT"/>
                                    </w:rPr>
                                  </w:pPr>
                                  <w:sdt>
                                    <w:sdtPr>
                                      <w:alias w:val="Numeris"/>
                                      <w:tag w:val="nr_18a6ba2ec447473a9396930740cd312b"/>
                                      <w:lock w:val="sdtLocked"/>
                                      <w:richText/>
                                    </w:sdtPr>
                                    <w:sdtContent>
                                      <w:r>
                                        <w:rPr>
                                          <w:szCs w:val="24"/>
                                          <w:lang w:eastAsia="lt-LT"/>
                                        </w:rPr>
                                        <w:t>2.1.1.2.1.5</w:t>
                                      </w:r>
                                    </w:sdtContent>
                                  </w:sdt>
                                  <w:r>
                                    <w:rPr>
                                      <w:szCs w:val="24"/>
                                      <w:lang w:eastAsia="lt-LT"/>
                                    </w:rPr>
                                    <w:t>. Panemunė–Sovetsk;</w:t>
                                  </w:r>
                                </w:p>
                              </w:sdtContent>
                            </w:sdt>
                            <w:sdt>
                              <w:sdtPr>
                                <w:alias w:val="2.1.1.2.1.6 pp."/>
                                <w:tag w:val="part_79b75accbf6e43439d65ec49b7a319bd"/>
                                <w:lock w:val="sdtLocked"/>
                                <w:richText/>
                              </w:sdtPr>
                              <w:sdtContent>
                                <w:p>
                                  <w:pPr>
                                    <w:ind w:firstLine="720"/>
                                    <w:jc w:val="both"/>
                                    <w:rPr>
                                      <w:szCs w:val="24"/>
                                      <w:lang w:eastAsia="lt-LT"/>
                                    </w:rPr>
                                  </w:pPr>
                                  <w:sdt>
                                    <w:sdtPr>
                                      <w:alias w:val="Numeris"/>
                                      <w:tag w:val="nr_79b75accbf6e43439d65ec49b7a319bd"/>
                                      <w:lock w:val="sdtLocked"/>
                                      <w:richText/>
                                    </w:sdtPr>
                                    <w:sdtContent>
                                      <w:r>
                                        <w:rPr>
                                          <w:szCs w:val="24"/>
                                          <w:lang w:eastAsia="lt-LT"/>
                                        </w:rPr>
                                        <w:t>2.1.1.2.1.6</w:t>
                                      </w:r>
                                    </w:sdtContent>
                                  </w:sdt>
                                  <w:r>
                                    <w:rPr>
                                      <w:szCs w:val="24"/>
                                      <w:lang w:eastAsia="lt-LT"/>
                                    </w:rPr>
                                    <w:t>. Lavoriškės–Kotlovka;</w:t>
                                  </w:r>
                                </w:p>
                              </w:sdtContent>
                            </w:sdt>
                            <w:sdt>
                              <w:sdtPr>
                                <w:alias w:val="2.1.1.2.1.7 pp."/>
                                <w:tag w:val="part_a275189e87b44d15acdb087593d888a9"/>
                                <w:lock w:val="sdtLocked"/>
                                <w:richText/>
                              </w:sdtPr>
                              <w:sdtContent>
                                <w:p>
                                  <w:pPr>
                                    <w:ind w:firstLine="720"/>
                                    <w:jc w:val="both"/>
                                    <w:rPr>
                                      <w:szCs w:val="24"/>
                                      <w:lang w:eastAsia="lt-LT"/>
                                    </w:rPr>
                                  </w:pPr>
                                  <w:sdt>
                                    <w:sdtPr>
                                      <w:alias w:val="Numeris"/>
                                      <w:tag w:val="nr_a275189e87b44d15acdb087593d888a9"/>
                                      <w:lock w:val="sdtLocked"/>
                                      <w:richText/>
                                    </w:sdtPr>
                                    <w:sdtContent>
                                      <w:r>
                                        <w:rPr>
                                          <w:szCs w:val="24"/>
                                          <w:lang w:eastAsia="lt-LT"/>
                                        </w:rPr>
                                        <w:t>2.1.1.2.1.7</w:t>
                                      </w:r>
                                    </w:sdtContent>
                                  </w:sdt>
                                  <w:r>
                                    <w:rPr>
                                      <w:szCs w:val="24"/>
                                      <w:lang w:eastAsia="lt-LT"/>
                                    </w:rPr>
                                    <w:t>. Tverečius–Vidžiai;</w:t>
                                  </w:r>
                                </w:p>
                              </w:sdtContent>
                            </w:sdt>
                            <w:sdt>
                              <w:sdtPr>
                                <w:alias w:val="2.1.1.2.1.8 pp."/>
                                <w:tag w:val="part_f8284396baa94d7baf1c9cf84df31e51"/>
                                <w:lock w:val="sdtLocked"/>
                                <w:richText/>
                              </w:sdtPr>
                              <w:sdtContent>
                                <w:p>
                                  <w:pPr>
                                    <w:ind w:firstLine="720"/>
                                    <w:jc w:val="both"/>
                                    <w:rPr>
                                      <w:szCs w:val="24"/>
                                      <w:lang w:eastAsia="lt-LT"/>
                                    </w:rPr>
                                  </w:pPr>
                                  <w:sdt>
                                    <w:sdtPr>
                                      <w:alias w:val="Numeris"/>
                                      <w:tag w:val="nr_f8284396baa94d7baf1c9cf84df31e51"/>
                                      <w:lock w:val="sdtLocked"/>
                                      <w:richText/>
                                    </w:sdtPr>
                                    <w:sdtContent>
                                      <w:r>
                                        <w:rPr>
                                          <w:szCs w:val="24"/>
                                          <w:lang w:eastAsia="lt-LT"/>
                                        </w:rPr>
                                        <w:t>2.1.1.2.1.8</w:t>
                                      </w:r>
                                    </w:sdtContent>
                                  </w:sdt>
                                  <w:r>
                                    <w:rPr>
                                      <w:szCs w:val="24"/>
                                      <w:lang w:eastAsia="lt-LT"/>
                                    </w:rPr>
                                    <w:t>. Papelekis–Lentupis (tik transporto priemonėms, vežančioms didžiagabaričius ir sunkiasvorius krovinius, turinčioms teisės aktų nustatyta tvarka išduotą leidimą);</w:t>
                                  </w:r>
                                </w:p>
                              </w:sdtContent>
                            </w:sdt>
                            <w:sdt>
                              <w:sdtPr>
                                <w:alias w:val="2.1.1.2.1.9 pp."/>
                                <w:tag w:val="part_2cec5a7154f54dc8acccbfb2b875cd0f"/>
                                <w:lock w:val="sdtLocked"/>
                                <w:richText/>
                              </w:sdtPr>
                              <w:sdtContent>
                                <w:p>
                                  <w:pPr>
                                    <w:tabs>
                                      <w:tab w:val="left" w:pos="1560"/>
                                    </w:tabs>
                                    <w:ind w:firstLine="720"/>
                                    <w:jc w:val="both"/>
                                    <w:rPr>
                                      <w:szCs w:val="24"/>
                                      <w:lang w:eastAsia="lt-LT"/>
                                    </w:rPr>
                                  </w:pPr>
                                  <w:sdt>
                                    <w:sdtPr>
                                      <w:alias w:val="Numeris"/>
                                      <w:tag w:val="nr_2cec5a7154f54dc8acccbfb2b875cd0f"/>
                                      <w:lock w:val="sdtLocked"/>
                                      <w:richText/>
                                    </w:sdtPr>
                                    <w:sdtContent>
                                      <w:r>
                                        <w:rPr>
                                          <w:szCs w:val="24"/>
                                          <w:lang w:eastAsia="lt-LT"/>
                                        </w:rPr>
                                        <w:t>2.1.1.2.1.9</w:t>
                                      </w:r>
                                    </w:sdtContent>
                                  </w:sdt>
                                  <w:r>
                                    <w:rPr>
                                      <w:szCs w:val="24"/>
                                      <w:lang w:eastAsia="lt-LT"/>
                                    </w:rPr>
                                    <w:t>. Šumskas–Loša;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
                          <w:sdtPr>
                            <w:alias w:val="2.1.2.13.4 pp."/>
                            <w:tag w:val="part_93a1c0ad6ca5474aaa63f73ed7d7e31a"/>
                            <w:lock w:val="sdtLocked"/>
                            <w:richText/>
                          </w:sdtPr>
                          <w:sdtContent>
                            <w:p>
                              <w:pPr>
                                <w:tabs>
                                  <w:tab w:val="left" w:pos="1134"/>
                                </w:tabs>
                                <w:ind w:firstLine="720"/>
                                <w:jc w:val="both"/>
                                <w:rPr>
                                  <w:szCs w:val="24"/>
                                  <w:lang w:eastAsia="lt-LT"/>
                                </w:rPr>
                              </w:pPr>
                              <w:sdt>
                                <w:sdtPr>
                                  <w:alias w:val="Numeris"/>
                                  <w:tag w:val="nr_93a1c0ad6ca5474aaa63f73ed7d7e31a"/>
                                  <w:lock w:val="sdtLocked"/>
                                  <w:richText/>
                                </w:sdtPr>
                                <w:sdtContent>
                                  <w:r>
                                    <w:rPr>
                                      <w:szCs w:val="24"/>
                                      <w:lang w:eastAsia="lt-LT"/>
                                    </w:rPr>
                                    <w:t>2.1.2.13.4</w:t>
                                  </w:r>
                                </w:sdtContent>
                              </w:sdt>
                              <w:r>
                                <w:rPr>
                                  <w:szCs w:val="24"/>
                                  <w:lang w:eastAsia="lt-LT"/>
                                </w:rPr>
                                <w:t>. užsieniečiams, vykstantiems 2.1.2.13.3 papunktyje nurodytais tranzitiniais traukiniais, be teisės išlipti ir įlipti Lietuvos Respublikos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4-1 pp."/>
                        <w:tag w:val="part_a92958724d51411b93d7281f608f183c"/>
                        <w:lock w:val="sdtLocked"/>
                        <w:richText/>
                      </w:sdtPr>
                      <w:sdtContent>
                        <w:p>
                          <w:pPr>
                            <w:ind w:firstLine="720"/>
                            <w:jc w:val="both"/>
                            <w:rPr>
                              <w:szCs w:val="24"/>
                              <w:lang w:eastAsia="lt-LT"/>
                            </w:rPr>
                          </w:pPr>
                          <w:sdt>
                            <w:sdtPr>
                              <w:alias w:val="Numeris"/>
                              <w:tag w:val="nr_a92958724d51411b93d7281f608f183c"/>
                              <w:lock w:val="sdtLocked"/>
                              <w:richText/>
                            </w:sdtPr>
                            <w:sdtContent>
                              <w:r>
                                <w:rPr>
                                  <w:szCs w:val="24"/>
                                  <w:lang w:eastAsia="lt-LT"/>
                                </w:rPr>
                                <w:t>2.1.2.14</w:t>
                              </w:r>
                              <w:r>
                                <w:rPr>
                                  <w:szCs w:val="24"/>
                                  <w:vertAlign w:val="superscript"/>
                                  <w:lang w:eastAsia="lt-LT"/>
                                </w:rPr>
                                <w:t>1</w:t>
                              </w:r>
                            </w:sdtContent>
                          </w:sdt>
                          <w:r>
                            <w:rPr>
                              <w:szCs w:val="24"/>
                              <w:lang w:eastAsia="lt-LT"/>
                            </w:rPr>
                            <w:t>. užsieniečiams, atvykstantiems į Lietuvos Respublikoje veikiančias kompetentingos institucijos patvirtintas mokymo organizacijas ar organizacijas, naudojančias imituojamo skrydžio treniruoklius, dalyvauti aviacijos specialistams skirtuose mokymuose, turint šių organizacijų kvietimą;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74b714b99dc24ed3b532f0e693356917"/>
                        <w:lock w:val="sdtLocked"/>
                        <w:richText/>
                      </w:sdtPr>
                      <w:sdtContent>
                        <w:p>
                          <w:pPr>
                            <w:tabs>
                              <w:tab w:val="left" w:pos="1134"/>
                            </w:tabs>
                            <w:ind w:firstLine="720"/>
                            <w:jc w:val="both"/>
                            <w:rPr>
                              <w:szCs w:val="24"/>
                              <w:lang w:eastAsia="lt-LT"/>
                            </w:rPr>
                          </w:pPr>
                          <w:sdt>
                            <w:sdtPr>
                              <w:alias w:val="Numeris"/>
                              <w:tag w:val="nr_74b714b99dc24ed3b532f0e693356917"/>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r>
                            <w:rPr>
                              <w:color w:val="000000"/>
                              <w:szCs w:val="24"/>
                              <w:lang w:eastAsia="lt-LT"/>
                            </w:rPr>
                            <w:t xml:space="preserve"> </w:t>
                          </w:r>
                          <w:r>
                            <w:rPr>
                              <w:szCs w:val="24"/>
                              <w:lang w:eastAsia="lt-LT"/>
                            </w:rPr>
                            <w:t>jei jų buvimo Lietuvos Respublikos teritorijoje laikas yra trumpesnis nei 72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9f04a86b6e3246b291a5056b568d31b4"/>
                        <w:lock w:val="sdtLocked"/>
                        <w:richText/>
                      </w:sdtPr>
                      <w:sdtContent>
                        <w:p>
                          <w:pPr>
                            <w:tabs>
                              <w:tab w:val="left" w:pos="1134"/>
                            </w:tabs>
                            <w:ind w:firstLine="720"/>
                            <w:jc w:val="both"/>
                            <w:rPr>
                              <w:szCs w:val="24"/>
                              <w:lang w:eastAsia="lt-LT"/>
                            </w:rPr>
                          </w:pPr>
                          <w:sdt>
                            <w:sdtPr>
                              <w:alias w:val="Numeris"/>
                              <w:tag w:val="nr_9f04a86b6e3246b291a5056b568d31b4"/>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180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sdt>
                      <w:sdtPr>
                        <w:alias w:val="2.1.3-1.5 pp."/>
                        <w:tag w:val="part_d0bc7cd26e444b98b6957edc7caa8899"/>
                        <w:lock w:val="sdtLocked"/>
                        <w:richText/>
                      </w:sdtPr>
                      <w:sdtContent>
                        <w:p>
                          <w:pPr>
                            <w:tabs>
                              <w:tab w:val="left" w:pos="1134"/>
                            </w:tabs>
                            <w:ind w:firstLine="720"/>
                            <w:jc w:val="both"/>
                            <w:rPr>
                              <w:szCs w:val="24"/>
                              <w:lang w:eastAsia="lt-LT"/>
                            </w:rPr>
                          </w:pPr>
                          <w:sdt>
                            <w:sdtPr>
                              <w:alias w:val="Numeris"/>
                              <w:tag w:val="nr_d0bc7cd26e444b98b6957edc7caa8899"/>
                              <w:lock w:val="sdtLocked"/>
                              <w:richText/>
                            </w:sdt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3-1.6 pp."/>
                        <w:tag w:val="part_39bc70dd745645089f9066b21e6369f6"/>
                        <w:lock w:val="sdtLocked"/>
                        <w:richText/>
                      </w:sdtPr>
                      <w:sdtContent>
                        <w:p>
                          <w:pPr>
                            <w:tabs>
                              <w:tab w:val="left" w:pos="1134"/>
                            </w:tabs>
                            <w:ind w:firstLine="720"/>
                            <w:jc w:val="both"/>
                            <w:rPr>
                              <w:szCs w:val="24"/>
                              <w:lang w:eastAsia="lt-LT"/>
                            </w:rPr>
                          </w:pPr>
                          <w:sdt>
                            <w:sdtPr>
                              <w:alias w:val="Numeris"/>
                              <w:tag w:val="nr_39bc70dd745645089f9066b21e6369f6"/>
                              <w:lock w:val="sdtLocked"/>
                              <w:richText/>
                            </w:sdtPr>
                            <w:sdtContent>
                              <w:r>
                                <w:rPr>
                                  <w:szCs w:val="24"/>
                                  <w:lang w:eastAsia="lt-LT"/>
                                </w:rPr>
                                <w:t>2.1.3</w:t>
                              </w:r>
                              <w:r>
                                <w:rPr>
                                  <w:szCs w:val="24"/>
                                  <w:vertAlign w:val="superscript"/>
                                  <w:lang w:eastAsia="lt-LT"/>
                                </w:rPr>
                                <w:t>1</w:t>
                              </w:r>
                              <w:r>
                                <w:rPr>
                                  <w:szCs w:val="24"/>
                                  <w:lang w:eastAsia="lt-LT"/>
                                </w:rPr>
                                <w:t>.6</w:t>
                              </w:r>
                            </w:sdtContent>
                          </w:sdt>
                          <w:r>
                            <w:rPr>
                              <w:szCs w:val="24"/>
                              <w:lang w:eastAsia="lt-LT"/>
                            </w:rPr>
                            <w:t>. asmenims, nurodytiems šio nutarimo 2.1.2.16 papunktyje (COVID-19 tyrimą atlieka atvykę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a4af6109fbac403b85e4d0efd0330c8d"/>
                        <w:lock w:val="sdtLocked"/>
                        <w:richText/>
                      </w:sdtPr>
                      <w:sdtContent>
                        <w:p>
                          <w:pPr>
                            <w:tabs>
                              <w:tab w:val="left" w:pos="1134"/>
                            </w:tabs>
                            <w:ind w:firstLine="720"/>
                            <w:jc w:val="both"/>
                          </w:pPr>
                          <w:sdt>
                            <w:sdtPr>
                              <w:alias w:val="Numeris"/>
                              <w:tag w:val="nr_a4af6109fbac403b85e4d0efd0330c8d"/>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į vakcinacijos nuo COVID-19 ligos (koronaviruso infekcijos) vietą ar iš jos, ir kai į ekskursijas</w:t>
                          </w:r>
                          <w:r>
                            <w:rPr>
                              <w:b/>
                              <w:bCs/>
                              <w:szCs w:val="24"/>
                              <w:lang w:eastAsia="lt-LT"/>
                            </w:rPr>
                            <w:t xml:space="preserve"> </w:t>
                          </w:r>
                          <w:r>
                            <w:rPr>
                              <w:szCs w:val="24"/>
                              <w:lang w:eastAsia="lt-LT"/>
                            </w:rPr>
                            <w:t>vyksta ne daugiau kaip 10</w:t>
                          </w:r>
                          <w:r>
                            <w:rPr>
                              <w:b/>
                              <w:bCs/>
                              <w:szCs w:val="24"/>
                              <w:lang w:eastAsia="lt-LT"/>
                            </w:rPr>
                            <w:t xml:space="preserve"> </w:t>
                          </w:r>
                          <w:r>
                            <w:rPr>
                              <w:szCs w:val="24"/>
                              <w:lang w:eastAsia="lt-LT"/>
                            </w:rPr>
                            <w:t>asmenų</w:t>
                          </w:r>
                          <w:r>
                            <w:rPr>
                              <w:szCs w:val="24"/>
                              <w:lang w:val="ru-RU" w:eastAsia="lt-LT"/>
                            </w:rPr>
                            <w:t>,</w:t>
                          </w:r>
                          <w:r>
                            <w:rPr>
                              <w:szCs w:val="24"/>
                              <w:lang w:eastAsia="lt-LT"/>
                            </w:rPr>
                            <w:t xml:space="preserve"> nurodytų šio nutarimo 2</w:t>
                          </w:r>
                          <w:r>
                            <w:rPr>
                              <w:szCs w:val="24"/>
                              <w:vertAlign w:val="superscript"/>
                              <w:lang w:eastAsia="lt-LT"/>
                            </w:rPr>
                            <w:t>2</w:t>
                          </w:r>
                          <w:r>
                            <w:rPr>
                              <w:szCs w:val="24"/>
                              <w:lang w:eastAsia="lt-LT"/>
                            </w:rPr>
                            <w:t xml:space="preserve"> punkte,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taip pat 10 asmenų, nurodytų šio nutarimo 2</w:t>
                          </w:r>
                          <w:r>
                            <w:rPr>
                              <w:szCs w:val="24"/>
                              <w:vertAlign w:val="superscript"/>
                              <w:lang w:eastAsia="lt-LT"/>
                            </w:rPr>
                            <w:t>2</w:t>
                          </w:r>
                          <w:r>
                            <w:rPr>
                              <w:szCs w:val="24"/>
                              <w:lang w:eastAsia="lt-LT"/>
                            </w:rPr>
                            <w:t xml:space="preserve"> punkte, arba dviejų šeimų ir (ar) dviejų namų ūkių narių grupėmis. Laidotuvėse gali dalyvauti ne daugiau kaip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f51bd09b8011eb9fecb5ecd3bd711c">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2021-04-12,
paskelbta TAR 2021-04-12, i. k. 2021-07555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09938d8dcc5e45b289b590e14ecada62"/>
                    <w:lock w:val="sdtLocked"/>
                    <w:richText/>
                  </w:sdtPr>
                  <w:sdtContent>
                    <w:p>
                      <w:pPr>
                        <w:tabs>
                          <w:tab w:val="left" w:pos="1134"/>
                        </w:tabs>
                        <w:ind w:firstLine="720"/>
                        <w:jc w:val="both"/>
                        <w:rPr>
                          <w:color w:val="000000"/>
                          <w:szCs w:val="24"/>
                          <w:lang w:eastAsia="lt-LT"/>
                        </w:rPr>
                      </w:pPr>
                      <w:sdt>
                        <w:sdtPr>
                          <w:alias w:val="Numeris"/>
                          <w:tag w:val="nr_09938d8dcc5e45b289b590e14ecada62"/>
                          <w:lock w:val="sdtLocked"/>
                          <w:richText/>
                        </w:sdt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tarpmiestiniame ir priemiestiniame transporte leidžiama užimti tik sėdimas vietas ne mažesniu kaip vieno metro atstumu, o miesto transporte leidžiama užimti sėdimas ir stovimas vietas, jei tarp asmenų užtikrinamas ne mažesnis kaip vieno metro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7 pp."/>
                    <w:tag w:val="part_1c4324136385484db6d5a6083918b2a2"/>
                    <w:lock w:val="sdtLocked"/>
                    <w:richText/>
                  </w:sdtPr>
                  <w:sdtContent>
                    <w:p>
                      <w:pPr>
                        <w:pStyle w:val="PlainText"/>
                        <w:ind w:firstLine="567"/>
                        <w:jc w:val="both"/>
                        <w:rPr>
                          <w:rFonts w:ascii="Times New Roman" w:hAnsi="Times New Roman"/>
                          <w:b/>
                          <w:bCs/>
                          <w:sz w:val="22"/>
                        </w:rPr>
                      </w:pPr>
                      <w:r>
                        <w:rPr>
                          <w:rFonts w:ascii="Times New Roman" w:hAnsi="Times New Roman"/>
                          <w:sz w:val="22"/>
                        </w:rPr>
                        <w:t>2.1.7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
                          <w:sdtPr>
                            <w:alias w:val="2.1.8.1.5 pp."/>
                            <w:tag w:val="part_9a67c6f16bbc4f689812d22ea317efb3"/>
                            <w:lock w:val="sdtLocked"/>
                            <w:richText/>
                          </w:sdtPr>
                          <w:sdtContent>
                            <w:p>
                              <w:pPr>
                                <w:tabs>
                                  <w:tab w:val="left" w:pos="1134"/>
                                </w:tabs>
                                <w:ind w:firstLine="720"/>
                                <w:jc w:val="both"/>
                                <w:rPr>
                                  <w:szCs w:val="24"/>
                                  <w:lang w:eastAsia="lt-LT"/>
                                </w:rPr>
                              </w:pPr>
                              <w:sdt>
                                <w:sdtPr>
                                  <w:alias w:val="Numeris"/>
                                  <w:tag w:val="nr_9a67c6f16bbc4f689812d22ea317efb3"/>
                                  <w:lock w:val="sdtLocked"/>
                                  <w:richText/>
                                </w:sdtPr>
                                <w:sdtContent>
                                  <w:r>
                                    <w:rPr>
                                      <w:szCs w:val="24"/>
                                      <w:lang w:eastAsia="lt-LT"/>
                                    </w:rPr>
                                    <w:t>2.1.8.1.5</w:t>
                                  </w:r>
                                </w:sdtContent>
                              </w:sdt>
                              <w:r>
                                <w:rPr>
                                  <w:szCs w:val="24"/>
                                  <w:lang w:eastAsia="lt-LT"/>
                                </w:rPr>
                                <w:t xml:space="preserve">. </w:t>
                              </w:r>
                              <w:r>
                                <w:rPr>
                                  <w:szCs w:val="24"/>
                                  <w:shd w:val="clear" w:color="auto" w:fill="FFFFFF"/>
                                  <w:lang w:eastAsia="lt-LT"/>
                                </w:rPr>
                                <w:t xml:space="preserve">ne daugiau kaip 10 asmenų, nurodytų </w:t>
                              </w:r>
                              <w:r>
                                <w:rPr>
                                  <w:szCs w:val="24"/>
                                  <w:lang w:eastAsia="lt-LT"/>
                                </w:rPr>
                                <w:t>šio nutarimo 2</w:t>
                              </w:r>
                              <w:r>
                                <w:rPr>
                                  <w:szCs w:val="24"/>
                                  <w:vertAlign w:val="superscript"/>
                                  <w:lang w:eastAsia="lt-LT"/>
                                </w:rPr>
                                <w:t>2</w:t>
                              </w:r>
                              <w:r>
                                <w:rPr>
                                  <w:szCs w:val="24"/>
                                  <w:lang w:eastAsia="lt-LT"/>
                                </w:rPr>
                                <w:t xml:space="preserve"> punkte, artimus kontaktus;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Content>
                    </w:sdt>
                    <w:sdt>
                      <w:sdtPr>
                        <w:alias w:val="2.1.8.2 pp."/>
                        <w:tag w:val="part_05e22bfa0b734dd9b863f989f1f75d97"/>
                        <w:lock w:val="sdtLocked"/>
                        <w:richText/>
                      </w:sdtPr>
                      <w:sdtContent>
                        <w:p>
                          <w:pPr>
                            <w:ind w:firstLine="720"/>
                            <w:jc w:val="both"/>
                            <w:rPr>
                              <w:color w:val="000000"/>
                              <w:szCs w:val="24"/>
                              <w:lang w:eastAsia="lt-LT"/>
                            </w:rPr>
                          </w:pPr>
                          <w:sdt>
                            <w:sdtPr>
                              <w:alias w:val="Numeris"/>
                              <w:tag w:val="nr_05e22bfa0b734dd9b863f989f1f75d97"/>
                              <w:lock w:val="sdtLocked"/>
                              <w:richText/>
                            </w:sdtPr>
                            <w:sdtContent>
                              <w:r>
                                <w:rPr>
                                  <w:szCs w:val="24"/>
                                  <w:lang w:eastAsia="lt-LT"/>
                                </w:rPr>
                                <w:t>2.1.8.2</w:t>
                              </w:r>
                            </w:sdtContent>
                          </w:sdt>
                          <w:r>
                            <w:rPr>
                              <w:szCs w:val="24"/>
                              <w:lang w:eastAsia="lt-LT"/>
                            </w:rPr>
                            <w:t xml:space="preserve">. rengti asmenines šventes viešose ir privačiose erdvėse, išskyrus šventes uždarose erdvėse, kai jose dalyvauja ne daugiau nei viena šeima ir (ar) vienas namų ūkis arba ne </w:t>
                          </w:r>
                          <w:r>
                            <w:rPr>
                              <w:color w:val="000000"/>
                              <w:szCs w:val="24"/>
                              <w:shd w:val="clear" w:color="auto" w:fill="FFFFFF"/>
                              <w:lang w:eastAsia="lt-LT"/>
                            </w:rPr>
                            <w:t>daugiau nei 10 asmenų, nurodytų šio nutarimo 2</w:t>
                          </w:r>
                          <w:r>
                            <w:rPr>
                              <w:color w:val="000000"/>
                              <w:szCs w:val="24"/>
                              <w:shd w:val="clear" w:color="auto" w:fill="FFFFFF"/>
                              <w:vertAlign w:val="superscript"/>
                              <w:lang w:eastAsia="lt-LT"/>
                            </w:rPr>
                            <w:t>2</w:t>
                          </w:r>
                          <w:r>
                            <w:rPr>
                              <w:color w:val="000000"/>
                              <w:szCs w:val="24"/>
                              <w:shd w:val="clear" w:color="auto" w:fill="FFFFFF"/>
                              <w:lang w:eastAsia="lt-LT"/>
                            </w:rPr>
                            <w:t xml:space="preserve"> punkte</w:t>
                          </w:r>
                          <w:r>
                            <w:rPr>
                              <w:szCs w:val="24"/>
                              <w:lang w:eastAsia="lt-LT"/>
                            </w:rPr>
                            <w:t xml:space="preserve">, taip pat šventes atvirose erdvėse, kai dalyvauja ne daugiau nei dvi šeimos ir (ar) du namų ūkiai arba ne </w:t>
                          </w:r>
                          <w:r>
                            <w:rPr>
                              <w:color w:val="000000"/>
                              <w:szCs w:val="24"/>
                              <w:shd w:val="clear" w:color="auto" w:fill="FFFFFF"/>
                              <w:lang w:eastAsia="lt-LT"/>
                            </w:rPr>
                            <w:t>daugiau nei 10 asmenų, nurodytų šio nutarimo 2</w:t>
                          </w:r>
                          <w:r>
                            <w:rPr>
                              <w:color w:val="000000"/>
                              <w:szCs w:val="24"/>
                              <w:shd w:val="clear" w:color="auto" w:fill="FFFFFF"/>
                              <w:vertAlign w:val="superscript"/>
                              <w:lang w:eastAsia="lt-LT"/>
                            </w:rPr>
                            <w:t>2</w:t>
                          </w:r>
                          <w:r>
                            <w:rPr>
                              <w:color w:val="000000"/>
                              <w:szCs w:val="24"/>
                              <w:shd w:val="clear" w:color="auto" w:fill="FFFFFF"/>
                              <w:lang w:eastAsia="lt-LT"/>
                            </w:rPr>
                            <w:t xml:space="preserve">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1.8.3 pp."/>
                        <w:tag w:val="part_919e965108b3464eb81a12c3043f4895"/>
                        <w:lock w:val="sdtLocked"/>
                        <w:richText/>
                      </w:sdtPr>
                      <w:sdtContent>
                        <w:p>
                          <w:pPr>
                            <w:pStyle w:val="PlainText"/>
                            <w:ind w:firstLine="567"/>
                            <w:jc w:val="both"/>
                            <w:rPr>
                              <w:rFonts w:ascii="Times New Roman" w:hAnsi="Times New Roman"/>
                              <w:b/>
                              <w:bCs/>
                              <w:sz w:val="22"/>
                            </w:rPr>
                          </w:pPr>
                          <w:r>
                            <w:rPr>
                              <w:rFonts w:ascii="Times New Roman" w:hAnsi="Times New Roman"/>
                              <w:sz w:val="22"/>
                            </w:rPr>
                            <w:t>2.1.8.3</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499faa2c5f1d46f79f557436edb2a3dc"/>
                    <w:lock w:val="sdtLocked"/>
                    <w:richText/>
                  </w:sdtPr>
                  <w:sdtContent>
                    <w:p>
                      <w:pPr>
                        <w:tabs>
                          <w:tab w:val="left" w:pos="1134"/>
                        </w:tabs>
                        <w:ind w:firstLine="720"/>
                        <w:jc w:val="both"/>
                        <w:rPr>
                          <w:szCs w:val="24"/>
                          <w:shd w:val="clear" w:color="auto" w:fill="FFFFFF"/>
                          <w:lang w:eastAsia="lt-LT"/>
                        </w:rPr>
                      </w:pPr>
                      <w:sdt>
                        <w:sdtPr>
                          <w:alias w:val="Numeris"/>
                          <w:tag w:val="nr_499faa2c5f1d46f79f557436edb2a3dc"/>
                          <w:lock w:val="sdtLocked"/>
                          <w:richText/>
                        </w:sdtPr>
                        <w:sdtContent>
                          <w:r>
                            <w:rPr>
                              <w:szCs w:val="24"/>
                              <w:shd w:val="clear" w:color="auto" w:fill="FFFFFF"/>
                              <w:lang w:eastAsia="lt-LT"/>
                            </w:rPr>
                            <w:t>2.2.2</w:t>
                          </w:r>
                        </w:sdtContent>
                      </w:sdt>
                      <w:r>
                        <w:rPr>
                          <w:szCs w:val="24"/>
                          <w:shd w:val="clear" w:color="auto" w:fill="FFFFFF"/>
                          <w:lang w:eastAsia="lt-LT"/>
                        </w:rPr>
                        <w:t>. Parduotuvių, turgaviečių ir kitų viešų prekybos vietų veikla organizuojama užtikrinant valstybės lygio ekstremaliosios situacijos operacijų vadovo nustatytas asmenų srautų valdymo, saugaus atstumo laikymosi, būtinas visuomenės sveikatos saugos, higienos, asmenų aprūpinimo būtinosiomis asmeninėmis apsaugos priemonėmis sąlygas ir laikantis šių reikalavimų:</w:t>
                      </w:r>
                    </w:p>
                    <w:sdt>
                      <w:sdtPr>
                        <w:alias w:val="2.2.2.1 pp."/>
                        <w:tag w:val="part_06f320b2188d421d95ec0bd5de8ad272"/>
                        <w:lock w:val="sdtLocked"/>
                        <w:richText/>
                      </w:sdtPr>
                      <w:sdtContent>
                        <w:p>
                          <w:pPr>
                            <w:tabs>
                              <w:tab w:val="left" w:pos="1134"/>
                            </w:tabs>
                            <w:ind w:firstLine="720"/>
                            <w:jc w:val="both"/>
                            <w:rPr>
                              <w:szCs w:val="24"/>
                              <w:shd w:val="clear" w:color="auto" w:fill="FFFFFF"/>
                              <w:lang w:eastAsia="lt-LT"/>
                            </w:rPr>
                          </w:pPr>
                          <w:sdt>
                            <w:sdtPr>
                              <w:alias w:val="Numeris"/>
                              <w:tag w:val="nr_06f320b2188d421d95ec0bd5de8ad272"/>
                              <w:lock w:val="sdtLocked"/>
                              <w:richText/>
                            </w:sdtPr>
                            <w:sdtContent>
                              <w:r>
                                <w:rPr>
                                  <w:szCs w:val="24"/>
                                  <w:shd w:val="clear" w:color="auto" w:fill="FFFFFF"/>
                                  <w:lang w:eastAsia="lt-LT"/>
                                </w:rPr>
                                <w:t>2.2.2.1</w:t>
                              </w:r>
                            </w:sdtContent>
                          </w:sdt>
                          <w:r>
                            <w:rPr>
                              <w:szCs w:val="24"/>
                              <w:shd w:val="clear" w:color="auto" w:fill="FFFFFF"/>
                              <w:lang w:eastAsia="lt-LT"/>
                            </w:rPr>
                            <w:t>. užtikrinamas 15 m</w:t>
                          </w:r>
                          <w:r>
                            <w:rPr>
                              <w:szCs w:val="24"/>
                              <w:shd w:val="clear" w:color="auto" w:fill="FFFFFF"/>
                              <w:vertAlign w:val="superscript"/>
                              <w:lang w:eastAsia="lt-LT"/>
                            </w:rPr>
                            <w:t xml:space="preserve">2 </w:t>
                          </w:r>
                          <w:r>
                            <w:rPr>
                              <w:szCs w:val="24"/>
                              <w:shd w:val="clear" w:color="auto" w:fill="FFFFFF"/>
                              <w:lang w:eastAsia="lt-LT"/>
                            </w:rPr>
                            <w:t>prekybos plotas vienam lankytojui arba vienu metu aptarnaujamas ne daugiau kaip vienas asmuo atskirose parduotuvėse (prekybos vietose), kurių pagrindinė veikla yra maisto, veterinarijos, pašarų gyvūnams, gėlių, optikos prekių ir ortopedijos techninių priemonių, laidojimo reikmenų pardavimas, ir vaistinėse;</w:t>
                          </w:r>
                        </w:p>
                      </w:sdtContent>
                    </w:sdt>
                    <w:sdt>
                      <w:sdtPr>
                        <w:alias w:val="2.2.2.2 pp."/>
                        <w:tag w:val="part_5346f9f9dab04e8bb88b041dc7a404cc"/>
                        <w:lock w:val="sdtLocked"/>
                        <w:richText/>
                      </w:sdtPr>
                      <w:sdtContent>
                        <w:p>
                          <w:pPr>
                            <w:tabs>
                              <w:tab w:val="left" w:pos="1134"/>
                            </w:tabs>
                            <w:ind w:firstLine="720"/>
                            <w:jc w:val="both"/>
                            <w:rPr>
                              <w:szCs w:val="24"/>
                              <w:shd w:val="clear" w:color="auto" w:fill="FFFFFF"/>
                              <w:lang w:eastAsia="lt-LT"/>
                            </w:rPr>
                          </w:pPr>
                          <w:sdt>
                            <w:sdtPr>
                              <w:alias w:val="Numeris"/>
                              <w:tag w:val="nr_5346f9f9dab04e8bb88b041dc7a404cc"/>
                              <w:lock w:val="sdtLocked"/>
                              <w:richText/>
                            </w:sdtPr>
                            <w:sdtContent>
                              <w:r>
                                <w:rPr>
                                  <w:szCs w:val="24"/>
                                  <w:shd w:val="clear" w:color="auto" w:fill="FFFFFF"/>
                                  <w:lang w:eastAsia="lt-LT"/>
                                </w:rPr>
                                <w:t>2.2.2.2</w:t>
                              </w:r>
                            </w:sdtContent>
                          </w:sdt>
                          <w:r>
                            <w:rPr>
                              <w:szCs w:val="24"/>
                              <w:shd w:val="clear" w:color="auto" w:fill="FFFFFF"/>
                              <w:lang w:eastAsia="lt-LT"/>
                            </w:rPr>
                            <w:t>. užtikrinamas 20 m</w:t>
                          </w:r>
                          <w:r>
                            <w:rPr>
                              <w:szCs w:val="24"/>
                              <w:shd w:val="clear" w:color="auto" w:fill="FFFFFF"/>
                              <w:vertAlign w:val="superscript"/>
                              <w:lang w:eastAsia="lt-LT"/>
                            </w:rPr>
                            <w:t xml:space="preserve">2 </w:t>
                          </w:r>
                          <w:r>
                            <w:rPr>
                              <w:szCs w:val="24"/>
                              <w:shd w:val="clear" w:color="auto" w:fill="FFFFFF"/>
                              <w:lang w:eastAsia="lt-LT"/>
                            </w:rPr>
                            <w:t>prekybos plotas vienam lankytojui arba vienu metu aptarnaujamas ne daugiau kaip vienas asmuo atskirose parduotuvėse (prekybos vietose), nenurodytose šio nutarimo 2.2.2.1 papunktyje;</w:t>
                          </w:r>
                        </w:p>
                      </w:sdtContent>
                    </w:sdt>
                    <w:sdt>
                      <w:sdtPr>
                        <w:alias w:val="2.2.2.3 pp."/>
                        <w:tag w:val="part_8de02e4eaee94b118004038b98af4e52"/>
                        <w:lock w:val="sdtLocked"/>
                        <w:richText/>
                      </w:sdtPr>
                      <w:sdtContent>
                        <w:p>
                          <w:pPr>
                            <w:tabs>
                              <w:tab w:val="left" w:pos="1134"/>
                            </w:tabs>
                            <w:ind w:firstLine="720"/>
                            <w:jc w:val="both"/>
                            <w:rPr>
                              <w:szCs w:val="24"/>
                              <w:shd w:val="clear" w:color="auto" w:fill="FFFFFF"/>
                              <w:lang w:eastAsia="lt-LT"/>
                            </w:rPr>
                          </w:pPr>
                          <w:sdt>
                            <w:sdtPr>
                              <w:alias w:val="Numeris"/>
                              <w:tag w:val="nr_8de02e4eaee94b118004038b98af4e52"/>
                              <w:lock w:val="sdtLocked"/>
                              <w:richText/>
                            </w:sdtPr>
                            <w:sdtContent>
                              <w:r>
                                <w:rPr>
                                  <w:szCs w:val="24"/>
                                  <w:shd w:val="clear" w:color="auto" w:fill="FFFFFF"/>
                                  <w:lang w:eastAsia="lt-LT"/>
                                </w:rPr>
                                <w:t>2.2.2.3</w:t>
                              </w:r>
                            </w:sdtContent>
                          </w:sdt>
                          <w:r>
                            <w:rPr>
                              <w:szCs w:val="24"/>
                              <w:shd w:val="clear" w:color="auto" w:fill="FFFFFF"/>
                              <w:lang w:eastAsia="lt-LT"/>
                            </w:rPr>
                            <w:t xml:space="preserve">. prekybos centruose, turgavietėse ar kitose prekybos vietose, kuriuose veiklą vykdo daugiau nei viena parduotuvė ar vienas prekybininkas ir kuriuose šio nutarimo </w:t>
                            <w:br/>
                            <w:t>2.2.2.1 papunktyje nurodytų parduotuvių (prekybos vietų) bei parduotuvių ir paviljonų, turinčių tiesioginį įėjimą iš lauko lankytojams arba atskirą įėjimą, kuriuo naudojasi tik tos parduotuvės ar paviljono lankytojai, prekybos plotas sudaro mažiau kaip 50 proc. viso prekybos centro, turgavietės ar kitos prekybos vietos prekybos ploto, vienu metu galinčių būti lankytojų skaičius apskaičiuojamas pagal bendrą prekybos centro, turgavietės ar kitos prekybos vietos prekybos plotą, kurio vienam lankytojui turi tekti ne mažiau kaip 50 m</w:t>
                          </w:r>
                          <w:r>
                            <w:rPr>
                              <w:szCs w:val="24"/>
                              <w:shd w:val="clear" w:color="auto" w:fill="FFFFFF"/>
                              <w:vertAlign w:val="superscript"/>
                              <w:lang w:eastAsia="lt-LT"/>
                            </w:rPr>
                            <w:t>2</w:t>
                          </w:r>
                          <w:r>
                            <w:rPr>
                              <w:szCs w:val="24"/>
                              <w:shd w:val="clear" w:color="auto" w:fill="FFFFFF"/>
                              <w:lang w:eastAsia="lt-LT"/>
                            </w:rPr>
                            <w:t>,</w:t>
                          </w:r>
                          <w:r>
                            <w:rPr>
                              <w:szCs w:val="24"/>
                              <w:shd w:val="clear" w:color="auto" w:fill="FFFFFF"/>
                              <w:vertAlign w:val="superscript"/>
                              <w:lang w:eastAsia="lt-LT"/>
                            </w:rPr>
                            <w:t xml:space="preserve"> </w:t>
                          </w:r>
                          <w:r>
                            <w:rPr>
                              <w:szCs w:val="24"/>
                              <w:shd w:val="clear" w:color="auto" w:fill="FFFFFF"/>
                              <w:lang w:eastAsia="lt-LT"/>
                            </w:rPr>
                            <w:t>arba vienu metu aptarnaujamas ne daugiau kaip vienas asmuo;</w:t>
                          </w:r>
                        </w:p>
                      </w:sdtContent>
                    </w:sdt>
                    <w:sdt>
                      <w:sdtPr>
                        <w:alias w:val="2.2.2.4 pp."/>
                        <w:tag w:val="part_6a799e5f89c84bcdbbea378d51ac962c"/>
                        <w:lock w:val="sdtLocked"/>
                        <w:richText/>
                      </w:sdtPr>
                      <w:sdtContent>
                        <w:p>
                          <w:pPr>
                            <w:tabs>
                              <w:tab w:val="left" w:pos="1134"/>
                            </w:tabs>
                            <w:ind w:firstLine="720"/>
                            <w:jc w:val="both"/>
                          </w:pPr>
                          <w:sdt>
                            <w:sdtPr>
                              <w:alias w:val="Numeris"/>
                              <w:tag w:val="nr_6a799e5f89c84bcdbbea378d51ac962c"/>
                              <w:lock w:val="sdtLocked"/>
                              <w:richText/>
                            </w:sdtPr>
                            <w:sdtContent>
                              <w:r>
                                <w:rPr>
                                  <w:szCs w:val="24"/>
                                  <w:shd w:val="clear" w:color="auto" w:fill="FFFFFF"/>
                                  <w:lang w:eastAsia="lt-LT"/>
                                </w:rPr>
                                <w:t>2.2.2.4</w:t>
                              </w:r>
                            </w:sdtContent>
                          </w:sdt>
                          <w:r>
                            <w:rPr>
                              <w:szCs w:val="24"/>
                              <w:shd w:val="clear" w:color="auto" w:fill="FFFFFF"/>
                              <w:lang w:eastAsia="lt-LT"/>
                            </w:rPr>
                            <w:t>. veikla šeštadieniais ir sekmadieniais draudžiama. Šis draudimas netaikomas parduotuvėms ir paviljonams (išskyrus paviljonų kompleksus su dengtu stogu, esančius turgavietėse), turintiems tiesioginį įėjimą iš lauko lankytojams arba atskirą įėjimą, kuriuo naudojasi tik tos parduotuvės ar paviljono lankytojai, kioskams, ne maisto prekių prekybai lauko sąlygomis nuo laikinų prekybos įrenginių, ne prekybos patalpose sudaromoms sutartims (išnešiojamoji prekyba), vaistinėms, parduotuvėms ir prekybos vietoms, veikiančioms oro ir jūrų uostų keleivių išvykimo terminaluose, taip pat parduotuvėms (prekybos vietoms), nurodytoms šio nutarimo 2.2.2.1 papunktyje.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2-1 pp."/>
                    <w:tag w:val="part_a65ec6a8370e4613a39f1879413b801a"/>
                    <w:lock w:val="sdtLocked"/>
                    <w:richText/>
                  </w:sdtPr>
                  <w:sdtContent>
                    <w:p>
                      <w:pPr>
                        <w:pStyle w:val="PlainText"/>
                        <w:ind w:firstLine="567"/>
                        <w:jc w:val="both"/>
                        <w:rPr>
                          <w:rFonts w:ascii="Times New Roman" w:hAnsi="Times New Roman"/>
                          <w:b/>
                          <w:bCs/>
                          <w:sz w:val="22"/>
                        </w:rPr>
                      </w:pPr>
                      <w:r>
                        <w:rPr>
                          <w:rFonts w:ascii="Times New Roman" w:hAnsi="Times New Roman"/>
                          <w:sz w:val="22"/>
                        </w:rPr>
                        <w:t>2.2.2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2021-05-03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2-2 pp."/>
                    <w:tag w:val="part_d93925fa57db453faf15cfedd1bdcb0b"/>
                    <w:lock w:val="sdtLocked"/>
                    <w:richText/>
                  </w:sdtPr>
                  <w:sdtContent>
                    <w:p>
                      <w:pPr>
                        <w:pStyle w:val="PlainText"/>
                        <w:ind w:firstLine="567"/>
                        <w:jc w:val="both"/>
                        <w:rPr>
                          <w:rFonts w:ascii="Times New Roman" w:hAnsi="Times New Roman"/>
                          <w:b/>
                          <w:bCs/>
                          <w:sz w:val="22"/>
                        </w:rPr>
                      </w:pPr>
                      <w:r>
                        <w:rPr>
                          <w:rFonts w:ascii="Times New Roman" w:hAnsi="Times New Roman"/>
                          <w:sz w:val="22"/>
                        </w:rPr>
                        <w:t>2.2.2</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2021-05-03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bf208820155443dcb7ffe5c75fbc49e1"/>
                    <w:lock w:val="sdtLocked"/>
                    <w:richText/>
                  </w:sdtPr>
                  <w:sdtContent>
                    <w:p>
                      <w:pPr>
                        <w:ind w:firstLine="720"/>
                        <w:jc w:val="both"/>
                        <w:rPr>
                          <w:szCs w:val="24"/>
                          <w:lang w:eastAsia="lt-LT"/>
                        </w:rPr>
                      </w:pPr>
                      <w:sdt>
                        <w:sdtPr>
                          <w:alias w:val="Numeris"/>
                          <w:tag w:val="nr_bf208820155443dcb7ffe5c75fbc49e1"/>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w:t>
                      </w:r>
                      <w:r>
                        <w:rPr>
                          <w:szCs w:val="24"/>
                          <w:vertAlign w:val="superscript"/>
                          <w:lang w:eastAsia="lt-LT"/>
                        </w:rPr>
                        <w:t>1</w:t>
                      </w:r>
                      <w:r>
                        <w:rPr>
                          <w:szCs w:val="24"/>
                          <w:lang w:eastAsia="lt-LT"/>
                        </w:rPr>
                        <w:t>.3,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3-2 pp."/>
                    <w:tag w:val="part_b5c892c74f5e46adb1422317b63c6a6d"/>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d10f7553909142dba2a56361e5d554a3"/>
                        <w:lock w:val="sdtLocked"/>
                        <w:richText/>
                      </w:sdtPr>
                      <w:sdtContent>
                        <w:p>
                          <w:pPr>
                            <w:tabs>
                              <w:tab w:val="left" w:pos="1134"/>
                            </w:tabs>
                            <w:ind w:firstLine="720"/>
                            <w:jc w:val="both"/>
                            <w:rPr>
                              <w:szCs w:val="24"/>
                              <w:lang w:eastAsia="lt-LT"/>
                            </w:rPr>
                          </w:pPr>
                          <w:sdt>
                            <w:sdtPr>
                              <w:alias w:val="Numeris"/>
                              <w:tag w:val="nr_d10f7553909142dba2a56361e5d554a3"/>
                              <w:lock w:val="sdtLocked"/>
                              <w:richText/>
                            </w:sdtPr>
                            <w:sdtContent>
                              <w:r>
                                <w:rPr>
                                  <w:szCs w:val="24"/>
                                  <w:lang w:eastAsia="lt-LT"/>
                                </w:rPr>
                                <w:t>2.2.4.4</w:t>
                              </w:r>
                            </w:sdtContent>
                          </w:sdt>
                          <w:r>
                            <w:rPr>
                              <w:szCs w:val="24"/>
                              <w:lang w:eastAsia="lt-LT"/>
                            </w:rPr>
                            <w:t xml:space="preserve">. draudžiama apgyvendinimo paslaugoms teikti skirtų patalpų (tiek fizinių, tiek juridinių asmenų nuosavybės teise ar kitais teisėtais pagrindais valdomų) nuoma, subnuoma ar panauda, skirta privatiems renginiams, šventėms ar kitiems susibūrimams organizuoti, išskyrus asmeninėms šventėms organizuoti, kai dalyvių skaičius neviršija šio nutarimo </w:t>
                            <w:br/>
                            <w:t>2.1.8.2 papunktyje nustatyto asmenų skaičiaus;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abeacd8a842043c3853d33000c89a399"/>
                    <w:lock w:val="sdtLocked"/>
                    <w:richText/>
                  </w:sdtPr>
                  <w:sdtContent>
                    <w:p>
                      <w:pPr>
                        <w:pStyle w:val="PlainText"/>
                        <w:ind w:firstLine="567"/>
                        <w:jc w:val="both"/>
                        <w:rPr>
                          <w:rFonts w:ascii="Times New Roman" w:hAnsi="Times New Roman"/>
                          <w:b/>
                          <w:bCs/>
                          <w:sz w:val="22"/>
                        </w:rPr>
                      </w:pPr>
                      <w:r>
                        <w:rPr>
                          <w:rFonts w:ascii="Times New Roman" w:hAnsi="Times New Roman"/>
                          <w:sz w:val="22"/>
                        </w:rPr>
                        <w:t>2.2.5</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bad476672d7f48e896c6725b721b3bff"/>
                        <w:lock w:val="sdtLocked"/>
                        <w:richText/>
                      </w:sdtPr>
                      <w:sdtContent>
                        <w:p>
                          <w:pPr>
                            <w:tabs>
                              <w:tab w:val="left" w:pos="1134"/>
                            </w:tabs>
                            <w:ind w:firstLine="709"/>
                            <w:jc w:val="both"/>
                            <w:rPr>
                              <w:szCs w:val="24"/>
                              <w:shd w:val="clear" w:color="auto" w:fill="FFFFFF"/>
                              <w:lang w:eastAsia="lt-LT"/>
                            </w:rPr>
                          </w:pPr>
                          <w:sdt>
                            <w:sdtPr>
                              <w:alias w:val="Numeris"/>
                              <w:tag w:val="nr_bad476672d7f48e896c6725b721b3bff"/>
                              <w:lock w:val="sdtLocked"/>
                              <w:richText/>
                            </w:sdtPr>
                            <w:sdtContent>
                              <w:r>
                                <w:rPr>
                                  <w:szCs w:val="24"/>
                                  <w:shd w:val="clear" w:color="auto" w:fill="FFFFFF"/>
                                  <w:lang w:eastAsia="lt-LT"/>
                                </w:rPr>
                                <w:t>2.2.6.3</w:t>
                              </w:r>
                            </w:sdtContent>
                          </w:sdt>
                          <w:r>
                            <w:rPr>
                              <w:szCs w:val="24"/>
                              <w:shd w:val="clear" w:color="auto" w:fill="FFFFFF"/>
                              <w:lang w:eastAsia="lt-LT"/>
                            </w:rPr>
                            <w:t>. sporto, laisvalaikio ir pramogų paslaugas atvirose erdvėse, teikiamas užtikrinant valstybės lygio ekstremaliosios situacijos operacijų vadovo nustatytas asmenų srautų valdymo, saugaus atstumo laikymosi, būtinas visuomenės sveikatos saugos, higienos, asmenų aprūpinimo būtinosiomis asmeninėmis apsaugos priemonėmis sąlygas ir kai:</w:t>
                          </w:r>
                        </w:p>
                        <w:sdt>
                          <w:sdtPr>
                            <w:alias w:val="2.2.6.3.1 pp."/>
                            <w:tag w:val="part_8b415159bcd54da78fdff90155d0e85f"/>
                            <w:lock w:val="sdtLocked"/>
                            <w:richText/>
                          </w:sdtPr>
                          <w:sdtContent>
                            <w:p>
                              <w:pPr>
                                <w:tabs>
                                  <w:tab w:val="left" w:pos="1134"/>
                                </w:tabs>
                                <w:ind w:firstLine="709"/>
                                <w:jc w:val="both"/>
                                <w:rPr>
                                  <w:szCs w:val="24"/>
                                  <w:shd w:val="clear" w:color="auto" w:fill="FFFFFF"/>
                                  <w:lang w:eastAsia="lt-LT"/>
                                </w:rPr>
                              </w:pPr>
                              <w:sdt>
                                <w:sdtPr>
                                  <w:alias w:val="Numeris"/>
                                  <w:tag w:val="nr_8b415159bcd54da78fdff90155d0e85f"/>
                                  <w:lock w:val="sdtLocked"/>
                                  <w:richText/>
                                </w:sdtPr>
                                <w:sdtContent>
                                  <w:r>
                                    <w:rPr>
                                      <w:szCs w:val="24"/>
                                      <w:shd w:val="clear" w:color="auto" w:fill="FFFFFF"/>
                                      <w:lang w:eastAsia="lt-LT"/>
                                    </w:rPr>
                                    <w:t>2.2.6.3.1</w:t>
                                  </w:r>
                                </w:sdtContent>
                              </w:sdt>
                              <w:r>
                                <w:rPr>
                                  <w:szCs w:val="24"/>
                                  <w:shd w:val="clear" w:color="auto" w:fill="FFFFFF"/>
                                  <w:lang w:eastAsia="lt-LT"/>
                                </w:rPr>
                                <w:t>. paslaugos vienu metu teikiamos ne daugiau kaip 10 asmenų, išskyrus dviejų šeimų ir (ar) dviejų namų ūkių narius;</w:t>
                              </w:r>
                            </w:p>
                          </w:sdtContent>
                        </w:sdt>
                        <w:sdt>
                          <w:sdtPr>
                            <w:alias w:val="2.2.6.3.2 pp."/>
                            <w:tag w:val="part_aef74af844f34ca9a34576eb03d74a5d"/>
                            <w:lock w:val="sdtLocked"/>
                            <w:richText/>
                          </w:sdtPr>
                          <w:sdtContent>
                            <w:p>
                              <w:pPr>
                                <w:tabs>
                                  <w:tab w:val="left" w:pos="1134"/>
                                </w:tabs>
                                <w:ind w:firstLine="709"/>
                                <w:jc w:val="both"/>
                              </w:pPr>
                              <w:sdt>
                                <w:sdtPr>
                                  <w:alias w:val="Numeris"/>
                                  <w:tag w:val="nr_aef74af844f34ca9a34576eb03d74a5d"/>
                                  <w:lock w:val="sdtLocked"/>
                                  <w:richText/>
                                </w:sdtPr>
                                <w:sdtContent>
                                  <w:r>
                                    <w:rPr>
                                      <w:szCs w:val="24"/>
                                      <w:shd w:val="clear" w:color="auto" w:fill="FFFFFF"/>
                                      <w:lang w:eastAsia="lt-LT"/>
                                    </w:rPr>
                                    <w:t>2.2.6.3.2</w:t>
                                  </w:r>
                                </w:sdtContent>
                              </w:sdt>
                              <w:r>
                                <w:rPr>
                                  <w:szCs w:val="24"/>
                                  <w:shd w:val="clear" w:color="auto" w:fill="FFFFFF"/>
                                  <w:lang w:eastAsia="lt-LT"/>
                                </w:rPr>
                                <w:t>. paslaugos vienu metu teikiamos ne daugiau kaip 50 asmenų, užtikrinant 50 m</w:t>
                              </w:r>
                              <w:r>
                                <w:rPr>
                                  <w:szCs w:val="24"/>
                                  <w:shd w:val="clear" w:color="auto" w:fill="FFFFFF"/>
                                  <w:vertAlign w:val="superscript"/>
                                  <w:lang w:eastAsia="lt-LT"/>
                                </w:rPr>
                                <w:t>2 </w:t>
                              </w:r>
                              <w:r>
                                <w:rPr>
                                  <w:szCs w:val="24"/>
                                  <w:shd w:val="clear" w:color="auto" w:fill="FFFFFF"/>
                                  <w:lang w:eastAsia="lt-LT"/>
                                </w:rPr>
                                <w:t>plotą vienam asmeniui bei bilietų platinimą elektroniniu būdu ir išankstinę paslaugų gavėjų registraciją;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45510a34111ebb9bbd96a0c51af2c">
                            <w:r w:rsidRPr="00532B9F">
                              <w:rPr>
                                <w:rFonts w:ascii="Times New Roman" w:eastAsia="MS Mincho" w:hAnsi="Times New Roman"/>
                                <w:sz w:val="20"/>
                                <w:i/>
                                <w:iCs/>
                                <w:color w:val="0000FF" w:themeColor="hyperlink"/>
                                <w:u w:val="single"/>
                              </w:rPr>
                              <w:t>255</w:t>
                            </w:r>
                          </w:fldSimple>
                          <w:r>
                            <w:rPr>
                              <w:rFonts w:ascii="Times New Roman" w:eastAsia="MS Mincho" w:hAnsi="Times New Roman"/>
                              <w:sz w:val="20"/>
                              <w:i/>
                              <w:iCs/>
                            </w:rPr>
                            <w:t>,
2021-04-21,
paskelbta TAR 2021-04-22, i. k. 2021-08258            </w:t>
                          </w:r>
                        </w:p>
                        <w:p/>
                      </w:sdtContent>
                    </w:sdt>
                    <w:sdt>
                      <w:sdtPr>
                        <w:alias w:val="2.2.6.4 pp."/>
                        <w:tag w:val="part_90c2a94eb4bb4ebbbaebf490db7940ec"/>
                        <w:lock w:val="sdtLocked"/>
                        <w:richText/>
                      </w:sdtPr>
                      <w:sdtContent>
                        <w:p>
                          <w:pPr>
                            <w:ind w:firstLine="720"/>
                            <w:jc w:val="both"/>
                          </w:pPr>
                          <w:sdt>
                            <w:sdtPr>
                              <w:alias w:val="Numeris"/>
                              <w:tag w:val="nr_90c2a94eb4bb4ebbbaebf490db7940ec"/>
                              <w:lock w:val="sdtLocked"/>
                              <w:richText/>
                            </w:sdtPr>
                            <w:sdtContent>
                              <w:r>
                                <w:rPr>
                                  <w:szCs w:val="24"/>
                                  <w:lang w:eastAsia="lt-LT"/>
                                </w:rPr>
                                <w:t>2.2.6.4</w:t>
                              </w:r>
                            </w:sdtContent>
                          </w:sdt>
                          <w:r>
                            <w:rPr>
                              <w:szCs w:val="24"/>
                              <w:lang w:eastAsia="lt-LT"/>
                            </w:rPr>
                            <w:t>. baseinų ir pirčių paslaugas, teikiamas apgyvendinimo paslaugas teikiančiose įstaigose ne daugiau kaip vienos šeimos ir (ar) vieno namų ūkio nariams,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5 pp."/>
                        <w:tag w:val="part_8526ecf8055a45aa8562b26dd15c41b2"/>
                        <w:lock w:val="sdtLocked"/>
                        <w:richText/>
                      </w:sdtPr>
                      <w:sdtContent>
                        <w:p>
                          <w:pPr>
                            <w:ind w:firstLine="720"/>
                            <w:jc w:val="both"/>
                          </w:pPr>
                          <w:sdt>
                            <w:sdtPr>
                              <w:alias w:val="Numeris"/>
                              <w:tag w:val="nr_8526ecf8055a45aa8562b26dd15c41b2"/>
                              <w:lock w:val="sdtLocked"/>
                              <w:richText/>
                            </w:sdtPr>
                            <w:sdtContent>
                              <w:r>
                                <w:rPr>
                                  <w:szCs w:val="24"/>
                                  <w:lang w:eastAsia="lt-LT"/>
                                </w:rPr>
                                <w:t>2.2.6.5</w:t>
                              </w:r>
                            </w:sdtContent>
                          </w:sdt>
                          <w:r>
                            <w:rPr>
                              <w:szCs w:val="24"/>
                              <w:lang w:eastAsia="lt-LT"/>
                            </w:rPr>
                            <w:t>. baseinų paslaugas, teikiamas vykdant neformalųjį vaikų švietimą šio nutarimo 2.2.9.3 papunktyje nustatytomis sąlygomis, arba teikiamas ugdymo įstaigos vienos klasės mokiniams, ugdomiems kontaktiniu būdu,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6 pp."/>
                        <w:tag w:val="part_bacd5d340efc409eaf92cd79b06520f6"/>
                        <w:lock w:val="sdtLocked"/>
                        <w:richText/>
                      </w:sdtPr>
                      <w:sdtContent>
                        <w:p>
                          <w:pPr>
                            <w:ind w:firstLine="720"/>
                            <w:jc w:val="both"/>
                          </w:pPr>
                          <w:sdt>
                            <w:sdtPr>
                              <w:alias w:val="Numeris"/>
                              <w:tag w:val="nr_bacd5d340efc409eaf92cd79b06520f6"/>
                              <w:lock w:val="sdtLocked"/>
                              <w:richText/>
                            </w:sdtPr>
                            <w:sdtContent>
                              <w:r>
                                <w:rPr>
                                  <w:szCs w:val="24"/>
                                  <w:lang w:eastAsia="lt-LT"/>
                                </w:rPr>
                                <w:t>2.2.6.6</w:t>
                              </w:r>
                            </w:sdtContent>
                          </w:sdt>
                          <w:r>
                            <w:rPr>
                              <w:szCs w:val="24"/>
                              <w:lang w:eastAsia="lt-LT"/>
                            </w:rPr>
                            <w:t>. kino teatrų ir kino klubų paslaugas, teikiamas užtikrinant, kad žiūrovai užima tik sėdimąsias vietas, užpildoma ne daugiau kaip 30 proc. visų sėdimųjų vietų, bet bendras žiūrovų skaičius neviršija 150 asmenų, bilietų platinimą elektroniniu būdu ir (arba) žiūrovų registravimą, vyresniems nei 6 metų žiūrovams dėvint kaukes,</w:t>
                          </w:r>
                          <w:r>
                            <w:rPr>
                              <w:szCs w:val="24"/>
                              <w:shd w:val="clear" w:color="auto" w:fill="FFFFFF"/>
                              <w:lang w:eastAsia="lt-LT"/>
                            </w:rPr>
                            <w:t xml:space="preserve"> </w:t>
                          </w:r>
                          <w:r>
                            <w:rPr>
                              <w:szCs w:val="24"/>
                              <w:lang w:eastAsia="lt-LT"/>
                            </w:rPr>
                            <w:t xml:space="preserve">išskyrus šio nutarimo </w:t>
                            <w:br/>
                            <w:t>2.1.5.2 papunktyje numatytas išimtis, bei užtikrinant kitas valstybės lygio ekstremaliosios situacijos operacijų vadovo nustatytas asmenų srautų valdymo, saugaus atstumo laikymosi, būtinas visuomenės sveikatos saugos, higienos, asmenų aprūpinimo būtinosiomis asmeninėmis apsaugos priemonėmis sąlygas. Prekiauti maistu ir gėrimais bei teikti kitas paslaugas kino teatrų ir kino klubų paslaugų teikimo vietose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7 pp."/>
                        <w:tag w:val="part_facc0c0cead8434db307b99aa61e5c8f"/>
                        <w:lock w:val="sdtLocked"/>
                        <w:richText/>
                      </w:sdtPr>
                      <w:sdtContent>
                        <w:p>
                          <w:pPr>
                            <w:ind w:firstLine="720"/>
                            <w:jc w:val="both"/>
                          </w:pPr>
                          <w:sdt>
                            <w:sdtPr>
                              <w:alias w:val="Numeris"/>
                              <w:tag w:val="nr_facc0c0cead8434db307b99aa61e5c8f"/>
                              <w:lock w:val="sdtLocked"/>
                              <w:richText/>
                            </w:sdtPr>
                            <w:sdtContent>
                              <w:r>
                                <w:rPr>
                                  <w:szCs w:val="24"/>
                                  <w:lang w:eastAsia="lt-LT"/>
                                </w:rPr>
                                <w:t>2.2.6.7</w:t>
                              </w:r>
                            </w:sdtContent>
                          </w:sdt>
                          <w:r>
                            <w:rPr>
                              <w:szCs w:val="24"/>
                              <w:lang w:eastAsia="lt-LT"/>
                            </w:rPr>
                            <w:t>. sporto įrenginių eksploatavimo, sporto klubų, kūno rengybos centrų paslaugas, teikiamas užtikrinant 20 m</w:t>
                          </w:r>
                          <w:r>
                            <w:rPr>
                              <w:szCs w:val="24"/>
                              <w:vertAlign w:val="superscript"/>
                              <w:lang w:eastAsia="lt-LT"/>
                            </w:rPr>
                            <w:t>2</w:t>
                          </w:r>
                          <w:r>
                            <w:rPr>
                              <w:szCs w:val="24"/>
                              <w:lang w:eastAsia="lt-LT"/>
                            </w:rPr>
                            <w:t xml:space="preserve"> paslaugos teikimo plotą vienam asmeniui (įskaitant paslaugų teikėjus) bei kitas valstybės lygio ekstremaliosios situacijos operacijų vadovo nustatytas asmenų srautų valdymo, saugaus atstumo laikymosi, būtinas visuomenės sveikatos saugos, higienos, asmenų aprūpinimo būtinosiomis asmeninėmis apsaugos priemonėmis sąlygas. Grupinės treniruotės gali būti vykdomos dalyvaujant ne daugiau kaip 5 asmenims (neįskaitant paslaugų teikėjų);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8 pp."/>
                        <w:tag w:val="part_fa5c57ab38904c22a831082e61925aa5"/>
                        <w:lock w:val="sdtLocked"/>
                        <w:richText/>
                      </w:sdtPr>
                      <w:sdtContent>
                        <w:p>
                          <w:pPr>
                            <w:ind w:firstLine="720"/>
                            <w:jc w:val="both"/>
                          </w:pPr>
                          <w:sdt>
                            <w:sdtPr>
                              <w:alias w:val="Numeris"/>
                              <w:tag w:val="nr_fa5c57ab38904c22a831082e61925aa5"/>
                              <w:lock w:val="sdtLocked"/>
                              <w:richText/>
                            </w:sdtPr>
                            <w:sdtContent>
                              <w:r>
                                <w:rPr>
                                  <w:szCs w:val="24"/>
                                  <w:lang w:eastAsia="lt-LT"/>
                                </w:rPr>
                                <w:t>2.2.6.8</w:t>
                              </w:r>
                            </w:sdtContent>
                          </w:sdt>
                          <w:r>
                            <w:rPr>
                              <w:szCs w:val="24"/>
                              <w:lang w:eastAsia="lt-LT"/>
                            </w:rPr>
                            <w:t xml:space="preserve">. laisvalaikio paslaugoms teikti skirtų patalpų nuoma, subnuoma ar panauda, skirta asmeninėms šventėms organizuoti, kai dalyvių skaičius neviršija šio nutarimo </w:t>
                            <w:br/>
                            <w:t>2.1.8.2 papunktyje nustatyto asmenų skaičiaus.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sdt>
                      <w:sdtPr>
                        <w:alias w:val="2.2.6-1.3 pp."/>
                        <w:tag w:val="part_a55c21e2666f4594a04c2b4f12a30bff"/>
                        <w:lock w:val="sdtLocked"/>
                        <w:richText/>
                      </w:sdtPr>
                      <w:sdtContent>
                        <w:p>
                          <w:pPr>
                            <w:tabs>
                              <w:tab w:val="left" w:pos="1134"/>
                            </w:tabs>
                            <w:ind w:firstLine="709"/>
                            <w:jc w:val="both"/>
                            <w:rPr>
                              <w:szCs w:val="24"/>
                              <w:lang w:eastAsia="lt-LT"/>
                            </w:rPr>
                          </w:pPr>
                          <w:sdt>
                            <w:sdtPr>
                              <w:alias w:val="Numeris"/>
                              <w:tag w:val="nr_a55c21e2666f4594a04c2b4f12a30bff"/>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.3</w:t>
                              </w:r>
                            </w:sdtContent>
                          </w:sdt>
                          <w:r>
                            <w:rPr>
                              <w:szCs w:val="24"/>
                              <w:shd w:val="clear" w:color="auto" w:fill="FFFFFF"/>
                              <w:lang w:eastAsia="lt-LT"/>
                            </w:rPr>
                            <w:t>. lankomi uždarose erdvėse esantys muziejai, galerijos ir kitos ekspozicinės erdvės, zoologijos ir botanikos sodai, užtikrinant lankytojų srauto ribojimą, – didžiausias vienu metu leidžiamas lankytojų skaičius apskaičiuojamas pagal viešai lankomą plotą, kad vienam lankytojui tektų ne mažiau kaip 20 m</w:t>
                          </w:r>
                          <w:r>
                            <w:rPr>
                              <w:szCs w:val="24"/>
                              <w:shd w:val="clear" w:color="auto" w:fill="FFFFFF"/>
                              <w:vertAlign w:val="superscript"/>
                              <w:lang w:eastAsia="lt-LT"/>
                            </w:rPr>
                            <w:t>2</w:t>
                          </w:r>
                          <w:r>
                            <w:rPr>
                              <w:szCs w:val="24"/>
                              <w:shd w:val="clear" w:color="auto" w:fill="FFFFFF"/>
                              <w:lang w:eastAsia="lt-LT"/>
                            </w:rPr>
                            <w:t> ploto.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sdtContent>
                    </w:sdt>
                    <w:sdt>
                      <w:sdtPr>
                        <w:alias w:val="2.2.6-1.4 pp."/>
                        <w:tag w:val="part_4451ec9abf83478e92456411b1048700"/>
                        <w:lock w:val="sdtLocked"/>
                        <w:richText/>
                      </w:sdtPr>
                      <w:sdtContent>
                        <w:p>
                          <w:pPr>
                            <w:ind w:firstLine="720"/>
                            <w:jc w:val="both"/>
                            <w:rPr>
                              <w:szCs w:val="24"/>
                              <w:lang w:eastAsia="lt-LT"/>
                            </w:rPr>
                          </w:pPr>
                          <w:sdt>
                            <w:sdtPr>
                              <w:alias w:val="Numeris"/>
                              <w:tag w:val="nr_4451ec9abf83478e92456411b1048700"/>
                              <w:lock w:val="sdtLocked"/>
                              <w:richText/>
                            </w:sdtPr>
                            <w:sdtContent>
                              <w:r>
                                <w:rPr>
                                  <w:szCs w:val="24"/>
                                  <w:lang w:eastAsia="lt-LT"/>
                                </w:rPr>
                                <w:t>2.2.6</w:t>
                              </w:r>
                              <w:r>
                                <w:rPr>
                                  <w:szCs w:val="24"/>
                                  <w:vertAlign w:val="superscript"/>
                                  <w:lang w:eastAsia="lt-LT"/>
                                </w:rPr>
                                <w:t>1</w:t>
                              </w:r>
                              <w:r>
                                <w:rPr>
                                  <w:szCs w:val="24"/>
                                  <w:lang w:eastAsia="lt-LT"/>
                                </w:rPr>
                                <w:t>.4</w:t>
                              </w:r>
                            </w:sdtContent>
                          </w:sdt>
                          <w:r>
                            <w:rPr>
                              <w:szCs w:val="24"/>
                              <w:lang w:eastAsia="lt-LT"/>
                            </w:rPr>
                            <w:t>. fiziškai aptarnaujami lankytojai bibliotekų ir valstybės archyvų skaityklose ne didesnėmis nei 2 asmenų grupėmis,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1.5 pp."/>
                        <w:tag w:val="part_fdd28dedd77746a3b54aca85f6632745"/>
                        <w:lock w:val="sdtLocked"/>
                        <w:richText/>
                      </w:sdtPr>
                      <w:sdtContent>
                        <w:p>
                          <w:pPr>
                            <w:ind w:firstLine="720"/>
                            <w:jc w:val="both"/>
                            <w:rPr>
                              <w:szCs w:val="24"/>
                              <w:lang w:eastAsia="lt-LT"/>
                            </w:rPr>
                          </w:pPr>
                          <w:sdt>
                            <w:sdtPr>
                              <w:alias w:val="Numeris"/>
                              <w:tag w:val="nr_fdd28dedd77746a3b54aca85f6632745"/>
                              <w:lock w:val="sdtLocked"/>
                              <w:richText/>
                            </w:sdtPr>
                            <w:sdtContent>
                              <w:r>
                                <w:rPr>
                                  <w:szCs w:val="24"/>
                                  <w:lang w:eastAsia="lt-LT"/>
                                </w:rPr>
                                <w:t>2.2.6</w:t>
                              </w:r>
                              <w:r>
                                <w:rPr>
                                  <w:szCs w:val="24"/>
                                  <w:vertAlign w:val="superscript"/>
                                  <w:lang w:eastAsia="lt-LT"/>
                                </w:rPr>
                                <w:t>1</w:t>
                              </w:r>
                              <w:r>
                                <w:rPr>
                                  <w:szCs w:val="24"/>
                                  <w:lang w:eastAsia="lt-LT"/>
                                </w:rPr>
                                <w:t>.5</w:t>
                              </w:r>
                            </w:sdtContent>
                          </w:sdt>
                          <w:r>
                            <w:rPr>
                              <w:szCs w:val="24"/>
                              <w:lang w:eastAsia="lt-LT"/>
                            </w:rPr>
                            <w:t>. lankomos profesionaliojo scenos meno įstaigų salės, kai žiūrovai profesionaliojo scenos meno kūrinius stebi tik iš sėdimųjų vietų, užpildoma ne daugiau kaip 30 proc. visų sėdimųjų vietų, bet bendras žiūrovų skaičius neviršija 150 asmenų, užtikrinant bilietų platinimą elektroniniu būdu ir (arba) žiūrovų registravimą, vyresni nei 6 metų žiūrovai dėvi kaukes, išskyrus šio nutarimo 2.1.5.2 papunktyje numatytas išimtis. Prekiauti maistu ir gėrimais bei teikti kitas paslaugas profesionaliojo scenos meno įstaigose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1.6 pp."/>
                        <w:tag w:val="part_c67fbb3c73f74f1a828bea5832ad664a"/>
                        <w:lock w:val="sdtLocked"/>
                        <w:richText/>
                      </w:sdtPr>
                      <w:sdtContent>
                        <w:p>
                          <w:pPr>
                            <w:tabs>
                              <w:tab w:val="left" w:pos="1134"/>
                            </w:tabs>
                            <w:ind w:firstLine="720"/>
                            <w:jc w:val="both"/>
                            <w:rPr>
                              <w:szCs w:val="24"/>
                              <w:lang w:eastAsia="lt-LT"/>
                            </w:rPr>
                          </w:pPr>
                          <w:sdt>
                            <w:sdtPr>
                              <w:alias w:val="Numeris"/>
                              <w:tag w:val="nr_c67fbb3c73f74f1a828bea5832ad664a"/>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.6</w:t>
                              </w:r>
                            </w:sdtContent>
                          </w:sdt>
                          <w:r>
                            <w:rPr>
                              <w:szCs w:val="24"/>
                              <w:shd w:val="clear" w:color="auto" w:fill="FFFFFF"/>
                              <w:lang w:eastAsia="lt-LT"/>
                            </w:rPr>
                            <w:t>. vykdomos kultūros centrų mėgėjų meno kolektyvų repeticijos šio nutarimo 2</w:t>
                          </w:r>
                          <w:r>
                            <w:rPr>
                              <w:szCs w:val="24"/>
                              <w:shd w:val="clear" w:color="auto" w:fill="FFFFFF"/>
                              <w:vertAlign w:val="superscript"/>
                              <w:lang w:eastAsia="lt-LT"/>
                            </w:rPr>
                            <w:t>1</w:t>
                          </w:r>
                          <w:r>
                            <w:rPr>
                              <w:szCs w:val="24"/>
                              <w:shd w:val="clear" w:color="auto" w:fill="FFFFFF"/>
                              <w:lang w:eastAsia="lt-LT"/>
                            </w:rPr>
                            <w:t> punkte nurodytose savivaldybėse, kai užtikrinamas 20 m</w:t>
                          </w:r>
                          <w:r>
                            <w:rPr>
                              <w:szCs w:val="24"/>
                              <w:shd w:val="clear" w:color="auto" w:fill="FFFFFF"/>
                              <w:vertAlign w:val="superscript"/>
                              <w:lang w:eastAsia="lt-LT"/>
                            </w:rPr>
                            <w:t>2</w:t>
                          </w:r>
                          <w:r>
                            <w:rPr>
                              <w:szCs w:val="24"/>
                              <w:shd w:val="clear" w:color="auto" w:fill="FFFFFF"/>
                              <w:lang w:eastAsia="lt-LT"/>
                            </w:rPr>
                            <w:t xml:space="preserve"> plotas vienam asmeniui ir uždarose erdvėse dalyvauja ne daugiau kaip 10 asmenų,  o atvirose erdvėse – ne daugiau kaip 20 asmenų.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sdt>
                      <w:sdtPr>
                        <w:alias w:val="2.2.7.4 pp."/>
                        <w:tag w:val="part_c7a94577923e4ad29a3317e5e7e956c1"/>
                        <w:lock w:val="sdtLocked"/>
                        <w:richText/>
                      </w:sdtPr>
                      <w:sdtContent>
                        <w:p>
                          <w:pPr>
                            <w:tabs>
                              <w:tab w:val="left" w:pos="1134"/>
                            </w:tabs>
                            <w:ind w:firstLine="720"/>
                            <w:jc w:val="both"/>
                          </w:pPr>
                          <w:sdt>
                            <w:sdtPr>
                              <w:alias w:val="Numeris"/>
                              <w:tag w:val="nr_c7a94577923e4ad29a3317e5e7e956c1"/>
                              <w:lock w:val="sdtLocked"/>
                              <w:richText/>
                            </w:sdtPr>
                            <w:sdtContent>
                              <w:r>
                                <w:rPr>
                                  <w:szCs w:val="24"/>
                                  <w:lang w:eastAsia="lt-LT"/>
                                </w:rPr>
                                <w:t>2.2.7.4</w:t>
                              </w:r>
                            </w:sdtContent>
                          </w:sdt>
                          <w:r>
                            <w:rPr>
                              <w:szCs w:val="24"/>
                              <w:lang w:eastAsia="lt-LT"/>
                            </w:rPr>
                            <w:t>. viešojo maitinimo įstaigų, restoranų, kavinių ir barų veikla vykdoma</w:t>
                          </w:r>
                          <w:r>
                            <w:rPr>
                              <w:lang w:eastAsia="lt-LT"/>
                            </w:rPr>
                            <w:t xml:space="preserve"> </w:t>
                          </w:r>
                          <w:r>
                            <w:rPr>
                              <w:szCs w:val="24"/>
                              <w:lang w:eastAsia="lt-LT"/>
                            </w:rPr>
                            <w:t>jūrų ir oro uostų keleivių išvykimo terminaluose, kai užsakytas maistas ir gėrimai vartojami prie staliukų, prie vieno staliuko leidžiant sėdėti ne daugiau nei 2 asmenims,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7.5 pp."/>
                        <w:tag w:val="part_fb7b48a7572a448397db7cbc5a140f5d"/>
                        <w:lock w:val="sdtLocked"/>
                        <w:richText/>
                      </w:sdtPr>
                      <w:sdtContent>
                        <w:p>
                          <w:pPr>
                            <w:tabs>
                              <w:tab w:val="left" w:pos="1134"/>
                            </w:tabs>
                            <w:ind w:firstLine="720"/>
                            <w:jc w:val="both"/>
                            <w:rPr>
                              <w:bCs/>
                              <w:szCs w:val="24"/>
                              <w:lang w:eastAsia="lt-LT"/>
                            </w:rPr>
                          </w:pPr>
                          <w:sdt>
                            <w:sdtPr>
                              <w:alias w:val="Numeris"/>
                              <w:tag w:val="nr_fb7b48a7572a448397db7cbc5a140f5d"/>
                              <w:lock w:val="sdtLocked"/>
                              <w:richText/>
                            </w:sdtPr>
                            <w:sdtContent>
                              <w:r>
                                <w:rPr>
                                  <w:szCs w:val="24"/>
                                  <w:lang w:eastAsia="lt-LT"/>
                                </w:rPr>
                                <w:t>2.2.7.5</w:t>
                              </w:r>
                            </w:sdtContent>
                          </w:sdt>
                          <w:r>
                            <w:rPr>
                              <w:szCs w:val="24"/>
                              <w:lang w:eastAsia="lt-LT"/>
                            </w:rPr>
                            <w:t>. viešojo maitinimo įstaigų, restoranų, kavinių ir barų veikla vykdoma nuo 7 iki 21 valandos, kai užsakytas maistas ir gėrimai vartojami prie atvirose erdvėse esančių staliukų, prie vieno staliuko leidžiant sėdėti ne daugiau nei 2 asmenims,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3a42c75252b44ccb9bdafaf8aac78c05"/>
                        <w:lock w:val="sdtLocked"/>
                        <w:richText/>
                      </w:sdtPr>
                      <w:sdtContent>
                        <w:p>
                          <w:pPr>
                            <w:tabs>
                              <w:tab w:val="left" w:pos="1134"/>
                            </w:tabs>
                            <w:ind w:firstLine="720"/>
                            <w:jc w:val="both"/>
                            <w:rPr>
                              <w:bCs/>
                              <w:szCs w:val="24"/>
                              <w:lang w:eastAsia="lt-LT"/>
                            </w:rPr>
                          </w:pPr>
                          <w:sdt>
                            <w:sdtPr>
                              <w:alias w:val="Numeris"/>
                              <w:tag w:val="nr_3a42c75252b44ccb9bdafaf8aac78c05"/>
                              <w:lock w:val="sdtLocked"/>
                              <w:richText/>
                            </w:sdtPr>
                            <w:sdtContent>
                              <w:r>
                                <w:rPr>
                                  <w:szCs w:val="24"/>
                                  <w:shd w:val="clear" w:color="auto" w:fill="FFFFFF"/>
                                  <w:lang w:eastAsia="lt-LT"/>
                                </w:rPr>
                                <w:t>2.2.8.1</w:t>
                              </w:r>
                            </w:sdtContent>
                          </w:sdt>
                          <w:r>
                            <w:rPr>
                              <w:szCs w:val="24"/>
                              <w:shd w:val="clear" w:color="auto" w:fill="FFFFFF"/>
                              <w:lang w:eastAsia="lt-LT"/>
                            </w:rPr>
                            <w:t>. renginius atvirose ir uždarose erdvėse, kai renginyje dalyvauja ne daugiau nei 150 žiūrovų ir (ar) dalyvių (neįskaičiuojant atlikėjų, sportininkų, dalyvaujančių aukšto meistriškumo sporto varžybose, aukšto meistriškumo sporto ir fizinio aktyvumo specialistų, aukšto meistriškumo sporto ir fizinio aktyvumo instruktorių, teisėjų, antidopingo pareigūnų, organizatorių ir aptarnaujančio personalo), kurie organizuojami ir vykdomi renginio organizatoriams užtikrinant bilietų platinimą elektroniniu būdu ir (arba) žiūrovų ir (ar) dalyvių registravimą bei kontroliuojant žiūrovų ir (ar) dalyvių patekimą į renginio vietą, žiūrovams ir (ar) dalyviams renginį stebint tik iš sėdimųjų vietų, vyresniems nei 6 metų žiūrovams ir (ar) dalyviams viso renginio metu dėvint kaukes, išskyrus šio nutarimo 2.1.5.2 papunktyje numatytas išimtis, bei užtikrinant kitas valstybės lygio ekstremaliosios situacijos operacijų vadovo nustatytas asmenų srautų valdymo, saugaus atstumo laikymosi ir kitas būtinas visuomenės sveikatos saugos, higienos, asmenų aprūpinimo būtinosiomis asmeninėmis apsaugos priemonėmis sąlygas. Renginius uždarose erdvėse leidžiama organizuoti, kai užpildoma ne daugiau kaip 30 proc. visų sėdimųjų vietų. Prekiauti maistu ir gėrimais bei teikti kitas paslaugas renginių vietose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8.4 pp."/>
                        <w:tag w:val="part_d82fe3ef500a43b0a54eee7944e5364e"/>
                        <w:lock w:val="sdtLocked"/>
                        <w:richText/>
                      </w:sdtPr>
                      <w:sdtContent>
                        <w:p>
                          <w:pPr>
                            <w:tabs>
                              <w:tab w:val="left" w:pos="1134"/>
                            </w:tabs>
                            <w:ind w:firstLine="720"/>
                            <w:jc w:val="both"/>
                            <w:rPr>
                              <w:bCs/>
                              <w:szCs w:val="24"/>
                              <w:lang w:eastAsia="lt-LT"/>
                            </w:rPr>
                          </w:pPr>
                          <w:sdt>
                            <w:sdtPr>
                              <w:alias w:val="Numeris"/>
                              <w:tag w:val="nr_d82fe3ef500a43b0a54eee7944e5364e"/>
                              <w:lock w:val="sdtLocked"/>
                              <w:richText/>
                            </w:sdtPr>
                            <w:sdtContent>
                              <w:r>
                                <w:rPr>
                                  <w:szCs w:val="24"/>
                                  <w:shd w:val="clear" w:color="auto" w:fill="FFFFFF"/>
                                  <w:lang w:eastAsia="lt-LT"/>
                                </w:rPr>
                                <w:t>2.2.8.4</w:t>
                              </w:r>
                            </w:sdtContent>
                          </w:sdt>
                          <w:r>
                            <w:rPr>
                              <w:szCs w:val="24"/>
                              <w:shd w:val="clear" w:color="auto" w:fill="FFFFFF"/>
                              <w:lang w:eastAsia="lt-LT"/>
                            </w:rPr>
                            <w:t xml:space="preserve">. </w:t>
                          </w:r>
                          <w:r>
                            <w:rPr>
                              <w:szCs w:val="24"/>
                              <w:lang w:eastAsia="lt-LT"/>
                            </w:rPr>
                            <w:t>ekskursijas atvirose erdvėse, kuriose dalyvauja ne daugiau kaip 10 asmenų, užtikrinant kitas valstybės lygio ekstremaliosios situacijos operacijų vadovo nustatytas asmenų srautų valdymo, saugaus atstumo laikymosi ir kitas būtinas visuomenės sveikatos saugos, higienos, asmenų aprūpinimo būtinosiomis asmeninėmis apsaugos priemonėmis sąlygas</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13a3ce3c86414db19235afe2f49b60cc"/>
                        <w:lock w:val="sdtLocked"/>
                        <w:richText/>
                      </w:sdtPr>
                      <w:sdtContent>
                        <w:p>
                          <w:pPr>
                            <w:ind w:firstLine="720"/>
                            <w:jc w:val="both"/>
                          </w:pPr>
                          <w:sdt>
                            <w:sdtPr>
                              <w:alias w:val="Numeris"/>
                              <w:tag w:val="nr_13a3ce3c86414db19235afe2f49b60cc"/>
                              <w:lock w:val="sdtLocked"/>
                              <w:richText/>
                            </w:sdtPr>
                            <w:sdtContent>
                              <w:r>
                                <w:rPr>
                                  <w:color w:val="000000"/>
                                  <w:szCs w:val="24"/>
                                  <w:shd w:val="clear" w:color="auto" w:fill="FFFFFF"/>
                                  <w:lang w:eastAsia="lt-LT"/>
                                </w:rPr>
                                <w:t>2.2.9.2</w:t>
                              </w:r>
                            </w:sdtContent>
                          </w:sdt>
                          <w:r>
                            <w:rPr>
                              <w:color w:val="000000"/>
                              <w:szCs w:val="24"/>
                              <w:shd w:val="clear" w:color="auto" w:fill="FFFFFF"/>
                              <w:lang w:eastAsia="lt-LT"/>
                            </w:rPr>
                            <w:t>. ugdymas mokyklose pagal pagrindinio ugdymo ir vidurinio ugdymo programas (išskyrus šio nutarimo 2.2.9.2</w:t>
                          </w:r>
                          <w:r>
                            <w:rPr>
                              <w:color w:val="000000"/>
                              <w:szCs w:val="24"/>
                              <w:shd w:val="clear" w:color="auto" w:fill="FFFFFF"/>
                              <w:vertAlign w:val="superscript"/>
                              <w:lang w:eastAsia="lt-LT"/>
                            </w:rPr>
                            <w:t>3</w:t>
                          </w:r>
                          <w:r>
                            <w:rPr>
                              <w:color w:val="000000"/>
                              <w:szCs w:val="24"/>
                              <w:shd w:val="clear" w:color="auto" w:fill="FFFFFF"/>
                              <w:lang w:eastAsia="lt-LT"/>
                            </w:rPr>
                            <w:t xml:space="preserve"> papunktyje nurodytą atvejį, specialiosiose mokyklose ir bendrojo ugdymo mokyklų specialiosiose klasėse ugdomus mokinius pagal pradinio ir pagrindinio ugdymo, pradinio ir pagrindinio ugdymo individualizuotą, vidurinio ugdymo, socialinių įgūdžių ugdymo programas) vykdomas nuotoliniu būdu arba švietimo, mokslo ir sporto ministro nustatyta tvarka mišriu būdu periodiškai atliekant pagal pagrindinio ugdymo ir vidurinio ugdymo programą ugdomų mokinių ir įstaigose kontaktiniu būdu dirbančių darbuotojų profilaktinį tyrimą COVID-19 ligai (koronaviruso infekcijai) diagnozuoti arba savikontrolę</w:t>
                          </w:r>
                          <w:r>
                            <w:rPr>
                              <w:color w:val="000000"/>
                              <w:shd w:val="clear" w:color="auto" w:fill="FFFFFF"/>
                              <w:lang w:eastAsia="lt-LT"/>
                            </w:rPr>
                            <w:t xml:space="preserve"> </w:t>
                          </w:r>
                          <w:r>
                            <w:rPr>
                              <w:color w:val="000000"/>
                              <w:szCs w:val="24"/>
                              <w:shd w:val="clear" w:color="auto" w:fill="FFFFFF"/>
                              <w:lang w:eastAsia="lt-LT"/>
                            </w:rPr>
                            <w:t>galimai COVID-19 ligai (koronaviruso infekcijai) nustatyti ir užtikrinant valstybės lygio ekstremaliosios situacijos operacijų vadovo nustatytas asmenų srautų valdymo, saugaus atstumo laikymosi ir kitas būtinas visuomenės sveikatos saugos, higienos, asmenų aprūpinimo būtinosiomis asmeninėmis apsaugos priemonėmis sąlygas. Profilaktinis tyrimas COVID-19 ligai (koronaviruso infekcijai) diagnozuoti gali būti neatliekamas (arba savikontrolė</w:t>
                          </w:r>
                          <w:r>
                            <w:rPr>
                              <w:color w:val="000000"/>
                              <w:shd w:val="clear" w:color="auto" w:fill="FFFFFF"/>
                              <w:lang w:eastAsia="lt-LT"/>
                            </w:rPr>
                            <w:t xml:space="preserve"> </w:t>
                          </w:r>
                          <w:r>
                            <w:rPr>
                              <w:color w:val="000000"/>
                              <w:szCs w:val="24"/>
                              <w:shd w:val="clear" w:color="auto" w:fill="FFFFFF"/>
                              <w:lang w:eastAsia="lt-LT"/>
                            </w:rPr>
                            <w:t>galimai COVID-19 ligai (koronaviruso infekcijai) nustatyti neatliekama) pagal pagrindinio ugdymo ir vidurinio ugdymo programą ugdomiems mokiniams, kuriems ugdymas organizuojamas atvirose erdvėse;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8c7c0a99e11ebbcbbc2971cdac3cb">
                            <w:r w:rsidRPr="00532B9F">
                              <w:rPr>
                                <w:rFonts w:ascii="Times New Roman" w:eastAsia="MS Mincho" w:hAnsi="Times New Roman"/>
                                <w:sz w:val="20"/>
                                <w:i/>
                                <w:iCs/>
                                <w:color w:val="0000FF" w:themeColor="hyperlink"/>
                                <w:u w:val="single"/>
                              </w:rPr>
                              <w:t>300</w:t>
                            </w:r>
                          </w:fldSimple>
                          <w:r>
                            <w:rPr>
                              <w:rFonts w:ascii="Times New Roman" w:eastAsia="MS Mincho" w:hAnsi="Times New Roman"/>
                              <w:sz w:val="20"/>
                              <w:i/>
                              <w:iCs/>
                            </w:rPr>
                            <w:t>,
2021-04-28,
paskelbta TAR 2021-04-30, i. k. 2021-09293            </w:t>
                          </w:r>
                        </w:p>
                        <w:p/>
                      </w:sdtContent>
                    </w:sdt>
                    <w:sdt>
                      <w:sdtPr>
                        <w:alias w:val="2.2.9.2-1 pp."/>
                        <w:tag w:val="part_5cf4edb6eb8b46e3b2e60eddf488cfcf"/>
                        <w:lock w:val="sdtLocked"/>
                        <w:richText/>
                      </w:sdtPr>
                      <w:sdtContent>
                        <w:p>
                          <w:pPr>
                            <w:tabs>
                              <w:tab w:val="left" w:pos="1134"/>
                            </w:tabs>
                            <w:ind w:firstLine="720"/>
                            <w:jc w:val="both"/>
                          </w:pPr>
                          <w:sdt>
                            <w:sdtPr>
                              <w:alias w:val="Numeris"/>
                              <w:tag w:val="nr_5cf4edb6eb8b46e3b2e60eddf488cfcf"/>
                              <w:lock w:val="sdtLocked"/>
                              <w:richText/>
                            </w:sdtPr>
                            <w:sdtContent>
                              <w:r>
                                <w:rPr>
                                  <w:szCs w:val="24"/>
                                  <w:shd w:val="clear" w:color="auto" w:fill="FFFFFF"/>
                                  <w:lang w:eastAsia="lt-LT"/>
                                </w:rPr>
                                <w:t>2.2.9.2</w:t>
                              </w:r>
                              <w:r>
                                <w:rPr>
                                  <w:szCs w:val="24"/>
                                  <w:shd w:val="clear" w:color="auto" w:fill="FFFFFF"/>
                                  <w:vertAlign w:val="superscript"/>
                                  <w:lang w:eastAsia="lt-LT"/>
                                </w:rPr>
                                <w:t>1</w:t>
                              </w:r>
                            </w:sdtContent>
                          </w:sdt>
                          <w:r>
                            <w:rPr>
                              <w:szCs w:val="24"/>
                              <w:shd w:val="clear" w:color="auto" w:fill="FFFFFF"/>
                              <w:lang w:eastAsia="lt-LT"/>
                            </w:rPr>
                            <w:t>. šio nutarimo 2</w:t>
                          </w:r>
                          <w:r>
                            <w:rPr>
                              <w:szCs w:val="24"/>
                              <w:shd w:val="clear" w:color="auto" w:fill="FFFFFF"/>
                              <w:vertAlign w:val="superscript"/>
                              <w:lang w:eastAsia="lt-LT"/>
                            </w:rPr>
                            <w:t>1</w:t>
                          </w:r>
                          <w:r>
                            <w:rPr>
                              <w:szCs w:val="24"/>
                              <w:shd w:val="clear" w:color="auto" w:fill="FFFFFF"/>
                              <w:lang w:eastAsia="lt-LT"/>
                            </w:rPr>
                            <w:t xml:space="preserve"> punkte nenurodytų savivaldybių teritorijose esančiose ugdymo įstaigose ugdymas pagal pradinio ugdymo programą vykdomas nuotoliniu būdu arba šių savivaldybių administracijų pasirinktose ugdymo įstaigose vykdomas mišriu būdu, periodiškai jose atliekant pagal pradinio ugdymo programą ugdomų mokinių ir įstaigose kontaktiniu būdu dirbančių darbuotojų profilaktinį tyrimą COVID-19 ligai (koronaviruso infekcijai) diagnozuoti arba savikontrolę</w:t>
                          </w:r>
                          <w:r>
                            <w:rPr>
                              <w:color w:val="000000"/>
                              <w:shd w:val="clear" w:color="auto" w:fill="FFFFFF"/>
                              <w:lang w:eastAsia="lt-LT"/>
                            </w:rPr>
                            <w:t xml:space="preserve"> </w:t>
                          </w:r>
                          <w:r>
                            <w:rPr>
                              <w:szCs w:val="24"/>
                              <w:shd w:val="clear" w:color="auto" w:fill="FFFFFF"/>
                              <w:lang w:eastAsia="lt-LT"/>
                            </w:rPr>
                            <w:t xml:space="preserve">galimai COVID-19 ligai (koronaviruso infekcijai) nustatyti ir užtikrinant valstybės lygio ekstremaliosios situacijos operacijų vadovo nustatytas asmenų srautų valdymo, saugaus atstumo laikymosi ir kitas būtinas visuomenės sveikatos saugos, higienos, asmenų aprūpinimo būtinosiomis asmeninėmis apsaugos priemonėmis sąlygas. </w:t>
                          </w:r>
                          <w:r>
                            <w:rPr>
                              <w:color w:val="000000"/>
                              <w:szCs w:val="24"/>
                              <w:shd w:val="clear" w:color="auto" w:fill="FFFFFF"/>
                              <w:lang w:eastAsia="lt-LT"/>
                            </w:rPr>
                            <w:t>Profilaktinis tyrimas COVID-19 ligai (koronaviruso infekcijai) diagnozuoti gali būti neatliekamas (arba savikontrolė</w:t>
                          </w:r>
                          <w:r>
                            <w:rPr>
                              <w:color w:val="000000"/>
                              <w:shd w:val="clear" w:color="auto" w:fill="FFFFFF"/>
                              <w:lang w:eastAsia="lt-LT"/>
                            </w:rPr>
                            <w:t xml:space="preserve"> </w:t>
                          </w:r>
                          <w:r>
                            <w:rPr>
                              <w:color w:val="000000"/>
                              <w:szCs w:val="24"/>
                              <w:shd w:val="clear" w:color="auto" w:fill="FFFFFF"/>
                              <w:lang w:eastAsia="lt-LT"/>
                            </w:rPr>
                            <w:t>galimai COVID-19 ligai (koronaviruso infekcijai) nustatyti neatliekama)</w:t>
                          </w:r>
                          <w:r>
                            <w:rPr>
                              <w:szCs w:val="24"/>
                              <w:shd w:val="clear" w:color="auto" w:fill="FFFFFF"/>
                              <w:lang w:eastAsia="lt-LT"/>
                            </w:rPr>
                            <w:t xml:space="preserve"> pagal pradinio ugdymo programą ugdomiems mokiniams, kuriems ugdymas organizuojamas atvirose erdvėse;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8c7c0a99e11ebbcbbc2971cdac3cb">
                            <w:r w:rsidRPr="00532B9F">
                              <w:rPr>
                                <w:rFonts w:ascii="Times New Roman" w:eastAsia="MS Mincho" w:hAnsi="Times New Roman"/>
                                <w:sz w:val="20"/>
                                <w:i/>
                                <w:iCs/>
                                <w:color w:val="0000FF" w:themeColor="hyperlink"/>
                                <w:u w:val="single"/>
                              </w:rPr>
                              <w:t>300</w:t>
                            </w:r>
                          </w:fldSimple>
                          <w:r>
                            <w:rPr>
                              <w:rFonts w:ascii="Times New Roman" w:eastAsia="MS Mincho" w:hAnsi="Times New Roman"/>
                              <w:sz w:val="20"/>
                              <w:i/>
                              <w:iCs/>
                            </w:rPr>
                            <w:t>,
2021-04-28,
paskelbta TAR 2021-04-30, i. k. 2021-09293            </w:t>
                          </w:r>
                        </w:p>
                        <w:p/>
                      </w:sdtContent>
                    </w:sdt>
                    <w:sdt>
                      <w:sdtPr>
                        <w:alias w:val="2.2.9.2-2 pp."/>
                        <w:tag w:val="part_78d906b8f3ba476e89412363b1c8b3c3"/>
                        <w:lock w:val="sdtLocked"/>
                        <w:richText/>
                      </w:sdtPr>
                      <w:sdtContent>
                        <w:p>
                          <w:pPr>
                            <w:tabs>
                              <w:tab w:val="left" w:pos="1134"/>
                            </w:tabs>
                            <w:ind w:firstLine="720"/>
                            <w:jc w:val="both"/>
                            <w:rPr>
                              <w:szCs w:val="24"/>
                              <w:lang w:eastAsia="lt-LT"/>
                            </w:rPr>
                          </w:pPr>
                          <w:sdt>
                            <w:sdtPr>
                              <w:alias w:val="Numeris"/>
                              <w:tag w:val="nr_78d906b8f3ba476e89412363b1c8b3c3"/>
                              <w:lock w:val="sdtLocked"/>
                              <w:richText/>
                            </w:sdtPr>
                            <w:sdtContent>
                              <w:r>
                                <w:rPr>
                                  <w:szCs w:val="24"/>
                                  <w:shd w:val="clear" w:color="auto" w:fill="FFFFFF"/>
                                  <w:lang w:eastAsia="lt-LT"/>
                                </w:rPr>
                                <w:t>2.2.9.2</w:t>
                              </w:r>
                              <w:r>
                                <w:rPr>
                                  <w:szCs w:val="24"/>
                                  <w:shd w:val="clear" w:color="auto" w:fill="FFFFFF"/>
                                  <w:vertAlign w:val="superscript"/>
                                  <w:lang w:eastAsia="lt-LT"/>
                                </w:rPr>
                                <w:t>2</w:t>
                              </w:r>
                            </w:sdtContent>
                          </w:sdt>
                          <w:r>
                            <w:rPr>
                              <w:szCs w:val="24"/>
                              <w:shd w:val="clear" w:color="auto" w:fill="FFFFFF"/>
                              <w:lang w:eastAsia="lt-LT"/>
                            </w:rPr>
                            <w:t xml:space="preserve">. šio nutarimo </w:t>
                          </w:r>
                          <w:r>
                            <w:rPr>
                              <w:szCs w:val="24"/>
                              <w:lang w:eastAsia="lt-LT"/>
                            </w:rPr>
                            <w:t>2</w:t>
                          </w:r>
                          <w:r>
                            <w:rPr>
                              <w:szCs w:val="24"/>
                              <w:vertAlign w:val="superscript"/>
                              <w:lang w:eastAsia="lt-LT"/>
                            </w:rPr>
                            <w:t>1</w:t>
                          </w:r>
                          <w:r>
                            <w:rPr>
                              <w:szCs w:val="24"/>
                              <w:lang w:eastAsia="lt-LT"/>
                            </w:rPr>
                            <w:t xml:space="preserve"> punkte nurodytų savivaldybių</w:t>
                          </w:r>
                          <w:r>
                            <w:rPr>
                              <w:iCs/>
                              <w:szCs w:val="24"/>
                              <w:lang w:eastAsia="lt-LT"/>
                            </w:rPr>
                            <w:t xml:space="preserve"> teritorijose esančiose</w:t>
                          </w:r>
                          <w:r>
                            <w:rPr>
                              <w:szCs w:val="24"/>
                              <w:lang w:eastAsia="lt-LT"/>
                            </w:rPr>
                            <w:t xml:space="preserve"> </w:t>
                          </w:r>
                          <w:r>
                            <w:rPr>
                              <w:iCs/>
                              <w:szCs w:val="24"/>
                              <w:shd w:val="clear" w:color="auto" w:fill="FFFFFF"/>
                              <w:lang w:eastAsia="lt-LT"/>
                            </w:rPr>
                            <w:t>ugdymo įstaigose</w:t>
                          </w:r>
                          <w:r>
                            <w:rPr>
                              <w:szCs w:val="24"/>
                              <w:lang w:eastAsia="lt-LT"/>
                            </w:rPr>
                            <w:t xml:space="preserve"> ugdymas pagal pradinio ugdymo programą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3 pp."/>
                        <w:tag w:val="part_d465d39e96c546509bbd215caf2f761b"/>
                        <w:lock w:val="sdtLocked"/>
                        <w:richText/>
                      </w:sdtPr>
                      <w:sdtContent>
                        <w:p>
                          <w:pPr>
                            <w:ind w:firstLine="720"/>
                            <w:jc w:val="both"/>
                          </w:pPr>
                          <w:sdt>
                            <w:sdtPr>
                              <w:alias w:val="Numeris"/>
                              <w:tag w:val="nr_d465d39e96c546509bbd215caf2f761b"/>
                              <w:lock w:val="sdtLocked"/>
                              <w:richText/>
                            </w:sdtPr>
                            <w:sdtContent>
                              <w:r>
                                <w:rPr>
                                  <w:color w:val="000000"/>
                                  <w:szCs w:val="24"/>
                                  <w:lang w:eastAsia="lt-LT"/>
                                </w:rPr>
                                <w:t>2.2.9.2</w:t>
                              </w:r>
                              <w:r>
                                <w:rPr>
                                  <w:color w:val="000000"/>
                                  <w:szCs w:val="24"/>
                                  <w:vertAlign w:val="superscript"/>
                                  <w:lang w:eastAsia="lt-LT"/>
                                </w:rPr>
                                <w:t>3</w:t>
                              </w:r>
                            </w:sdtContent>
                          </w:sdt>
                          <w:r>
                            <w:rPr>
                              <w:color w:val="000000"/>
                              <w:szCs w:val="24"/>
                              <w:lang w:eastAsia="lt-LT"/>
                            </w:rPr>
                            <w:t xml:space="preserve">. ugdymas vidurinio ugdymo programos baigiamosios klasės mokiniams vykdomas mišriu būdu </w:t>
                          </w:r>
                          <w:r>
                            <w:rPr>
                              <w:szCs w:val="24"/>
                              <w:lang w:eastAsia="lt-LT"/>
                            </w:rPr>
                            <w:t>švietimo, mokslo ir sporto ministro nustatyta tvarka bei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4 pp."/>
                        <w:tag w:val="part_04875454e5814fa9ab9ef55f55c50a3d"/>
                        <w:lock w:val="sdtLocked"/>
                        <w:richText/>
                      </w:sdtPr>
                      <w:sdtContent>
                        <w:p>
                          <w:pPr>
                            <w:ind w:firstLine="720"/>
                            <w:jc w:val="both"/>
                          </w:pPr>
                          <w:sdt>
                            <w:sdtPr>
                              <w:alias w:val="Numeris"/>
                              <w:tag w:val="nr_04875454e5814fa9ab9ef55f55c50a3d"/>
                              <w:lock w:val="sdtLocked"/>
                              <w:richText/>
                            </w:sdtPr>
                            <w:sdtContent>
                              <w:r>
                                <w:rPr>
                                  <w:color w:val="000000"/>
                                  <w:szCs w:val="24"/>
                                  <w:lang w:eastAsia="lt-LT"/>
                                </w:rPr>
                                <w:t>2.2.9.2</w:t>
                              </w:r>
                              <w:r>
                                <w:rPr>
                                  <w:color w:val="000000"/>
                                  <w:szCs w:val="24"/>
                                  <w:vertAlign w:val="superscript"/>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mokiniams, turintiems specialiųjų ugdymosi poreikių dėl kurtumo, vidutinio, žymaus, labai žymaus klausos sutrikimo ar kochlearinio implanto, visiško aklumo, aklumo su regėjimo likučiu, silpnaregystės, laisvės atėmimo vietose veikiančių mokyklų (skyrių) mokiniams pagrindinio ugdymo pasiekimų patikrinimas ar jo dalis vykdoma, kai patalpose yra ne daugiau kaip 10 mokinių, išlaikant tarp visų patalpoje esančių asmenų ne mažesnį kaip 2 metrų atstumą, arba 11</w:t>
                          </w:r>
                          <w:r>
                            <w:rPr>
                              <w:szCs w:val="24"/>
                              <w:lang w:eastAsia="lt-LT"/>
                            </w:rPr>
                            <w:t>–</w:t>
                          </w:r>
                          <w:r>
                            <w:rPr>
                              <w:color w:val="000000"/>
                              <w:szCs w:val="24"/>
                              <w:lang w:eastAsia="lt-LT"/>
                            </w:rPr>
                            <w:t>50 mokinių,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asmeniui;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5 pp."/>
                        <w:tag w:val="part_3f87f74a67484c639c3f178b5ca7b176"/>
                        <w:lock w:val="sdtLocked"/>
                        <w:richText/>
                      </w:sdtPr>
                      <w:sdtContent>
                        <w:p>
                          <w:pPr>
                            <w:ind w:firstLine="720"/>
                            <w:jc w:val="both"/>
                            <w:rPr>
                              <w:szCs w:val="24"/>
                              <w:lang w:eastAsia="lt-LT"/>
                            </w:rPr>
                          </w:pPr>
                          <w:sdt>
                            <w:sdtPr>
                              <w:alias w:val="Numeris"/>
                              <w:tag w:val="nr_3f87f74a67484c639c3f178b5ca7b176"/>
                              <w:lock w:val="sdtLocked"/>
                              <w:richText/>
                            </w:sdtPr>
                            <w:sdtContent>
                              <w:r>
                                <w:rPr>
                                  <w:color w:val="000000"/>
                                  <w:szCs w:val="24"/>
                                  <w:lang w:eastAsia="lt-LT"/>
                                </w:rPr>
                                <w:t>2.2.9.2</w:t>
                              </w:r>
                              <w:r>
                                <w:rPr>
                                  <w:color w:val="000000"/>
                                  <w:szCs w:val="24"/>
                                  <w:vertAlign w:val="superscript"/>
                                  <w:lang w:eastAsia="lt-LT"/>
                                </w:rPr>
                                <w:t>5</w:t>
                              </w:r>
                            </w:sdtContent>
                          </w:sdt>
                          <w:r>
                            <w:rPr>
                              <w:color w:val="000000"/>
                              <w:szCs w:val="24"/>
                              <w:lang w:eastAsia="lt-LT"/>
                            </w:rPr>
                            <w:t>.</w:t>
                          </w:r>
                          <w:r>
                            <w:rPr>
                              <w:color w:val="000000"/>
                              <w:szCs w:val="24"/>
                              <w:vertAlign w:val="superscript"/>
                              <w:lang w:eastAsia="lt-LT"/>
                            </w:rPr>
                            <w:t xml:space="preserve"> </w:t>
                          </w:r>
                          <w:r>
                            <w:rPr>
                              <w:color w:val="000000"/>
                              <w:szCs w:val="24"/>
                              <w:lang w:eastAsia="lt-LT"/>
                            </w:rPr>
                            <w:t xml:space="preserve">brandos egzaminai ar jų dalys vykdomi patalpose ne daugiau kaip </w:t>
                            <w:br/>
                            <w:t>10 kandidatų, išlaikant tarp visų patalpoje esančių asmenų ne mažesnį kaip 2 metrų atstumą, arba 11</w:t>
                          </w:r>
                          <w:r>
                            <w:rPr>
                              <w:szCs w:val="24"/>
                              <w:lang w:eastAsia="lt-LT"/>
                            </w:rPr>
                            <w:t>–</w:t>
                          </w:r>
                          <w:r>
                            <w:rPr>
                              <w:color w:val="000000"/>
                              <w:szCs w:val="24"/>
                              <w:lang w:eastAsia="lt-LT"/>
                            </w:rPr>
                            <w:t>50 kandidatų,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asmeniui;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6 pp."/>
                        <w:tag w:val="part_feb6368cdd0647e9afc752a0b92ca655"/>
                        <w:lock w:val="sdtLocked"/>
                        <w:richText/>
                      </w:sdtPr>
                      <w:sdtContent>
                        <w:p>
                          <w:pPr>
                            <w:tabs>
                              <w:tab w:val="left" w:pos="1134"/>
                            </w:tabs>
                            <w:ind w:firstLine="720"/>
                            <w:jc w:val="both"/>
                            <w:rPr>
                              <w:szCs w:val="24"/>
                              <w:lang w:eastAsia="lt-LT"/>
                            </w:rPr>
                          </w:pPr>
                          <w:sdt>
                            <w:sdtPr>
                              <w:alias w:val="Numeris"/>
                              <w:tag w:val="nr_feb6368cdd0647e9afc752a0b92ca655"/>
                              <w:lock w:val="sdtLocked"/>
                              <w:richText/>
                            </w:sdtPr>
                            <w:sdtContent>
                              <w:r>
                                <w:rPr>
                                  <w:szCs w:val="24"/>
                                  <w:shd w:val="clear" w:color="auto" w:fill="FFFFFF"/>
                                  <w:lang w:eastAsia="lt-LT"/>
                                </w:rPr>
                                <w:t>2.2.9.2</w:t>
                              </w:r>
                              <w:r>
                                <w:rPr>
                                  <w:szCs w:val="24"/>
                                  <w:shd w:val="clear" w:color="auto" w:fill="FFFFFF"/>
                                  <w:vertAlign w:val="superscript"/>
                                  <w:lang w:eastAsia="lt-LT"/>
                                </w:rPr>
                                <w:t>6</w:t>
                              </w:r>
                            </w:sdtContent>
                          </w:sdt>
                          <w:r>
                            <w:rPr>
                              <w:szCs w:val="24"/>
                              <w:shd w:val="clear" w:color="auto" w:fill="FFFFFF"/>
                              <w:lang w:eastAsia="lt-LT"/>
                            </w:rPr>
                            <w:t>. egzaminai mokiniams, kurie baigia ugdymo programą pagal užsienio valstybių ir tarptautinių organizacijų švietimo programas, ir stojamieji egzaminai (ar kiti atrankos būdai) į bendrojo ugdymo programas vykdančias mokyklas vykdomi patalpose ne daugiau kaip 10 mokinių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8c7c0a99e11ebbcbbc2971cdac3cb">
                            <w:r w:rsidRPr="00532B9F">
                              <w:rPr>
                                <w:rFonts w:ascii="Times New Roman" w:eastAsia="MS Mincho" w:hAnsi="Times New Roman"/>
                                <w:sz w:val="20"/>
                                <w:i/>
                                <w:iCs/>
                                <w:color w:val="0000FF" w:themeColor="hyperlink"/>
                                <w:u w:val="single"/>
                              </w:rPr>
                              <w:t>300</w:t>
                            </w:r>
                          </w:fldSimple>
                          <w:r>
                            <w:rPr>
                              <w:rFonts w:ascii="Times New Roman" w:eastAsia="MS Mincho" w:hAnsi="Times New Roman"/>
                              <w:sz w:val="20"/>
                              <w:i/>
                              <w:iCs/>
                            </w:rPr>
                            <w:t>,
2021-04-28,
paskelbta TAR 2021-04-30, i. k. 2021-09293        </w:t>
                          </w:r>
                        </w:p>
                        <w:p/>
                      </w:sdtContent>
                    </w:sdt>
                    <w:sdt>
                      <w:sdtPr>
                        <w:alias w:val="2.2.9.3 pp."/>
                        <w:tag w:val="part_a9871b11b7e84093b082e05505e63c0c"/>
                        <w:lock w:val="sdtLocked"/>
                        <w:richText/>
                      </w:sdtPr>
                      <w:sdtContent>
                        <w:p>
                          <w:pPr>
                            <w:ind w:firstLine="720"/>
                            <w:jc w:val="both"/>
                            <w:rPr>
                              <w:szCs w:val="24"/>
                              <w:lang w:eastAsia="lt-LT"/>
                            </w:rPr>
                          </w:pPr>
                          <w:sdt>
                            <w:sdtPr>
                              <w:alias w:val="Numeris"/>
                              <w:tag w:val="nr_a9871b11b7e84093b082e05505e63c0c"/>
                              <w:lock w:val="sdtLocked"/>
                              <w:richText/>
                            </w:sdt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neformaliojo vaikų švietimo užsiėmimus atvirose erdvėse, kai dalyvauja ne daugiau kaip 10 vaikų, bei neformaliojo vaikų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vaikai ir užtikrinamas 20 m</w:t>
                          </w:r>
                          <w:r>
                            <w:rPr>
                              <w:color w:val="000000"/>
                              <w:szCs w:val="24"/>
                              <w:vertAlign w:val="superscript"/>
                              <w:lang w:eastAsia="lt-LT"/>
                            </w:rPr>
                            <w:t>2</w:t>
                          </w:r>
                          <w:r>
                            <w:rPr>
                              <w:color w:val="000000"/>
                              <w:szCs w:val="24"/>
                              <w:lang w:eastAsia="lt-LT"/>
                            </w:rPr>
                            <w:t> paslaugos teikimo plotas vienam vaikui</w:t>
                          </w:r>
                          <w:r>
                            <w:rPr>
                              <w:szCs w:val="24"/>
                              <w:lang w:eastAsia="lt-LT"/>
                            </w:rPr>
                            <w:t xml:space="preserve"> arba dalyvauja ne daugiau kaip vienas vaikas</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4 pp."/>
                        <w:tag w:val="part_49ed5e5100fa4a208285a0ac64aa627f"/>
                        <w:lock w:val="sdtLocked"/>
                        <w:richText/>
                      </w:sdtPr>
                      <w:sdtContent>
                        <w:p>
                          <w:pPr>
                            <w:ind w:firstLine="720"/>
                            <w:jc w:val="both"/>
                            <w:rPr>
                              <w:szCs w:val="24"/>
                              <w:lang w:eastAsia="lt-LT"/>
                            </w:rPr>
                          </w:pPr>
                          <w:sdt>
                            <w:sdtPr>
                              <w:alias w:val="Numeris"/>
                              <w:tag w:val="nr_49ed5e5100fa4a208285a0ac64aa627f"/>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jūrininkų bei statutinių profesinio mokymo įstaigų įvadinio mokymo kursų praktinius mokymus, transporto priemonių vairavimo praktinius mokymus, sveikatos priežiūros įstaigų darbuotojų praktinius mokymus, užsienio kalbos mokėjimo lygio vertinimo egzaminus (įskaitas) asmenims, stojantiems į užsienio aukštąsias mokyklas, ir valstybinės kalbos ir Lietuvos Respublikos Konstitucijos pagrindų egzaminus, kai dalyvauja ne daugiau kaip 5  asmenys, bei neformaliojo suaugusiųjų švietimo užsiėmimus atvirose erdvėse, kai dalyvauja ne daugiau kaip 10 asmenų, bei neformaliojo suaugusiųjų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asmenys ir užtikrinamas 20 m</w:t>
                          </w:r>
                          <w:r>
                            <w:rPr>
                              <w:color w:val="000000"/>
                              <w:szCs w:val="24"/>
                              <w:vertAlign w:val="superscript"/>
                              <w:lang w:eastAsia="lt-LT"/>
                            </w:rPr>
                            <w:t>2</w:t>
                          </w:r>
                          <w:r>
                            <w:rPr>
                              <w:color w:val="000000"/>
                              <w:szCs w:val="24"/>
                              <w:lang w:eastAsia="lt-LT"/>
                            </w:rPr>
                            <w:t xml:space="preserve"> paslaugos teikimo plotas vienam asmeniui </w:t>
                          </w:r>
                          <w:r>
                            <w:rPr>
                              <w:szCs w:val="24"/>
                              <w:lang w:eastAsia="lt-LT"/>
                            </w:rPr>
                            <w:t>arba dalyvauja ne daugiau kaip vienas asmuo</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a2e8f270d4645de82336c31033e2f1d"/>
                        <w:lock w:val="sdtLocked"/>
                        <w:richText/>
                      </w:sdtPr>
                      <w:sdtContent>
                        <w:p>
                          <w:pPr>
                            <w:pStyle w:val="PlainText"/>
                            <w:ind w:firstLine="567"/>
                            <w:jc w:val="both"/>
                            <w:rPr>
                              <w:rFonts w:ascii="Times New Roman" w:hAnsi="Times New Roman"/>
                              <w:b/>
                              <w:bCs/>
                              <w:sz w:val="22"/>
                            </w:rPr>
                          </w:pPr>
                          <w:r>
                            <w:rPr>
                              <w:rFonts w:ascii="Times New Roman" w:hAnsi="Times New Roman"/>
                              <w:sz w:val="22"/>
                            </w:rPr>
                            <w:t>2.2.9.7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320046081b304fecbc3228d955ce2b93"/>
                        <w:lock w:val="sdtLocked"/>
                        <w:richText/>
                      </w:sdtPr>
                      <w:sdtContent>
                        <w:p>
                          <w:pPr>
                            <w:tabs>
                              <w:tab w:val="left" w:pos="1134"/>
                            </w:tabs>
                            <w:ind w:firstLine="720"/>
                            <w:jc w:val="both"/>
                            <w:rPr>
                              <w:szCs w:val="24"/>
                              <w:lang w:eastAsia="lt-LT"/>
                            </w:rPr>
                          </w:pPr>
                          <w:sdt>
                            <w:sdtPr>
                              <w:alias w:val="Numeris"/>
                              <w:tag w:val="nr_320046081b304fecbc3228d955ce2b93"/>
                              <w:lock w:val="sdtLocked"/>
                              <w:richText/>
                            </w:sdtPr>
                            <w:sdtContent>
                              <w:r>
                                <w:rPr>
                                  <w:szCs w:val="24"/>
                                  <w:shd w:val="clear" w:color="auto" w:fill="FFFFFF"/>
                                  <w:lang w:eastAsia="lt-LT"/>
                                </w:rPr>
                                <w:t>2.2.10.1</w:t>
                              </w:r>
                            </w:sdtContent>
                          </w:sdt>
                          <w:r>
                            <w:rPr>
                              <w:szCs w:val="24"/>
                              <w:shd w:val="clear" w:color="auto" w:fill="FFFFFF"/>
                              <w:lang w:eastAsia="lt-LT"/>
                            </w:rPr>
                            <w:t>. draudžiamas gyventojų lankymas visose stacionariose socialinių paslaugų įstaigose, šeimynose, grupinio ir bendruomeninio gyvenimo namuose, išskyrus terminalinės būklės gyventojų lankymą ir (ar) asmenis, kurių lankymasis įstaigoje susijęs su pareigų atlikimu, ir kai gyventojus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d4a832532bd54413a3d4c1cc55f149be"/>
                        <w:lock w:val="sdtLocked"/>
                        <w:richText/>
                      </w:sdtPr>
                      <w:sdtContent>
                        <w:p>
                          <w:pPr>
                            <w:ind w:firstLine="720"/>
                            <w:jc w:val="both"/>
                            <w:rPr>
                              <w:szCs w:val="24"/>
                              <w:lang w:val="en-US" w:eastAsia="lt-LT"/>
                            </w:rPr>
                          </w:pPr>
                          <w:sdt>
                            <w:sdtPr>
                              <w:alias w:val="Numeris"/>
                              <w:tag w:val="nr_d4a832532bd54413a3d4c1cc55f149be"/>
                              <w:lock w:val="sdtLocked"/>
                              <w:richText/>
                            </w:sdtPr>
                            <w:sdtContent>
                              <w:r>
                                <w:rPr>
                                  <w:color w:val="000000"/>
                                  <w:szCs w:val="24"/>
                                  <w:lang w:eastAsia="lt-LT"/>
                                </w:rPr>
                                <w:t>2.2.11.4</w:t>
                              </w:r>
                            </w:sdtContent>
                          </w:sdt>
                          <w:r>
                            <w:rPr>
                              <w:color w:val="000000"/>
                              <w:szCs w:val="24"/>
                              <w:lang w:eastAsia="lt-LT"/>
                            </w:rPr>
                            <w:t>. draudžiamas asmens sveikatos priežiūros įstaigų pacientų lankymas, išskyrus įstaigos vadovo ar kito jo įgalioto asmens leidimu terminalinės būklės pacientų, pacientų iki 14 metų ir gimdyvių lankymą</w:t>
                          </w:r>
                          <w:r>
                            <w:rPr>
                              <w:szCs w:val="24"/>
                              <w:shd w:val="clear" w:color="auto" w:fill="FFFFFF"/>
                              <w:lang w:eastAsia="lt-LT"/>
                            </w:rPr>
                            <w:t xml:space="preserve"> ir kai pacientus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fe3e7db348c4aa78f4c8fc74240ed49"/>
                            <w:lock w:val="sdtLocked"/>
                            <w:richText/>
                          </w:sdtPr>
                          <w:sdtContent>
                            <w:p>
                              <w:pPr>
                                <w:tabs>
                                  <w:tab w:val="left" w:pos="1134"/>
                                </w:tabs>
                                <w:ind w:firstLine="720"/>
                                <w:jc w:val="both"/>
                                <w:rPr>
                                  <w:szCs w:val="24"/>
                                  <w:lang w:eastAsia="lt-LT"/>
                                </w:rPr>
                              </w:pPr>
                              <w:sdt>
                                <w:sdtPr>
                                  <w:alias w:val="Numeris"/>
                                  <w:tag w:val="nr_7fe3e7db348c4aa78f4c8fc74240ed49"/>
                                  <w:lock w:val="sdtLocked"/>
                                  <w:richText/>
                                </w:sdtPr>
                                <w:sdtContent>
                                  <w:r>
                                    <w:rPr>
                                      <w:color w:val="000000"/>
                                      <w:szCs w:val="24"/>
                                      <w:lang w:eastAsia="lt-LT"/>
                                    </w:rPr>
                                    <w:t>2.2.11.8.3</w:t>
                                  </w:r>
                                </w:sdtContent>
                              </w:sdt>
                              <w:r>
                                <w:rPr>
                                  <w:color w:val="000000"/>
                                  <w:szCs w:val="24"/>
                                  <w:lang w:eastAsia="lt-LT"/>
                                </w:rPr>
                                <w:t>. draudžiamas pacientų lankymas, išskyrus gydančio gydytojo leidimu terminalinės būklės pacientų ir pacientų iki 14 metų lankymą</w:t>
                              </w:r>
                              <w:r>
                                <w:rPr>
                                  <w:szCs w:val="24"/>
                                  <w:shd w:val="clear" w:color="auto" w:fill="FFFFFF"/>
                                  <w:lang w:eastAsia="lt-LT"/>
                                </w:rPr>
                                <w:t xml:space="preserve"> ir kai pacientus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b130a3dbc91428c857e68a1871ea2bb"/>
                    <w:lock w:val="sdtLocked"/>
                    <w:richText/>
                  </w:sdtPr>
                  <w:sdtContent>
                    <w:p>
                      <w:pPr>
                        <w:tabs>
                          <w:tab w:val="left" w:pos="1134"/>
                        </w:tabs>
                        <w:ind w:firstLine="709"/>
                        <w:jc w:val="both"/>
                        <w:rPr>
                          <w:bCs/>
                          <w:szCs w:val="24"/>
                          <w:lang w:eastAsia="lt-LT"/>
                        </w:rPr>
                      </w:pPr>
                      <w:sdt>
                        <w:sdtPr>
                          <w:alias w:val="Numeris"/>
                          <w:tag w:val="nr_0b130a3dbc91428c857e68a1871ea2bb"/>
                          <w:lock w:val="sdtLocked"/>
                          <w:richText/>
                        </w:sdtPr>
                        <w:sdtContent>
                          <w:r>
                            <w:rPr>
                              <w:color w:val="000000"/>
                              <w:szCs w:val="24"/>
                              <w:shd w:val="clear" w:color="auto" w:fill="FFFFFF"/>
                              <w:lang w:eastAsia="lt-LT"/>
                            </w:rPr>
                            <w:t>2.2.12</w:t>
                          </w:r>
                        </w:sdtContent>
                      </w:sdt>
                      <w:r>
                        <w:rPr>
                          <w:color w:val="000000"/>
                          <w:szCs w:val="24"/>
                          <w:shd w:val="clear" w:color="auto" w:fill="FFFFFF"/>
                          <w:lang w:eastAsia="lt-LT"/>
                        </w:rPr>
                        <w:t>. Draudžiamas ilgalaikių pasimatymų ir trumpalaikių kontaktinių pasimatymų pataisos įstaigose ir tardymo izoliatoriuose organizavimas ir vykdymas, išskyrus atvejus, kai į pasimatymą atvyksta šio nutarimo 2</w:t>
                      </w:r>
                      <w:r>
                        <w:rPr>
                          <w:color w:val="000000"/>
                          <w:szCs w:val="24"/>
                          <w:shd w:val="clear" w:color="auto" w:fill="FFFFFF"/>
                          <w:vertAlign w:val="superscript"/>
                          <w:lang w:eastAsia="lt-LT"/>
                        </w:rPr>
                        <w:t>2</w:t>
                      </w:r>
                      <w:r>
                        <w:rPr>
                          <w:color w:val="000000"/>
                          <w:szCs w:val="24"/>
                          <w:shd w:val="clear" w:color="auto" w:fill="FFFFFF"/>
                          <w:lang w:eastAsia="lt-LT"/>
                        </w:rPr>
                        <w:t xml:space="preserve"> punkte nurodyti asmenys. Pasimatymai pataisos įstaigose ir tardymo izoliatoriuose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45510a34111ebb9bbd96a0c51af2c">
                        <w:r w:rsidRPr="00532B9F">
                          <w:rPr>
                            <w:rFonts w:ascii="Times New Roman" w:eastAsia="MS Mincho" w:hAnsi="Times New Roman"/>
                            <w:sz w:val="20"/>
                            <w:i/>
                            <w:iCs/>
                            <w:color w:val="0000FF" w:themeColor="hyperlink"/>
                            <w:u w:val="single"/>
                          </w:rPr>
                          <w:t>255</w:t>
                        </w:r>
                      </w:fldSimple>
                      <w:r>
                        <w:rPr>
                          <w:rFonts w:ascii="Times New Roman" w:eastAsia="MS Mincho" w:hAnsi="Times New Roman"/>
                          <w:sz w:val="20"/>
                          <w:i/>
                          <w:iCs/>
                        </w:rPr>
                        <w:t>,
2021-04-21,
paskelbta TAR 2021-04-22, i. k. 2021-08258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2-1 p."/>
            <w:tag w:val="part_ce060273dd6b4b3bb79cf9f0ac8531bc"/>
            <w:lock w:val="sdtLocked"/>
            <w:richText/>
          </w:sdtPr>
          <w:sdtContent>
            <w:p>
              <w:pPr>
                <w:ind w:firstLine="720"/>
                <w:jc w:val="both"/>
              </w:pPr>
              <w:sdt>
                <w:sdtPr>
                  <w:alias w:val="Numeris"/>
                  <w:tag w:val="nr_ce060273dd6b4b3bb79cf9f0ac8531bc"/>
                  <w:lock w:val="sdtLocked"/>
                  <w:richText/>
                </w:sdtPr>
                <w:sdtContent>
                  <w:r>
                    <w:rPr>
                      <w:color w:val="000000"/>
                      <w:szCs w:val="24"/>
                      <w:lang w:eastAsia="lt-LT"/>
                    </w:rPr>
                    <w:t>2</w:t>
                  </w:r>
                  <w:r>
                    <w:rPr>
                      <w:color w:val="000000"/>
                      <w:szCs w:val="24"/>
                      <w:vertAlign w:val="superscript"/>
                      <w:lang w:eastAsia="lt-LT"/>
                    </w:rPr>
                    <w:t>1</w:t>
                  </w:r>
                </w:sdtContent>
              </w:sdt>
              <w:r>
                <w:rPr>
                  <w:color w:val="000000"/>
                  <w:szCs w:val="24"/>
                  <w:lang w:eastAsia="lt-LT"/>
                </w:rPr>
                <w:t>. Birštono, Biržų rajono, Joniškio rajono, Jurbarko rajono, Klaipėdos rajono, Neringos, Pagėgių, Pakruojo rajono, Pasvalio rajono, Rietavo, Rokiškio rajono, Šakių rajono, Šilalės rajono, Šilutės rajono, Tauragės rajono, Telšių rajono savivaldybėse šiuo nutarimu gali būti nustatomos švelnesnės karantino režimo priemonės negu visoje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45510a34111ebb9bbd96a0c51af2c">
                <w:r w:rsidRPr="00532B9F">
                  <w:rPr>
                    <w:rFonts w:ascii="Times New Roman" w:eastAsia="MS Mincho" w:hAnsi="Times New Roman"/>
                    <w:sz w:val="20"/>
                    <w:i/>
                    <w:iCs/>
                    <w:color w:val="0000FF" w:themeColor="hyperlink"/>
                    <w:u w:val="single"/>
                  </w:rPr>
                  <w:t>255</w:t>
                </w:r>
              </w:fldSimple>
              <w:r>
                <w:rPr>
                  <w:rFonts w:ascii="Times New Roman" w:eastAsia="MS Mincho" w:hAnsi="Times New Roman"/>
                  <w:sz w:val="20"/>
                  <w:i/>
                  <w:iCs/>
                </w:rPr>
                <w:t>,
2021-04-21,
paskelbta TAR 2021-04-22, i. k. 2021-08258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8c7c0a99e11ebbcbbc2971cdac3cb">
                <w:r w:rsidRPr="00532B9F">
                  <w:rPr>
                    <w:rFonts w:ascii="Times New Roman" w:eastAsia="MS Mincho" w:hAnsi="Times New Roman"/>
                    <w:sz w:val="20"/>
                    <w:i/>
                    <w:iCs/>
                    <w:color w:val="0000FF" w:themeColor="hyperlink"/>
                    <w:u w:val="single"/>
                  </w:rPr>
                  <w:t>300</w:t>
                </w:r>
              </w:fldSimple>
              <w:r>
                <w:rPr>
                  <w:rFonts w:ascii="Times New Roman" w:eastAsia="MS Mincho" w:hAnsi="Times New Roman"/>
                  <w:sz w:val="20"/>
                  <w:i/>
                  <w:iCs/>
                </w:rPr>
                <w:t>,
2021-04-28,
paskelbta TAR 2021-04-30, i. k. 2021-09293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36ecb0ae8d11eba871a26c1fc3fbc1">
                <w:r w:rsidRPr="00532B9F">
                  <w:rPr>
                    <w:rFonts w:ascii="Times New Roman" w:eastAsia="MS Mincho" w:hAnsi="Times New Roman"/>
                    <w:sz w:val="20"/>
                    <w:i/>
                    <w:iCs/>
                    <w:color w:val="0000FF" w:themeColor="hyperlink"/>
                    <w:u w:val="single"/>
                  </w:rPr>
                  <w:t>306</w:t>
                </w:r>
              </w:fldSimple>
              <w:r>
                <w:rPr>
                  <w:rFonts w:ascii="Times New Roman" w:eastAsia="MS Mincho" w:hAnsi="Times New Roman"/>
                  <w:sz w:val="20"/>
                  <w:i/>
                  <w:iCs/>
                </w:rPr>
                <w:t>,
2021-05-05,
paskelbta TAR 2021-05-06, i. k. 2021-10090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a454d0b14e11eba871a26c1fc3fbc1">
                <w:r w:rsidRPr="00532B9F">
                  <w:rPr>
                    <w:rFonts w:ascii="Times New Roman" w:eastAsia="MS Mincho" w:hAnsi="Times New Roman"/>
                    <w:sz w:val="20"/>
                    <w:i/>
                    <w:iCs/>
                    <w:color w:val="0000FF" w:themeColor="hyperlink"/>
                    <w:u w:val="single"/>
                  </w:rPr>
                  <w:t>307</w:t>
                </w:r>
              </w:fldSimple>
              <w:r>
                <w:rPr>
                  <w:rFonts w:ascii="Times New Roman" w:eastAsia="MS Mincho" w:hAnsi="Times New Roman"/>
                  <w:sz w:val="20"/>
                  <w:i/>
                  <w:iCs/>
                </w:rPr>
                <w:t>,
2021-05-05,
paskelbta TAR 2021-05-10, i. k. 2021-10233            </w:t>
              </w:r>
            </w:p>
            <w:p/>
          </w:sdtContent>
        </w:sdt>
        <w:sdt>
          <w:sdtPr>
            <w:alias w:val="2-2 p."/>
            <w:tag w:val="part_6a2e44663c5346abb797c640f2bbf3ec"/>
            <w:lock w:val="sdtLocked"/>
            <w:richText/>
          </w:sdtPr>
          <w:sdtContent>
            <w:p>
              <w:pPr>
                <w:tabs>
                  <w:tab w:val="left" w:pos="1134"/>
                </w:tabs>
                <w:ind w:firstLine="720"/>
                <w:jc w:val="both"/>
              </w:pPr>
              <w:sdt>
                <w:sdtPr>
                  <w:alias w:val="Numeris"/>
                  <w:tag w:val="nr_6a2e44663c5346abb797c640f2bbf3ec"/>
                  <w:lock w:val="sdtLocked"/>
                  <w:richText/>
                </w:sdtPr>
                <w:sdtContent>
                  <w:r>
                    <w:rPr>
                      <w:szCs w:val="24"/>
                      <w:lang w:eastAsia="lt-LT"/>
                    </w:rPr>
                    <w:t>2</w:t>
                  </w:r>
                  <w:r>
                    <w:rPr>
                      <w:szCs w:val="24"/>
                      <w:vertAlign w:val="superscript"/>
                      <w:lang w:eastAsia="lt-LT"/>
                    </w:rPr>
                    <w:t>2</w:t>
                  </w:r>
                </w:sdtContent>
              </w:sdt>
              <w:r>
                <w:rPr>
                  <w:szCs w:val="24"/>
                  <w:lang w:eastAsia="lt-LT"/>
                </w:rPr>
                <w:t>. Asmenims, persirgusiems COVID-19 liga (koronaviruso infekcija), kai diagnozė buvo patvirtinta remiantis teigiamu SARS-CoV-2 PGR tyrimo ar antigeno testo rezultatu ir nuo teigiamo tyrimo rezultato praėjo ne daugiau kaip 180 dienų, taip pat asmenims, paskiepytiems Sąjungos vaistinių preparatų registre įregistruota COVID-19 ligos (koronaviruso infekcijos) vakcina pagal skiepijimo schemą, šiuo nutarimu gali būti taikomos švelnesnės karantino režimo priemonės negu kitiems asmenims.</w:t>
              </w:r>
              <w:r>
                <w:rPr>
                  <w:color w:val="FF0000"/>
                  <w:szCs w:val="24"/>
                  <w:lang w:eastAsia="lt-LT"/>
                </w:rPr>
                <w:t xml:space="preserve"> </w:t>
              </w:r>
              <w:r>
                <w:rPr>
                  <w:szCs w:val="24"/>
                  <w:lang w:eastAsia="lt-LT"/>
                </w:rPr>
                <w:t>Šiame punkte nurodytų asmenų teisė į švelnesnes karantino režimo priemones patvirtinama valstybės lygio ekstremaliosios situacijos operacijų vadovo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3ae7af95fcd4922a07be27628325888"/>
            <w:lock w:val="sdtLocked"/>
            <w:richText/>
          </w:sdtPr>
          <w:sdtContent>
            <w:p>
              <w:pPr>
                <w:tabs>
                  <w:tab w:val="left" w:pos="1134"/>
                </w:tabs>
                <w:ind w:firstLine="720"/>
                <w:jc w:val="both"/>
                <w:rPr>
                  <w:szCs w:val="24"/>
                  <w:lang w:eastAsia="lt-LT"/>
                </w:rPr>
              </w:pPr>
              <w:sdt>
                <w:sdtPr>
                  <w:alias w:val="Numeris"/>
                  <w:tag w:val="nr_63ae7af95fcd4922a07be27628325888"/>
                  <w:lock w:val="sdtLocked"/>
                  <w:richText/>
                </w:sdtPr>
                <w:sdtContent>
                  <w:r>
                    <w:rPr>
                      <w:szCs w:val="24"/>
                      <w:lang w:eastAsia="lt-LT"/>
                    </w:rPr>
                    <w:t>5</w:t>
                  </w:r>
                </w:sdtContent>
              </w:sdt>
              <w:r>
                <w:rPr>
                  <w:szCs w:val="24"/>
                  <w:lang w:eastAsia="lt-LT"/>
                </w:rPr>
                <w:t>. Karantino režimo trukmė – nuo 2020 m. lapkričio 7 d. 00:00 val. iki 2021 m. gegužės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21f4cd2b836745129b62d3fe804ecfd1"/>
                <w:lock w:val="sdtLocked"/>
                <w:richText/>
              </w:sdtPr>
              <w:sdtContent>
                <w:p>
                  <w:pPr>
                    <w:ind w:firstLine="720"/>
                    <w:jc w:val="both"/>
                    <w:rPr>
                      <w:szCs w:val="24"/>
                      <w:lang w:eastAsia="lt-LT"/>
                    </w:rPr>
                  </w:pPr>
                  <w:sdt>
                    <w:sdtPr>
                      <w:alias w:val="Numeris"/>
                      <w:tag w:val="nr_21f4cd2b836745129b62d3fe804ecfd1"/>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 m. ir / arba 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 Kai parama teikiama pagal 2020 m. kovo 20 d. Europos Komisijos komunikato „Laikinoji valstybės pagalbos priemonių, skirtų ekonomikai remti reaguojant į dabartinį COVID-19 protrūkį, sistema“ su paskutiniais pakeitimais, padarytais 2021 m. sausio 28 d. Europos Komisijos komunikatu, 3.12 skirsnį, ūkinės veiklos vykdytojo ūkinės veiklos vidutinė vieno mėnesio apyvarta, skaičiuojant nuo 2020 m. lapkričio 1 d. iki 2021 m. balandžio 30 d., palyginti su 2019 m. atitinkamo laikotarpio vidutine vieno mėnesio apyvarta, remiantis VMI pateiktose PVM deklaracijose deklaruotais, o neteikiantiems PVM deklaracijų, – pareiškėjo teikiamoje paraiškoje deklaruotais duomenimis, sumažėjo ne mažiau nei 30 procentų.</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ceb2e74375f34f64b7b30be4b80cae1e"/>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ceb2e74375f34f64b7b30be4b80cae1e"/>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61e5b08e1e11eb9fecb5ecd3bd711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2021-03-26,
paskelbta TAR 2021-03-26, i. k. 2021-05881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6e6fd0987011eb9fecb5ecd3bd711c">
            <w:r w:rsidRPr="00532B9F">
              <w:rPr>
                <w:rFonts w:ascii="Times New Roman" w:eastAsia="MS Mincho" w:hAnsi="Times New Roman"/>
                <w:sz w:val="20"/>
                <w:iCs/>
                <w:color w:val="0000FF" w:themeColor="hyperlink"/>
                <w:u w:val="single"/>
              </w:rPr>
              <w:t>216</w:t>
            </w:r>
          </w:fldSimple>
          <w:r>
            <w:rPr>
              <w:rFonts w:ascii="Times New Roman" w:eastAsia="MS Mincho" w:hAnsi="Times New Roman"/>
              <w:sz w:val="20"/>
              <w:iCs/>
            </w:rPr>
            <w:t>,
2021-04-07,
paskelbta TAR 2021-04-08, i. k. 2021-07289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f51bd09b8011eb9fecb5ecd3bd711c">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2021-04-12,
paskelbta TAR 2021-04-12, i. k. 2021-07555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521b09ed411eb9fecb5ecd3bd711c">
            <w:r w:rsidRPr="00532B9F">
              <w:rPr>
                <w:rFonts w:ascii="Times New Roman" w:eastAsia="MS Mincho" w:hAnsi="Times New Roman"/>
                <w:sz w:val="20"/>
                <w:iCs/>
                <w:color w:val="0000FF" w:themeColor="hyperlink"/>
                <w:u w:val="single"/>
              </w:rPr>
              <w:t>229</w:t>
            </w:r>
          </w:fldSimple>
          <w:r>
            <w:rPr>
              <w:rFonts w:ascii="Times New Roman" w:eastAsia="MS Mincho" w:hAnsi="Times New Roman"/>
              <w:sz w:val="20"/>
              <w:iCs/>
            </w:rPr>
            <w:t>,
2021-04-15,
paskelbta TAR 2021-04-16, i. k. 2021-07895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a729950a2cd11ebb9bbd96a0c51af2c">
            <w:r w:rsidRPr="00532B9F">
              <w:rPr>
                <w:rFonts w:ascii="Times New Roman" w:eastAsia="MS Mincho" w:hAnsi="Times New Roman"/>
                <w:sz w:val="20"/>
                <w:iCs/>
                <w:color w:val="0000FF" w:themeColor="hyperlink"/>
                <w:u w:val="single"/>
              </w:rPr>
              <w:t>250</w:t>
            </w:r>
          </w:fldSimple>
          <w:r>
            <w:rPr>
              <w:rFonts w:ascii="Times New Roman" w:eastAsia="MS Mincho" w:hAnsi="Times New Roman"/>
              <w:sz w:val="20"/>
              <w:iCs/>
            </w:rPr>
            <w:t>,
2021-04-21,
paskelbta TAR 2021-04-21, i. k. 2021-08257                </w:t>
          </w:r>
        </w:p>
        <w:p>
          <w:pPr>
            <w:jc w:val="both"/>
            <w:rPr>
              <w:rFonts w:ascii="Times New Roman" w:hAnsi="Times New Roman"/>
            </w:rPr>
          </w:pPr>
          <w:r>
            <w:rPr>
              <w:rFonts w:ascii="Times New Roman" w:hAnsi="Times New Roman"/>
              <w:sz w:val="20"/>
            </w:rPr>
            <w:t>Dėl Lietuvos Respublikos Vyriausybės 2021 m. balandžio 15 d. nutarimo Nr. 229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ea45510a34111ebb9bbd96a0c51af2c">
            <w:r w:rsidRPr="00532B9F">
              <w:rPr>
                <w:rFonts w:ascii="Times New Roman" w:eastAsia="MS Mincho" w:hAnsi="Times New Roman"/>
                <w:sz w:val="20"/>
                <w:iCs/>
                <w:color w:val="0000FF" w:themeColor="hyperlink"/>
                <w:u w:val="single"/>
              </w:rPr>
              <w:t>255</w:t>
            </w:r>
          </w:fldSimple>
          <w:r>
            <w:rPr>
              <w:rFonts w:ascii="Times New Roman" w:eastAsia="MS Mincho" w:hAnsi="Times New Roman"/>
              <w:sz w:val="20"/>
              <w:iCs/>
            </w:rPr>
            <w:t>,
2021-04-21,
paskelbta TAR 2021-04-22, i. k. 2021-08258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868c7c0a99e11ebbcbbc2971cdac3cb">
            <w:r w:rsidRPr="00532B9F">
              <w:rPr>
                <w:rFonts w:ascii="Times New Roman" w:eastAsia="MS Mincho" w:hAnsi="Times New Roman"/>
                <w:sz w:val="20"/>
                <w:iCs/>
                <w:color w:val="0000FF" w:themeColor="hyperlink"/>
                <w:u w:val="single"/>
              </w:rPr>
              <w:t>300</w:t>
            </w:r>
          </w:fldSimple>
          <w:r>
            <w:rPr>
              <w:rFonts w:ascii="Times New Roman" w:eastAsia="MS Mincho" w:hAnsi="Times New Roman"/>
              <w:sz w:val="20"/>
              <w:iCs/>
            </w:rPr>
            <w:t>,
2021-04-28,
paskelbta TAR 2021-04-30, i. k. 2021-09293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c36ecb0ae8d11eba871a26c1fc3fbc1">
            <w:r w:rsidRPr="00532B9F">
              <w:rPr>
                <w:rFonts w:ascii="Times New Roman" w:eastAsia="MS Mincho" w:hAnsi="Times New Roman"/>
                <w:sz w:val="20"/>
                <w:iCs/>
                <w:color w:val="0000FF" w:themeColor="hyperlink"/>
                <w:u w:val="single"/>
              </w:rPr>
              <w:t>306</w:t>
            </w:r>
          </w:fldSimple>
          <w:r>
            <w:rPr>
              <w:rFonts w:ascii="Times New Roman" w:eastAsia="MS Mincho" w:hAnsi="Times New Roman"/>
              <w:sz w:val="20"/>
              <w:iCs/>
            </w:rPr>
            <w:t>,
2021-05-05,
paskelbta TAR 2021-05-06, i. k. 2021-10090                </w:t>
          </w:r>
        </w:p>
        <w:p>
          <w:pPr>
            <w:jc w:val="both"/>
            <w:rPr>
              <w:rFonts w:ascii="Times New Roman" w:hAnsi="Times New Roman"/>
            </w:rPr>
          </w:pPr>
          <w:r>
            <w:rPr>
              <w:rFonts w:ascii="Times New Roman" w:hAnsi="Times New Roman"/>
              <w:sz w:val="20"/>
            </w:rPr>
            <w:t>Dėl Lietuvos Respublikos Vyriausybės 2021 m. balandžio 28 d. nutarimo Nr. 300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a454d0b14e11eba871a26c1fc3fbc1">
            <w:r w:rsidRPr="00532B9F">
              <w:rPr>
                <w:rFonts w:ascii="Times New Roman" w:eastAsia="MS Mincho" w:hAnsi="Times New Roman"/>
                <w:sz w:val="20"/>
                <w:iCs/>
                <w:color w:val="0000FF" w:themeColor="hyperlink"/>
                <w:u w:val="single"/>
              </w:rPr>
              <w:t>307</w:t>
            </w:r>
          </w:fldSimple>
          <w:r>
            <w:rPr>
              <w:rFonts w:ascii="Times New Roman" w:eastAsia="MS Mincho" w:hAnsi="Times New Roman"/>
              <w:sz w:val="20"/>
              <w:iCs/>
            </w:rPr>
            <w:t>,
2021-05-05,
paskelbta TAR 2021-05-10, i. k. 2021-10233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spacing w:after="200" w:line="276" w:lineRule="auto"/>
      <w:rPr>
        <w:lang w:eastAsia="lt-LT"/>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w:t>
    </w:r>
    <w:r>
      <w:rPr>
        <w:lang w:eastAsia="lt-LT"/>
      </w:rPr>
      <w:fldChar w:fldCharType="end"/>
    </w:r>
  </w:p>
  <w:p>
    <w:pPr>
      <w:tabs>
        <w:tab w:val="center" w:pos="4153"/>
        <w:tab w:val="right" w:pos="8306"/>
      </w:tabs>
      <w:spacing w:after="200" w:line="276" w:lineRule="auto"/>
      <w:rPr>
        <w:lang w:eastAsia="lt-LT"/>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69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97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97.xml"/>
  <Relationship Id="rId11" Type="http://schemas.openxmlformats.org/officeDocument/2006/relationships/header" Target="header98.xml"/>
  <Relationship Id="rId12" Type="http://schemas.openxmlformats.org/officeDocument/2006/relationships/footer" Target="footer97.xml"/>
  <Relationship Id="rId13" Type="http://schemas.openxmlformats.org/officeDocument/2006/relationships/footer" Target="footer98.xml"/>
  <Relationship Id="rId14" Type="http://schemas.openxmlformats.org/officeDocument/2006/relationships/header" Target="header99.xml"/>
  <Relationship Id="rId15" Type="http://schemas.openxmlformats.org/officeDocument/2006/relationships/footer" Target="footer9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67b37dbd7be94573b1a94ef15c28b780">
            <Part Type="papunktis" Nr="2.1.1.1.1" Abbr="2.1.1.1.1 pp." DocPartId="25b78cdf9125446aa8acac7372c9e64a" PartId="2ed6e9773699485e85991233e859bc82"/>
            <Part Type="papunktis" Nr="2.1.1.1.2" Abbr="2.1.1.1.2 pp." DocPartId="d5fac0d95faa48118b4c0a546dd01c2a" PartId="ddbaf681e5b941ac80a4957524ab4248"/>
            <Part Type="papunktis" Nr="2.1.1.1.3" Abbr="2.1.1.1.3 pp." DocPartId="cdf950c2ee5341f1a597d81b3e9da22a" PartId="f86c9007b10b49869f1c98497414ad8c"/>
            <Part Type="papunktis" Nr="2.1.1.1.4" Abbr="2.1.1.1.4 pp." DocPartId="789e8276caa940579e25a9a56da0a9dd" PartId="8a528507540f49309423f25f1872d0b8"/>
            <Part Type="papunktis" Nr="2.1.1.1.5" Abbr="2.1.1.1.5 pp." DocPartId="b3aa82c6c2084553882b54ababda0111" PartId="c8e8e94e2524401994a8e598597bdae3"/>
            <Part Type="papunktis" Nr="2.1.1.1.6" Abbr="2.1.1.1.6 pp." DocPartId="b0762751751a4921bfff0ac8f754e0e8" PartId="f906968f389d4958b5c57403a7a8f209"/>
            <Part Type="papunktis" Nr="2.1.1.1.7" Abbr="2.1.1.1.7 pp." DocPartId="03b8f7120fb54536bbdfb1a126a9eb56" PartId="d97450ebe8964777b4d2400c5972a7c4"/>
            <Part Type="papunktis" Nr="2.1.1.1.8" Abbr="2.1.1.1.8 pp." DocPartId="59d7247780c8421f81535928bc44fa3d" PartId="cbb415b617a344a2971169dd86b8b28d"/>
            <Part Type="papunktis" Nr="2.1.1.1.9" Abbr="2.1.1.1.9 pp." DocPartId="417b3f5fe006478db5238be2812da05a" PartId="b7746d74eec744f7baf018cf38d61b06"/>
            <Part Type="papunktis" Nr="2.1.1.1.10" Abbr="2.1.1.1.10 pp." DocPartId="5b22700d148b4df3b0b5b38d904b05eb" PartId="434c5e5e0a154117ba7e94aef6c8595c"/>
            <Part Type="papunktis" Nr="2.1.1.1.11" Abbr="2.1.1.1.11 pp." DocPartId="2535a1ba677a4f879152f4981e5bf22d" PartId="dff917465f864216aafa570c9e418b63"/>
            <Part Type="papunktis" Nr="2.1.1.1.12" Abbr="2.1.1.1.12 pp." DocPartId="beeb7091298141d28d419771a2b495c1" PartId="6eea73bafbc4454780856341112ea77e"/>
          </Part>
          <Part Type="papunktis" Nr="2.1.1.2" Abbr="2.1.1.2 pp." DocPartId="cbda1dbde8f243e68c92d3c05c38cc7d" PartId="d9f91d6dfbfd4f169ee0367749eeddb9">
            <Part Type="papunktis" Nr="2.1.1.2.1" Abbr="2.1.1.2.1 pp." DocPartId="5ea677b9c9664b41a1d9ce8cf6d433a0" PartId="7a62152d47a54b28a6cd390252287e62">
              <Part Type="papunktis" Nr="2.1.1.2.1.1" Abbr="2.1.1.2.1.1 pp." DocPartId="981ce312948d400d872776ae4bc60a44" PartId="02ff808f59884bf596a1c92a5d463a53"/>
              <Part Type="papunktis" Nr="2.1.1.2.1.2" Abbr="2.1.1.2.1.2 pp." DocPartId="817ec5d6d02d42418e0b5659acad2675" PartId="f7a25b548a044f04836f8059d576bdd3"/>
              <Part Type="papunktis" Nr="2.1.1.2.1.3" Abbr="2.1.1.2.1.3 pp." DocPartId="d1673ee79c654f50bbd32baf36a24718" PartId="1808d3adf594489c86886706539de0b2"/>
              <Part Type="papunktis" Nr="2.1.1.2.1.4" Abbr="2.1.1.2.1.4 pp." DocPartId="b9e3461ae5754e44b6ec4f3cc5c2ce7b" PartId="f047a537481b442bbb29665411ad595e"/>
              <Part Type="papunktis" Nr="2.1.1.2.1.5" Abbr="2.1.1.2.1.5 pp." DocPartId="5f47ad7b793844ee8438e82cdb315d5b" PartId="18a6ba2ec447473a9396930740cd312b"/>
              <Part Type="papunktis" Nr="2.1.1.2.1.6" Abbr="2.1.1.2.1.6 pp." DocPartId="37dc5210c60c403c94c6f844ab0d1ee5" PartId="79b75accbf6e43439d65ec49b7a319bd"/>
              <Part Type="papunktis" Nr="2.1.1.2.1.7" Abbr="2.1.1.2.1.7 pp." DocPartId="cf5134bebf5546a19e1232a6b0642cb1" PartId="a275189e87b44d15acdb087593d888a9"/>
              <Part Type="papunktis" Nr="2.1.1.2.1.8" Abbr="2.1.1.2.1.8 pp." DocPartId="5d8abb575654423aa48c39ec937f76ce" PartId="f8284396baa94d7baf1c9cf84df31e51"/>
              <Part Type="papunktis" Nr="2.1.1.2.1.9" Abbr="2.1.1.2.1.9 pp." DocPartId="d241b1879ed84716880d7565cb023299" PartId="2cec5a7154f54dc8acccbfb2b875cd0f"/>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Type="papunktis" Nr="2.1.2.13.4" Abbr="2.1.2.13.4 pp." DocPartId="9d509438fd8f4ff98a3a8e06ae8f2d43" PartId="93a1c0ad6ca5474aaa63f73ed7d7e31a"/>
          </Part>
          <Part Type="papunktis" Nr="2.1.2.14" Abbr="2.1.2.14 pp." DocPartId="7cc2d389f6a447e7af8e959bdf62b586" PartId="f6d0091931cf48a5bc732252ead72b09"/>
          <Part Type="papunktis" Nr="2.1.2.14-1" Abbr="2.1.2.14-1 pp." DocPartId="5774ffe5ee904f40bb946ffc3ddb52cc" PartId="a92958724d51411b93d7281f608f183c"/>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74b714b99dc24ed3b532f0e693356917"/>
          <Part Type="papunktis" Nr="2.1.3-1.2" Abbr="2.1.3-1.2 pp." DocPartId="f121d171cfd54e37a03599d3449ea24d" PartId="d989a8f7152c45d2b883e72cfffbd650"/>
          <Part Type="papunktis" Nr="2.1.3-1.3" Abbr="2.1.3-1.3 pp." DocPartId="99318108e9074342beca4fd5a29696d2" PartId="9f04a86b6e3246b291a5056b568d31b4"/>
          <Part Type="papunktis" Nr="2.1.3-1.4" Abbr="2.1.3-1.4 pp." DocPartId="81e2c06cfa9c43d19e8da5947e9bfbe4" PartId="befa0bfd71f74e979b5c45753af644f3"/>
          <Part Type="papunktis" Nr="2.1.3-1.5" Abbr="2.1.3-1.5 pp." DocPartId="9a57f4e7a7de4c7cbc8f3e02ce6a3eeb" PartId="d0bc7cd26e444b98b6957edc7caa8899"/>
          <Part Type="papunktis" Nr="2.1.3-1.6" Abbr="2.1.3-1.6 pp." DocPartId="4907315b87464b00ace73543ce82fd99" PartId="39bc70dd745645089f9066b21e6369f6"/>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a4af6109fbac403b85e4d0efd0330c8d"/>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09938d8dcc5e45b289b590e14ecada62"/>
        <Part Type="papunktis" Nr="2.1.7" Abbr="2.1.7 pp." DocPartId="88d3e06345f64af696d0123200569198" PartId="1c4324136385484db6d5a6083918b2a2"/>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Type="papunktis" Nr="2.1.8.1.5" Abbr="2.1.8.1.5 pp." DocPartId="d06325d498384811acd990b4c6a32a3b" PartId="9a67c6f16bbc4f689812d22ea317efb3"/>
          </Part>
          <Part Type="papunktis" Nr="2.1.8.2" Abbr="2.1.8.2 pp." DocPartId="c8774f4654cb4eec94778754d8308ab7" PartId="05e22bfa0b734dd9b863f989f1f75d97"/>
          <Part Type="papunktis" Nr="2.1.8.3" Abbr="2.1.8.3 pp." DocPartId="0142b1860ba84811b11ee0322aba2ff7" PartId="919e965108b3464eb81a12c3043f4895"/>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499faa2c5f1d46f79f557436edb2a3dc">
          <Part Type="papunktis" Nr="2.2.2.1" Abbr="2.2.2.1 pp." DocPartId="fa0e9a7a64cd4170babe3acb0377699e" PartId="06f320b2188d421d95ec0bd5de8ad272"/>
          <Part Type="papunktis" Nr="2.2.2.2" Abbr="2.2.2.2 pp." DocPartId="41985fc056134d99a6ba64df17d63396" PartId="5346f9f9dab04e8bb88b041dc7a404cc"/>
          <Part Type="papunktis" Nr="2.2.2.3" Abbr="2.2.2.3 pp." DocPartId="b720e019785f447b9d034c7ef674dccc" PartId="8de02e4eaee94b118004038b98af4e52"/>
          <Part Type="papunktis" Nr="2.2.2.4" Abbr="2.2.2.4 pp." DocPartId="6fee790670b44158a1b71a8d6f5ce4d0" PartId="6a799e5f89c84bcdbbea378d51ac962c"/>
        </Part>
        <Part Type="papunktis" Nr="2.2.2-1" Abbr="2.2.2-1 pp." DocPartId="47e35d3d85f7486aa5428c0b13523d40" PartId="a65ec6a8370e4613a39f1879413b801a"/>
        <Part Type="papunktis" Nr="2.2.2-2" Abbr="2.2.2-2 pp." DocPartId="b38fa12dde3c47d9b907d7f4b8bb7ccd" PartId="d93925fa57db453faf15cfedd1bdcb0b"/>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bf208820155443dcb7ffe5c75fbc49e1"/>
        <Part Type="papunktis" Nr="2.2.3-2" Abbr="2.2.3-2 pp." DocPartId="45cd7f47c12246c3b097d40c051a1aa6" PartId="b5c892c74f5e46adb1422317b63c6a6d"/>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d10f7553909142dba2a56361e5d554a3"/>
        </Part>
        <Part Type="papunktis" Nr="2.2.5" Abbr="2.2.5 pp." DocPartId="69da48298fee4300a3e693210e90fcd2" PartId="abeacd8a842043c3853d33000c89a39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bad476672d7f48e896c6725b721b3bff">
            <Part Type="papunktis" Nr="2.2.6.3.1" Abbr="2.2.6.3.1 pp." DocPartId="3faa3925cf054a53a6d1334be3de4151" PartId="8b415159bcd54da78fdff90155d0e85f"/>
            <Part Type="papunktis" Nr="2.2.6.3.2" Abbr="2.2.6.3.2 pp." DocPartId="935567190d5740d28ff3d97c9f00b62f" PartId="aef74af844f34ca9a34576eb03d74a5d"/>
          </Part>
          <Part Type="papunktis" Nr="2.2.6.4" Abbr="2.2.6.4 pp." DocPartId="a94f5eec04b24d1598c405e176f4d11a" PartId="90c2a94eb4bb4ebbbaebf490db7940ec"/>
          <Part Type="papunktis" Nr="2.2.6.5" Abbr="2.2.6.5 pp." DocPartId="badfc96c4d1c4457b60da48770440845" PartId="8526ecf8055a45aa8562b26dd15c41b2"/>
          <Part Type="papunktis" Nr="2.2.6.6" Abbr="2.2.6.6 pp." DocPartId="ff2bc85031cc4913b60037a4e7a0a59c" PartId="bacd5d340efc409eaf92cd79b06520f6"/>
          <Part Type="papunktis" Nr="2.2.6.7" Abbr="2.2.6.7 pp." DocPartId="67e2dbc8a2424bf6b605e55541a18ee0" PartId="facc0c0cead8434db307b99aa61e5c8f"/>
          <Part Type="papunktis" Nr="2.2.6.8" Abbr="2.2.6.8 pp." DocPartId="68edb1fd242e4dbca62f757e8a52e8d0" PartId="fa5c57ab38904c22a831082e61925aa5"/>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Type="papunktis" Nr="2.2.6-1.3" Abbr="2.2.6-1.3 pp." DocPartId="6f81406b9ee0463689265a2a639c057b" PartId="a55c21e2666f4594a04c2b4f12a30bff"/>
          <Part Type="papunktis" Nr="2.2.6-1.4" Abbr="2.2.6-1.4 pp." DocPartId="fb829f0346294c4ba3199d467af13988" PartId="4451ec9abf83478e92456411b1048700"/>
          <Part Type="papunktis" Nr="2.2.6-1.5" Abbr="2.2.6-1.5 pp." DocPartId="9d9bd8719461413d893e83ff3d3f77ec" PartId="fdd28dedd77746a3b54aca85f6632745"/>
          <Part Type="papunktis" Nr="2.2.6-1.6" Abbr="2.2.6-1.6 pp." DocPartId="7cf5f25f278244b88725165f6f5e81a9" PartId="c67fbb3c73f74f1a828bea5832ad664a"/>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Type="papunktis" Nr="2.2.7.4" Abbr="2.2.7.4 pp." DocPartId="c22bf6a2be504bca85598b9db643f4e0" PartId="c7a94577923e4ad29a3317e5e7e956c1"/>
          <Part Type="papunktis" Nr="2.2.7.5" Abbr="2.2.7.5 pp." DocPartId="9e7f2aa74a5e4d72b3ff87d3c18eb673" PartId="fb7b48a7572a448397db7cbc5a140f5d"/>
        </Part>
        <Part Type="papunktis" Nr="2.2.8" Abbr="2.2.8 pp." DocPartId="f481c805788d4a749fc19bf4e9c2add1" PartId="de6eb196fe524a43881dd0dd3b727e26">
          <Part Type="papunktis" Nr="2.2.8.1" Abbr="2.2.8.1 pp." DocPartId="e09cdfd7834e417ab81b1e7bcf310f8e" PartId="3a42c75252b44ccb9bdafaf8aac78c05"/>
          <Part Type="papunktis" Nr="2.2.8.2" Abbr="2.2.8.2 pp." DocPartId="b56ed19e3cb54d5faeeaaf5c91f0e739" PartId="673dde6ab37b410faca2c6bedab066be"/>
          <Part Type="papunktis" Nr="2.2.8.3" Abbr="2.2.8.3 pp." DocPartId="41a8e784aff94791852426fadeae358a" PartId="7d231989b2e4468fa9ad5d6543c8cf73"/>
          <Part Type="papunktis" Nr="2.2.8.4" Abbr="2.2.8.4 pp." DocPartId="3fc11570569547d4842197325fd0c4bc" PartId="d82fe3ef500a43b0a54eee7944e5364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13a3ce3c86414db19235afe2f49b60cc"/>
          <Part Type="papunktis" Nr="2.2.9.2-1" Abbr="2.2.9.2-1 pp." DocPartId="fa2ec9dd8ed74ee69a876d344670664a" PartId="5cf4edb6eb8b46e3b2e60eddf488cfcf"/>
          <Part Type="papunktis" Nr="2.2.9.2-2" Abbr="2.2.9.2-2 pp." DocPartId="63b3190add554ad4b19caa8e5440d9f5" PartId="78d906b8f3ba476e89412363b1c8b3c3"/>
          <Part Type="papunktis" Nr="2.2.9.2-3" Abbr="2.2.9.2-3 pp." DocPartId="34ea20fcda0a418bb557130b9bad2b2e" PartId="d465d39e96c546509bbd215caf2f761b"/>
          <Part Type="papunktis" Nr="2.2.9.2-4" Abbr="2.2.9.2-4 pp." DocPartId="5d85737880974e739e278eaee8f9329d" PartId="04875454e5814fa9ab9ef55f55c50a3d"/>
          <Part Type="papunktis" Nr="2.2.9.2-5" Abbr="2.2.9.2-5 pp." DocPartId="666cb85214a84fd8a0c2b1084b84504f" PartId="3f87f74a67484c639c3f178b5ca7b176"/>
          <Part Type="papunktis" Nr="2.2.9.2-6" Abbr="2.2.9.2-6 pp." DocPartId="34ab284ccf97469b944fedb8a2cb7eb1" PartId="feb6368cdd0647e9afc752a0b92ca655"/>
          <Part Type="papunktis" Nr="2.2.9.3" Abbr="2.2.9.3 pp." DocPartId="67e918b206064a3b995a2c5c212d137b" PartId="a9871b11b7e84093b082e05505e63c0c"/>
          <Part Type="papunktis" Nr="2.2.9.4" Abbr="2.2.9.4 pp." DocPartId="e60ad632291442fe93773586043fcccf" PartId="49ed5e5100fa4a208285a0ac64aa627f"/>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a2e8f270d4645de82336c31033e2f1d"/>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320046081b304fecbc3228d955ce2b93"/>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d4a832532bd54413a3d4c1cc55f149be"/>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fe3e7db348c4aa78f4c8fc74240ed49"/>
          </Part>
        </Part>
        <Part Type="papunktis" Nr="2.2.12" Abbr="2.2.12 pp." DocPartId="d213453eac6847eb91bbd922bec6a90e" PartId="0b130a3dbc91428c857e68a1871ea2bb"/>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2-1" Abbr="2-1 p." DocPartId="27ff5028d93c4a39bff3eda09ff5f63e" PartId="ce060273dd6b4b3bb79cf9f0ac8531bc"/>
    <Part Type="punktas" Nr="2-2" Abbr="2-2 p." DocPartId="7a576472b3834a53b19b35d9526a9128" PartId="6a2e44663c5346abb797c640f2bbf3ec"/>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3ae7af95fcd4922a07be27628325888"/>
    <Part Type="punktas" Nr="6" Abbr="6 p." DocPartId="3fe1cf72014b43489b56130c3a954fbd" PartId="117a40fb43df4394bff8f4686e3e9f9e">
      <Part Type="papunktis" Nr="6.1" Abbr="6.1 pp." DocPartId="ffb170051d83440fb4323a2ce8c1749f" PartId="21f4cd2b836745129b62d3fe804ecfd1"/>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ceb2e74375f34f64b7b30be4b80cae1e">
    <Part Type="pabaiga" DocPartId="8aa7d51d84b848debd65b12b26547c89" PartId="eeabe54f6d92436eb4751102dd485d22"/>
  </Part>
</Parts>
</file>

<file path=customXml/itemProps1.xml><?xml version="1.0" encoding="utf-8"?>
<ds:datastoreItem xmlns:ds="http://schemas.openxmlformats.org/officeDocument/2006/customXml" ds:itemID="{A684DF11-08E9-401B-A715-FDDCCD451A19}">
  <ds:schemaRefs>
    <ds:schemaRef ds:uri="http://lrs.lt/TAIS/DocParts"/>
  </ds:schemaRefs>
</ds:datastoreItem>
</file>

<file path=docProps/app.xml><?xml version="1.0" encoding="utf-8"?>
<Properties xmlns="http://schemas.openxmlformats.org/officeDocument/2006/extended-properties">
  <Template>Normal.dotm</Template>
  <TotalTime>160</TotalTime>
  <Pages>20</Pages>
  <Words>8377</Words>
  <Characters>62250</Characters>
  <Application>Microsoft Office Word</Application>
  <DocSecurity>0</DocSecurity>
  <Lines>518</Lines>
  <Paragraphs>140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70487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2021-05-10T09:26:00Z</dcterms:modified>
  <revision>43</revision>
</coreProperties>
</file>