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2021-03-06 iki 2021-03-09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cdfb30813b8543b4b880d86049decd27"/>
                    <w:lock w:val="sdtLocked"/>
                    <w:richText/>
                  </w:sdtPr>
                  <w:sdtContent>
                    <w:p>
                      <w:pPr>
                        <w:ind w:firstLine="720"/>
                        <w:jc w:val="both"/>
                      </w:pPr>
                      <w:sdt>
                        <w:sdtPr>
                          <w:alias w:val="Numeris"/>
                          <w:tag w:val="nr_cdfb30813b8543b4b880d86049decd27"/>
                          <w:lock w:val="sdtLocked"/>
                          <w:richText/>
                        </w:sdtPr>
                        <w:sdtContent>
                          <w:r>
                            <w:rPr>
                              <w:szCs w:val="24"/>
                              <w:lang w:eastAsia="lt-LT"/>
                            </w:rPr>
                            <w:t>2.1.7</w:t>
                          </w:r>
                        </w:sdtContent>
                      </w:sdt>
                      <w:r>
                        <w:rPr>
                          <w:szCs w:val="24"/>
                          <w:lang w:eastAsia="lt-LT"/>
                        </w:rPr>
                        <w:t>. Nuo 2020 m. gruodžio 16 d. 00:00 val. iki 2021 m. kovo 15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kai asmenys, gyvenantys besiribojančiose</w:t>
                      </w:r>
                      <w:r>
                        <w:rPr>
                          <w:b/>
                          <w:bCs/>
                          <w:szCs w:val="24"/>
                          <w:lang w:eastAsia="lt-LT"/>
                        </w:rPr>
                        <w:t xml:space="preserve"> </w:t>
                      </w:r>
                      <w:r>
                        <w:rPr>
                          <w:szCs w:val="24"/>
                          <w:lang w:eastAsia="lt-LT"/>
                        </w:rPr>
                        <w:t>Alytaus miesto ir rajono, Kauno miesto ir rajono, Klaipėdos miesto ir rajono, Panevėžio miesto ir rajono, Šiaulių miesto ir rajono, Vilniaus miesto ir rajono savivaldybėse, juda tarp nurodytų besiribojančių savivaldybių;</w:t>
                      </w:r>
                      <w:r>
                        <w:rPr>
                          <w:szCs w:val="24"/>
                          <w:shd w:val="clear" w:color="auto" w:fill="FFFFFF"/>
                          <w:lang w:eastAsia="lt-LT"/>
                        </w:rPr>
                        <w:t xml:space="preserve"> </w:t>
                      </w:r>
                      <w:r>
                        <w:rPr>
                          <w:szCs w:val="24"/>
                          <w:lang w:eastAsia="lt-LT"/>
                        </w:rPr>
                        <w:t>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8302fbdf8225415da0a0dcad1bd4ce8c"/>
                        <w:lock w:val="sdtLocked"/>
                        <w:richText/>
                      </w:sdtPr>
                      <w:sdtContent>
                        <w:p>
                          <w:pPr>
                            <w:ind w:firstLine="709"/>
                            <w:jc w:val="both"/>
                          </w:pPr>
                          <w:sdt>
                            <w:sdtPr>
                              <w:alias w:val="Numeris"/>
                              <w:tag w:val="nr_8302fbdf8225415da0a0dcad1bd4ce8c"/>
                              <w:lock w:val="sdtLocked"/>
                              <w:richText/>
                            </w:sdt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a39716cda8304a2ba28cee73bcf0698d"/>
                        <w:lock w:val="sdtLocked"/>
                        <w:richText/>
                      </w:sdtPr>
                      <w:sdtContent>
                        <w:p>
                          <w:pPr>
                            <w:ind w:firstLine="709"/>
                            <w:jc w:val="both"/>
                            <w:rPr>
                              <w:szCs w:val="24"/>
                              <w:lang w:eastAsia="lt-LT"/>
                            </w:rPr>
                          </w:pPr>
                          <w:sdt>
                            <w:sdtPr>
                              <w:alias w:val="Numeris"/>
                              <w:tag w:val="nr_a39716cda8304a2ba28cee73bcf0698d"/>
                              <w:lock w:val="sdtLocked"/>
                              <w:richText/>
                            </w:sdtPr>
                            <w:sdtContent>
                              <w:r>
                                <w:rPr>
                                  <w:szCs w:val="24"/>
                                  <w:lang w:eastAsia="lt-LT"/>
                                </w:rPr>
                                <w:t>2.2.3.1</w:t>
                              </w:r>
                            </w:sdtContent>
                          </w:sdt>
                          <w:r>
                            <w:rPr>
                              <w:szCs w:val="24"/>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 finansinėms paslaugoms ir kvalifikuotų patikimumo užtikrinimo paslaugų teikėjų sudarytų kvalifikuotų sertifikatų išdavimo paslaugoms, kurių neįmanoma suteikti nuotoliniu būdu;</w:t>
                          </w:r>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7c3dfc28ed7a4c9c8c72c32b6f5e1c60"/>
                    <w:lock w:val="sdtLocked"/>
                    <w:richText/>
                  </w:sdtPr>
                  <w:sdtContent>
                    <w:p>
                      <w:pPr>
                        <w:ind w:firstLine="709"/>
                        <w:jc w:val="both"/>
                        <w:rPr>
                          <w:szCs w:val="24"/>
                          <w:lang w:eastAsia="lt-LT"/>
                        </w:rPr>
                      </w:pPr>
                      <w:sdt>
                        <w:sdtPr>
                          <w:alias w:val="Numeris"/>
                          <w:tag w:val="nr_7c3dfc28ed7a4c9c8c72c32b6f5e1c60"/>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e3dd8b8d779d49aca88995ca0aecf6a9"/>
                        <w:lock w:val="sdtLocked"/>
                        <w:richText/>
                      </w:sdtPr>
                      <w:sdtContent>
                        <w:p>
                          <w:pPr>
                            <w:ind w:firstLine="709"/>
                            <w:jc w:val="both"/>
                            <w:rPr>
                              <w:szCs w:val="24"/>
                              <w:lang w:eastAsia="lt-LT"/>
                            </w:rPr>
                          </w:pPr>
                          <w:sdt>
                            <w:sdtPr>
                              <w:alias w:val="Numeris"/>
                              <w:tag w:val="nr_e3dd8b8d779d49aca88995ca0aecf6a9"/>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Vilniaus miesto savivaldybės administracijos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3 pp."/>
                        <w:tag w:val="part_b95acaa9deac4310a39a14c4734a09b6"/>
                        <w:lock w:val="sdtLocked"/>
                        <w:richText/>
                      </w:sdtPr>
                      <w:sdtContent>
                        <w:p>
                          <w:pPr>
                            <w:ind w:firstLine="709"/>
                            <w:jc w:val="both"/>
                            <w:rPr>
                              <w:szCs w:val="24"/>
                              <w:lang w:eastAsia="lt-LT"/>
                            </w:rPr>
                          </w:pPr>
                          <w:sdt>
                            <w:sdtPr>
                              <w:alias w:val="Numeris"/>
                              <w:tag w:val="nr_b95acaa9deac4310a39a14c4734a09b6"/>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747fa8c6c54b9090517c0e073b650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747fa8c6c54b9090517c0e073b650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7.xml"/>
  <Relationship Id="rId11" Type="http://schemas.openxmlformats.org/officeDocument/2006/relationships/header" Target="header68.xml"/>
  <Relationship Id="rId12" Type="http://schemas.openxmlformats.org/officeDocument/2006/relationships/footer" Target="footer67.xml"/>
  <Relationship Id="rId13" Type="http://schemas.openxmlformats.org/officeDocument/2006/relationships/footer" Target="footer68.xml"/>
  <Relationship Id="rId14" Type="http://schemas.openxmlformats.org/officeDocument/2006/relationships/header" Target="header69.xml"/>
  <Relationship Id="rId15" Type="http://schemas.openxmlformats.org/officeDocument/2006/relationships/footer" Target="footer6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cdfb30813b8543b4b880d86049decd27"/>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8302fbdf8225415da0a0dcad1bd4ce8c"/>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a39716cda8304a2ba28cee73bcf0698d"/>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7c3dfc28ed7a4c9c8c72c32b6f5e1c60"/>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e3dd8b8d779d49aca88995ca0aecf6a9"/>
          <Part Type="papunktis" Nr="2.2.9.3" Abbr="2.2.9.3 pp." DocPartId="67e918b206064a3b995a2c5c212d137b" PartId="b95acaa9deac4310a39a14c4734a09b6"/>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747fa8c6c54b9090517c0e073b6501">
    <Part Type="pabaiga" DocPartId="8aa7d51d84b848debd65b12b26547c89" PartId="eeabe54f6d92436eb4751102dd485d22"/>
  </Part>
</Parts>
</file>

<file path=customXml/itemProps1.xml><?xml version="1.0" encoding="utf-8"?>
<ds:datastoreItem xmlns:ds="http://schemas.openxmlformats.org/officeDocument/2006/customXml" ds:itemID="{D11DA33D-F0B9-4FF4-AE61-B7256C6B1CC5}">
  <ds:schemaRefs>
    <ds:schemaRef ds:uri="http://lrs.lt/TAIS/DocParts"/>
  </ds:schemaRefs>
</ds:datastoreItem>
</file>

<file path=docProps/app.xml><?xml version="1.0" encoding="utf-8"?>
<Properties xmlns="http://schemas.openxmlformats.org/officeDocument/2006/extended-properties">
  <Template>Normal.dotm</Template>
  <TotalTime>77</TotalTime>
  <Pages>14</Pages>
  <Words>5732</Words>
  <Characters>43184</Characters>
  <Application>Microsoft Office Word</Application>
  <DocSecurity>0</DocSecurity>
  <Lines>359</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48819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2021-03-07T09:05:00Z</dcterms:modified>
  <revision>29</revision>
</coreProperties>
</file>