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2021-01-28 iki 2021-02-01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ca300ce7c29049098100e2a20e64f946"/>
                        <w:lock w:val="sdtLocked"/>
                        <w:richText/>
                      </w:sdtPr>
                      <w:sdtContent>
                        <w:p>
                          <w:pPr>
                            <w:ind w:firstLine="720"/>
                            <w:jc w:val="both"/>
                          </w:pPr>
                          <w:sdt>
                            <w:sdtPr>
                              <w:alias w:val="Numeris"/>
                              <w:tag w:val="nr_ca300ce7c29049098100e2a20e64f946"/>
                              <w:lock w:val="sdtLocked"/>
                              <w:richText/>
                            </w:sdtPr>
                            <w:sdtContent>
                              <w:r>
                                <w:rPr>
                                  <w:color w:val="000000"/>
                                  <w:szCs w:val="24"/>
                                  <w:lang w:eastAsia="lt-LT"/>
                                </w:rPr>
                                <w:t>2.1.5.1</w:t>
                              </w:r>
                            </w:sdtContent>
                          </w:sdt>
                          <w:r>
                            <w:rPr>
                              <w:color w:val="000000"/>
                              <w:szCs w:val="24"/>
                              <w:lang w:eastAsia="lt-LT"/>
                            </w:rPr>
                            <w:t xml:space="preserve">. viešose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w:t>
                          </w:r>
                          <w:r>
                            <w:rPr>
                              <w:color w:val="000000"/>
                              <w:spacing w:val="2"/>
                              <w:szCs w:val="24"/>
                              <w:lang w:eastAsia="lt-LT"/>
                            </w:rPr>
                            <w:t>(teikiant keleivių vežimo už atlygį lengvaisiais automobiliais pagal užsakymą ir lengvaisiais automobiliais taksi</w:t>
                          </w:r>
                          <w:r>
                            <w:rPr>
                              <w:color w:val="000000"/>
                              <w:szCs w:val="24"/>
                              <w:lang w:eastAsia="lt-LT"/>
                            </w:rPr>
                            <w:t> paslaugas, transporto priemonės vairuotojas į šį skaičių neįskaičiuojamas).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ee1d82564c6f4b3f9ab3dc97767d3ada"/>
                    <w:lock w:val="sdtLocked"/>
                    <w:richText/>
                  </w:sdtPr>
                  <w:sdtContent>
                    <w:p>
                      <w:pPr>
                        <w:tabs>
                          <w:tab w:val="left" w:pos="1134"/>
                        </w:tabs>
                        <w:ind w:firstLine="720"/>
                        <w:jc w:val="both"/>
                      </w:pPr>
                      <w:sdt>
                        <w:sdtPr>
                          <w:alias w:val="Numeris"/>
                          <w:tag w:val="nr_ee1d82564c6f4b3f9ab3dc97767d3ada"/>
                          <w:lock w:val="sdtLocked"/>
                          <w:richText/>
                        </w:sdtPr>
                        <w:sdtContent>
                          <w:r>
                            <w:rPr>
                              <w:szCs w:val="24"/>
                              <w:shd w:val="clear" w:color="auto" w:fill="FFFFFF"/>
                              <w:lang w:eastAsia="lt-LT"/>
                            </w:rPr>
                            <w:t>2.1.7</w:t>
                          </w:r>
                        </w:sdtContent>
                      </w:sdt>
                      <w:r>
                        <w:rPr>
                          <w:szCs w:val="24"/>
                          <w:shd w:val="clear" w:color="auto" w:fill="FFFFFF"/>
                          <w:lang w:eastAsia="lt-LT"/>
                        </w:rPr>
                        <w:t>. Nuo 2020 m. gruodžio 16 d. 00:00 val. iki 2021 m. vasario 28 d. 24:00 val.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2.1.8.1.1 ir 2.1.8.1.2 papunkčiuose numatytais atvejais;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eee1442a5d9749e0996f66870ccfdc4d"/>
                        <w:lock w:val="sdtLocked"/>
                        <w:richText/>
                      </w:sdtPr>
                      <w:sdtContent>
                        <w:p>
                          <w:pPr>
                            <w:ind w:firstLine="720"/>
                            <w:jc w:val="both"/>
                            <w:rPr>
                              <w:szCs w:val="24"/>
                              <w:lang w:eastAsia="lt-LT"/>
                            </w:rPr>
                          </w:pPr>
                          <w:sdt>
                            <w:sdtPr>
                              <w:alias w:val="Numeris"/>
                              <w:tag w:val="nr_eee1442a5d9749e0996f66870ccfdc4d"/>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c60b3e1e9764464380aabed9d92318b3"/>
                            <w:lock w:val="sdtLocked"/>
                            <w:richText/>
                          </w:sdtPr>
                          <w:sdtContent>
                            <w:p>
                              <w:pPr>
                                <w:ind w:firstLine="720"/>
                                <w:jc w:val="both"/>
                                <w:rPr>
                                  <w:szCs w:val="24"/>
                                  <w:lang w:eastAsia="lt-LT"/>
                                </w:rPr>
                              </w:pPr>
                              <w:sdt>
                                <w:sdtPr>
                                  <w:alias w:val="Numeris"/>
                                  <w:tag w:val="nr_c60b3e1e9764464380aabed9d92318b3"/>
                                  <w:lock w:val="sdtLocked"/>
                                  <w:richText/>
                                </w:sdtPr>
                                <w:sdtContent>
                                  <w:r>
                                    <w:rPr>
                                      <w:szCs w:val="24"/>
                                      <w:lang w:eastAsia="lt-LT"/>
                                    </w:rPr>
                                    <w:t>2.1.8.1.1</w:t>
                                  </w:r>
                                </w:sdtContent>
                              </w:sdt>
                              <w:r>
                                <w:rPr>
                                  <w:szCs w:val="24"/>
                                  <w:lang w:eastAsia="lt-LT"/>
                                </w:rPr>
                                <w:t>. dviejų šeimų ir (ar) dviejų namų ūkių artimus kontaktus, jeigu viename iš jų yra</w:t>
                              </w:r>
                              <w:r>
                                <w:rPr>
                                  <w:b/>
                                  <w:bCs/>
                                  <w:szCs w:val="24"/>
                                  <w:lang w:eastAsia="lt-LT"/>
                                </w:rPr>
                                <w:t xml:space="preserve"> </w:t>
                              </w:r>
                              <w:r>
                                <w:rPr>
                                  <w:szCs w:val="24"/>
                                  <w:lang w:eastAsia="lt-LT"/>
                                </w:rPr>
                                <w:t>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af0ed04b593f417cbdb037588b436cd2"/>
                            <w:lock w:val="sdtLocked"/>
                            <w:richText/>
                          </w:sdtPr>
                          <w:sdtContent>
                            <w:p>
                              <w:pPr>
                                <w:ind w:firstLine="720"/>
                                <w:jc w:val="both"/>
                                <w:rPr>
                                  <w:szCs w:val="24"/>
                                  <w:lang w:eastAsia="lt-LT"/>
                                </w:rPr>
                              </w:pPr>
                              <w:sdt>
                                <w:sdtPr>
                                  <w:alias w:val="Numeris"/>
                                  <w:tag w:val="nr_af0ed04b593f417cbdb037588b436cd2"/>
                                  <w:lock w:val="sdtLocked"/>
                                  <w:richText/>
                                </w:sdtPr>
                                <w:sdtContent>
                                  <w:r>
                                    <w:rPr>
                                      <w:szCs w:val="24"/>
                                      <w:lang w:eastAsia="lt-LT"/>
                                    </w:rPr>
                                    <w:t>2.1.8.1.2</w:t>
                                  </w:r>
                                </w:sdtContent>
                              </w:sdt>
                              <w:r>
                                <w:rPr>
                                  <w:szCs w:val="24"/>
                                  <w:lang w:eastAsia="lt-LT"/>
                                </w:rPr>
                                <w:t>. neatidėliotinus atvejus, kai reikia suteikti pagalbą, prižiūrėti sergančius ar negalinčius savimi pasirūpinti asmenis;</w:t>
                              </w:r>
                            </w:p>
                          </w:sdtContent>
                        </w:sdt>
                        <w:sdt>
                          <w:sdtPr>
                            <w:alias w:val="2.1.8.1.3 pp."/>
                            <w:tag w:val="part_7d926eb244f64b918fc294ca326ac20a"/>
                            <w:lock w:val="sdtLocked"/>
                            <w:richText/>
                          </w:sdtPr>
                          <w:sdtContent>
                            <w:p>
                              <w:pPr>
                                <w:ind w:firstLine="720"/>
                                <w:jc w:val="both"/>
                                <w:rPr>
                                  <w:szCs w:val="24"/>
                                  <w:shd w:val="clear" w:color="auto" w:fill="FFFFFF"/>
                                  <w:lang w:eastAsia="lt-LT"/>
                                </w:rPr>
                              </w:pPr>
                              <w:sdt>
                                <w:sdtPr>
                                  <w:alias w:val="Numeris"/>
                                  <w:tag w:val="nr_7d926eb244f64b918fc294ca326ac20a"/>
                                  <w:lock w:val="sdtLocked"/>
                                  <w:richText/>
                                </w:sdtPr>
                                <w:sdtContent>
                                  <w:r>
                                    <w:rPr>
                                      <w:szCs w:val="24"/>
                                      <w:lang w:eastAsia="lt-LT"/>
                                    </w:rPr>
                                    <w:t>2.1.8.1.3</w:t>
                                  </w:r>
                                </w:sdtContent>
                              </w:sdt>
                              <w:r>
                                <w:rPr>
                                  <w:szCs w:val="24"/>
                                  <w:lang w:eastAsia="lt-LT"/>
                                </w:rPr>
                                <w:t>. šio nutarimo 2.1.5.1 papunktyje nustatytus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a4b07484026c40cc9233b8a367b52b86"/>
                        <w:lock w:val="sdtLocked"/>
                        <w:richText/>
                      </w:sdtPr>
                      <w:sdtContent>
                        <w:p>
                          <w:pPr>
                            <w:ind w:firstLine="720"/>
                            <w:jc w:val="both"/>
                            <w:rPr>
                              <w:rFonts w:eastAsia="Calibri"/>
                              <w:szCs w:val="24"/>
                              <w:lang w:eastAsia="lt-LT"/>
                            </w:rPr>
                          </w:pPr>
                          <w:sdt>
                            <w:sdtPr>
                              <w:alias w:val="Numeris"/>
                              <w:tag w:val="nr_a4b07484026c40cc9233b8a367b52b86"/>
                              <w:lock w:val="sdtLocked"/>
                              <w:richText/>
                            </w:sdtPr>
                            <w:sdtContent>
                              <w:r>
                                <w:rPr>
                                  <w:szCs w:val="24"/>
                                  <w:shd w:val="clear" w:color="auto" w:fill="FFFFFF"/>
                                  <w:lang w:eastAsia="lt-LT"/>
                                </w:rPr>
                                <w:t>2.2.2.</w:t>
                              </w:r>
                              <w:r>
                                <w:rPr>
                                  <w:rFonts w:eastAsia="Calibri"/>
                                  <w:szCs w:val="24"/>
                                  <w:lang w:eastAsia="lt-LT"/>
                                </w:rPr>
                                <w:t>1</w:t>
                              </w:r>
                            </w:sdtContent>
                          </w:sdt>
                          <w:r>
                            <w:rPr>
                              <w:rFonts w:eastAsia="Calibri"/>
                              <w:szCs w:val="24"/>
                              <w:lang w:eastAsia="lt-LT"/>
                            </w:rPr>
                            <w:t xml:space="preserve">. parduotuvėms (įskaitant parduotuves prekybos ir (arba) pramogų centruose), kurių pagrindinė veikla yra maisto, veterinarijos, pašarų gyvūnams, vaistinių, optikos prekių ir ortopedijos techninių priemonių pardavimas; </w:t>
                          </w:r>
                        </w:p>
                      </w:sdtContent>
                    </w:sdt>
                    <w:sdt>
                      <w:sdtPr>
                        <w:alias w:val="2.2.2.2 pp."/>
                        <w:tag w:val="part_02fe5aaa323a442db46b12c71eb0a799"/>
                        <w:lock w:val="sdtLocked"/>
                        <w:richText/>
                      </w:sdtPr>
                      <w:sdtContent>
                        <w:p>
                          <w:pPr>
                            <w:ind w:firstLine="720"/>
                            <w:jc w:val="both"/>
                            <w:rPr>
                              <w:rFonts w:eastAsia="Calibri"/>
                              <w:szCs w:val="24"/>
                              <w:lang w:eastAsia="lt-LT"/>
                            </w:rPr>
                          </w:pPr>
                          <w:sdt>
                            <w:sdtPr>
                              <w:alias w:val="Numeris"/>
                              <w:tag w:val="nr_02fe5aaa323a442db46b12c71eb0a799"/>
                              <w:lock w:val="sdtLocked"/>
                              <w:richText/>
                            </w:sdtPr>
                            <w:sdtContent>
                              <w:r>
                                <w:rPr>
                                  <w:szCs w:val="24"/>
                                  <w:shd w:val="clear" w:color="auto" w:fill="FFFFFF"/>
                                  <w:lang w:eastAsia="lt-LT"/>
                                </w:rPr>
                                <w:t>2.2.2.</w:t>
                              </w:r>
                              <w:r>
                                <w:rPr>
                                  <w:rFonts w:eastAsia="Calibri"/>
                                  <w:szCs w:val="24"/>
                                  <w:lang w:eastAsia="lt-LT"/>
                                </w:rPr>
                                <w:t>2</w:t>
                              </w:r>
                            </w:sdtContent>
                          </w:sdt>
                          <w:r>
                            <w:rPr>
                              <w:rFonts w:eastAsia="Calibri"/>
                              <w:szCs w:val="24"/>
                              <w:lang w:eastAsia="lt-LT"/>
                            </w:rPr>
                            <w:t>. maisto prekybai turgavietėse ir kitose viešose prekybos vietose;</w:t>
                          </w:r>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f8f39192c58a4ef496521114c7deef1d"/>
                        <w:lock w:val="sdtLocked"/>
                        <w:richText/>
                      </w:sdtPr>
                      <w:sdtContent>
                        <w:p>
                          <w:pPr>
                            <w:ind w:firstLine="720"/>
                            <w:jc w:val="both"/>
                          </w:pPr>
                          <w:sdt>
                            <w:sdtPr>
                              <w:alias w:val="Numeris"/>
                              <w:tag w:val="nr_f8f39192c58a4ef496521114c7deef1d"/>
                              <w:lock w:val="sdtLocked"/>
                              <w:richText/>
                            </w:sdtPr>
                            <w:sdtContent>
                              <w:r>
                                <w:rPr>
                                  <w:rFonts w:eastAsia="Calibri"/>
                                  <w:szCs w:val="24"/>
                                  <w:lang w:val="en-GB" w:eastAsia="lt-LT"/>
                                </w:rPr>
                                <w:t>2.2.2.4</w:t>
                              </w:r>
                            </w:sdtContent>
                          </w:sdt>
                          <w:r>
                            <w:rPr>
                              <w:rFonts w:eastAsia="Calibri"/>
                              <w:szCs w:val="24"/>
                              <w:lang w:eastAsia="lt-LT"/>
                            </w:rPr>
                            <w:t>. lauko prekybai eglutėmis</w:t>
                          </w:r>
                          <w:r>
                            <w:rPr>
                              <w:szCs w:val="24"/>
                              <w:lang w:eastAsia="lt-LT"/>
                            </w:rPr>
                            <w:t xml:space="preserve"> ir kitais medeliais, skirtais šventėms;</w:t>
                          </w:r>
                          <w:r>
                            <w:t xml:space="preserve"> </w:t>
                          </w:r>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77aebc60f7d4a07a08a89f38677f105"/>
                    <w:lock w:val="sdtLocked"/>
                    <w:richText/>
                  </w:sdtPr>
                  <w:sdtContent>
                    <w:p>
                      <w:pPr>
                        <w:ind w:firstLine="720"/>
                        <w:jc w:val="both"/>
                        <w:rPr>
                          <w:szCs w:val="24"/>
                          <w:lang w:eastAsia="lt-LT"/>
                        </w:rPr>
                      </w:pPr>
                      <w:sdt>
                        <w:sdtPr>
                          <w:alias w:val="Numeris"/>
                          <w:tag w:val="nr_477aebc60f7d4a07a08a89f38677f105"/>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Parduotuvėse, įskaitant parduotuves prekybos ir (arba) pramogų centruose, turgavietėse ir kitose viešose prekybos vietose, kurių veikla nedraudžiama, turi būti užtikrinamas 1</w:t>
                      </w:r>
                      <w:r>
                        <w:rPr>
                          <w:szCs w:val="24"/>
                          <w:lang w:val="en-GB" w:eastAsia="lt-LT"/>
                        </w:rPr>
                        <w:t>5</w:t>
                      </w:r>
                      <w:r>
                        <w:rPr>
                          <w:szCs w:val="24"/>
                          <w:lang w:eastAsia="lt-LT"/>
                        </w:rPr>
                        <w:t xml:space="preserve"> m</w:t>
                      </w:r>
                      <w:r>
                        <w:rPr>
                          <w:szCs w:val="24"/>
                          <w:vertAlign w:val="superscript"/>
                          <w:lang w:eastAsia="lt-LT"/>
                        </w:rPr>
                        <w:t>2</w:t>
                      </w:r>
                      <w:r>
                        <w:rPr>
                          <w:szCs w:val="24"/>
                          <w:lang w:eastAsia="lt-LT"/>
                        </w:rPr>
                        <w:t xml:space="preserve"> prekybos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 pp."/>
                    <w:tag w:val="part_d9b413be7bfc45588ae483d1315f48e5"/>
                    <w:lock w:val="sdtLocked"/>
                    <w:richText/>
                  </w:sdtPr>
                  <w:sdtContent>
                    <w:p>
                      <w:pPr>
                        <w:tabs>
                          <w:tab w:val="left" w:pos="1418"/>
                        </w:tabs>
                        <w:ind w:firstLine="720"/>
                        <w:jc w:val="both"/>
                        <w:rPr>
                          <w:szCs w:val="24"/>
                          <w:lang w:eastAsia="lt-LT"/>
                        </w:rPr>
                      </w:pPr>
                      <w:sdt>
                        <w:sdtPr>
                          <w:alias w:val="Numeris"/>
                          <w:tag w:val="nr_d9b413be7bfc45588ae483d1315f48e5"/>
                          <w:lock w:val="sdtLocked"/>
                          <w:richText/>
                        </w:sdtPr>
                        <w:sdtContent>
                          <w:r>
                            <w:rPr>
                              <w:szCs w:val="24"/>
                              <w:lang w:eastAsia="lt-LT"/>
                            </w:rPr>
                            <w:t>2.2.3</w:t>
                          </w:r>
                        </w:sdtContent>
                      </w:sdt>
                      <w:r>
                        <w:rPr>
                          <w:szCs w:val="24"/>
                          <w:lang w:eastAsia="lt-LT"/>
                        </w:rPr>
                        <w:t xml:space="preserve">. Draudžiama teikti grožio, taip pat kitas paslaugas, kurių teikimo metu būtinas ilgesnis nei </w:t>
                      </w:r>
                      <w:r>
                        <w:rPr>
                          <w:szCs w:val="24"/>
                          <w:lang w:val="en-GB" w:eastAsia="lt-LT"/>
                        </w:rPr>
                        <w:t>15 minu</w:t>
                      </w:r>
                      <w:r>
                        <w:rPr>
                          <w:szCs w:val="24"/>
                          <w:lang w:eastAsia="lt-LT"/>
                        </w:rPr>
                        <w:t xml:space="preserve">čių kontaktas tarp paslaugos teikėjo ir paslaugos gavėjo. Šis draudimas netaikomas medicininės reabilitacijos paslaugoms, psichologinės pagalbos ir psichoterapijos paslaugoms, </w:t>
                      </w:r>
                      <w:r>
                        <w:rPr>
                          <w:spacing w:val="2"/>
                          <w:szCs w:val="24"/>
                          <w:lang w:eastAsia="lt-LT"/>
                        </w:rPr>
                        <w:t>keleivių vežimo už atlygį lengvaisiais automobiliais pagal užsakymą ir lengvaisiais automobiliais taksi</w:t>
                      </w:r>
                      <w:r>
                        <w:rPr>
                          <w:szCs w:val="24"/>
                          <w:lang w:eastAsia="lt-LT"/>
                        </w:rPr>
                        <w:t xml:space="preserve"> paslaugoms, advokatų teikiamoms teisinėms paslaugoms, finansinėms paslaugoms ir kvalifikuotų patikimumo užtikrinimo paslaugų teikėjų sudarytų kvalifikuotų sertifikatų išdavimo paslaugoms, kurių neįmanoma suteikti nuotoliniu būdu, taip pat toms paslaugoms, kurias leidžiama teikti pagal šio nutarimo </w:t>
                      </w:r>
                      <w:r>
                        <w:rPr>
                          <w:szCs w:val="24"/>
                          <w:lang w:val="en-US" w:eastAsia="lt-LT"/>
                        </w:rPr>
                        <w:t xml:space="preserve">2.1.6, </w:t>
                      </w:r>
                      <w:r>
                        <w:rPr>
                          <w:szCs w:val="24"/>
                          <w:shd w:val="clear" w:color="auto" w:fill="FFFFFF"/>
                          <w:lang w:eastAsia="lt-LT"/>
                        </w:rPr>
                        <w:t>2.2.4,</w:t>
                      </w:r>
                      <w:r>
                        <w:rPr>
                          <w:szCs w:val="24"/>
                          <w:lang w:eastAsia="lt-LT"/>
                        </w:rPr>
                        <w:t xml:space="preserve"> </w:t>
                      </w:r>
                      <w:r>
                        <w:rPr>
                          <w:szCs w:val="24"/>
                          <w:lang w:val="en-US" w:eastAsia="lt-LT"/>
                        </w:rPr>
                        <w:t>2.2.</w:t>
                      </w:r>
                      <w:r>
                        <w:rPr>
                          <w:szCs w:val="24"/>
                          <w:lang w:val="en-GB" w:eastAsia="lt-LT"/>
                        </w:rPr>
                        <w:t>6</w:t>
                      </w:r>
                      <w:r>
                        <w:rPr>
                          <w:szCs w:val="24"/>
                          <w:lang w:val="en-US" w:eastAsia="lt-LT"/>
                        </w:rPr>
                        <w:t xml:space="preserve">, </w:t>
                      </w:r>
                      <w:r>
                        <w:rPr>
                          <w:szCs w:val="24"/>
                          <w:lang w:eastAsia="lt-LT"/>
                        </w:rPr>
                        <w:t>2.2.6</w:t>
                      </w:r>
                      <w:r>
                        <w:rPr>
                          <w:szCs w:val="24"/>
                          <w:vertAlign w:val="superscript"/>
                          <w:lang w:eastAsia="lt-LT"/>
                        </w:rPr>
                        <w:t>1</w:t>
                      </w:r>
                      <w:r>
                        <w:rPr>
                          <w:szCs w:val="24"/>
                          <w:lang w:eastAsia="lt-LT"/>
                        </w:rPr>
                        <w:t>, 2.2.7, 2.2.9–2.2.11 papunkčius. Paslaugų, kurios šiuo nutarimu nedraudžiamos, teikimo vietose (išskyrus apgyvendinimo paslaugų teikimo vietas) turi būti užtikrinamas 10 m</w:t>
                      </w:r>
                      <w:r>
                        <w:rPr>
                          <w:szCs w:val="24"/>
                          <w:vertAlign w:val="superscript"/>
                          <w:lang w:eastAsia="lt-LT"/>
                        </w:rPr>
                        <w:t>2</w:t>
                      </w:r>
                      <w:r>
                        <w:rPr>
                          <w:szCs w:val="24"/>
                          <w:lang w:eastAsia="lt-LT"/>
                        </w:rPr>
                        <w:t xml:space="preserve"> paslaugos teikimo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8fe1837f3dd94b7e98a2239d0bed8a1c"/>
                    <w:lock w:val="sdtLocked"/>
                    <w:richText/>
                  </w:sdtPr>
                  <w:sdtContent>
                    <w:p>
                      <w:pPr>
                        <w:ind w:firstLine="720"/>
                        <w:jc w:val="both"/>
                      </w:pPr>
                      <w:sdt>
                        <w:sdtPr>
                          <w:alias w:val="Numeris"/>
                          <w:tag w:val="nr_8fe1837f3dd94b7e98a2239d0bed8a1c"/>
                          <w:lock w:val="sdtLocked"/>
                          <w:richText/>
                        </w:sdtPr>
                        <w:sdtContent>
                          <w:r>
                            <w:rPr>
                              <w:szCs w:val="24"/>
                              <w:shd w:val="clear" w:color="auto" w:fill="FFFFFF"/>
                              <w:lang w:eastAsia="lt-LT"/>
                            </w:rPr>
                            <w:t>2.2.6</w:t>
                          </w:r>
                        </w:sdtContent>
                      </w:sdt>
                      <w:r>
                        <w:rPr>
                          <w:szCs w:val="24"/>
                          <w:shd w:val="clear" w:color="auto" w:fill="FFFFFF"/>
                          <w:lang w:eastAsia="lt-LT"/>
                        </w:rPr>
                        <w:t xml:space="preserve">. </w:t>
                      </w:r>
                      <w:r>
                        <w:rPr>
                          <w:szCs w:val="24"/>
                          <w:lang w:eastAsia="lt-LT"/>
                        </w:rPr>
                        <w:t>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d8cf311a9c384853b15c4c399d66d4ea"/>
                        <w:lock w:val="sdtLocked"/>
                        <w:richText/>
                      </w:sdtPr>
                      <w:sdtContent>
                        <w:p>
                          <w:pPr>
                            <w:ind w:firstLine="720"/>
                            <w:jc w:val="both"/>
                            <w:rPr>
                              <w:szCs w:val="24"/>
                              <w:lang w:eastAsia="lt-LT"/>
                            </w:rPr>
                          </w:pPr>
                          <w:sdt>
                            <w:sdtPr>
                              <w:alias w:val="Numeris"/>
                              <w:tag w:val="nr_d8cf311a9c384853b15c4c399d66d4ea"/>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c5c74bf8937748fa8f548b6462c947f3"/>
                        <w:lock w:val="sdtLocked"/>
                        <w:richText/>
                      </w:sdtPr>
                      <w:sdtContent>
                        <w:p>
                          <w:pPr>
                            <w:ind w:firstLine="720"/>
                            <w:jc w:val="both"/>
                            <w:rPr>
                              <w:szCs w:val="24"/>
                              <w:lang w:eastAsia="lt-LT"/>
                            </w:rPr>
                          </w:pPr>
                          <w:sdt>
                            <w:sdtPr>
                              <w:alias w:val="Numeris"/>
                              <w:tag w:val="nr_c5c74bf8937748fa8f548b6462c947f3"/>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bei jūrininkų praktinius mokymus, taip pat užsienio kalbos mokėjimo lygio vertinimo egzaminus (įskaitas) asmenims, stojantiems į užsienio aukštąsias mokyklas, kai dalyvauja ne daugiau kaip 5 asmenys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ef64defcb2e74807bd12ec78951b4c9f"/>
            <w:lock w:val="sdtLocked"/>
            <w:richText/>
          </w:sdtPr>
          <w:sdtContent>
            <w:p>
              <w:pPr>
                <w:tabs>
                  <w:tab w:val="left" w:pos="1134"/>
                </w:tabs>
                <w:ind w:firstLine="720"/>
                <w:jc w:val="both"/>
                <w:rPr>
                  <w:szCs w:val="24"/>
                  <w:lang w:eastAsia="lt-LT"/>
                </w:rPr>
              </w:pPr>
              <w:sdt>
                <w:sdtPr>
                  <w:alias w:val="Numeris"/>
                  <w:tag w:val="nr_ef64defcb2e74807bd12ec78951b4c9f"/>
                  <w:lock w:val="sdtLocked"/>
                  <w:richText/>
                </w:sdtPr>
                <w:sdtContent>
                  <w:r>
                    <w:rPr>
                      <w:szCs w:val="24"/>
                      <w:shd w:val="clear" w:color="auto" w:fill="FFFFFF"/>
                      <w:lang w:eastAsia="lt-LT"/>
                    </w:rPr>
                    <w:t>5</w:t>
                  </w:r>
                </w:sdtContent>
              </w:sdt>
              <w:r>
                <w:rPr>
                  <w:szCs w:val="24"/>
                  <w:shd w:val="clear" w:color="auto" w:fill="FFFFFF"/>
                  <w:lang w:eastAsia="lt-LT"/>
                </w:rPr>
                <w:t>. Karantino režimo trukmė – nuo 2020 m. lapkričio 7 d. 00:00 val. iki 2021 m. vasario 28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b911ed37911046aaa5c31626791cbee9"/>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b911ed37911046aaa5c31626791cbee9"/>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396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9.xml"/>
  <Relationship Id="rId11" Type="http://schemas.openxmlformats.org/officeDocument/2006/relationships/header" Target="header50.xml"/>
  <Relationship Id="rId12" Type="http://schemas.openxmlformats.org/officeDocument/2006/relationships/footer" Target="footer49.xml"/>
  <Relationship Id="rId13" Type="http://schemas.openxmlformats.org/officeDocument/2006/relationships/footer" Target="footer50.xml"/>
  <Relationship Id="rId14" Type="http://schemas.openxmlformats.org/officeDocument/2006/relationships/header" Target="header51.xml"/>
  <Relationship Id="rId15" Type="http://schemas.openxmlformats.org/officeDocument/2006/relationships/footer" Target="footer5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ca300ce7c29049098100e2a20e64f946"/>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ee1d82564c6f4b3f9ab3dc97767d3ada"/>
        <Part Type="papunktis" Nr="2.1.8" Abbr="2.1.8 pp." DocPartId="03ed9f9233b1464e9c619f99ef7da538" PartId="5ee9d364cd0044e0a99d99dcb8a99672">
          <Part Type="papunktis" Nr="2.1.8.1" Abbr="2.1.8.1 pp." DocPartId="161b3ccdd90d4554b6a6adf8e2e555d6" PartId="eee1442a5d9749e0996f66870ccfdc4d">
            <Part Type="papunktis" Nr="2.1.8.1.1" Abbr="2.1.8.1.1 pp." DocPartId="0cef03e99e86419b9286218a5504af9d" PartId="c60b3e1e9764464380aabed9d92318b3"/>
            <Part Type="papunktis" Nr="2.1.8.1.2" Abbr="2.1.8.1.2 pp." DocPartId="ead9ac71855d4ce4b88054f154c4a63f" PartId="af0ed04b593f417cbdb037588b436cd2"/>
            <Part Type="papunktis" Nr="2.1.8.1.3" Abbr="2.1.8.1.3 pp." DocPartId="ae5ceda966af4de5bfad02b7b3ef9f44" PartId="7d926eb244f64b918fc294ca326ac20a"/>
          </Part>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a4b07484026c40cc9233b8a367b52b86"/>
          <Part Type="papunktis" Nr="2.2.2.2" Abbr="2.2.2.2 pp." DocPartId="fb7a210718c64d62924d35e07205d64a" PartId="02fe5aaa323a442db46b12c71eb0a799"/>
          <Part Type="papunktis" Nr="2.2.2.3" Abbr="2.2.2.3 pp." DocPartId="716118d28a484da7a1f726c0a1b6520c" PartId="b5b5b65a8d9a41cab9623cc8a46fc6bd"/>
          <Part Type="papunktis" Nr="2.2.2.4" Abbr="2.2.2.4 pp." DocPartId="cac039cc850743c6b2b8141d3e47f684" PartId="f8f39192c58a4ef496521114c7deef1d"/>
          <Part Type="papunktis" Nr="2.2.2.5" Abbr="2.2.2.5 pp." DocPartId="8b735764867347b7b70e8cd0189addc5" PartId="4ed5c202d2d04b7d9b5ea4f6f71da4d7"/>
        </Part>
        <Part Type="papunktis" Nr="2.2.2" Abbr="2.2.2 pp." DocPartId="47e35d3d85f7486aa5428c0b13523d40" PartId="477aebc60f7d4a07a08a89f38677f105"/>
        <Part Type="papunktis" Nr="2.2.3" Abbr="2.2.3 pp." DocPartId="bcc5c49ba58c431ab3d87de22de791e6" PartId="d9b413be7bfc45588ae483d1315f48e5"/>
        <Part Type="papunktis" Nr="2.2.3-1" Abbr="2.2.3-1 pp." DocPartId="eb4e35e9b2ea4ab28c39efeb6bc2a1a9" PartId="a0be78ba046a4187a295298ea97c778e"/>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8fe1837f3dd94b7e98a2239d0bed8a1c"/>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d8cf311a9c384853b15c4c399d66d4ea"/>
          <Part Type="papunktis" Nr="2.2.9.3" Abbr="2.2.9.3 pp." DocPartId="67e918b206064a3b995a2c5c212d137b" PartId="9d3879e48d8846a29b688ab3dcc1ff91"/>
          <Part Type="papunktis" Nr="2.2.9.4" Abbr="2.2.9.4 pp." DocPartId="e60ad632291442fe93773586043fcccf" PartId="c5c74bf8937748fa8f548b6462c947f3"/>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ef64defcb2e74807bd12ec78951b4c9f"/>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b911ed37911046aaa5c31626791cbee9">
    <Part Type="pabaiga" DocPartId="8aa7d51d84b848debd65b12b26547c89" PartId="eeabe54f6d92436eb4751102dd485d22"/>
  </Part>
</Parts>
</file>

<file path=customXml/itemProps1.xml><?xml version="1.0" encoding="utf-8"?>
<ds:datastoreItem xmlns:ds="http://schemas.openxmlformats.org/officeDocument/2006/customXml" ds:itemID="{6F4B8DD7-40CE-4F83-A4D2-A821F0968D1C}">
  <ds:schemaRefs>
    <ds:schemaRef ds:uri="http://lrs.lt/TAIS/DocParts"/>
  </ds:schemaRefs>
</ds:datastoreItem>
</file>

<file path=docProps/app.xml><?xml version="1.0" encoding="utf-8"?>
<Properties xmlns="http://schemas.openxmlformats.org/officeDocument/2006/extended-properties">
  <Template>Normal.dotm</Template>
  <TotalTime>47</TotalTime>
  <Pages>13</Pages>
  <Words>4716</Words>
  <Characters>35616</Characters>
  <Application>Microsoft Office Word</Application>
  <DocSecurity>0</DocSecurity>
  <Lines>296</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40252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2021-01-28T12:08:00Z</dcterms:modified>
  <revision>22</revision>
</coreProperties>
</file>