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2021-05-31 iki 2021-05-31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67b37dbd7be94573b1a94ef15c28b780"/>
                        <w:lock w:val="sdtLocked"/>
                        <w:richText/>
                      </w:sdtPr>
                      <w:sdtContent>
                        <w:p>
                          <w:pPr>
                            <w:tabs>
                              <w:tab w:val="left" w:pos="1276"/>
                              <w:tab w:val="left" w:pos="1560"/>
                            </w:tabs>
                            <w:ind w:firstLine="720"/>
                            <w:jc w:val="both"/>
                            <w:rPr>
                              <w:szCs w:val="24"/>
                              <w:lang w:eastAsia="lt-LT"/>
                            </w:rPr>
                          </w:pPr>
                          <w:sdt>
                            <w:sdtPr>
                              <w:alias w:val="Numeris"/>
                              <w:tag w:val="nr_67b37dbd7be94573b1a94ef15c28b780"/>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2ed6e9773699485e85991233e859bc82"/>
                            <w:lock w:val="sdtLocked"/>
                            <w:richText/>
                          </w:sdtPr>
                          <w:sdtContent>
                            <w:p>
                              <w:pPr>
                                <w:tabs>
                                  <w:tab w:val="left" w:pos="1560"/>
                                </w:tabs>
                                <w:ind w:firstLine="720"/>
                                <w:jc w:val="both"/>
                                <w:rPr>
                                  <w:szCs w:val="24"/>
                                  <w:lang w:eastAsia="lt-LT"/>
                                </w:rPr>
                              </w:pPr>
                              <w:sdt>
                                <w:sdtPr>
                                  <w:alias w:val="Numeris"/>
                                  <w:tag w:val="nr_2ed6e9773699485e85991233e859bc82"/>
                                  <w:lock w:val="sdtLocked"/>
                                  <w:richText/>
                                </w:sdtPr>
                                <w:sdtContent>
                                  <w:r>
                                    <w:rPr>
                                      <w:szCs w:val="24"/>
                                      <w:lang w:eastAsia="lt-LT"/>
                                    </w:rPr>
                                    <w:t>2.1.1.1.1</w:t>
                                  </w:r>
                                </w:sdtContent>
                              </w:sdt>
                              <w:r>
                                <w:rPr>
                                  <w:szCs w:val="24"/>
                                  <w:lang w:eastAsia="lt-LT"/>
                                </w:rPr>
                                <w:t>. Ramoniškiai–Pograničnyj;</w:t>
                              </w:r>
                            </w:p>
                          </w:sdtContent>
                        </w:sdt>
                        <w:sdt>
                          <w:sdtPr>
                            <w:alias w:val="2.1.1.1.2 pp."/>
                            <w:tag w:val="part_ddbaf681e5b941ac80a4957524ab4248"/>
                            <w:lock w:val="sdtLocked"/>
                            <w:richText/>
                          </w:sdtPr>
                          <w:sdtContent>
                            <w:p>
                              <w:pPr>
                                <w:tabs>
                                  <w:tab w:val="left" w:pos="1560"/>
                                </w:tabs>
                                <w:ind w:firstLine="720"/>
                                <w:jc w:val="both"/>
                                <w:rPr>
                                  <w:szCs w:val="24"/>
                                  <w:lang w:eastAsia="lt-LT"/>
                                </w:rPr>
                              </w:pPr>
                              <w:sdt>
                                <w:sdtPr>
                                  <w:alias w:val="Numeris"/>
                                  <w:tag w:val="nr_ddbaf681e5b941ac80a4957524ab4248"/>
                                  <w:lock w:val="sdtLocked"/>
                                  <w:richText/>
                                </w:sdtPr>
                                <w:sdtContent>
                                  <w:r>
                                    <w:rPr>
                                      <w:szCs w:val="24"/>
                                      <w:lang w:eastAsia="lt-LT"/>
                                    </w:rPr>
                                    <w:t>2.1.1.1.2</w:t>
                                  </w:r>
                                </w:sdtContent>
                              </w:sdt>
                              <w:r>
                                <w:rPr>
                                  <w:szCs w:val="24"/>
                                  <w:lang w:eastAsia="lt-LT"/>
                                </w:rPr>
                                <w:t>. Nida–Morskoje;</w:t>
                              </w:r>
                            </w:p>
                          </w:sdtContent>
                        </w:sdt>
                        <w:sdt>
                          <w:sdtPr>
                            <w:alias w:val="2.1.1.1.3 pp."/>
                            <w:tag w:val="part_f86c9007b10b49869f1c98497414ad8c"/>
                            <w:lock w:val="sdtLocked"/>
                            <w:richText/>
                          </w:sdtPr>
                          <w:sdtContent>
                            <w:p>
                              <w:pPr>
                                <w:tabs>
                                  <w:tab w:val="left" w:pos="1560"/>
                                </w:tabs>
                                <w:ind w:firstLine="720"/>
                                <w:jc w:val="both"/>
                                <w:rPr>
                                  <w:szCs w:val="24"/>
                                  <w:lang w:eastAsia="lt-LT"/>
                                </w:rPr>
                              </w:pPr>
                              <w:sdt>
                                <w:sdtPr>
                                  <w:alias w:val="Numeris"/>
                                  <w:tag w:val="nr_f86c9007b10b49869f1c98497414ad8c"/>
                                  <w:lock w:val="sdtLocked"/>
                                  <w:richText/>
                                </w:sdtPr>
                                <w:sdtContent>
                                  <w:r>
                                    <w:rPr>
                                      <w:szCs w:val="24"/>
                                      <w:lang w:eastAsia="lt-LT"/>
                                    </w:rPr>
                                    <w:t>2.1.1.1.3</w:t>
                                  </w:r>
                                </w:sdtContent>
                              </w:sdt>
                              <w:r>
                                <w:rPr>
                                  <w:szCs w:val="24"/>
                                  <w:lang w:eastAsia="lt-LT"/>
                                </w:rPr>
                                <w:t>. Adutiškis–Moldevičiai;</w:t>
                              </w:r>
                            </w:p>
                          </w:sdtContent>
                        </w:sdt>
                        <w:sdt>
                          <w:sdtPr>
                            <w:alias w:val="2.1.1.1.4 pp."/>
                            <w:tag w:val="part_8a528507540f49309423f25f1872d0b8"/>
                            <w:lock w:val="sdtLocked"/>
                            <w:richText/>
                          </w:sdtPr>
                          <w:sdtContent>
                            <w:p>
                              <w:pPr>
                                <w:tabs>
                                  <w:tab w:val="left" w:pos="1560"/>
                                </w:tabs>
                                <w:ind w:firstLine="720"/>
                                <w:jc w:val="both"/>
                                <w:rPr>
                                  <w:szCs w:val="24"/>
                                  <w:lang w:eastAsia="lt-LT"/>
                                </w:rPr>
                              </w:pPr>
                              <w:sdt>
                                <w:sdtPr>
                                  <w:alias w:val="Numeris"/>
                                  <w:tag w:val="nr_8a528507540f49309423f25f1872d0b8"/>
                                  <w:lock w:val="sdtLocked"/>
                                  <w:richText/>
                                </w:sdtPr>
                                <w:sdtContent>
                                  <w:r>
                                    <w:rPr>
                                      <w:szCs w:val="24"/>
                                      <w:lang w:eastAsia="lt-LT"/>
                                    </w:rPr>
                                    <w:t>2.1.1.1.4</w:t>
                                  </w:r>
                                </w:sdtContent>
                              </w:sdt>
                              <w:r>
                                <w:rPr>
                                  <w:szCs w:val="24"/>
                                  <w:lang w:eastAsia="lt-LT"/>
                                </w:rPr>
                                <w:t>. Krakūnai–Geranainys;</w:t>
                              </w:r>
                            </w:p>
                          </w:sdtContent>
                        </w:sdt>
                        <w:sdt>
                          <w:sdtPr>
                            <w:alias w:val="2.1.1.1.5 pp."/>
                            <w:tag w:val="part_c8e8e94e2524401994a8e598597bdae3"/>
                            <w:lock w:val="sdtLocked"/>
                            <w:richText/>
                          </w:sdtPr>
                          <w:sdtContent>
                            <w:p>
                              <w:pPr>
                                <w:tabs>
                                  <w:tab w:val="left" w:pos="1560"/>
                                </w:tabs>
                                <w:ind w:firstLine="720"/>
                                <w:jc w:val="both"/>
                                <w:rPr>
                                  <w:szCs w:val="24"/>
                                  <w:lang w:eastAsia="lt-LT"/>
                                </w:rPr>
                              </w:pPr>
                              <w:sdt>
                                <w:sdtPr>
                                  <w:alias w:val="Numeris"/>
                                  <w:tag w:val="nr_c8e8e94e2524401994a8e598597bdae3"/>
                                  <w:lock w:val="sdtLocked"/>
                                  <w:richText/>
                                </w:sdtPr>
                                <w:sdtContent>
                                  <w:r>
                                    <w:rPr>
                                      <w:szCs w:val="24"/>
                                      <w:lang w:eastAsia="lt-LT"/>
                                    </w:rPr>
                                    <w:t>2.1.1.1.5</w:t>
                                  </w:r>
                                </w:sdtContent>
                              </w:sdt>
                              <w:r>
                                <w:rPr>
                                  <w:szCs w:val="24"/>
                                  <w:lang w:eastAsia="lt-LT"/>
                                </w:rPr>
                                <w:t>. Eišiškės–Dotiškės;</w:t>
                              </w:r>
                            </w:p>
                          </w:sdtContent>
                        </w:sdt>
                        <w:sdt>
                          <w:sdtPr>
                            <w:alias w:val="2.1.1.1.6 pp."/>
                            <w:tag w:val="part_f906968f389d4958b5c57403a7a8f209"/>
                            <w:lock w:val="sdtLocked"/>
                            <w:richText/>
                          </w:sdtPr>
                          <w:sdtContent>
                            <w:p>
                              <w:pPr>
                                <w:tabs>
                                  <w:tab w:val="left" w:pos="1560"/>
                                </w:tabs>
                                <w:ind w:firstLine="720"/>
                                <w:jc w:val="both"/>
                                <w:rPr>
                                  <w:szCs w:val="24"/>
                                  <w:lang w:eastAsia="lt-LT"/>
                                </w:rPr>
                              </w:pPr>
                              <w:sdt>
                                <w:sdtPr>
                                  <w:alias w:val="Numeris"/>
                                  <w:tag w:val="nr_f906968f389d4958b5c57403a7a8f209"/>
                                  <w:lock w:val="sdtLocked"/>
                                  <w:richText/>
                                </w:sdtPr>
                                <w:sdtContent>
                                  <w:r>
                                    <w:rPr>
                                      <w:szCs w:val="24"/>
                                      <w:lang w:eastAsia="lt-LT"/>
                                    </w:rPr>
                                    <w:t>2.1.1.1.6</w:t>
                                  </w:r>
                                </w:sdtContent>
                              </w:sdt>
                              <w:r>
                                <w:rPr>
                                  <w:szCs w:val="24"/>
                                  <w:lang w:eastAsia="lt-LT"/>
                                </w:rPr>
                                <w:t>. Rakai–Petiulevcai;</w:t>
                              </w:r>
                            </w:p>
                          </w:sdtContent>
                        </w:sdt>
                        <w:sdt>
                          <w:sdtPr>
                            <w:alias w:val="2.1.1.1.7 pp."/>
                            <w:tag w:val="part_d97450ebe8964777b4d2400c5972a7c4"/>
                            <w:lock w:val="sdtLocked"/>
                            <w:richText/>
                          </w:sdtPr>
                          <w:sdtContent>
                            <w:p>
                              <w:pPr>
                                <w:tabs>
                                  <w:tab w:val="left" w:pos="1560"/>
                                </w:tabs>
                                <w:ind w:firstLine="720"/>
                                <w:jc w:val="both"/>
                                <w:rPr>
                                  <w:szCs w:val="24"/>
                                  <w:lang w:eastAsia="lt-LT"/>
                                </w:rPr>
                              </w:pPr>
                              <w:sdt>
                                <w:sdtPr>
                                  <w:alias w:val="Numeris"/>
                                  <w:tag w:val="nr_d97450ebe8964777b4d2400c5972a7c4"/>
                                  <w:lock w:val="sdtLocked"/>
                                  <w:richText/>
                                </w:sdtPr>
                                <w:sdtContent>
                                  <w:r>
                                    <w:rPr>
                                      <w:szCs w:val="24"/>
                                      <w:lang w:eastAsia="lt-LT"/>
                                    </w:rPr>
                                    <w:t>2.1.1.1.7</w:t>
                                  </w:r>
                                </w:sdtContent>
                              </w:sdt>
                              <w:r>
                                <w:rPr>
                                  <w:szCs w:val="24"/>
                                  <w:lang w:eastAsia="lt-LT"/>
                                </w:rPr>
                                <w:t>. Norviliškės–Pickūnai;</w:t>
                              </w:r>
                            </w:p>
                          </w:sdtContent>
                        </w:sdt>
                        <w:sdt>
                          <w:sdtPr>
                            <w:alias w:val="2.1.1.1.8 pp."/>
                            <w:tag w:val="part_cbb415b617a344a2971169dd86b8b28d"/>
                            <w:lock w:val="sdtLocked"/>
                            <w:richText/>
                          </w:sdtPr>
                          <w:sdtContent>
                            <w:p>
                              <w:pPr>
                                <w:tabs>
                                  <w:tab w:val="left" w:pos="1560"/>
                                </w:tabs>
                                <w:ind w:firstLine="720"/>
                                <w:jc w:val="both"/>
                                <w:rPr>
                                  <w:szCs w:val="24"/>
                                  <w:lang w:eastAsia="lt-LT"/>
                                </w:rPr>
                              </w:pPr>
                              <w:sdt>
                                <w:sdtPr>
                                  <w:alias w:val="Numeris"/>
                                  <w:tag w:val="nr_cbb415b617a344a2971169dd86b8b28d"/>
                                  <w:lock w:val="sdtLocked"/>
                                  <w:richText/>
                                </w:sdtPr>
                                <w:sdtContent>
                                  <w:r>
                                    <w:rPr>
                                      <w:szCs w:val="24"/>
                                      <w:lang w:eastAsia="lt-LT"/>
                                    </w:rPr>
                                    <w:t>2.1.1.1.8</w:t>
                                  </w:r>
                                </w:sdtContent>
                              </w:sdt>
                              <w:r>
                                <w:rPr>
                                  <w:szCs w:val="24"/>
                                  <w:lang w:eastAsia="lt-LT"/>
                                </w:rPr>
                                <w:t>. Latežeris–Pariečė;</w:t>
                              </w:r>
                            </w:p>
                          </w:sdtContent>
                        </w:sdt>
                        <w:sdt>
                          <w:sdtPr>
                            <w:alias w:val="2.1.1.1.9 pp."/>
                            <w:tag w:val="part_b7746d74eec744f7baf018cf38d61b06"/>
                            <w:lock w:val="sdtLocked"/>
                            <w:richText/>
                          </w:sdtPr>
                          <w:sdtContent>
                            <w:p>
                              <w:pPr>
                                <w:tabs>
                                  <w:tab w:val="left" w:pos="1560"/>
                                </w:tabs>
                                <w:ind w:firstLine="720"/>
                                <w:jc w:val="both"/>
                                <w:rPr>
                                  <w:szCs w:val="24"/>
                                  <w:lang w:eastAsia="lt-LT"/>
                                </w:rPr>
                              </w:pPr>
                              <w:sdt>
                                <w:sdtPr>
                                  <w:alias w:val="Numeris"/>
                                  <w:tag w:val="nr_b7746d74eec744f7baf018cf38d61b06"/>
                                  <w:lock w:val="sdtLocked"/>
                                  <w:richText/>
                                </w:sdtPr>
                                <w:sdtContent>
                                  <w:r>
                                    <w:rPr>
                                      <w:szCs w:val="24"/>
                                      <w:lang w:eastAsia="lt-LT"/>
                                    </w:rPr>
                                    <w:t>2.1.1.1.9</w:t>
                                  </w:r>
                                </w:sdtContent>
                              </w:sdt>
                              <w:r>
                                <w:rPr>
                                  <w:szCs w:val="24"/>
                                  <w:lang w:eastAsia="lt-LT"/>
                                </w:rPr>
                                <w:t>. Švendubrė–Privalka;</w:t>
                              </w:r>
                            </w:p>
                          </w:sdtContent>
                        </w:sdt>
                        <w:sdt>
                          <w:sdtPr>
                            <w:alias w:val="2.1.1.1.10 pp."/>
                            <w:tag w:val="part_434c5e5e0a154117ba7e94aef6c8595c"/>
                            <w:lock w:val="sdtLocked"/>
                            <w:richText/>
                          </w:sdtPr>
                          <w:sdtContent>
                            <w:p>
                              <w:pPr>
                                <w:tabs>
                                  <w:tab w:val="left" w:pos="1560"/>
                                </w:tabs>
                                <w:ind w:firstLine="720"/>
                                <w:jc w:val="both"/>
                                <w:rPr>
                                  <w:szCs w:val="24"/>
                                  <w:lang w:eastAsia="lt-LT"/>
                                </w:rPr>
                              </w:pPr>
                              <w:sdt>
                                <w:sdtPr>
                                  <w:alias w:val="Numeris"/>
                                  <w:tag w:val="nr_434c5e5e0a154117ba7e94aef6c8595c"/>
                                  <w:lock w:val="sdtLocked"/>
                                  <w:richText/>
                                </w:sdtPr>
                                <w:sdtContent>
                                  <w:r>
                                    <w:rPr>
                                      <w:szCs w:val="24"/>
                                      <w:lang w:eastAsia="lt-LT"/>
                                    </w:rPr>
                                    <w:t>2.1.1.1.10</w:t>
                                  </w:r>
                                </w:sdtContent>
                              </w:sdt>
                              <w:r>
                                <w:rPr>
                                  <w:szCs w:val="24"/>
                                  <w:lang w:eastAsia="lt-LT"/>
                                </w:rPr>
                                <w:t>. Nida–Rybačij;</w:t>
                              </w:r>
                            </w:p>
                          </w:sdtContent>
                        </w:sdt>
                        <w:sdt>
                          <w:sdtPr>
                            <w:alias w:val="2.1.1.1.11 pp."/>
                            <w:tag w:val="part_dff917465f864216aafa570c9e418b63"/>
                            <w:lock w:val="sdtLocked"/>
                            <w:richText/>
                          </w:sdtPr>
                          <w:sdtContent>
                            <w:p>
                              <w:pPr>
                                <w:tabs>
                                  <w:tab w:val="left" w:pos="1560"/>
                                </w:tabs>
                                <w:ind w:firstLine="720"/>
                                <w:jc w:val="both"/>
                                <w:rPr>
                                  <w:szCs w:val="24"/>
                                  <w:lang w:eastAsia="lt-LT"/>
                                </w:rPr>
                              </w:pPr>
                              <w:sdt>
                                <w:sdtPr>
                                  <w:alias w:val="Numeris"/>
                                  <w:tag w:val="nr_dff917465f864216aafa570c9e418b63"/>
                                  <w:lock w:val="sdtLocked"/>
                                  <w:richText/>
                                </w:sdtPr>
                                <w:sdtContent>
                                  <w:r>
                                    <w:rPr>
                                      <w:szCs w:val="24"/>
                                      <w:lang w:eastAsia="lt-LT"/>
                                    </w:rPr>
                                    <w:t>2.1.1.1.11</w:t>
                                  </w:r>
                                </w:sdtContent>
                              </w:sdt>
                              <w:r>
                                <w:rPr>
                                  <w:szCs w:val="24"/>
                                  <w:lang w:eastAsia="lt-LT"/>
                                </w:rPr>
                                <w:t>. Jurbarkas–Sovetskas;</w:t>
                              </w:r>
                            </w:p>
                          </w:sdtContent>
                        </w:sdt>
                        <w:sdt>
                          <w:sdtPr>
                            <w:alias w:val="2.1.1.1.12 pp."/>
                            <w:tag w:val="part_6eea73bafbc4454780856341112ea77e"/>
                            <w:lock w:val="sdtLocked"/>
                            <w:richText/>
                          </w:sdtPr>
                          <w:sdtContent>
                            <w:p>
                              <w:pPr>
                                <w:tabs>
                                  <w:tab w:val="left" w:pos="1560"/>
                                </w:tabs>
                                <w:ind w:firstLine="720"/>
                                <w:jc w:val="both"/>
                                <w:rPr>
                                  <w:szCs w:val="24"/>
                                  <w:lang w:eastAsia="lt-LT"/>
                                </w:rPr>
                              </w:pPr>
                              <w:sdt>
                                <w:sdtPr>
                                  <w:alias w:val="Numeris"/>
                                  <w:tag w:val="nr_6eea73bafbc4454780856341112ea77e"/>
                                  <w:lock w:val="sdtLocked"/>
                                  <w:richText/>
                                </w:sdtPr>
                                <w:sdtContent>
                                  <w:r>
                                    <w:rPr>
                                      <w:szCs w:val="24"/>
                                      <w:lang w:eastAsia="lt-LT"/>
                                    </w:rPr>
                                    <w:t>2.1.1.1.12</w:t>
                                  </w:r>
                                </w:sdtContent>
                              </w:sdt>
                              <w:r>
                                <w:rPr>
                                  <w:szCs w:val="24"/>
                                  <w:lang w:eastAsia="lt-LT"/>
                                </w:rPr>
                                <w:t>. Rusnė–Sovetskas.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7a62152d47a54b28a6cd390252287e62"/>
                            <w:lock w:val="sdtLocked"/>
                            <w:richText/>
                          </w:sdtPr>
                          <w:sdtContent>
                            <w:p>
                              <w:pPr>
                                <w:ind w:firstLine="720"/>
                                <w:jc w:val="both"/>
                                <w:rPr>
                                  <w:szCs w:val="24"/>
                                  <w:lang w:eastAsia="lt-LT"/>
                                </w:rPr>
                              </w:pPr>
                              <w:sdt>
                                <w:sdtPr>
                                  <w:alias w:val="Numeris"/>
                                  <w:tag w:val="nr_7a62152d47a54b28a6cd390252287e62"/>
                                  <w:lock w:val="sdtLocked"/>
                                  <w:richText/>
                                </w:sdtPr>
                                <w:sdtContent>
                                  <w:r>
                                    <w:rPr>
                                      <w:szCs w:val="24"/>
                                      <w:lang w:eastAsia="lt-LT"/>
                                    </w:rPr>
                                    <w:t>2.1.1.2.1</w:t>
                                  </w:r>
                                </w:sdtContent>
                              </w:sdt>
                              <w:r>
                                <w:rPr>
                                  <w:szCs w:val="24"/>
                                  <w:lang w:eastAsia="lt-LT"/>
                                </w:rPr>
                                <w:t>. automobilių kelių:</w:t>
                              </w:r>
                            </w:p>
                            <w:sdt>
                              <w:sdtPr>
                                <w:alias w:val="2.1.1.2.1.1 pp."/>
                                <w:tag w:val="part_02ff808f59884bf596a1c92a5d463a53"/>
                                <w:lock w:val="sdtLocked"/>
                                <w:richText/>
                              </w:sdtPr>
                              <w:sdtContent>
                                <w:p>
                                  <w:pPr>
                                    <w:ind w:firstLine="720"/>
                                    <w:jc w:val="both"/>
                                    <w:rPr>
                                      <w:szCs w:val="24"/>
                                      <w:lang w:eastAsia="lt-LT"/>
                                    </w:rPr>
                                  </w:pPr>
                                  <w:sdt>
                                    <w:sdtPr>
                                      <w:alias w:val="Numeris"/>
                                      <w:tag w:val="nr_02ff808f59884bf596a1c92a5d463a53"/>
                                      <w:lock w:val="sdtLocked"/>
                                      <w:richText/>
                                    </w:sdtPr>
                                    <w:sdtContent>
                                      <w:r>
                                        <w:rPr>
                                          <w:szCs w:val="24"/>
                                          <w:lang w:eastAsia="lt-LT"/>
                                        </w:rPr>
                                        <w:t>2.1.1.2.1.1</w:t>
                                      </w:r>
                                    </w:sdtContent>
                                  </w:sdt>
                                  <w:r>
                                    <w:rPr>
                                      <w:szCs w:val="24"/>
                                      <w:lang w:eastAsia="lt-LT"/>
                                    </w:rPr>
                                    <w:t>. Medininkai–Kamenyj Log;</w:t>
                                  </w:r>
                                </w:p>
                              </w:sdtContent>
                            </w:sdt>
                            <w:sdt>
                              <w:sdtPr>
                                <w:alias w:val="2.1.1.2.1.2 pp."/>
                                <w:tag w:val="part_f7a25b548a044f04836f8059d576bdd3"/>
                                <w:lock w:val="sdtLocked"/>
                                <w:richText/>
                              </w:sdtPr>
                              <w:sdtContent>
                                <w:p>
                                  <w:pPr>
                                    <w:ind w:firstLine="720"/>
                                    <w:jc w:val="both"/>
                                    <w:rPr>
                                      <w:szCs w:val="24"/>
                                      <w:lang w:eastAsia="lt-LT"/>
                                    </w:rPr>
                                  </w:pPr>
                                  <w:sdt>
                                    <w:sdtPr>
                                      <w:alias w:val="Numeris"/>
                                      <w:tag w:val="nr_f7a25b548a044f04836f8059d576bdd3"/>
                                      <w:lock w:val="sdtLocked"/>
                                      <w:richText/>
                                    </w:sdtPr>
                                    <w:sdtContent>
                                      <w:r>
                                        <w:rPr>
                                          <w:szCs w:val="24"/>
                                          <w:lang w:eastAsia="lt-LT"/>
                                        </w:rPr>
                                        <w:t>2.1.1.2.1.2</w:t>
                                      </w:r>
                                    </w:sdtContent>
                                  </w:sdt>
                                  <w:r>
                                    <w:rPr>
                                      <w:szCs w:val="24"/>
                                      <w:lang w:eastAsia="lt-LT"/>
                                    </w:rPr>
                                    <w:t>. Šalčininkai–Benekainys;</w:t>
                                  </w:r>
                                </w:p>
                              </w:sdtContent>
                            </w:sdt>
                            <w:sdt>
                              <w:sdtPr>
                                <w:alias w:val="2.1.1.2.1.3 pp."/>
                                <w:tag w:val="part_1808d3adf594489c86886706539de0b2"/>
                                <w:lock w:val="sdtLocked"/>
                                <w:richText/>
                              </w:sdtPr>
                              <w:sdtContent>
                                <w:p>
                                  <w:pPr>
                                    <w:ind w:firstLine="720"/>
                                    <w:jc w:val="both"/>
                                    <w:rPr>
                                      <w:szCs w:val="24"/>
                                      <w:lang w:eastAsia="lt-LT"/>
                                    </w:rPr>
                                  </w:pPr>
                                  <w:sdt>
                                    <w:sdtPr>
                                      <w:alias w:val="Numeris"/>
                                      <w:tag w:val="nr_1808d3adf594489c86886706539de0b2"/>
                                      <w:lock w:val="sdtLocked"/>
                                      <w:richText/>
                                    </w:sdtPr>
                                    <w:sdtContent>
                                      <w:r>
                                        <w:rPr>
                                          <w:szCs w:val="24"/>
                                          <w:lang w:eastAsia="lt-LT"/>
                                        </w:rPr>
                                        <w:t>2.1.1.2.1.3</w:t>
                                      </w:r>
                                    </w:sdtContent>
                                  </w:sdt>
                                  <w:r>
                                    <w:rPr>
                                      <w:szCs w:val="24"/>
                                      <w:lang w:eastAsia="lt-LT"/>
                                    </w:rPr>
                                    <w:t>. Raigardas–Privalka;</w:t>
                                  </w:r>
                                </w:p>
                              </w:sdtContent>
                            </w:sdt>
                            <w:sdt>
                              <w:sdtPr>
                                <w:alias w:val="2.1.1.2.1.4 pp."/>
                                <w:tag w:val="part_f047a537481b442bbb29665411ad595e"/>
                                <w:lock w:val="sdtLocked"/>
                                <w:richText/>
                              </w:sdtPr>
                              <w:sdtContent>
                                <w:p>
                                  <w:pPr>
                                    <w:ind w:firstLine="720"/>
                                    <w:jc w:val="both"/>
                                    <w:rPr>
                                      <w:szCs w:val="24"/>
                                      <w:lang w:eastAsia="lt-LT"/>
                                    </w:rPr>
                                  </w:pPr>
                                  <w:sdt>
                                    <w:sdtPr>
                                      <w:alias w:val="Numeris"/>
                                      <w:tag w:val="nr_f047a537481b442bbb29665411ad595e"/>
                                      <w:lock w:val="sdtLocked"/>
                                      <w:richText/>
                                    </w:sdtPr>
                                    <w:sdtContent>
                                      <w:r>
                                        <w:rPr>
                                          <w:szCs w:val="24"/>
                                          <w:lang w:eastAsia="lt-LT"/>
                                        </w:rPr>
                                        <w:t>2.1.1.2.1.4</w:t>
                                      </w:r>
                                    </w:sdtContent>
                                  </w:sdt>
                                  <w:r>
                                    <w:rPr>
                                      <w:szCs w:val="24"/>
                                      <w:lang w:eastAsia="lt-LT"/>
                                    </w:rPr>
                                    <w:t>. Kybartai–Černyševskoje;</w:t>
                                  </w:r>
                                </w:p>
                              </w:sdtContent>
                            </w:sdt>
                            <w:sdt>
                              <w:sdtPr>
                                <w:alias w:val="2.1.1.2.1.5 pp."/>
                                <w:tag w:val="part_18a6ba2ec447473a9396930740cd312b"/>
                                <w:lock w:val="sdtLocked"/>
                                <w:richText/>
                              </w:sdtPr>
                              <w:sdtContent>
                                <w:p>
                                  <w:pPr>
                                    <w:ind w:firstLine="720"/>
                                    <w:jc w:val="both"/>
                                    <w:rPr>
                                      <w:szCs w:val="24"/>
                                      <w:lang w:eastAsia="lt-LT"/>
                                    </w:rPr>
                                  </w:pPr>
                                  <w:sdt>
                                    <w:sdtPr>
                                      <w:alias w:val="Numeris"/>
                                      <w:tag w:val="nr_18a6ba2ec447473a9396930740cd312b"/>
                                      <w:lock w:val="sdtLocked"/>
                                      <w:richText/>
                                    </w:sdtPr>
                                    <w:sdtContent>
                                      <w:r>
                                        <w:rPr>
                                          <w:szCs w:val="24"/>
                                          <w:lang w:eastAsia="lt-LT"/>
                                        </w:rPr>
                                        <w:t>2.1.1.2.1.5</w:t>
                                      </w:r>
                                    </w:sdtContent>
                                  </w:sdt>
                                  <w:r>
                                    <w:rPr>
                                      <w:szCs w:val="24"/>
                                      <w:lang w:eastAsia="lt-LT"/>
                                    </w:rPr>
                                    <w:t>. Panemunė–Sovetsk;</w:t>
                                  </w:r>
                                </w:p>
                              </w:sdtContent>
                            </w:sdt>
                            <w:sdt>
                              <w:sdtPr>
                                <w:alias w:val="2.1.1.2.1.6 pp."/>
                                <w:tag w:val="part_79b75accbf6e43439d65ec49b7a319bd"/>
                                <w:lock w:val="sdtLocked"/>
                                <w:richText/>
                              </w:sdtPr>
                              <w:sdtContent>
                                <w:p>
                                  <w:pPr>
                                    <w:ind w:firstLine="720"/>
                                    <w:jc w:val="both"/>
                                    <w:rPr>
                                      <w:szCs w:val="24"/>
                                      <w:lang w:eastAsia="lt-LT"/>
                                    </w:rPr>
                                  </w:pPr>
                                  <w:sdt>
                                    <w:sdtPr>
                                      <w:alias w:val="Numeris"/>
                                      <w:tag w:val="nr_79b75accbf6e43439d65ec49b7a319bd"/>
                                      <w:lock w:val="sdtLocked"/>
                                      <w:richText/>
                                    </w:sdtPr>
                                    <w:sdtContent>
                                      <w:r>
                                        <w:rPr>
                                          <w:szCs w:val="24"/>
                                          <w:lang w:eastAsia="lt-LT"/>
                                        </w:rPr>
                                        <w:t>2.1.1.2.1.6</w:t>
                                      </w:r>
                                    </w:sdtContent>
                                  </w:sdt>
                                  <w:r>
                                    <w:rPr>
                                      <w:szCs w:val="24"/>
                                      <w:lang w:eastAsia="lt-LT"/>
                                    </w:rPr>
                                    <w:t>. Lavoriškės–Kotlovka;</w:t>
                                  </w:r>
                                </w:p>
                              </w:sdtContent>
                            </w:sdt>
                            <w:sdt>
                              <w:sdtPr>
                                <w:alias w:val="2.1.1.2.1.7 pp."/>
                                <w:tag w:val="part_a275189e87b44d15acdb087593d888a9"/>
                                <w:lock w:val="sdtLocked"/>
                                <w:richText/>
                              </w:sdtPr>
                              <w:sdtContent>
                                <w:p>
                                  <w:pPr>
                                    <w:ind w:firstLine="720"/>
                                    <w:jc w:val="both"/>
                                    <w:rPr>
                                      <w:szCs w:val="24"/>
                                      <w:lang w:eastAsia="lt-LT"/>
                                    </w:rPr>
                                  </w:pPr>
                                  <w:sdt>
                                    <w:sdtPr>
                                      <w:alias w:val="Numeris"/>
                                      <w:tag w:val="nr_a275189e87b44d15acdb087593d888a9"/>
                                      <w:lock w:val="sdtLocked"/>
                                      <w:richText/>
                                    </w:sdtPr>
                                    <w:sdtContent>
                                      <w:r>
                                        <w:rPr>
                                          <w:szCs w:val="24"/>
                                          <w:lang w:eastAsia="lt-LT"/>
                                        </w:rPr>
                                        <w:t>2.1.1.2.1.7</w:t>
                                      </w:r>
                                    </w:sdtContent>
                                  </w:sdt>
                                  <w:r>
                                    <w:rPr>
                                      <w:szCs w:val="24"/>
                                      <w:lang w:eastAsia="lt-LT"/>
                                    </w:rPr>
                                    <w:t>. Tverečius–Vidžiai;</w:t>
                                  </w:r>
                                </w:p>
                              </w:sdtContent>
                            </w:sdt>
                            <w:sdt>
                              <w:sdtPr>
                                <w:alias w:val="2.1.1.2.1.8 pp."/>
                                <w:tag w:val="part_f8284396baa94d7baf1c9cf84df31e51"/>
                                <w:lock w:val="sdtLocked"/>
                                <w:richText/>
                              </w:sdtPr>
                              <w:sdtContent>
                                <w:p>
                                  <w:pPr>
                                    <w:ind w:firstLine="720"/>
                                    <w:jc w:val="both"/>
                                    <w:rPr>
                                      <w:szCs w:val="24"/>
                                      <w:lang w:eastAsia="lt-LT"/>
                                    </w:rPr>
                                  </w:pPr>
                                  <w:sdt>
                                    <w:sdtPr>
                                      <w:alias w:val="Numeris"/>
                                      <w:tag w:val="nr_f8284396baa94d7baf1c9cf84df31e51"/>
                                      <w:lock w:val="sdtLocked"/>
                                      <w:richText/>
                                    </w:sdtPr>
                                    <w:sdtContent>
                                      <w:r>
                                        <w:rPr>
                                          <w:szCs w:val="24"/>
                                          <w:lang w:eastAsia="lt-LT"/>
                                        </w:rPr>
                                        <w:t>2.1.1.2.1.8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1.2.1.9 pp."/>
                                <w:tag w:val="part_2cec5a7154f54dc8acccbfb2b875cd0f"/>
                                <w:lock w:val="sdtLocked"/>
                                <w:richText/>
                              </w:sdtPr>
                              <w:sdtContent>
                                <w:p>
                                  <w:pPr>
                                    <w:tabs>
                                      <w:tab w:val="left" w:pos="1560"/>
                                    </w:tabs>
                                    <w:ind w:firstLine="720"/>
                                    <w:jc w:val="both"/>
                                    <w:rPr>
                                      <w:szCs w:val="24"/>
                                      <w:lang w:eastAsia="lt-LT"/>
                                    </w:rPr>
                                  </w:pPr>
                                  <w:sdt>
                                    <w:sdtPr>
                                      <w:alias w:val="Numeris"/>
                                      <w:tag w:val="nr_2cec5a7154f54dc8acccbfb2b875cd0f"/>
                                      <w:lock w:val="sdtLocked"/>
                                      <w:richText/>
                                    </w:sdtPr>
                                    <w:sdtContent>
                                      <w:r>
                                        <w:rPr>
                                          <w:szCs w:val="24"/>
                                          <w:lang w:eastAsia="lt-LT"/>
                                        </w:rPr>
                                        <w:t>2.1.1.2.1.9</w:t>
                                      </w:r>
                                    </w:sdtContent>
                                  </w:sdt>
                                  <w:r>
                                    <w:rPr>
                                      <w:szCs w:val="24"/>
                                      <w:lang w:eastAsia="lt-LT"/>
                                    </w:rPr>
                                    <w:t>. Šumskas–Loša;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1.2.13.4 pp."/>
                            <w:tag w:val="part_93a1c0ad6ca5474aaa63f73ed7d7e31a"/>
                            <w:lock w:val="sdtLocked"/>
                            <w:richText/>
                          </w:sdtPr>
                          <w:sdtContent>
                            <w:p>
                              <w:pPr>
                                <w:tabs>
                                  <w:tab w:val="left" w:pos="1134"/>
                                </w:tabs>
                                <w:ind w:firstLine="720"/>
                                <w:jc w:val="both"/>
                                <w:rPr>
                                  <w:szCs w:val="24"/>
                                  <w:lang w:eastAsia="lt-LT"/>
                                </w:rPr>
                              </w:pPr>
                              <w:sdt>
                                <w:sdtPr>
                                  <w:alias w:val="Numeris"/>
                                  <w:tag w:val="nr_93a1c0ad6ca5474aaa63f73ed7d7e31a"/>
                                  <w:lock w:val="sdtLocked"/>
                                  <w:richText/>
                                </w:sdtPr>
                                <w:sdtContent>
                                  <w:r>
                                    <w:rPr>
                                      <w:szCs w:val="24"/>
                                      <w:lang w:eastAsia="lt-LT"/>
                                    </w:rPr>
                                    <w:t>2.1.2.13.4</w:t>
                                  </w:r>
                                </w:sdtContent>
                              </w:sdt>
                              <w:r>
                                <w:rPr>
                                  <w:szCs w:val="24"/>
                                  <w:lang w:eastAsia="lt-LT"/>
                                </w:rPr>
                                <w:t>. užsieniečiams, vykstantiems 2.1.2.13.3 papunktyje nurodytais tranzitiniais traukiniais, be teisės išlipti ir įlipti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4-1 pp."/>
                        <w:tag w:val="part_a92958724d51411b93d7281f608f183c"/>
                        <w:lock w:val="sdtLocked"/>
                        <w:richText/>
                      </w:sdtPr>
                      <w:sdtContent>
                        <w:p>
                          <w:pPr>
                            <w:ind w:firstLine="720"/>
                            <w:jc w:val="both"/>
                            <w:rPr>
                              <w:szCs w:val="24"/>
                              <w:lang w:eastAsia="lt-LT"/>
                            </w:rPr>
                          </w:pPr>
                          <w:sdt>
                            <w:sdtPr>
                              <w:alias w:val="Numeris"/>
                              <w:tag w:val="nr_a92958724d51411b93d7281f608f183c"/>
                              <w:lock w:val="sdtLocked"/>
                              <w:richText/>
                            </w:sdtPr>
                            <w:sdtContent>
                              <w:r>
                                <w:rPr>
                                  <w:szCs w:val="24"/>
                                  <w:lang w:eastAsia="lt-LT"/>
                                </w:rPr>
                                <w:t>2.1.2.14</w:t>
                              </w:r>
                              <w:r>
                                <w:rPr>
                                  <w:szCs w:val="24"/>
                                  <w:vertAlign w:val="superscript"/>
                                  <w:lang w:eastAsia="lt-LT"/>
                                </w:rPr>
                                <w:t>1</w:t>
                              </w:r>
                            </w:sdtContent>
                          </w:sdt>
                          <w:r>
                            <w:rPr>
                              <w:szCs w:val="24"/>
                              <w:lang w:eastAsia="lt-LT"/>
                            </w:rPr>
                            <w:t>.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
                      <w:sdtPr>
                        <w:alias w:val="2.1.2.19 pp."/>
                        <w:tag w:val="part_4b1789a438824cb3bf3e7ce79d28af94"/>
                        <w:lock w:val="sdtLocked"/>
                        <w:richText/>
                      </w:sdtPr>
                      <w:sdtContent>
                        <w:p>
                          <w:pPr>
                            <w:ind w:firstLine="709"/>
                            <w:jc w:val="both"/>
                            <w:rPr>
                              <w:bCs/>
                              <w:szCs w:val="24"/>
                              <w:lang w:eastAsia="lt-LT"/>
                            </w:rPr>
                          </w:pPr>
                          <w:sdt>
                            <w:sdtPr>
                              <w:alias w:val="Numeris"/>
                              <w:tag w:val="nr_4b1789a438824cb3bf3e7ce79d28af94"/>
                              <w:lock w:val="sdtLocked"/>
                              <w:richText/>
                            </w:sdtPr>
                            <w:sdtContent>
                              <w:r>
                                <w:rPr>
                                  <w:rFonts w:eastAsia="Calibri"/>
                                  <w:bCs/>
                                  <w:szCs w:val="24"/>
                                </w:rPr>
                                <w:t>2.1.2.19</w:t>
                              </w:r>
                            </w:sdtContent>
                          </w:sdt>
                          <w:r>
                            <w:rPr>
                              <w:rFonts w:eastAsia="Calibri"/>
                              <w:bCs/>
                              <w:szCs w:val="24"/>
                            </w:rPr>
                            <w:t xml:space="preserve">. </w:t>
                          </w:r>
                          <w:r>
                            <w:rPr>
                              <w:rFonts w:eastAsia="Calibri"/>
                              <w:bCs/>
                              <w:color w:val="000000"/>
                              <w:szCs w:val="24"/>
                            </w:rPr>
                            <w:t xml:space="preserve">užsieniečiams, turintiems asmens sveikatos priežiūros įstaigos dokumentą, konkrečios šalies skiepijimų sertifikatą arba tarptautinį skiepijimų sertifikatą, nurodantį, </w:t>
                          </w:r>
                          <w:r>
                            <w:rPr>
                              <w:rFonts w:eastAsia="Calibri"/>
                              <w:bCs/>
                              <w:szCs w:val="24"/>
                            </w:rPr>
                            <w:t xml:space="preserve">kad asmens skiepijimas viena iš šių COVID-19 ligos (koronaviruso infekcijos) vakcinų pagal valstybės, kurioje buvo atlikta vakcinacija, kompetentingos institucijos patvirtintą skiepijimo schemą yra baigtas – po </w:t>
                          </w:r>
                          <w:r>
                            <w:rPr>
                              <w:rFonts w:eastAsia="Calibri"/>
                              <w:bCs/>
                              <w:color w:val="000000"/>
                              <w:szCs w:val="24"/>
                            </w:rPr>
                            <w:t>„COVID-19 Vaccine Janssen“ vakcinos dozės suleidimo, po antros „Comirnaty“, „COVID-19 Vaccine Moderna“ ar „Vaxzevria“ vakcinos dozės suleidimo (š</w:t>
                          </w:r>
                          <w:r>
                            <w:rPr>
                              <w:rFonts w:eastAsia="Calibri"/>
                              <w:bCs/>
                              <w:szCs w:val="24"/>
                            </w:rPr>
                            <w:t>iame papunktyje nurodyti dokumentai turi būti parengti viena iš oficialių Europos Sąjungos kalbų</w:t>
                          </w:r>
                          <w:r>
                            <w:rPr>
                              <w:rFonts w:eastAsia="Calibri"/>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74b714b99dc24ed3b532f0e693356917"/>
                        <w:lock w:val="sdtLocked"/>
                        <w:richText/>
                      </w:sdtPr>
                      <w:sdtContent>
                        <w:p>
                          <w:pPr>
                            <w:tabs>
                              <w:tab w:val="left" w:pos="1134"/>
                            </w:tabs>
                            <w:ind w:firstLine="720"/>
                            <w:jc w:val="both"/>
                            <w:rPr>
                              <w:szCs w:val="24"/>
                              <w:lang w:eastAsia="lt-LT"/>
                            </w:rPr>
                          </w:pPr>
                          <w:sdt>
                            <w:sdtPr>
                              <w:alias w:val="Numeris"/>
                              <w:tag w:val="nr_74b714b99dc24ed3b532f0e693356917"/>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r>
                            <w:rPr>
                              <w:color w:val="000000"/>
                              <w:szCs w:val="24"/>
                              <w:lang w:eastAsia="lt-LT"/>
                            </w:rPr>
                            <w:t xml:space="preserve"> </w:t>
                          </w:r>
                          <w:r>
                            <w:rPr>
                              <w:szCs w:val="24"/>
                              <w:lang w:eastAsia="lt-LT"/>
                            </w:rPr>
                            <w:t>jei jų buvimo Lietuvos Respublikos teritorijoje laikas yra trumpesnis nei 72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86b52ed58369408a80459229d116358d"/>
                        <w:lock w:val="sdtLocked"/>
                        <w:richText/>
                      </w:sdtPr>
                      <w:sdtContent>
                        <w:p>
                          <w:pPr>
                            <w:ind w:firstLine="709"/>
                            <w:jc w:val="both"/>
                            <w:rPr>
                              <w:szCs w:val="24"/>
                              <w:lang w:eastAsia="lt-LT"/>
                            </w:rPr>
                          </w:pPr>
                          <w:sdt>
                            <w:sdtPr>
                              <w:alias w:val="Numeris"/>
                              <w:tag w:val="nr_86b52ed58369408a80459229d116358d"/>
                              <w:lock w:val="sdtLocked"/>
                              <w:richText/>
                            </w:sdtPr>
                            <w:sdtContent>
                              <w:r>
                                <w:rPr>
                                  <w:bCs/>
                                  <w:szCs w:val="24"/>
                                  <w:lang w:eastAsia="lt-LT"/>
                                </w:rPr>
                                <w:t>2.1.3</w:t>
                              </w:r>
                              <w:r>
                                <w:rPr>
                                  <w:bCs/>
                                  <w:szCs w:val="24"/>
                                  <w:vertAlign w:val="superscript"/>
                                  <w:lang w:eastAsia="lt-LT"/>
                                </w:rPr>
                                <w:t>1</w:t>
                              </w:r>
                              <w:r>
                                <w:rPr>
                                  <w:bCs/>
                                  <w:szCs w:val="24"/>
                                  <w:lang w:eastAsia="lt-LT"/>
                                </w:rPr>
                                <w:t>.3</w:t>
                              </w:r>
                            </w:sdtContent>
                          </w:sdt>
                          <w:r>
                            <w:rPr>
                              <w:bCs/>
                              <w:szCs w:val="24"/>
                              <w:lang w:eastAsia="lt-LT"/>
                            </w:rPr>
                            <w:t xml:space="preserve">. asmenims (išskyrus asmenis, kurie 14 dienų laikotarpiu iki grįžimo / atvykimo į Lietuvos Respubliką lankėsi Indijos Respublikoje),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viena iš šių COVID-19 ligos (koronaviruso infekcijos) vakcinų pagal valstybės, kurioje buvo atlikta vakcinacija, kompetentingos institucijos patvirtintą skiepijimo schemą yra baigtas – po </w:t>
                          </w:r>
                          <w:r>
                            <w:rPr>
                              <w:bCs/>
                              <w:color w:val="000000"/>
                              <w:szCs w:val="24"/>
                              <w:lang w:eastAsia="lt-LT"/>
                            </w:rPr>
                            <w:t>„COVID-19 Vaccine Janssen“ vakcinos dozės suleidimo, po antros „Comirnaty“, „COVID-19 Vaccine Moderna“ ar „Vaxzevria“ vakcinos dozės suleidimo</w:t>
                          </w:r>
                          <w:r>
                            <w:rPr>
                              <w:bCs/>
                              <w:szCs w:val="24"/>
                              <w:lang w:eastAsia="lt-LT"/>
                            </w:rPr>
                            <w:t xml:space="preserve"> (šiame papunktyje nurodyti dokumentai turi būti parengti viena iš oficialių Europos Sąjungos kalbų);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3-1.6 pp."/>
                        <w:tag w:val="part_39bc70dd745645089f9066b21e6369f6"/>
                        <w:lock w:val="sdtLocked"/>
                        <w:richText/>
                      </w:sdtPr>
                      <w:sdtContent>
                        <w:p>
                          <w:pPr>
                            <w:tabs>
                              <w:tab w:val="left" w:pos="1134"/>
                            </w:tabs>
                            <w:ind w:firstLine="720"/>
                            <w:jc w:val="both"/>
                            <w:rPr>
                              <w:szCs w:val="24"/>
                              <w:lang w:eastAsia="lt-LT"/>
                            </w:rPr>
                          </w:pPr>
                          <w:sdt>
                            <w:sdtPr>
                              <w:alias w:val="Numeris"/>
                              <w:tag w:val="nr_39bc70dd745645089f9066b21e6369f6"/>
                              <w:lock w:val="sdtLocked"/>
                              <w:richText/>
                            </w:sdtPr>
                            <w:sdtContent>
                              <w:r>
                                <w:rPr>
                                  <w:szCs w:val="24"/>
                                  <w:lang w:eastAsia="lt-LT"/>
                                </w:rPr>
                                <w:t>2.1.3</w:t>
                              </w:r>
                              <w:r>
                                <w:rPr>
                                  <w:szCs w:val="24"/>
                                  <w:vertAlign w:val="superscript"/>
                                  <w:lang w:eastAsia="lt-LT"/>
                                </w:rPr>
                                <w:t>1</w:t>
                              </w:r>
                              <w:r>
                                <w:rPr>
                                  <w:szCs w:val="24"/>
                                  <w:lang w:eastAsia="lt-LT"/>
                                </w:rPr>
                                <w:t>.6</w:t>
                              </w:r>
                            </w:sdtContent>
                          </w:sdt>
                          <w:r>
                            <w:rPr>
                              <w:szCs w:val="24"/>
                              <w:lang w:eastAsia="lt-LT"/>
                            </w:rPr>
                            <w:t>. asmenims, nurodytiems šio nutarimo 2.1.2.16 papunktyje (COVID-19 tyrimą atlieka atvykę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f94310716b764158a975c145f5b8c0da"/>
                        <w:lock w:val="sdtLocked"/>
                        <w:richText/>
                      </w:sdtPr>
                      <w:sdtContent>
                        <w:p>
                          <w:pPr>
                            <w:ind w:firstLine="709"/>
                            <w:jc w:val="both"/>
                          </w:pPr>
                          <w:sdt>
                            <w:sdtPr>
                              <w:alias w:val="Numeris"/>
                              <w:tag w:val="nr_f94310716b764158a975c145f5b8c0da"/>
                              <w:lock w:val="sdtLocked"/>
                              <w:richText/>
                            </w:sdtPr>
                            <w:sdtContent>
                              <w:r>
                                <w:rPr>
                                  <w:szCs w:val="24"/>
                                  <w:lang w:eastAsia="lt-LT"/>
                                </w:rPr>
                                <w:t>2.1.5.1</w:t>
                              </w:r>
                            </w:sdtContent>
                          </w:sdt>
                          <w:r>
                            <w:rPr>
                              <w:szCs w:val="24"/>
                              <w:lang w:eastAsia="lt-LT"/>
                            </w:rPr>
                            <w:t>. viešose uždarose vietose būti ne didesnėmis nei 5 asmenų, dviejų šeimų ir (ar) dviejų namų ūkių narių grupėmis arba didesnėmis asmenų grupėmis, kai šiuo nutarimu leidžiama teikti paslaugas ar vykdyti veiklas didesnėms asmenų grupėms. Viešose atvirose vietose asmenys gali būti ne didesnėmis nei 10 asmenų, dviejų šeimų ir (ar) dviejų namų ūkių narių grupėmis arba didesnėmis asmenų grupėmis, kai šiuo nutarimu leidžiama teikti paslaugas ar vykdyti veiklas didesnėms asmenų grupėms. Laidotuvėse gali dalyvauti ne daugiau kaip 50 asmenų, išskyrus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51bd09b8011eb9fecb5ecd3bd711c">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2021-04-12,
paskelbta TAR 2021-04-12, i. k. 2021-07555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1.5.2.7 pp."/>
                            <w:tag w:val="part_e9728bf8c76940eeafae1f2569000243"/>
                            <w:lock w:val="sdtLocked"/>
                            <w:richText/>
                          </w:sdtPr>
                          <w:sdtContent>
                            <w:p>
                              <w:pPr>
                                <w:ind w:firstLine="720"/>
                                <w:jc w:val="both"/>
                                <w:rPr>
                                  <w:color w:val="000000"/>
                                  <w:szCs w:val="24"/>
                                  <w:lang w:eastAsia="lt-LT"/>
                                </w:rPr>
                              </w:pPr>
                              <w:sdt>
                                <w:sdtPr>
                                  <w:alias w:val="Numeris"/>
                                  <w:tag w:val="nr_e9728bf8c76940eeafae1f2569000243"/>
                                  <w:lock w:val="sdtLocked"/>
                                  <w:richText/>
                                </w:sdtPr>
                                <w:sdtContent>
                                  <w:r>
                                    <w:rPr>
                                      <w:color w:val="000000"/>
                                      <w:szCs w:val="24"/>
                                      <w:shd w:val="clear" w:color="auto" w:fill="FFFFFF"/>
                                      <w:lang w:eastAsia="en-GB"/>
                                    </w:rPr>
                                    <w:t>2.1.5.2.7</w:t>
                                  </w:r>
                                </w:sdtContent>
                              </w:sdt>
                              <w:r>
                                <w:rPr>
                                  <w:color w:val="000000"/>
                                  <w:szCs w:val="24"/>
                                  <w:shd w:val="clear" w:color="auto" w:fill="FFFFFF"/>
                                  <w:lang w:eastAsia="en-GB"/>
                                </w:rPr>
                                <w:t>. atlikėjams pasirodymų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1c4324136385484db6d5a6083918b2a2"/>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27dd7416c3114b2ab87bb2a684973e4f"/>
                        <w:lock w:val="sdtLocked"/>
                        <w:richText/>
                      </w:sdtPr>
                      <w:sdtContent>
                        <w:p>
                          <w:pPr>
                            <w:ind w:firstLine="709"/>
                            <w:jc w:val="both"/>
                            <w:rPr>
                              <w:szCs w:val="24"/>
                              <w:lang w:eastAsia="lt-LT"/>
                            </w:rPr>
                          </w:pPr>
                          <w:sdt>
                            <w:sdtPr>
                              <w:alias w:val="Numeris"/>
                              <w:tag w:val="nr_27dd7416c3114b2ab87bb2a684973e4f"/>
                              <w:lock w:val="sdtLocked"/>
                              <w:richText/>
                            </w:sdtPr>
                            <w:sdtContent>
                              <w:r>
                                <w:rPr>
                                  <w:szCs w:val="24"/>
                                  <w:lang w:eastAsia="lt-LT"/>
                                </w:rPr>
                                <w:t>2.1.8.1</w:t>
                              </w:r>
                            </w:sdtContent>
                          </w:sdt>
                          <w:r>
                            <w:rPr>
                              <w:szCs w:val="24"/>
                              <w:lang w:eastAsia="lt-LT"/>
                            </w:rPr>
                            <w:t>. daugiau nei dviejų šeimų ir (ar) dviejų namų ūkių arba daugiau nei 5 asmenų uždarose erdvėse, arba daugiau nei 10 asmenų atvirose erdvėse artimi kontaktai;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1.8.2 pp."/>
                        <w:tag w:val="part_3113f1b8bef14a6a8629d74f7902aadc"/>
                        <w:lock w:val="sdtLocked"/>
                        <w:richText/>
                      </w:sdtPr>
                      <w:sdtContent>
                        <w:p>
                          <w:pPr>
                            <w:tabs>
                              <w:tab w:val="left" w:pos="1134"/>
                            </w:tabs>
                            <w:ind w:firstLine="709"/>
                            <w:jc w:val="both"/>
                            <w:rPr>
                              <w:color w:val="000000"/>
                              <w:szCs w:val="24"/>
                              <w:lang w:eastAsia="lt-LT"/>
                            </w:rPr>
                          </w:pPr>
                          <w:r>
                            <w:rPr>
                              <w:szCs w:val="24"/>
                              <w:lang w:eastAsia="lt-LT"/>
                            </w:rPr>
                            <w:t>2.1.8.2. rengti asmenines šventes viešose ir privačiose erdvėse, išskyrus šventes uždarose erdvėse, kai jose dalyvauja ne daugiau nei dvi šeimos ir (ar) du namų ūkiai arba ne daugiau nei 5 asmenys, arba ne daugiau nei 10 asmenų, atitinkančių šio nutarimo 2</w:t>
                          </w:r>
                          <w:r>
                            <w:rPr>
                              <w:szCs w:val="24"/>
                              <w:vertAlign w:val="superscript"/>
                              <w:lang w:eastAsia="lt-LT"/>
                            </w:rPr>
                            <w:t>2</w:t>
                          </w:r>
                          <w:r>
                            <w:rPr>
                              <w:szCs w:val="24"/>
                              <w:lang w:eastAsia="lt-LT"/>
                            </w:rPr>
                            <w:t> punkte nurodytus kriterijus, taip pat šventes atvirose erdvėse, kai dalyvauja ne daugiau nei dvi šeimos ir (ar) du namų ūkiai arba ne daugiau nei 10 asmenų. Asmenų, atitinkančių šio nutarimo 2</w:t>
                          </w:r>
                          <w:r>
                            <w:rPr>
                              <w:szCs w:val="24"/>
                              <w:vertAlign w:val="superscript"/>
                              <w:lang w:eastAsia="lt-LT"/>
                            </w:rPr>
                            <w:t>2</w:t>
                          </w:r>
                          <w:r>
                            <w:rPr>
                              <w:szCs w:val="24"/>
                              <w:lang w:eastAsia="lt-LT"/>
                            </w:rPr>
                            <w:t> punkte nurodytus kriterijus, skaičiaus ribojimas netaikomas, jei asmeninė šventė organizuojama šio nutarimo 2.2.4.4 ar 2.2.6.8 papunktyje nustatytomis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bbb70b9f811eb8c24980b2b0e0fef">
                            <w:r w:rsidRPr="00532B9F">
                              <w:rPr>
                                <w:rFonts w:ascii="Times New Roman" w:eastAsia="MS Mincho" w:hAnsi="Times New Roman"/>
                                <w:sz w:val="20"/>
                                <w:i/>
                                <w:iCs/>
                                <w:color w:val="0000FF" w:themeColor="hyperlink"/>
                                <w:u w:val="single"/>
                              </w:rPr>
                              <w:t>363</w:t>
                            </w:r>
                          </w:fldSimple>
                          <w:r>
                            <w:rPr>
                              <w:rFonts w:ascii="Times New Roman" w:eastAsia="MS Mincho" w:hAnsi="Times New Roman"/>
                              <w:sz w:val="20"/>
                              <w:i/>
                              <w:iCs/>
                            </w:rPr>
                            <w:t>,
2021-05-19,
paskelbta TAR 2021-05-21, i. k. 2021-11274            </w:t>
                          </w:r>
                        </w:p>
                        <w:p/>
                      </w:sdtContent>
                    </w:sdt>
                    <w:sdt>
                      <w:sdtPr>
                        <w:alias w:val="2.1.8.3 pp."/>
                        <w:tag w:val="part_919e965108b3464eb81a12c3043f4895"/>
                        <w:lock w:val="sdtLocked"/>
                        <w:richText/>
                      </w:sdtPr>
                      <w:sdtContent>
                        <w:p>
                          <w:pPr>
                            <w:pStyle w:val="PlainText"/>
                            <w:ind w:firstLine="567"/>
                            <w:jc w:val="both"/>
                            <w:rPr>
                              <w:rFonts w:ascii="Times New Roman" w:hAnsi="Times New Roman"/>
                              <w:b/>
                              <w:bCs/>
                              <w:sz w:val="22"/>
                            </w:rPr>
                          </w:pPr>
                          <w:r>
                            <w:rPr>
                              <w:rFonts w:ascii="Times New Roman" w:hAnsi="Times New Roman"/>
                              <w:sz w:val="22"/>
                            </w:rPr>
                            <w:t>2.1.8.3</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54a97a1b6990414d8f11a500f9f338f3"/>
                    <w:lock w:val="sdtLocked"/>
                    <w:richText/>
                  </w:sdtPr>
                  <w:sdtContent>
                    <w:p>
                      <w:pPr>
                        <w:ind w:firstLine="720"/>
                        <w:jc w:val="both"/>
                        <w:rPr>
                          <w:szCs w:val="24"/>
                          <w:lang w:eastAsia="lt-LT"/>
                        </w:rPr>
                      </w:pPr>
                      <w:sdt>
                        <w:sdtPr>
                          <w:alias w:val="Numeris"/>
                          <w:tag w:val="nr_54a97a1b6990414d8f11a500f9f338f3"/>
                          <w:lock w:val="sdtLocked"/>
                          <w:richText/>
                        </w:sdtPr>
                        <w:sdtContent>
                          <w:r>
                            <w:rPr>
                              <w:color w:val="000000"/>
                              <w:szCs w:val="24"/>
                              <w:shd w:val="clear" w:color="auto" w:fill="FFFFFF"/>
                              <w:lang w:eastAsia="lt-LT"/>
                            </w:rPr>
                            <w:t>2.2.1</w:t>
                          </w:r>
                        </w:sdtContent>
                      </w:sdt>
                      <w:r>
                        <w:rPr>
                          <w:color w:val="000000"/>
                          <w:szCs w:val="24"/>
                          <w:shd w:val="clear" w:color="auto" w:fill="FFFFFF"/>
                          <w:lang w:eastAsia="lt-LT"/>
                        </w:rPr>
                        <w:t xml:space="preserve">. Valstybės ir savivaldybių institucijose, įstaigose, valstybės ir savivaldybių valdomose įmonėse bei privačiame sektoriuje darbas organizuojamas ir klientai aptarnaujami nuotoliniu būdu, išskyrus atvejus, kai atitinkamas funkcijas (darbą) būtina atlikti darbo vietoje arba kai funkcijas (darbą) atlieka asmenys, </w:t>
                      </w:r>
                      <w:r>
                        <w:rPr>
                          <w:szCs w:val="24"/>
                          <w:shd w:val="clear" w:color="auto" w:fill="FFFFFF"/>
                          <w:lang w:eastAsia="lt-LT"/>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r>
                        <w:rPr>
                          <w:color w:val="000000"/>
                          <w:szCs w:val="24"/>
                          <w:shd w:val="clear" w:color="auto" w:fill="FFFFFF"/>
                          <w:lang w:eastAsia="lt-LT"/>
                        </w:rPr>
                        <w:t>,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lang w:eastAsia="lt-LT"/>
                        </w:rPr>
                        <w:t> </w:t>
                      </w:r>
                      <w:r>
                        <w:rPr>
                          <w:color w:val="000000"/>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sdt>
                  <w:sdtPr>
                    <w:alias w:val="2.2.2 pp."/>
                    <w:tag w:val="part_499faa2c5f1d46f79f557436edb2a3dc"/>
                    <w:lock w:val="sdtLocked"/>
                    <w:richText/>
                  </w:sdtPr>
                  <w:sdtContent>
                    <w:p>
                      <w:pPr>
                        <w:tabs>
                          <w:tab w:val="left" w:pos="1134"/>
                        </w:tabs>
                        <w:ind w:firstLine="720"/>
                        <w:jc w:val="both"/>
                        <w:rPr>
                          <w:szCs w:val="24"/>
                          <w:shd w:val="clear" w:color="auto" w:fill="FFFFFF"/>
                          <w:lang w:eastAsia="lt-LT"/>
                        </w:rPr>
                      </w:pPr>
                      <w:sdt>
                        <w:sdtPr>
                          <w:alias w:val="Numeris"/>
                          <w:tag w:val="nr_499faa2c5f1d46f79f557436edb2a3dc"/>
                          <w:lock w:val="sdtLocked"/>
                          <w:richText/>
                        </w:sdtPr>
                        <w:sdtContent>
                          <w:r>
                            <w:rPr>
                              <w:szCs w:val="24"/>
                              <w:shd w:val="clear" w:color="auto" w:fill="FFFFFF"/>
                              <w:lang w:eastAsia="lt-LT"/>
                            </w:rPr>
                            <w:t>2.2.2</w:t>
                          </w:r>
                        </w:sdtContent>
                      </w:sdt>
                      <w:r>
                        <w:rPr>
                          <w:szCs w:val="24"/>
                          <w:shd w:val="clear" w:color="auto" w:fill="FFFFFF"/>
                          <w:lang w:eastAsia="lt-LT"/>
                        </w:rPr>
                        <w:t>. Parduotuvių, turgaviečių ir kitų viešų prekybos vietų veikla organizuojama užtikrinant valstybės lygio ekstremaliosios situacijos operacijų vadovo nustatytas asmenų srautų valdymo, saugaus atstumo laikymosi, būtinas visuomenės sveikatos saugos, higienos, asmenų aprūpinimo būtinosiomis asmeninėmis apsaugos priemonėmis sąlygas ir laikantis šių reikalavimų:</w:t>
                      </w:r>
                    </w:p>
                    <w:sdt>
                      <w:sdtPr>
                        <w:alias w:val="2.2.2.1 pp."/>
                        <w:tag w:val="part_06f320b2188d421d95ec0bd5de8ad272"/>
                        <w:lock w:val="sdtLocked"/>
                        <w:richText/>
                      </w:sdtPr>
                      <w:sdtContent>
                        <w:p>
                          <w:pPr>
                            <w:tabs>
                              <w:tab w:val="left" w:pos="1134"/>
                            </w:tabs>
                            <w:ind w:firstLine="720"/>
                            <w:jc w:val="both"/>
                            <w:rPr>
                              <w:szCs w:val="24"/>
                              <w:shd w:val="clear" w:color="auto" w:fill="FFFFFF"/>
                              <w:lang w:eastAsia="lt-LT"/>
                            </w:rPr>
                          </w:pPr>
                          <w:sdt>
                            <w:sdtPr>
                              <w:alias w:val="Numeris"/>
                              <w:tag w:val="nr_06f320b2188d421d95ec0bd5de8ad272"/>
                              <w:lock w:val="sdtLocked"/>
                              <w:richText/>
                            </w:sdtPr>
                            <w:sdtContent>
                              <w:r>
                                <w:rPr>
                                  <w:szCs w:val="24"/>
                                  <w:shd w:val="clear" w:color="auto" w:fill="FFFFFF"/>
                                  <w:lang w:eastAsia="lt-LT"/>
                                </w:rPr>
                                <w:t>2.2.2.1</w:t>
                              </w:r>
                            </w:sdtContent>
                          </w:sdt>
                          <w:r>
                            <w:rPr>
                              <w:szCs w:val="24"/>
                              <w:shd w:val="clear" w:color="auto" w:fill="FFFFFF"/>
                              <w:lang w:eastAsia="lt-LT"/>
                            </w:rPr>
                            <w:t>. užtikrinamas 15 m</w:t>
                          </w:r>
                          <w:r>
                            <w:rPr>
                              <w:szCs w:val="24"/>
                              <w:shd w:val="clear" w:color="auto" w:fill="FFFFFF"/>
                              <w:vertAlign w:val="superscript"/>
                              <w:lang w:eastAsia="lt-LT"/>
                            </w:rPr>
                            <w:t xml:space="preserve">2 </w:t>
                          </w:r>
                          <w:r>
                            <w:rPr>
                              <w:szCs w:val="24"/>
                              <w:shd w:val="clear" w:color="auto" w:fill="FFFFFF"/>
                              <w:lang w:eastAsia="lt-LT"/>
                            </w:rPr>
                            <w:t>prekybos plotas vienam lankytojui arba vienu metu aptarnaujamas ne daugiau kaip vienas asmuo atskirose parduotuvėse (prekybos vietose), kurių pagrindinė veikla yra maisto, veterinarijos, pašarų gyvūnams, gėlių, optikos prekių ir ortopedijos techninių priemonių, laidojimo reikmenų pardavimas, ir vaistinėse;</w:t>
                          </w:r>
                        </w:p>
                      </w:sdtContent>
                    </w:sdt>
                    <w:sdt>
                      <w:sdtPr>
                        <w:alias w:val="2.2.2.2 pp."/>
                        <w:tag w:val="part_5346f9f9dab04e8bb88b041dc7a404cc"/>
                        <w:lock w:val="sdtLocked"/>
                        <w:richText/>
                      </w:sdtPr>
                      <w:sdtContent>
                        <w:p>
                          <w:pPr>
                            <w:tabs>
                              <w:tab w:val="left" w:pos="1134"/>
                            </w:tabs>
                            <w:ind w:firstLine="720"/>
                            <w:jc w:val="both"/>
                            <w:rPr>
                              <w:szCs w:val="24"/>
                              <w:shd w:val="clear" w:color="auto" w:fill="FFFFFF"/>
                              <w:lang w:eastAsia="lt-LT"/>
                            </w:rPr>
                          </w:pPr>
                          <w:sdt>
                            <w:sdtPr>
                              <w:alias w:val="Numeris"/>
                              <w:tag w:val="nr_5346f9f9dab04e8bb88b041dc7a404cc"/>
                              <w:lock w:val="sdtLocked"/>
                              <w:richText/>
                            </w:sdtPr>
                            <w:sdtContent>
                              <w:r>
                                <w:rPr>
                                  <w:szCs w:val="24"/>
                                  <w:shd w:val="clear" w:color="auto" w:fill="FFFFFF"/>
                                  <w:lang w:eastAsia="lt-LT"/>
                                </w:rPr>
                                <w:t>2.2.2.2</w:t>
                              </w:r>
                            </w:sdtContent>
                          </w:sdt>
                          <w:r>
                            <w:rPr>
                              <w:szCs w:val="24"/>
                              <w:shd w:val="clear" w:color="auto" w:fill="FFFFFF"/>
                              <w:lang w:eastAsia="lt-LT"/>
                            </w:rPr>
                            <w:t>. užtikrinamas 20 m</w:t>
                          </w:r>
                          <w:r>
                            <w:rPr>
                              <w:szCs w:val="24"/>
                              <w:shd w:val="clear" w:color="auto" w:fill="FFFFFF"/>
                              <w:vertAlign w:val="superscript"/>
                              <w:lang w:eastAsia="lt-LT"/>
                            </w:rPr>
                            <w:t xml:space="preserve">2 </w:t>
                          </w:r>
                          <w:r>
                            <w:rPr>
                              <w:szCs w:val="24"/>
                              <w:shd w:val="clear" w:color="auto" w:fill="FFFFFF"/>
                              <w:lang w:eastAsia="lt-LT"/>
                            </w:rPr>
                            <w:t>prekybos plotas vienam lankytojui arba vienu metu aptarnaujamas ne daugiau kaip vienas asmuo atskirose parduotuvėse (prekybos vietose), nenurodytose šio nutarimo 2.2.2.1 papunktyje;</w:t>
                          </w:r>
                        </w:p>
                      </w:sdtContent>
                    </w:sdt>
                    <w:sdt>
                      <w:sdtPr>
                        <w:alias w:val="2.2.2.3 pp."/>
                        <w:tag w:val="part_8de02e4eaee94b118004038b98af4e52"/>
                        <w:lock w:val="sdtLocked"/>
                        <w:richText/>
                      </w:sdtPr>
                      <w:sdtContent>
                        <w:p>
                          <w:pPr>
                            <w:tabs>
                              <w:tab w:val="left" w:pos="1134"/>
                            </w:tabs>
                            <w:ind w:firstLine="720"/>
                            <w:jc w:val="both"/>
                            <w:rPr>
                              <w:szCs w:val="24"/>
                              <w:shd w:val="clear" w:color="auto" w:fill="FFFFFF"/>
                              <w:lang w:eastAsia="lt-LT"/>
                            </w:rPr>
                          </w:pPr>
                          <w:sdt>
                            <w:sdtPr>
                              <w:alias w:val="Numeris"/>
                              <w:tag w:val="nr_8de02e4eaee94b118004038b98af4e52"/>
                              <w:lock w:val="sdtLocked"/>
                              <w:richText/>
                            </w:sdtPr>
                            <w:sdtContent>
                              <w:r>
                                <w:rPr>
                                  <w:szCs w:val="24"/>
                                  <w:shd w:val="clear" w:color="auto" w:fill="FFFFFF"/>
                                  <w:lang w:eastAsia="lt-LT"/>
                                </w:rPr>
                                <w:t>2.2.2.3</w:t>
                              </w:r>
                            </w:sdtContent>
                          </w:sdt>
                          <w:r>
                            <w:rPr>
                              <w:szCs w:val="24"/>
                              <w:shd w:val="clear" w:color="auto" w:fill="FFFFFF"/>
                              <w:lang w:eastAsia="lt-LT"/>
                            </w:rPr>
                            <w:t xml:space="preserve">. prekybos centruose, turgavietėse ar kitose prekybos vietose, kuriuose veiklą vykdo daugiau nei viena parduotuvė ar vienas prekybininkas ir kuriuose šio nutarimo </w:t>
                            <w:br/>
                            <w:t>2.2.2.1 papunktyje nurodytų parduotuvių (prekybos vietų) bei parduotuvių ir paviljonų, turinčių tiesioginį įėjimą iš lauko lankytojams arba atskirą įėjimą, kuriuo naudojasi tik tos parduotuvės ar paviljono lankytojai, prekybos plotas sudaro mažiau kaip 50 proc. viso prekybos centro, turgavietės ar kitos prekybos vietos prekybos ploto, vienu metu galinčių būti lankytojų skaičius apskaičiuojamas pagal bendrą prekybos centro, turgavietės ar kitos prekybos vietos prekybos plotą, kurio vienam lankytojui turi tekti ne mažiau kaip 50 m</w:t>
                          </w:r>
                          <w:r>
                            <w:rPr>
                              <w:szCs w:val="24"/>
                              <w:shd w:val="clear" w:color="auto" w:fill="FFFFFF"/>
                              <w:vertAlign w:val="superscript"/>
                              <w:lang w:eastAsia="lt-LT"/>
                            </w:rPr>
                            <w:t>2</w:t>
                          </w:r>
                          <w:r>
                            <w:rPr>
                              <w:szCs w:val="24"/>
                              <w:shd w:val="clear" w:color="auto" w:fill="FFFFFF"/>
                              <w:lang w:eastAsia="lt-LT"/>
                            </w:rPr>
                            <w:t>,</w:t>
                          </w:r>
                          <w:r>
                            <w:rPr>
                              <w:szCs w:val="24"/>
                              <w:shd w:val="clear" w:color="auto" w:fill="FFFFFF"/>
                              <w:vertAlign w:val="superscript"/>
                              <w:lang w:eastAsia="lt-LT"/>
                            </w:rPr>
                            <w:t xml:space="preserve"> </w:t>
                          </w:r>
                          <w:r>
                            <w:rPr>
                              <w:szCs w:val="24"/>
                              <w:shd w:val="clear" w:color="auto" w:fill="FFFFFF"/>
                              <w:lang w:eastAsia="lt-LT"/>
                            </w:rPr>
                            <w:t>arba vienu metu aptarnaujamas ne daugiau kaip vienas asmuo;</w:t>
                          </w:r>
                        </w:p>
                      </w:sdtContent>
                    </w:sdt>
                    <w:sdt>
                      <w:sdtPr>
                        <w:alias w:val="2.2.2.4 pp."/>
                        <w:tag w:val="part_f19adfa730894f9ab41664ffe59f4b7d"/>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2021-05-24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1 pp."/>
                    <w:tag w:val="part_a65ec6a8370e4613a39f1879413b801a"/>
                    <w:lock w:val="sdtLocked"/>
                    <w:richText/>
                  </w:sdtPr>
                  <w:sdtContent>
                    <w:p>
                      <w:pPr>
                        <w:pStyle w:val="PlainText"/>
                        <w:ind w:firstLine="567"/>
                        <w:jc w:val="both"/>
                        <w:rPr>
                          <w:rFonts w:ascii="Times New Roman" w:hAnsi="Times New Roman"/>
                          <w:b/>
                          <w:bCs/>
                          <w:sz w:val="22"/>
                        </w:rPr>
                      </w:pPr>
                      <w:r>
                        <w:rPr>
                          <w:rFonts w:ascii="Times New Roman" w:hAnsi="Times New Roman"/>
                          <w:sz w:val="22"/>
                        </w:rPr>
                        <w:t>2.2.2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2021-05-03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2 pp."/>
                    <w:tag w:val="part_d93925fa57db453faf15cfedd1bdcb0b"/>
                    <w:lock w:val="sdtLocked"/>
                    <w:richText/>
                  </w:sdtPr>
                  <w:sdtContent>
                    <w:p>
                      <w:pPr>
                        <w:pStyle w:val="PlainText"/>
                        <w:ind w:firstLine="567"/>
                        <w:jc w:val="both"/>
                        <w:rPr>
                          <w:rFonts w:ascii="Times New Roman" w:hAnsi="Times New Roman"/>
                          <w:b/>
                          <w:bCs/>
                          <w:sz w:val="22"/>
                        </w:rPr>
                      </w:pPr>
                      <w:r>
                        <w:rPr>
                          <w:rFonts w:ascii="Times New Roman" w:hAnsi="Times New Roman"/>
                          <w:sz w:val="22"/>
                        </w:rPr>
                        <w:t>2.2.2</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2021-05-03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e58ac7c8bc0d453db224c93bcff000af"/>
                    <w:lock w:val="sdtLocked"/>
                    <w:richText/>
                  </w:sdtPr>
                  <w:sdtContent>
                    <w:p>
                      <w:pPr>
                        <w:ind w:firstLine="709"/>
                        <w:jc w:val="both"/>
                        <w:rPr>
                          <w:szCs w:val="24"/>
                          <w:lang w:eastAsia="lt-LT"/>
                        </w:rPr>
                      </w:pPr>
                      <w:sdt>
                        <w:sdtPr>
                          <w:alias w:val="Numeris"/>
                          <w:tag w:val="nr_e58ac7c8bc0d453db224c93bcff000af"/>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2.2.6.3.2, 2.2.6.7, 2.2.6</w:t>
                      </w:r>
                      <w:r>
                        <w:rPr>
                          <w:szCs w:val="24"/>
                          <w:vertAlign w:val="superscript"/>
                          <w:lang w:eastAsia="lt-LT"/>
                        </w:rPr>
                        <w:t>1</w:t>
                      </w:r>
                      <w:r>
                        <w:rPr>
                          <w:szCs w:val="24"/>
                          <w:lang w:eastAsia="lt-LT"/>
                        </w:rPr>
                        <w:t>.3, 2.2.6</w:t>
                      </w:r>
                      <w:r>
                        <w:rPr>
                          <w:szCs w:val="24"/>
                          <w:vertAlign w:val="superscript"/>
                          <w:lang w:eastAsia="lt-LT"/>
                        </w:rPr>
                        <w:t>1</w:t>
                      </w:r>
                      <w:r>
                        <w:rPr>
                          <w:szCs w:val="24"/>
                          <w:lang w:eastAsia="lt-LT"/>
                        </w:rPr>
                        <w:t>.6 ir 2.2.9–2.2.11 papunkčiuose, teikimo vietas) turi būti užtikrinamas 10 m</w:t>
                      </w:r>
                      <w:r>
                        <w:rPr>
                          <w:szCs w:val="24"/>
                          <w:vertAlign w:val="superscript"/>
                          <w:lang w:eastAsia="lt-LT"/>
                        </w:rPr>
                        <w:t>2</w:t>
                      </w:r>
                      <w:r>
                        <w:rPr>
                          <w:szCs w:val="24"/>
                          <w:lang w:eastAsia="lt-LT"/>
                        </w:rPr>
                        <w:t xml:space="preserve"> paslaugos teikimo plotas vienam paslaugos gavėjui arba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3-2 pp."/>
                    <w:tag w:val="part_b5c892c74f5e46adb1422317b63c6a6d"/>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9834c05aedb8487f8967e05434d6794a"/>
                        <w:lock w:val="sdtLocked"/>
                        <w:richText/>
                      </w:sdtPr>
                      <w:sdtContent>
                        <w:p>
                          <w:pPr>
                            <w:ind w:firstLine="720"/>
                            <w:jc w:val="both"/>
                          </w:pPr>
                          <w:sdt>
                            <w:sdtPr>
                              <w:alias w:val="Numeris"/>
                              <w:tag w:val="nr_9834c05aedb8487f8967e05434d6794a"/>
                              <w:lock w:val="sdtLocked"/>
                              <w:richText/>
                            </w:sdtPr>
                            <w:sdtContent>
                              <w:r>
                                <w:rPr>
                                  <w:color w:val="000000"/>
                                  <w:szCs w:val="24"/>
                                  <w:shd w:val="clear" w:color="auto" w:fill="FFFFFF"/>
                                  <w:lang w:eastAsia="en-GB"/>
                                </w:rPr>
                                <w:t>2.2.4.4</w:t>
                              </w:r>
                            </w:sdtContent>
                          </w:sdt>
                          <w:r>
                            <w:rPr>
                              <w:color w:val="000000"/>
                              <w:szCs w:val="24"/>
                              <w:shd w:val="clear" w:color="auto" w:fill="FFFFFF"/>
                              <w:lang w:eastAsia="en-GB"/>
                            </w:rPr>
                            <w:t>. draudžiama apgyvendinimo paslaugoms teikti skirtų patalpų (valdomų tiek fizinių, tiek juridinių asmenų nuosavybės teise ar kitais teisėtais pagrindais) nuoma, subnuoma ar panauda, skirta privatiems renginiams, šventėms ar kitiems susibūrimams organizuoti, išskyrus asmenines šventes, kai dalyvių skaičius neviršija šio nutarimo 2.1.8.2 papunktyje nustatyto asmenų skaičiaus</w:t>
                          </w:r>
                          <w:r>
                            <w:rPr>
                              <w:lang w:eastAsia="lt-LT"/>
                            </w:rPr>
                            <w:t xml:space="preserve"> </w:t>
                          </w:r>
                          <w:r>
                            <w:rPr>
                              <w:color w:val="000000"/>
                              <w:szCs w:val="24"/>
                              <w:shd w:val="clear" w:color="auto" w:fill="FFFFFF"/>
                              <w:lang w:eastAsia="en-GB"/>
                            </w:rPr>
                            <w:t>arba šventėje dalyvauja tik asmenys, atitinkantys 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nurodytus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sdt>
                      <w:sdtPr>
                        <w:alias w:val="2.2.4.5 pp."/>
                        <w:tag w:val="part_a240c29c3ddd45a6a6b47e1cdd322995"/>
                        <w:lock w:val="sdtLocked"/>
                        <w:richText/>
                      </w:sdtPr>
                      <w:sdtContent>
                        <w:p>
                          <w:pPr>
                            <w:ind w:firstLine="720"/>
                            <w:jc w:val="both"/>
                            <w:rPr>
                              <w:szCs w:val="24"/>
                              <w:lang w:eastAsia="lt-LT"/>
                            </w:rPr>
                          </w:pPr>
                          <w:sdt>
                            <w:sdtPr>
                              <w:alias w:val="Numeris"/>
                              <w:tag w:val="nr_a240c29c3ddd45a6a6b47e1cdd322995"/>
                              <w:lock w:val="sdtLocked"/>
                              <w:richText/>
                            </w:sdtPr>
                            <w:sdtContent>
                              <w:r>
                                <w:rPr>
                                  <w:szCs w:val="24"/>
                                  <w:lang w:eastAsia="en-GB"/>
                                </w:rPr>
                                <w:t>2.2.4.5</w:t>
                              </w:r>
                            </w:sdtContent>
                          </w:sdt>
                          <w:r>
                            <w:rPr>
                              <w:szCs w:val="24"/>
                              <w:lang w:eastAsia="en-GB"/>
                            </w:rPr>
                            <w:t xml:space="preserve">. </w:t>
                          </w:r>
                          <w:r>
                            <w:rPr>
                              <w:szCs w:val="24"/>
                              <w:lang w:eastAsia="lt-LT"/>
                            </w:rPr>
                            <w:t>šio nutarimo 2.2.4.1 papunktyje nustatytas reikalavimas netaikomas teikiant apgyvendinimo paslaugas asmenims,</w:t>
                          </w:r>
                          <w:r>
                            <w:rPr>
                              <w:color w:val="000000"/>
                              <w:szCs w:val="24"/>
                              <w:shd w:val="clear" w:color="auto" w:fill="FFFFFF"/>
                              <w:lang w:eastAsia="lt-LT"/>
                            </w:rPr>
                            <w:t xml:space="preserve"> </w:t>
                          </w:r>
                          <w:r>
                            <w:rPr>
                              <w:szCs w:val="24"/>
                              <w:shd w:val="clear" w:color="auto" w:fill="FFFFFF"/>
                              <w:lang w:eastAsia="lt-LT"/>
                            </w:rPr>
                            <w:t xml:space="preserve">atitinkantiems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abeacd8a842043c3853d33000c89a399"/>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bad476672d7f48e896c6725b721b3bff"/>
                        <w:lock w:val="sdtLocked"/>
                        <w:richText/>
                      </w:sdtPr>
                      <w:sdtContent>
                        <w:p>
                          <w:pPr>
                            <w:tabs>
                              <w:tab w:val="left" w:pos="1134"/>
                            </w:tabs>
                            <w:ind w:firstLine="709"/>
                            <w:jc w:val="both"/>
                            <w:rPr>
                              <w:szCs w:val="24"/>
                              <w:shd w:val="clear" w:color="auto" w:fill="FFFFFF"/>
                              <w:lang w:eastAsia="lt-LT"/>
                            </w:rPr>
                          </w:pPr>
                          <w:sdt>
                            <w:sdtPr>
                              <w:alias w:val="Numeris"/>
                              <w:tag w:val="nr_bad476672d7f48e896c6725b721b3bff"/>
                              <w:lock w:val="sdtLocked"/>
                              <w:richText/>
                            </w:sdtPr>
                            <w:sdtContent>
                              <w:r>
                                <w:rPr>
                                  <w:szCs w:val="24"/>
                                  <w:shd w:val="clear" w:color="auto" w:fill="FFFFFF"/>
                                  <w:lang w:eastAsia="lt-LT"/>
                                </w:rPr>
                                <w:t>2.2.6.3</w:t>
                              </w:r>
                            </w:sdtContent>
                          </w:sdt>
                          <w:r>
                            <w:rPr>
                              <w:szCs w:val="24"/>
                              <w:shd w:val="clear" w:color="auto" w:fill="FFFFFF"/>
                              <w:lang w:eastAsia="lt-LT"/>
                            </w:rPr>
                            <w:t>. sporto, laisvalaikio ir pramogų paslaugas atvirose erdvėse, teikiamas užtikrinant valstybės lygio ekstremaliosios situacijos operacijų vadovo nustatytas asmenų srautų valdymo, saugaus atstumo laikymosi, būtinas visuomenės sveikatos saugos, higienos, asmenų aprūpinimo būtinosiomis asmeninėmis apsaugos priemonėmis sąlygas ir kai:</w:t>
                          </w:r>
                        </w:p>
                        <w:sdt>
                          <w:sdtPr>
                            <w:alias w:val="2.2.6.3.1 pp."/>
                            <w:tag w:val="part_8b415159bcd54da78fdff90155d0e85f"/>
                            <w:lock w:val="sdtLocked"/>
                            <w:richText/>
                          </w:sdtPr>
                          <w:sdtContent>
                            <w:p>
                              <w:pPr>
                                <w:tabs>
                                  <w:tab w:val="left" w:pos="1134"/>
                                </w:tabs>
                                <w:ind w:firstLine="709"/>
                                <w:jc w:val="both"/>
                                <w:rPr>
                                  <w:szCs w:val="24"/>
                                  <w:shd w:val="clear" w:color="auto" w:fill="FFFFFF"/>
                                  <w:lang w:eastAsia="lt-LT"/>
                                </w:rPr>
                              </w:pPr>
                              <w:sdt>
                                <w:sdtPr>
                                  <w:alias w:val="Numeris"/>
                                  <w:tag w:val="nr_8b415159bcd54da78fdff90155d0e85f"/>
                                  <w:lock w:val="sdtLocked"/>
                                  <w:richText/>
                                </w:sdtPr>
                                <w:sdtContent>
                                  <w:r>
                                    <w:rPr>
                                      <w:szCs w:val="24"/>
                                      <w:shd w:val="clear" w:color="auto" w:fill="FFFFFF"/>
                                      <w:lang w:eastAsia="lt-LT"/>
                                    </w:rPr>
                                    <w:t>2.2.6.3.1</w:t>
                                  </w:r>
                                </w:sdtContent>
                              </w:sdt>
                              <w:r>
                                <w:rPr>
                                  <w:szCs w:val="24"/>
                                  <w:shd w:val="clear" w:color="auto" w:fill="FFFFFF"/>
                                  <w:lang w:eastAsia="lt-LT"/>
                                </w:rPr>
                                <w:t>. paslaugos vienu metu teikiamos ne daugiau kaip 10 asmenų, išskyrus dviejų šeimų ir (ar) dviejų namų ūkių narius;</w:t>
                              </w:r>
                            </w:p>
                          </w:sdtContent>
                        </w:sdt>
                        <w:sdt>
                          <w:sdtPr>
                            <w:alias w:val="2.2.6.3.2 pp."/>
                            <w:tag w:val="part_aef74af844f34ca9a34576eb03d74a5d"/>
                            <w:lock w:val="sdtLocked"/>
                            <w:richText/>
                          </w:sdtPr>
                          <w:sdtContent>
                            <w:p>
                              <w:pPr>
                                <w:tabs>
                                  <w:tab w:val="left" w:pos="1134"/>
                                </w:tabs>
                                <w:ind w:firstLine="709"/>
                                <w:jc w:val="both"/>
                              </w:pPr>
                              <w:sdt>
                                <w:sdtPr>
                                  <w:alias w:val="Numeris"/>
                                  <w:tag w:val="nr_aef74af844f34ca9a34576eb03d74a5d"/>
                                  <w:lock w:val="sdtLocked"/>
                                  <w:richText/>
                                </w:sdtPr>
                                <w:sdtContent>
                                  <w:r>
                                    <w:rPr>
                                      <w:szCs w:val="24"/>
                                      <w:shd w:val="clear" w:color="auto" w:fill="FFFFFF"/>
                                      <w:lang w:eastAsia="lt-LT"/>
                                    </w:rPr>
                                    <w:t>2.2.6.3.2</w:t>
                                  </w:r>
                                </w:sdtContent>
                              </w:sdt>
                              <w:r>
                                <w:rPr>
                                  <w:szCs w:val="24"/>
                                  <w:shd w:val="clear" w:color="auto" w:fill="FFFFFF"/>
                                  <w:lang w:eastAsia="lt-LT"/>
                                </w:rPr>
                                <w:t>. paslaugos vienu metu teikiamos ne daugiau kaip 50 asmenų, užtikrinant 50 m</w:t>
                              </w:r>
                              <w:r>
                                <w:rPr>
                                  <w:szCs w:val="24"/>
                                  <w:shd w:val="clear" w:color="auto" w:fill="FFFFFF"/>
                                  <w:vertAlign w:val="superscript"/>
                                  <w:lang w:eastAsia="lt-LT"/>
                                </w:rPr>
                                <w:t>2 </w:t>
                              </w:r>
                              <w:r>
                                <w:rPr>
                                  <w:szCs w:val="24"/>
                                  <w:shd w:val="clear" w:color="auto" w:fill="FFFFFF"/>
                                  <w:lang w:eastAsia="lt-LT"/>
                                </w:rPr>
                                <w:t>plotą vienam asmeniui bei bilietų platinimą elektroniniu būdu ir išankstinę paslaugų gavėjų registraciją;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sdtContent>
                    </w:sdt>
                    <w:sdt>
                      <w:sdtPr>
                        <w:alias w:val="2.2.6.4 pp."/>
                        <w:tag w:val="part_dba23fd2c1e048ce99b9d950f1abf6da"/>
                        <w:lock w:val="sdtLocked"/>
                        <w:richText/>
                      </w:sdtPr>
                      <w:sdtContent>
                        <w:p>
                          <w:pPr>
                            <w:tabs>
                              <w:tab w:val="left" w:pos="1134"/>
                            </w:tabs>
                            <w:ind w:firstLine="709"/>
                            <w:jc w:val="both"/>
                          </w:pPr>
                          <w:sdt>
                            <w:sdtPr>
                              <w:alias w:val="Numeris"/>
                              <w:tag w:val="nr_dba23fd2c1e048ce99b9d950f1abf6da"/>
                              <w:lock w:val="sdtLocked"/>
                              <w:richText/>
                            </w:sdtPr>
                            <w:sdtContent>
                              <w:r>
                                <w:rPr>
                                  <w:szCs w:val="24"/>
                                  <w:shd w:val="clear" w:color="auto" w:fill="FFFFFF"/>
                                  <w:lang w:eastAsia="lt-LT"/>
                                </w:rPr>
                                <w:t>2.2.6.4</w:t>
                              </w:r>
                            </w:sdtContent>
                          </w:sdt>
                          <w:r>
                            <w:rPr>
                              <w:szCs w:val="24"/>
                              <w:shd w:val="clear" w:color="auto" w:fill="FFFFFF"/>
                              <w:lang w:eastAsia="lt-LT"/>
                            </w:rPr>
                            <w:t>. pirčių paslaugas, teikiamas ne daugiau kaip 2 asmenims, vienos šeimos ir (ar) vieno namų ūkio nariams arba tik asmenims, atitinkantiems šio nutarimo 2</w:t>
                          </w:r>
                          <w:r>
                            <w:rPr>
                              <w:szCs w:val="24"/>
                              <w:shd w:val="clear" w:color="auto" w:fill="FFFFFF"/>
                              <w:vertAlign w:val="superscript"/>
                              <w:lang w:eastAsia="lt-LT"/>
                            </w:rPr>
                            <w:t>2</w:t>
                          </w:r>
                          <w:r>
                            <w:rPr>
                              <w:szCs w:val="24"/>
                              <w:shd w:val="clear" w:color="auto" w:fill="FFFFFF"/>
                              <w:lang w:eastAsia="lt-LT"/>
                            </w:rPr>
                            <w:t> punkte nurodytus kriterijus,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6.5 pp."/>
                        <w:tag w:val="part_6c5f28115c7c46cdba849ea931dadbe1"/>
                        <w:lock w:val="sdtLocked"/>
                        <w:richText/>
                      </w:sdtPr>
                      <w:sdtContent>
                        <w:p>
                          <w:pPr>
                            <w:tabs>
                              <w:tab w:val="left" w:pos="1134"/>
                            </w:tabs>
                            <w:ind w:firstLine="709"/>
                            <w:jc w:val="both"/>
                          </w:pPr>
                          <w:sdt>
                            <w:sdtPr>
                              <w:alias w:val="Numeris"/>
                              <w:tag w:val="nr_6c5f28115c7c46cdba849ea931dadbe1"/>
                              <w:lock w:val="sdtLocked"/>
                              <w:richText/>
                            </w:sdtPr>
                            <w:sdtContent>
                              <w:r>
                                <w:rPr>
                                  <w:szCs w:val="24"/>
                                  <w:shd w:val="clear" w:color="auto" w:fill="FFFFFF"/>
                                  <w:lang w:eastAsia="lt-LT"/>
                                </w:rPr>
                                <w:t>2.2.6.5</w:t>
                              </w:r>
                            </w:sdtContent>
                          </w:sdt>
                          <w:r>
                            <w:rPr>
                              <w:szCs w:val="24"/>
                              <w:shd w:val="clear" w:color="auto" w:fill="FFFFFF"/>
                              <w:lang w:eastAsia="lt-LT"/>
                            </w:rPr>
                            <w:t>. baseinų paslaugas, teikiamas ne daugiau kaip 50 asmenų (neįskaičiuojant paslaugų teikėjų ir jų darbuotojų), užtikrinant 20 m</w:t>
                          </w:r>
                          <w:r>
                            <w:rPr>
                              <w:szCs w:val="24"/>
                              <w:shd w:val="clear" w:color="auto" w:fill="FFFFFF"/>
                              <w:vertAlign w:val="superscript"/>
                              <w:lang w:eastAsia="lt-LT"/>
                            </w:rPr>
                            <w:t>2</w:t>
                          </w:r>
                          <w:r>
                            <w:rPr>
                              <w:szCs w:val="24"/>
                              <w:shd w:val="clear" w:color="auto" w:fill="FFFFFF"/>
                              <w:lang w:eastAsia="lt-LT"/>
                            </w:rPr>
                            <w:t xml:space="preserve"> paslaugos teikimo plotą vienam asmeniui, lankytojų registraciją ir kitas valstybės lygio ekstremaliosios situacijos operacijų vadovo nustatytas asmenų srautų valdymo, saugaus atstumo laikymosi, būtinas visuomenės sveikatos saugos, higienos, asmenų aprūpinimo būtinosiomis asmeninėmis apsaugos priemonėmis sąlygas. Vykdant grupines treniruotes (užsiėmimus), viename baseino takelyje gali būti ne daugiau kaip 5 asmenys (neįskaičiuojant paslaugų teikėjų ir jų darbuotojų). Kai baseinų paslaugos teikiamos tik asmenims, atitinkantiems šio nutarimo 2</w:t>
                          </w:r>
                          <w:r>
                            <w:rPr>
                              <w:szCs w:val="24"/>
                              <w:shd w:val="clear" w:color="auto" w:fill="FFFFFF"/>
                              <w:vertAlign w:val="superscript"/>
                              <w:lang w:eastAsia="lt-LT"/>
                            </w:rPr>
                            <w:t>2</w:t>
                          </w:r>
                          <w:r>
                            <w:rPr>
                              <w:szCs w:val="24"/>
                              <w:shd w:val="clear" w:color="auto" w:fill="FFFFFF"/>
                              <w:lang w:eastAsia="lt-LT"/>
                            </w:rPr>
                            <w:t> punkte nurodytus kriterijus, šiame papunktyje nurodyti maksimalaus asmenų skaičiaus ir paslaugos teikimo ploto vienam asmeniui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6.6 pp."/>
                        <w:tag w:val="part_bacd5d340efc409eaf92cd79b06520f6"/>
                        <w:lock w:val="sdtLocked"/>
                        <w:richText/>
                      </w:sdtPr>
                      <w:sdtContent>
                        <w:p>
                          <w:pPr>
                            <w:ind w:firstLine="720"/>
                            <w:jc w:val="both"/>
                          </w:pPr>
                          <w:sdt>
                            <w:sdtPr>
                              <w:alias w:val="Numeris"/>
                              <w:tag w:val="nr_bacd5d340efc409eaf92cd79b06520f6"/>
                              <w:lock w:val="sdtLocked"/>
                              <w:richText/>
                            </w:sdtPr>
                            <w:sdtContent>
                              <w:r>
                                <w:rPr>
                                  <w:szCs w:val="24"/>
                                  <w:lang w:eastAsia="lt-LT"/>
                                </w:rPr>
                                <w:t>2.2.6.6</w:t>
                              </w:r>
                            </w:sdtContent>
                          </w:sdt>
                          <w:r>
                            <w:rPr>
                              <w:szCs w:val="24"/>
                              <w:lang w:eastAsia="lt-LT"/>
                            </w:rPr>
                            <w:t>. kino teatrų ir kino klubų paslaugas, teikiamas užtikrinant, kad žiūrovai užima tik sėdimąsias vietas, užpildoma ne daugiau kaip 30 proc. visų sėdimųjų vietų, bet bendras žiūrovų skaičius neviršija 150 asmenų, bilietų platinimą elektroniniu būdu ir (arba) žiūrovų registravimą, vyresniems nei 6 metų žiūrovams dėvint kaukes,</w:t>
                          </w:r>
                          <w:r>
                            <w:rPr>
                              <w:szCs w:val="24"/>
                              <w:shd w:val="clear" w:color="auto" w:fill="FFFFFF"/>
                              <w:lang w:eastAsia="lt-LT"/>
                            </w:rPr>
                            <w:t xml:space="preserve"> </w:t>
                          </w:r>
                          <w:r>
                            <w:rPr>
                              <w:szCs w:val="24"/>
                              <w:lang w:eastAsia="lt-LT"/>
                            </w:rPr>
                            <w:t xml:space="preserve">išskyrus šio nutarimo </w:t>
                            <w:br/>
                            <w:t>2.1.5.2 papunktyje numatytas išimtis, bei užtikrinant kitas valstybės lygio ekstremaliosios situacijos operacijų vadovo nustatytas asmenų srautų valdymo, saugaus atstumo laikymosi, būtinas visuomenės sveikatos saugos, higienos, asmenų aprūpinimo būtinosiomis asmeninėmis apsaugos priemonėmis sąlygas. Prekiauti maistu ir gėrimais bei teikti kitas paslaugas kino teatrų ir kino klubų paslaugų teikimo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7 pp."/>
                        <w:tag w:val="part_a8b43e221d8d42c4ba9b62c498cf0bc5"/>
                        <w:lock w:val="sdtLocked"/>
                        <w:richText/>
                      </w:sdtPr>
                      <w:sdtContent>
                        <w:p>
                          <w:pPr>
                            <w:tabs>
                              <w:tab w:val="left" w:pos="1134"/>
                            </w:tabs>
                            <w:ind w:firstLine="709"/>
                            <w:jc w:val="both"/>
                          </w:pPr>
                          <w:sdt>
                            <w:sdtPr>
                              <w:alias w:val="Numeris"/>
                              <w:tag w:val="nr_a8b43e221d8d42c4ba9b62c498cf0bc5"/>
                              <w:lock w:val="sdtLocked"/>
                              <w:richText/>
                            </w:sdtPr>
                            <w:sdtContent>
                              <w:r>
                                <w:rPr>
                                  <w:szCs w:val="24"/>
                                  <w:lang w:eastAsia="lt-LT"/>
                                </w:rPr>
                                <w:t>2.2.6.7</w:t>
                              </w:r>
                            </w:sdtContent>
                          </w:sdt>
                          <w:r>
                            <w:rPr>
                              <w:szCs w:val="24"/>
                              <w:lang w:eastAsia="lt-LT"/>
                            </w:rPr>
                            <w:t>. sporto įrenginių eksploatavimo, sporto klubų, kūno rengybos centrų paslaugas, teikiamas užtikrinant 20 m</w:t>
                          </w:r>
                          <w:r>
                            <w:rPr>
                              <w:szCs w:val="24"/>
                              <w:vertAlign w:val="superscript"/>
                              <w:lang w:eastAsia="lt-LT"/>
                            </w:rPr>
                            <w:t>2</w:t>
                          </w:r>
                          <w:r>
                            <w:rPr>
                              <w:szCs w:val="24"/>
                              <w:lang w:eastAsia="lt-LT"/>
                            </w:rPr>
                            <w:t xml:space="preserve"> paslaugos teikimo plotą vienam asmeniui (įskaičiuojant paslaugų teikėjus) bei kitas valstybės lygio ekstremaliosios situacijos operacijų vadovo nustatytas asmenų srautų valdymo, saugaus atstumo laikymosi, būtinas visuomenės sveikatos saugos, higienos, asmenų aprūpinimo būtinosiomis asmeninėmis apsaugos priemonėmis sąlygas. Grupinės treniruotės gali būti vykdomos dalyvaujant ne daugiau kaip 5 asmenims (neįskaičiuojant paslaugų teikėjų). </w:t>
                          </w:r>
                          <w:r>
                            <w:rPr>
                              <w:szCs w:val="24"/>
                              <w:shd w:val="clear" w:color="auto" w:fill="FFFFFF"/>
                              <w:lang w:eastAsia="lt-LT"/>
                            </w:rPr>
                            <w:t>Kai paslaugos teikiamos tik asmenims, atitinkantiems šio nutarimo 2</w:t>
                          </w:r>
                          <w:r>
                            <w:rPr>
                              <w:szCs w:val="24"/>
                              <w:shd w:val="clear" w:color="auto" w:fill="FFFFFF"/>
                              <w:vertAlign w:val="superscript"/>
                              <w:lang w:eastAsia="lt-LT"/>
                            </w:rPr>
                            <w:t>2</w:t>
                          </w:r>
                          <w:r>
                            <w:rPr>
                              <w:szCs w:val="24"/>
                              <w:shd w:val="clear" w:color="auto" w:fill="FFFFFF"/>
                              <w:lang w:eastAsia="lt-LT"/>
                            </w:rPr>
                            <w:t> punkte nurodytus kriterijus, šiame papunktyje nurodyti maksimalaus asmenų skaičiaus ir paslaugos teikimo ploto vienam asmeniui reikalavimai netaikomi</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6.8 pp."/>
                        <w:tag w:val="part_f4e7c8750b7b403b91318a2b294c1ebb"/>
                        <w:lock w:val="sdtLocked"/>
                        <w:richText/>
                      </w:sdtPr>
                      <w:sdtContent>
                        <w:p>
                          <w:pPr>
                            <w:ind w:firstLine="720"/>
                            <w:jc w:val="both"/>
                          </w:pPr>
                          <w:sdt>
                            <w:sdtPr>
                              <w:alias w:val="Numeris"/>
                              <w:tag w:val="nr_f4e7c8750b7b403b91318a2b294c1ebb"/>
                              <w:lock w:val="sdtLocked"/>
                              <w:richText/>
                            </w:sdtPr>
                            <w:sdtContent>
                              <w:r>
                                <w:rPr>
                                  <w:color w:val="000000"/>
                                  <w:szCs w:val="24"/>
                                </w:rPr>
                                <w:t>2.2.6.8</w:t>
                              </w:r>
                            </w:sdtContent>
                          </w:sdt>
                          <w:r>
                            <w:rPr>
                              <w:color w:val="000000"/>
                              <w:szCs w:val="24"/>
                            </w:rPr>
                            <w:t xml:space="preserve">. laisvalaikio paslaugoms teikti skirtų patalpų nuoma, subnuoma ar panauda, skirta asmeninėms šventėms organizuoti, kai dalyvių skaičius neviršija šio nutarimo </w:t>
                            <w:br/>
                            <w:t xml:space="preserve">2.1.8.2 papunktyje nustatyto asmenų skaičiaus arba kai šventėje dalyvauja tik asmenys, </w:t>
                          </w:r>
                          <w:r>
                            <w:rPr>
                              <w:color w:val="000000"/>
                              <w:szCs w:val="24"/>
                              <w:shd w:val="clear" w:color="auto" w:fill="FFFFFF"/>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color w:val="000000"/>
                              <w:szCs w:val="24"/>
                            </w:rPr>
                            <w:t>nurodytus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sdt>
                      <w:sdtPr>
                        <w:alias w:val="2.2.6.9 pp."/>
                        <w:tag w:val="part_c04951e671ef4050a643fa66a202f483"/>
                        <w:lock w:val="sdtLocked"/>
                        <w:richText/>
                      </w:sdtPr>
                      <w:sdtContent>
                        <w:p>
                          <w:pPr>
                            <w:ind w:firstLine="720"/>
                            <w:jc w:val="both"/>
                          </w:pPr>
                          <w:sdt>
                            <w:sdtPr>
                              <w:alias w:val="Numeris"/>
                              <w:tag w:val="nr_c04951e671ef4050a643fa66a202f483"/>
                              <w:lock w:val="sdtLocked"/>
                              <w:richText/>
                            </w:sdtPr>
                            <w:sdtContent>
                              <w:r>
                                <w:rPr>
                                  <w:sz w:val="23"/>
                                  <w:szCs w:val="23"/>
                                </w:rPr>
                                <w:t>2.2.6.9</w:t>
                              </w:r>
                            </w:sdtContent>
                          </w:sdt>
                          <w:r>
                            <w:rPr>
                              <w:sz w:val="23"/>
                              <w:szCs w:val="23"/>
                            </w:rPr>
                            <w:t xml:space="preserve">. plaukiojimą pramoginiais laivais, </w:t>
                          </w:r>
                          <w:r>
                            <w:rPr>
                              <w:color w:val="000000"/>
                              <w:szCs w:val="24"/>
                              <w:shd w:val="clear" w:color="auto" w:fill="FFFFFF"/>
                              <w:lang w:eastAsia="en-GB"/>
                            </w:rPr>
                            <w:t>kai dalyvauja ne daugiau kaip 10 asmenų arba tik asmenys</w:t>
                          </w:r>
                          <w:r>
                            <w:rPr>
                              <w:color w:val="000000"/>
                              <w:szCs w:val="24"/>
                            </w:rPr>
                            <w:t xml:space="preserve">, </w:t>
                          </w:r>
                          <w:r>
                            <w:rPr>
                              <w:color w:val="000000"/>
                              <w:szCs w:val="24"/>
                              <w:shd w:val="clear" w:color="auto" w:fill="FFFFFF"/>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color w:val="000000"/>
                              <w:szCs w:val="24"/>
                            </w:rPr>
                            <w:t>nurodytus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sdt>
                      <w:sdtPr>
                        <w:alias w:val="2.2.6.10 pp."/>
                        <w:tag w:val="part_107157957b5248beb82bae1d85e0ea80"/>
                        <w:lock w:val="sdtLocked"/>
                        <w:richText/>
                      </w:sdtPr>
                      <w:sdtContent>
                        <w:p>
                          <w:pPr>
                            <w:ind w:firstLine="720"/>
                            <w:jc w:val="both"/>
                          </w:pPr>
                          <w:sdt>
                            <w:sdtPr>
                              <w:alias w:val="Numeris"/>
                              <w:tag w:val="nr_107157957b5248beb82bae1d85e0ea80"/>
                              <w:lock w:val="sdtLocked"/>
                              <w:richText/>
                            </w:sdtPr>
                            <w:sdtContent>
                              <w:r>
                                <w:rPr>
                                  <w:szCs w:val="24"/>
                                  <w:lang w:eastAsia="lt-LT"/>
                                </w:rPr>
                                <w:t>2.2.6.10</w:t>
                              </w:r>
                            </w:sdtContent>
                          </w:sdt>
                          <w:r>
                            <w:rPr>
                              <w:szCs w:val="24"/>
                              <w:lang w:eastAsia="lt-LT"/>
                            </w:rPr>
                            <w:t xml:space="preserve">. laisvalaikio ir pramogų paslaugas (biliardo ir boulingo klubai, pabėgimo kambariai, stalo žaidimų klubai, sportinio pokerio klubai) uždarose erdvėse, </w:t>
                          </w:r>
                          <w:r>
                            <w:rPr>
                              <w:color w:val="000000"/>
                              <w:szCs w:val="24"/>
                              <w:shd w:val="clear" w:color="auto" w:fill="FFFFFF"/>
                              <w:lang w:eastAsia="en-GB"/>
                            </w:rPr>
                            <w:t>kai jomis naudojasi tik asmenys</w:t>
                          </w:r>
                          <w:r>
                            <w:rPr>
                              <w:szCs w:val="24"/>
                              <w:lang w:eastAsia="lt-LT"/>
                            </w:rPr>
                            <w:t xml:space="preserve">, </w:t>
                          </w:r>
                          <w:r>
                            <w:rPr>
                              <w:color w:val="000000"/>
                              <w:szCs w:val="24"/>
                              <w:shd w:val="clear" w:color="auto" w:fill="FFFFFF"/>
                              <w:lang w:eastAsia="lt-LT"/>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4d9cc5d500e24125ace6384d3bb0168e"/>
                        <w:lock w:val="sdtLocked"/>
                        <w:richText/>
                      </w:sdtPr>
                      <w:sdtContent>
                        <w:p>
                          <w:pPr>
                            <w:ind w:firstLine="709"/>
                            <w:jc w:val="both"/>
                            <w:rPr>
                              <w:szCs w:val="24"/>
                              <w:lang w:eastAsia="lt-LT"/>
                            </w:rPr>
                          </w:pPr>
                          <w:sdt>
                            <w:sdtPr>
                              <w:alias w:val="Numeris"/>
                              <w:tag w:val="nr_4d9cc5d500e24125ace6384d3bb0168e"/>
                              <w:lock w:val="sdtLocked"/>
                              <w:richText/>
                            </w:sdtPr>
                            <w:sdtContent>
                              <w:r>
                                <w:rPr>
                                  <w:szCs w:val="24"/>
                                  <w:lang w:eastAsia="lt-LT"/>
                                </w:rPr>
                                <w:t>2.2.6</w:t>
                              </w:r>
                              <w:r>
                                <w:rPr>
                                  <w:szCs w:val="24"/>
                                  <w:vertAlign w:val="superscript"/>
                                  <w:lang w:eastAsia="lt-LT"/>
                                </w:rPr>
                                <w:t>1</w:t>
                              </w:r>
                              <w:r>
                                <w:rPr>
                                  <w:szCs w:val="24"/>
                                  <w:lang w:eastAsia="lt-LT"/>
                                </w:rPr>
                                <w:t>.2</w:t>
                              </w:r>
                            </w:sdtContent>
                          </w:sdt>
                          <w:r>
                            <w:rPr>
                              <w:szCs w:val="24"/>
                              <w:lang w:eastAsia="lt-LT"/>
                            </w:rPr>
                            <w:t>. lankomi pažintiniai ir mokomieji takai, parkai, muziejai, galerijos ir kitos ekspozicinės erdvės, zoologijos ir botanikos sodai, esantys atvirose lauko erdvėse, ne didesnėmis nei 10 asmenų grupėmis, išskyrus dviejų šeimų ir (ar) dviejų namų ūkių narius ir ekskursijas su gidu, kai dalyvauja ne daugiau kaip 25 asmenys (neįskaičiuojant gido), užtikrinant dalyvių išankstinę registraciją;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6-1.3 pp."/>
                        <w:tag w:val="part_aba24ef2333e44bfb877278c1d6b5729"/>
                        <w:lock w:val="sdtLocked"/>
                        <w:richText/>
                      </w:sdtPr>
                      <w:sdtContent>
                        <w:p>
                          <w:pPr>
                            <w:ind w:firstLine="709"/>
                            <w:jc w:val="both"/>
                            <w:rPr>
                              <w:szCs w:val="24"/>
                              <w:lang w:eastAsia="lt-LT"/>
                            </w:rPr>
                          </w:pPr>
                          <w:sdt>
                            <w:sdtPr>
                              <w:alias w:val="Numeris"/>
                              <w:tag w:val="nr_aba24ef2333e44bfb877278c1d6b5729"/>
                              <w:lock w:val="sdtLocked"/>
                              <w:richText/>
                            </w:sdtPr>
                            <w:sdtContent>
                              <w:r>
                                <w:rPr>
                                  <w:szCs w:val="24"/>
                                  <w:lang w:eastAsia="lt-LT"/>
                                </w:rPr>
                                <w:t>2.2.6</w:t>
                              </w:r>
                              <w:r>
                                <w:rPr>
                                  <w:szCs w:val="24"/>
                                  <w:vertAlign w:val="superscript"/>
                                  <w:lang w:eastAsia="lt-LT"/>
                                </w:rPr>
                                <w:t>1</w:t>
                              </w:r>
                              <w:r>
                                <w:rPr>
                                  <w:szCs w:val="24"/>
                                  <w:lang w:eastAsia="lt-LT"/>
                                </w:rPr>
                                <w:t>.3</w:t>
                              </w:r>
                            </w:sdtContent>
                          </w:sdt>
                          <w:r>
                            <w:rPr>
                              <w:szCs w:val="24"/>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vertAlign w:val="superscript"/>
                              <w:lang w:eastAsia="lt-LT"/>
                            </w:rPr>
                            <w:t>2</w:t>
                          </w:r>
                          <w:r>
                            <w:rPr>
                              <w:szCs w:val="24"/>
                              <w:lang w:eastAsia="lt-LT"/>
                            </w:rPr>
                            <w:t xml:space="preserve"> ploto, išskyrus ekskursijas su gidu, kai dalyvauja ne daugiau kaip 25 asmenys (neįskaičiuojant gido), užtikrinant dalyvių išankstinę registraciją;</w:t>
                          </w:r>
                          <w:r>
                            <w:rPr>
                              <w:b/>
                              <w:b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6-1.4 pp."/>
                        <w:tag w:val="part_4451ec9abf83478e92456411b1048700"/>
                        <w:lock w:val="sdtLocked"/>
                        <w:richText/>
                      </w:sdtPr>
                      <w:sdtContent>
                        <w:p>
                          <w:pPr>
                            <w:ind w:firstLine="720"/>
                            <w:jc w:val="both"/>
                            <w:rPr>
                              <w:szCs w:val="24"/>
                              <w:lang w:eastAsia="lt-LT"/>
                            </w:rPr>
                          </w:pPr>
                          <w:sdt>
                            <w:sdtPr>
                              <w:alias w:val="Numeris"/>
                              <w:tag w:val="nr_4451ec9abf83478e92456411b1048700"/>
                              <w:lock w:val="sdtLocked"/>
                              <w:richText/>
                            </w:sdtPr>
                            <w:sdtContent>
                              <w:r>
                                <w:rPr>
                                  <w:szCs w:val="24"/>
                                  <w:lang w:eastAsia="lt-LT"/>
                                </w:rPr>
                                <w:t>2.2.6</w:t>
                              </w:r>
                              <w:r>
                                <w:rPr>
                                  <w:szCs w:val="24"/>
                                  <w:vertAlign w:val="superscript"/>
                                  <w:lang w:eastAsia="lt-LT"/>
                                </w:rPr>
                                <w:t>1</w:t>
                              </w:r>
                              <w:r>
                                <w:rPr>
                                  <w:szCs w:val="24"/>
                                  <w:lang w:eastAsia="lt-LT"/>
                                </w:rPr>
                                <w:t>.4</w:t>
                              </w:r>
                            </w:sdtContent>
                          </w:sdt>
                          <w:r>
                            <w:rPr>
                              <w:szCs w:val="24"/>
                              <w:lang w:eastAsia="lt-LT"/>
                            </w:rPr>
                            <w:t>. fiziškai aptarnaujami lankytojai bibliotekų ir valstybės archyvų skaityklose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1.5 pp."/>
                        <w:tag w:val="part_fdd28dedd77746a3b54aca85f6632745"/>
                        <w:lock w:val="sdtLocked"/>
                        <w:richText/>
                      </w:sdtPr>
                      <w:sdtContent>
                        <w:p>
                          <w:pPr>
                            <w:ind w:firstLine="720"/>
                            <w:jc w:val="both"/>
                            <w:rPr>
                              <w:szCs w:val="24"/>
                              <w:lang w:eastAsia="lt-LT"/>
                            </w:rPr>
                          </w:pPr>
                          <w:sdt>
                            <w:sdtPr>
                              <w:alias w:val="Numeris"/>
                              <w:tag w:val="nr_fdd28dedd77746a3b54aca85f6632745"/>
                              <w:lock w:val="sdtLocked"/>
                              <w:richText/>
                            </w:sdtPr>
                            <w:sdtContent>
                              <w:r>
                                <w:rPr>
                                  <w:szCs w:val="24"/>
                                  <w:lang w:eastAsia="lt-LT"/>
                                </w:rPr>
                                <w:t>2.2.6</w:t>
                              </w:r>
                              <w:r>
                                <w:rPr>
                                  <w:szCs w:val="24"/>
                                  <w:vertAlign w:val="superscript"/>
                                  <w:lang w:eastAsia="lt-LT"/>
                                </w:rPr>
                                <w:t>1</w:t>
                              </w:r>
                              <w:r>
                                <w:rPr>
                                  <w:szCs w:val="24"/>
                                  <w:lang w:eastAsia="lt-LT"/>
                                </w:rPr>
                                <w:t>.5</w:t>
                              </w:r>
                            </w:sdtContent>
                          </w:sdt>
                          <w:r>
                            <w:rPr>
                              <w:szCs w:val="24"/>
                              <w:lang w:eastAsia="lt-LT"/>
                            </w:rPr>
                            <w:t>. lankomos profesionaliojo scenos meno įstaigų salės, kai žiūrovai profesionaliojo scenos meno kūrinius stebi tik iš sėdimųjų vietų, užpildoma ne daugiau kaip 30 proc. visų sėdimųjų vietų, bet bendras žiūrovų skaičius neviršija 150 asmenų, užtikrinant bilietų platinimą elektroniniu būdu ir (arba) žiūrovų registravimą, vyresni nei 6 metų žiūrovai dėvi kaukes, išskyrus šio nutarimo 2.1.5.2 papunktyje numatytas išimtis. Prekiauti maistu ir gėrimais bei teikti kitas paslaugas profesionaliojo scenos meno įstaigose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1.6 pp."/>
                        <w:tag w:val="part_c67fbb3c73f74f1a828bea5832ad664a"/>
                        <w:lock w:val="sdtLocked"/>
                        <w:richText/>
                      </w:sdtPr>
                      <w:sdtContent>
                        <w:p>
                          <w:pPr>
                            <w:tabs>
                              <w:tab w:val="left" w:pos="1134"/>
                            </w:tabs>
                            <w:ind w:firstLine="720"/>
                            <w:jc w:val="both"/>
                            <w:rPr>
                              <w:szCs w:val="24"/>
                              <w:lang w:eastAsia="lt-LT"/>
                            </w:rPr>
                          </w:pPr>
                          <w:sdt>
                            <w:sdtPr>
                              <w:alias w:val="Numeris"/>
                              <w:tag w:val="nr_c67fbb3c73f74f1a828bea5832ad664a"/>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.6</w:t>
                              </w:r>
                            </w:sdtContent>
                          </w:sdt>
                          <w:r>
                            <w:rPr>
                              <w:szCs w:val="24"/>
                              <w:shd w:val="clear" w:color="auto" w:fill="FFFFFF"/>
                              <w:lang w:eastAsia="lt-LT"/>
                            </w:rPr>
                            <w:t>. vykdomos kultūros centrų mėgėjų meno kolektyvų repeticijos šio nutarimo 2</w:t>
                          </w:r>
                          <w:r>
                            <w:rPr>
                              <w:szCs w:val="24"/>
                              <w:shd w:val="clear" w:color="auto" w:fill="FFFFFF"/>
                              <w:vertAlign w:val="superscript"/>
                              <w:lang w:eastAsia="lt-LT"/>
                            </w:rPr>
                            <w:t>1</w:t>
                          </w:r>
                          <w:r>
                            <w:rPr>
                              <w:szCs w:val="24"/>
                              <w:shd w:val="clear" w:color="auto" w:fill="FFFFFF"/>
                              <w:lang w:eastAsia="lt-LT"/>
                            </w:rPr>
                            <w:t> punkte nurodytose savivaldybėse, kai užtikrinamas 20 m</w:t>
                          </w:r>
                          <w:r>
                            <w:rPr>
                              <w:szCs w:val="24"/>
                              <w:shd w:val="clear" w:color="auto" w:fill="FFFFFF"/>
                              <w:vertAlign w:val="superscript"/>
                              <w:lang w:eastAsia="lt-LT"/>
                            </w:rPr>
                            <w:t>2</w:t>
                          </w:r>
                          <w:r>
                            <w:rPr>
                              <w:szCs w:val="24"/>
                              <w:shd w:val="clear" w:color="auto" w:fill="FFFFFF"/>
                              <w:lang w:eastAsia="lt-LT"/>
                            </w:rPr>
                            <w:t xml:space="preserve"> plotas vienam asmeniui ir uždarose erdvėse dalyvauja ne daugiau kaip 10 asmenų,  o atvirose erdvėse – ne daugiau kaip 20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e3780497c76e4d44b35b9f28b2f70b31"/>
                        <w:lock w:val="sdtLocked"/>
                        <w:richText/>
                      </w:sdtPr>
                      <w:sdtContent>
                        <w:p>
                          <w:pPr>
                            <w:tabs>
                              <w:tab w:val="left" w:pos="1134"/>
                            </w:tabs>
                            <w:ind w:firstLine="709"/>
                            <w:jc w:val="both"/>
                            <w:rPr>
                              <w:bCs/>
                              <w:szCs w:val="24"/>
                              <w:lang w:eastAsia="lt-LT"/>
                            </w:rPr>
                          </w:pPr>
                          <w:sdt>
                            <w:sdtPr>
                              <w:alias w:val="Numeris"/>
                              <w:tag w:val="nr_e3780497c76e4d44b35b9f28b2f70b31"/>
                              <w:lock w:val="sdtLocked"/>
                              <w:richText/>
                            </w:sdtPr>
                            <w:sdtContent>
                              <w:r>
                                <w:rPr>
                                  <w:szCs w:val="24"/>
                                  <w:shd w:val="clear" w:color="auto" w:fill="FFFFFF"/>
                                  <w:lang w:eastAsia="lt-LT"/>
                                </w:rPr>
                                <w:t>2.2.7.3</w:t>
                              </w:r>
                            </w:sdtContent>
                          </w:sdt>
                          <w:r>
                            <w:rPr>
                              <w:szCs w:val="24"/>
                              <w:shd w:val="clear" w:color="auto" w:fill="FFFFFF"/>
                              <w:lang w:eastAsia="lt-LT"/>
                            </w:rPr>
                            <w:t>. viešojo maitinimo paslaugos teikiamos ugdymo, socialinių paslaugų, asmens sveikatos priežiūros, krašto apsaugos, pataisos įstaigose, tardymo izoliatoriuose, Valstybės sienos apsaugos tarnybos prie Lietuvos Respublikos vidaus reikalų ministerijos Užsieniečių registracijos centre (toliau – URC) ar kitose įstaigose, kuriose būtina užtikrinti maitinimą pagal įstaigos veiklos specifiką, oficialių delegacijų nariams ir jų priėmime dalyvaujantiems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7.4 pp."/>
                        <w:tag w:val="part_c7a94577923e4ad29a3317e5e7e956c1"/>
                        <w:lock w:val="sdtLocked"/>
                        <w:richText/>
                      </w:sdtPr>
                      <w:sdtContent>
                        <w:p>
                          <w:pPr>
                            <w:tabs>
                              <w:tab w:val="left" w:pos="1134"/>
                            </w:tabs>
                            <w:ind w:firstLine="720"/>
                            <w:jc w:val="both"/>
                          </w:pPr>
                          <w:sdt>
                            <w:sdtPr>
                              <w:alias w:val="Numeris"/>
                              <w:tag w:val="nr_c7a94577923e4ad29a3317e5e7e956c1"/>
                              <w:lock w:val="sdtLocked"/>
                              <w:richText/>
                            </w:sdtPr>
                            <w:sdtContent>
                              <w:r>
                                <w:rPr>
                                  <w:szCs w:val="24"/>
                                  <w:lang w:eastAsia="lt-LT"/>
                                </w:rPr>
                                <w:t>2.2.7.4</w:t>
                              </w:r>
                            </w:sdtContent>
                          </w:sdt>
                          <w:r>
                            <w:rPr>
                              <w:szCs w:val="24"/>
                              <w:lang w:eastAsia="lt-LT"/>
                            </w:rPr>
                            <w:t>. viešojo maitinimo įstaigų, restoranų, kavinių ir barų veikla vykdoma</w:t>
                          </w:r>
                          <w:r>
                            <w:rPr>
                              <w:lang w:eastAsia="lt-LT"/>
                            </w:rPr>
                            <w:t xml:space="preserve"> </w:t>
                          </w:r>
                          <w:r>
                            <w:rPr>
                              <w:szCs w:val="24"/>
                              <w:lang w:eastAsia="lt-LT"/>
                            </w:rPr>
                            <w:t>jūrų ir oro uostų keleivių išvykimo terminaluose, kai užsakytas maistas ir gėrimai vartojami prie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7.5 pp."/>
                        <w:tag w:val="part_fb020414c5a14cdab5f01f5043e70ad5"/>
                        <w:lock w:val="sdtLocked"/>
                        <w:richText/>
                      </w:sdtPr>
                      <w:sdtContent>
                        <w:p>
                          <w:pPr>
                            <w:ind w:firstLine="709"/>
                            <w:jc w:val="both"/>
                            <w:rPr>
                              <w:bCs/>
                              <w:szCs w:val="24"/>
                              <w:lang w:eastAsia="lt-LT"/>
                            </w:rPr>
                          </w:pPr>
                          <w:sdt>
                            <w:sdtPr>
                              <w:alias w:val="Numeris"/>
                              <w:tag w:val="nr_fb020414c5a14cdab5f01f5043e70ad5"/>
                              <w:lock w:val="sdtLocked"/>
                              <w:richText/>
                            </w:sdtPr>
                            <w:sdtContent>
                              <w:r>
                                <w:rPr>
                                  <w:szCs w:val="24"/>
                                  <w:lang w:eastAsia="lt-LT"/>
                                </w:rPr>
                                <w:t>2.2.7.5</w:t>
                              </w:r>
                            </w:sdtContent>
                          </w:sdt>
                          <w:r>
                            <w:rPr>
                              <w:szCs w:val="24"/>
                              <w:lang w:eastAsia="lt-LT"/>
                            </w:rPr>
                            <w:t>. viešojo maitinimo įstaigų, restoranų, kavinių ir barų veikla vykdoma nuo 7 iki 22 valandos, kai užsakytas maistas ir gėrimai vartojami prie atvirose erdvėse esančių staliukų, prie vieno staliuko leidžiant sėdėti ne daugiau nei 5 asmenims, išskyrus dviejų šeimų ir (ar) dviejų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7.6 pp."/>
                        <w:tag w:val="part_f3b838be625d4edb80032346db24ba71"/>
                        <w:lock w:val="sdtLocked"/>
                        <w:richText/>
                      </w:sdtPr>
                      <w:sdtContent>
                        <w:p>
                          <w:pPr>
                            <w:tabs>
                              <w:tab w:val="left" w:pos="1134"/>
                            </w:tabs>
                            <w:ind w:firstLine="709"/>
                            <w:jc w:val="both"/>
                            <w:rPr>
                              <w:bCs/>
                              <w:szCs w:val="24"/>
                              <w:lang w:eastAsia="lt-LT"/>
                            </w:rPr>
                          </w:pPr>
                          <w:r>
                            <w:rPr>
                              <w:szCs w:val="24"/>
                              <w:lang w:eastAsia="lt-LT"/>
                            </w:rPr>
                            <w:t>2.2.7.6. viešojo maitinimo įstaigų, restoranų, kavinių, barų, išskyrus naktinius klubus ar kitas pasilinksminimo vietas, lošimo namų (kazino) ir lošimo automatų, bingo salonų, lažybų ir totalizatorių punktų veikla vykdoma uždarose patalpose nuo 7 iki 22 valandos, teikiant paslaugas tik asmenims, atitinkantiems šio nutarimo 2</w:t>
                          </w:r>
                          <w:r>
                            <w:rPr>
                              <w:szCs w:val="24"/>
                              <w:vertAlign w:val="superscript"/>
                              <w:lang w:eastAsia="lt-LT"/>
                            </w:rPr>
                            <w:t>2</w:t>
                          </w:r>
                          <w:r>
                            <w:rPr>
                              <w:szCs w:val="24"/>
                              <w:lang w:eastAsia="lt-LT"/>
                            </w:rPr>
                            <w:t> punkte nurodytus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bbb70b9f811eb8c24980b2b0e0fef">
                            <w:r w:rsidRPr="00532B9F">
                              <w:rPr>
                                <w:rFonts w:ascii="Times New Roman" w:eastAsia="MS Mincho" w:hAnsi="Times New Roman"/>
                                <w:sz w:val="20"/>
                                <w:i/>
                                <w:iCs/>
                                <w:color w:val="0000FF" w:themeColor="hyperlink"/>
                                <w:u w:val="single"/>
                              </w:rPr>
                              <w:t>363</w:t>
                            </w:r>
                          </w:fldSimple>
                          <w:r>
                            <w:rPr>
                              <w:rFonts w:ascii="Times New Roman" w:eastAsia="MS Mincho" w:hAnsi="Times New Roman"/>
                              <w:sz w:val="20"/>
                              <w:i/>
                              <w:iCs/>
                            </w:rPr>
                            <w:t>,
2021-05-19,
paskelbta TAR 2021-05-21, i. k. 2021-11274            </w:t>
                          </w:r>
                        </w:p>
                        <w:p/>
                      </w:sdtContent>
                    </w:sdt>
                    <w:sdt>
                      <w:sdtPr>
                        <w:alias w:val="2.2.7.7 pp."/>
                        <w:tag w:val="part_6e6d5fd6f15b4f308202e5e03a4ea26c"/>
                        <w:lock w:val="sdtLocked"/>
                        <w:richText/>
                      </w:sdtPr>
                      <w:sdtContent>
                        <w:p>
                          <w:pPr>
                            <w:tabs>
                              <w:tab w:val="left" w:pos="1134"/>
                            </w:tabs>
                            <w:ind w:firstLine="709"/>
                            <w:jc w:val="both"/>
                            <w:rPr>
                              <w:bCs/>
                              <w:szCs w:val="24"/>
                              <w:lang w:eastAsia="lt-LT"/>
                            </w:rPr>
                          </w:pPr>
                          <w:sdt>
                            <w:sdtPr>
                              <w:alias w:val="Numeris"/>
                              <w:tag w:val="nr_6e6d5fd6f15b4f308202e5e03a4ea26c"/>
                              <w:lock w:val="sdtLocked"/>
                              <w:richText/>
                            </w:sdtPr>
                            <w:sdtContent>
                              <w:r>
                                <w:rPr>
                                  <w:color w:val="000000"/>
                                  <w:szCs w:val="24"/>
                                  <w:shd w:val="clear" w:color="auto" w:fill="FFFFFF"/>
                                  <w:lang w:eastAsia="lt-LT"/>
                                </w:rPr>
                                <w:t>2.2.7.7</w:t>
                              </w:r>
                            </w:sdtContent>
                          </w:sdt>
                          <w:r>
                            <w:rPr>
                              <w:color w:val="000000"/>
                              <w:szCs w:val="24"/>
                              <w:shd w:val="clear" w:color="auto" w:fill="FFFFFF"/>
                              <w:lang w:eastAsia="lt-LT"/>
                            </w:rPr>
                            <w:t>. apgyvendinimo paslaugas teikiančių įstaigų paslaugų gavėjams teikiamos viešojo maitinimo paslaugos apgyvendinimo paslaugas teikiančių įstaigų teritorijose ir (ar)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fc2ba90fa4014f929bd9535a1934c407"/>
                        <w:lock w:val="sdtLocked"/>
                        <w:richText/>
                      </w:sdtPr>
                      <w:sdtContent>
                        <w:p>
                          <w:pPr>
                            <w:tabs>
                              <w:tab w:val="left" w:pos="1134"/>
                            </w:tabs>
                            <w:ind w:firstLine="709"/>
                            <w:jc w:val="both"/>
                            <w:rPr>
                              <w:bCs/>
                              <w:szCs w:val="24"/>
                              <w:lang w:eastAsia="lt-LT"/>
                            </w:rPr>
                          </w:pPr>
                          <w:r>
                            <w:rPr>
                              <w:szCs w:val="24"/>
                              <w:lang w:eastAsia="lt-LT"/>
                            </w:rPr>
                            <w:t>2.2.8.1. renginius uždarose erdvėse, kai renginyje dalyvauja ne daugiau nei 150 žiūrovų ir (ar) dalyvių, bei renginius atvirose erdvėse, kai renginyje dalyvauja ne daugiau nei 300 žiūrovų ir (ar) dalyvių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kurie organizuojami ir vykdomi renginio organizatoriams užtikrinant bilietų platinimą elektroniniu būdu ir (arba) žiūrovų ir (ar) dalyvių registravimą bei kontroliuojant žiūrovų ir (ar) dalyvių patekimą į renginio vietą, žiūrovams ir (ar) dalyviams renginį stebint tik iš sėdimų vietų (išskyrus atvejus, kai organizuojamos gyvūnų parodos), vyresniems nei 6 metų žiūrovams ir (ar) dalyviams viso renginio metu dėvint kaukes, išskyrus šio nutarimo 2.1.5.2 papunktyje numatytas išimtis, ir užtikrinant kitas valstybės lygio ekstremaliosios situacijos operacijų vadovo nustatytas asmenų srautų valdymo, saugaus atstumo laikymosi ir kitas būtinas visuomenės sveikatos saugos, higienos, asmenų aprūpinimo būtinosiomis asmeninėmis apsaugos priemonėmis sąlygas. Renginius uždarose erdvėse leidžiama organizuoti, kai užpildoma ne daugiau kaip 30 proc. visų sėdimų vietų. Prekiauti maistu ir gėrimais ir teikti kitas paslaugas renginių vietose draudžiama. Ši išimtis netaikoma, jei renginys organizuojamas šio nutarimo 2.2.8.5 ar 2.2.8.6 papunktyje nustatytomis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bbb70b9f811eb8c24980b2b0e0fef">
                            <w:r w:rsidRPr="00532B9F">
                              <w:rPr>
                                <w:rFonts w:ascii="Times New Roman" w:eastAsia="MS Mincho" w:hAnsi="Times New Roman"/>
                                <w:sz w:val="20"/>
                                <w:i/>
                                <w:iCs/>
                                <w:color w:val="0000FF" w:themeColor="hyperlink"/>
                                <w:u w:val="single"/>
                              </w:rPr>
                              <w:t>363</w:t>
                            </w:r>
                          </w:fldSimple>
                          <w:r>
                            <w:rPr>
                              <w:rFonts w:ascii="Times New Roman" w:eastAsia="MS Mincho" w:hAnsi="Times New Roman"/>
                              <w:sz w:val="20"/>
                              <w:i/>
                              <w:iCs/>
                            </w:rPr>
                            <w:t>,
2021-05-19,
paskelbta TAR 2021-05-21, i. k. 2021-11274            </w:t>
                          </w:r>
                        </w:p>
                        <w:p/>
                      </w:sdtContent>
                    </w:sdt>
                    <w:sdt>
                      <w:sdtPr>
                        <w:alias w:val="2.2.8.2 pp."/>
                        <w:tag w:val="part_252c34fd9bff471fb70710747bcb83ff"/>
                        <w:lock w:val="sdtLocked"/>
                        <w:richText/>
                      </w:sdtPr>
                      <w:sdtContent>
                        <w:p>
                          <w:pPr>
                            <w:tabs>
                              <w:tab w:val="left" w:pos="1134"/>
                            </w:tabs>
                            <w:ind w:firstLine="709"/>
                            <w:jc w:val="both"/>
                            <w:rPr>
                              <w:bCs/>
                              <w:szCs w:val="24"/>
                              <w:lang w:eastAsia="lt-LT"/>
                            </w:rPr>
                          </w:pPr>
                          <w:sdt>
                            <w:sdtPr>
                              <w:alias w:val="Numeris"/>
                              <w:tag w:val="nr_252c34fd9bff471fb70710747bcb83ff"/>
                              <w:lock w:val="sdtLocked"/>
                              <w:richText/>
                            </w:sdtPr>
                            <w:sdtContent>
                              <w:r>
                                <w:rPr>
                                  <w:szCs w:val="24"/>
                                  <w:shd w:val="clear" w:color="auto" w:fill="FFFFFF"/>
                                  <w:lang w:eastAsia="lt-LT"/>
                                </w:rPr>
                                <w:t>2.2.8.2</w:t>
                              </w:r>
                            </w:sdtContent>
                          </w:sdt>
                          <w:r>
                            <w:rPr>
                              <w:szCs w:val="24"/>
                              <w:shd w:val="clear" w:color="auto" w:fill="FFFFFF"/>
                              <w:lang w:eastAsia="lt-LT"/>
                            </w:rPr>
                            <w:t>. laidotuves, kai jose dalyvauja ne daugiau nei 50 asmenų, išskyrus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8.4 pp."/>
                        <w:tag w:val="part_3b0aa3afb3e04b7ea29bf9a7639e960c"/>
                        <w:lock w:val="sdtLocked"/>
                        <w:richText/>
                      </w:sdtPr>
                      <w:sdtContent>
                        <w:p>
                          <w:pPr>
                            <w:tabs>
                              <w:tab w:val="left" w:pos="1134"/>
                            </w:tabs>
                            <w:ind w:firstLine="709"/>
                            <w:jc w:val="both"/>
                            <w:rPr>
                              <w:bCs/>
                              <w:szCs w:val="24"/>
                              <w:lang w:eastAsia="lt-LT"/>
                            </w:rPr>
                          </w:pPr>
                          <w:sdt>
                            <w:sdtPr>
                              <w:alias w:val="Numeris"/>
                              <w:tag w:val="nr_3b0aa3afb3e04b7ea29bf9a7639e960c"/>
                              <w:lock w:val="sdtLocked"/>
                              <w:richText/>
                            </w:sdtPr>
                            <w:sdtContent>
                              <w:r>
                                <w:rPr>
                                  <w:szCs w:val="24"/>
                                  <w:shd w:val="clear" w:color="auto" w:fill="FFFFFF"/>
                                  <w:lang w:eastAsia="lt-LT"/>
                                </w:rPr>
                                <w:t>2.2.8.4</w:t>
                              </w:r>
                            </w:sdtContent>
                          </w:sdt>
                          <w:r>
                            <w:rPr>
                              <w:szCs w:val="24"/>
                              <w:shd w:val="clear" w:color="auto" w:fill="FFFFFF"/>
                              <w:lang w:eastAsia="lt-LT"/>
                            </w:rPr>
                            <w:t xml:space="preserve">. ekskursijas, kuriose dalyvauja ne daugiau kaip 25 asmenys </w:t>
                          </w:r>
                          <w:r>
                            <w:rPr>
                              <w:szCs w:val="24"/>
                              <w:lang w:eastAsia="lt-LT"/>
                            </w:rPr>
                            <w:t>(neįskaičiuojant gido)</w:t>
                          </w:r>
                          <w:r>
                            <w:rPr>
                              <w:szCs w:val="24"/>
                              <w:shd w:val="clear" w:color="auto" w:fill="FFFFFF"/>
                              <w:lang w:eastAsia="lt-LT"/>
                            </w:rPr>
                            <w:t>, užtikrinant dalyvių išankstinę registraciją ir kitas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8.5 pp."/>
                        <w:tag w:val="part_250dc021a88148e78ee50ca3f5d1533b"/>
                        <w:lock w:val="sdtLocked"/>
                        <w:richText/>
                      </w:sdtPr>
                      <w:sdtContent>
                        <w:p>
                          <w:pPr>
                            <w:tabs>
                              <w:tab w:val="left" w:pos="1134"/>
                            </w:tabs>
                            <w:ind w:firstLine="720"/>
                            <w:jc w:val="both"/>
                          </w:pPr>
                          <w:sdt>
                            <w:sdtPr>
                              <w:alias w:val="Numeris"/>
                              <w:tag w:val="nr_250dc021a88148e78ee50ca3f5d1533b"/>
                              <w:lock w:val="sdtLocked"/>
                              <w:richText/>
                            </w:sdtPr>
                            <w:sdtContent>
                              <w:r>
                                <w:rPr>
                                  <w:szCs w:val="24"/>
                                  <w:lang w:eastAsia="lt-LT"/>
                                </w:rPr>
                                <w:t>2.2.8.5</w:t>
                              </w:r>
                            </w:sdtContent>
                          </w:sdt>
                          <w:r>
                            <w:rPr>
                              <w:szCs w:val="24"/>
                              <w:lang w:eastAsia="lt-LT"/>
                            </w:rPr>
                            <w:t xml:space="preserve">. renginius uždarose erdvėse, kai renginyje dalyvauja tik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 atitinkantys asmenys</w:t>
                          </w:r>
                          <w:r>
                            <w:rPr>
                              <w:lang w:eastAsia="lt-LT"/>
                            </w:rPr>
                            <w:t xml:space="preserve"> </w:t>
                          </w:r>
                          <w:r>
                            <w:rPr>
                              <w:szCs w:val="24"/>
                              <w:lang w:eastAsia="lt-LT"/>
                            </w:rPr>
                            <w:t xml:space="preserve">(atlikėjai, sportininkai, dalyvaujantys aukšto meistriškumo sporto varžybose, aukšto meistriškumo sporto ir fizinio aktyvumo specialistai, aukšto meistriškumo sporto ir fizinio aktyvumo instruktoriai, teisėjai, antidopingo pareigūnai, organizatoriai ir aptarnaujantis personalas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nurodytų kriterijų neprivalo atitikti) ir renginiai organizuojami ir vykdomi renginio organizatoriams užtikrinant bilietų platinimą elektroniniu būdu ir (arba) žiūrovų ir (ar) dalyvių registravimą bei kontroliuojant žiūrovų ir (ar) dalyvių patekimą į renginio vietą, žiūrovams ir (ar) dalyviams renginį stebint tik iš sėdimų vietų, kai užpildoma ne daugiau kaip 75 proc. visų sėdimų vietų, bet bendras žiūrovų ir (ar) dalyvių skaičius neviršija 500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taip pat vyresniems nei 6 metų žiūrovams ir (ar) dalyviams viso renginio metu dėvint kaukes, išskyrus šio nutarimo 2.1.5.2 papunktyje numatytas išimtis, ir užtikrinant kitas valstybės lygio ekstremaliosios situacijos operacijų vadovo nustatytas asmenų srautų valdymo, saugaus atstumo laikymosi ir kitas būtinas visuomenės sveikatos saugos, higienos, asmenų aprūpinimo būtinosiomis asmeninėmis apsaugos priemonėmis sąlygas. Prekiauti maistu ir gėrimais ir teikti kitas paslaugas renginių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sdt>
                      <w:sdtPr>
                        <w:alias w:val="2.2.8.6 pp."/>
                        <w:tag w:val="part_c95f9b46597845589164193f5df7217b"/>
                        <w:lock w:val="sdtLocked"/>
                        <w:richText/>
                      </w:sdtPr>
                      <w:sdtContent>
                        <w:p>
                          <w:pPr>
                            <w:tabs>
                              <w:tab w:val="left" w:pos="1134"/>
                            </w:tabs>
                            <w:ind w:firstLine="709"/>
                            <w:jc w:val="both"/>
                            <w:rPr>
                              <w:bCs/>
                              <w:szCs w:val="24"/>
                              <w:lang w:eastAsia="lt-LT"/>
                            </w:rPr>
                          </w:pPr>
                          <w:r>
                            <w:rPr>
                              <w:szCs w:val="24"/>
                              <w:lang w:eastAsia="lt-LT"/>
                            </w:rPr>
                            <w:t>2.2.8.6. renginius atvirose erdvėse, kai renginyje dalyvauja tik šio nutarimo 2</w:t>
                          </w:r>
                          <w:r>
                            <w:rPr>
                              <w:szCs w:val="24"/>
                              <w:vertAlign w:val="superscript"/>
                              <w:lang w:eastAsia="lt-LT"/>
                            </w:rPr>
                            <w:t>2</w:t>
                          </w:r>
                          <w:r>
                            <w:rPr>
                              <w:szCs w:val="24"/>
                              <w:lang w:eastAsia="lt-LT"/>
                            </w:rPr>
                            <w:t> punkte nurodytus kriterijus atitinkantys asmenys (atlikėjai, sportininkai, dalyvaujantys aukšto meistriškumo sporto varžybose, aukšto meistriškumo sporto ir fizinio aktyvumo specialistai, aukšto meistriškumo sporto ir fizinio aktyvumo instruktoriai, teisėjai, antidopingo pareigūnai, organizatoriai ir aptarnaujantis personalas neprivalo atitikti šio nutarimo 2</w:t>
                          </w:r>
                          <w:r>
                            <w:rPr>
                              <w:szCs w:val="24"/>
                              <w:vertAlign w:val="superscript"/>
                              <w:lang w:eastAsia="lt-LT"/>
                            </w:rPr>
                            <w:t>2</w:t>
                          </w:r>
                          <w:r>
                            <w:rPr>
                              <w:szCs w:val="24"/>
                              <w:lang w:eastAsia="lt-LT"/>
                            </w:rPr>
                            <w:t> punkte nurodytų kriterijų), kurių bendras skaičius neviršija 2 000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ir kai renginiai organizuojami ir vykdomi renginio organizatoriams užtikrinant bilietų platinimą elektroniniu būdu ir (arba) žiūrovų ir (ar) dalyvių registravimą bei kontroliuojant žiūrovų ir (ar) dalyvių patekimą į renginio vietą ir užtikrinant kitas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bbb70b9f811eb8c24980b2b0e0fef">
                            <w:r w:rsidRPr="00532B9F">
                              <w:rPr>
                                <w:rFonts w:ascii="Times New Roman" w:eastAsia="MS Mincho" w:hAnsi="Times New Roman"/>
                                <w:sz w:val="20"/>
                                <w:i/>
                                <w:iCs/>
                                <w:color w:val="0000FF" w:themeColor="hyperlink"/>
                                <w:u w:val="single"/>
                              </w:rPr>
                              <w:t>363</w:t>
                            </w:r>
                          </w:fldSimple>
                          <w:r>
                            <w:rPr>
                              <w:rFonts w:ascii="Times New Roman" w:eastAsia="MS Mincho" w:hAnsi="Times New Roman"/>
                              <w:sz w:val="20"/>
                              <w:i/>
                              <w:iCs/>
                            </w:rPr>
                            <w:t>,
2021-05-19,
paskelbta TAR 2021-05-21, i. k. 2021-11274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13a3ce3c86414db19235afe2f49b60cc"/>
                        <w:lock w:val="sdtLocked"/>
                        <w:richText/>
                      </w:sdtPr>
                      <w:sdtContent>
                        <w:p>
                          <w:pPr>
                            <w:ind w:firstLine="720"/>
                            <w:jc w:val="both"/>
                          </w:pPr>
                          <w:sdt>
                            <w:sdtPr>
                              <w:alias w:val="Numeris"/>
                              <w:tag w:val="nr_13a3ce3c86414db19235afe2f49b60cc"/>
                              <w:lock w:val="sdtLocked"/>
                              <w:richText/>
                            </w:sdtPr>
                            <w:sdtContent>
                              <w:r>
                                <w:rPr>
                                  <w:color w:val="000000"/>
                                  <w:szCs w:val="24"/>
                                  <w:shd w:val="clear" w:color="auto" w:fill="FFFFFF"/>
                                  <w:lang w:eastAsia="lt-LT"/>
                                </w:rPr>
                                <w:t>2.2.9.2</w:t>
                              </w:r>
                            </w:sdtContent>
                          </w:sdt>
                          <w:r>
                            <w:rPr>
                              <w:color w:val="000000"/>
                              <w:szCs w:val="24"/>
                              <w:shd w:val="clear" w:color="auto" w:fill="FFFFFF"/>
                              <w:lang w:eastAsia="lt-LT"/>
                            </w:rPr>
                            <w:t>. ugdymas mokyklose pagal pagrindinio ugdymo ir vidurinio ugdymo programas (išskyrus šio nutarimo 2.2.9.2</w:t>
                          </w:r>
                          <w:r>
                            <w:rPr>
                              <w:color w:val="000000"/>
                              <w:szCs w:val="24"/>
                              <w:shd w:val="clear" w:color="auto" w:fill="FFFFFF"/>
                              <w:vertAlign w:val="superscript"/>
                              <w:lang w:eastAsia="lt-LT"/>
                            </w:rPr>
                            <w:t>3</w:t>
                          </w:r>
                          <w:r>
                            <w:rPr>
                              <w:color w:val="000000"/>
                              <w:szCs w:val="24"/>
                              <w:shd w:val="clear" w:color="auto" w:fill="FFFFFF"/>
                              <w:lang w:eastAsia="lt-LT"/>
                            </w:rPr>
                            <w:t xml:space="preserve"> papunktyje nurodytą atvejį, specialiosiose mokyklose ir bendrojo ugdymo mokyklų specialiosiose klasėse ugdomus mokinius pagal pradinio ir pagrindinio ugdymo, pradinio ir pagrindinio ugdymo individualizuotą, vidurinio ugdymo, socialinių įgūdžių ugdymo programas) vykdomas nuotoliniu būdu arba švietimo, mokslo ir sporto ministro nustatyta tvarka mišriu būdu periodiškai atliekant pagal pagrindinio ugdymo ir vidurinio ugdymo programą ugdomų mokinių ir įstaigose kontaktiniu būdu dirbančių darbuotojų profilaktinį tyrimą COVID-19 ligai (koronaviruso infekcijai) diagnozuoti arba savikontrolę</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Profilaktinis tyrimas COVID-19 ligai (koronaviruso infekcijai) diagnozuoti gali būti neatliekamas (arba savikontrolė</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neatliekama) pagal pagrindinio ugdymo ir vidurinio ugdymo programą ugdomiems mokiniams, kuriems ugdymas organizuojamas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sdtContent>
                    </w:sdt>
                    <w:sdt>
                      <w:sdtPr>
                        <w:alias w:val="2.2.9.2-1 pp."/>
                        <w:tag w:val="part_5cf4edb6eb8b46e3b2e60eddf488cfcf"/>
                        <w:lock w:val="sdtLocked"/>
                        <w:richText/>
                      </w:sdtPr>
                      <w:sdtContent>
                        <w:p>
                          <w:pPr>
                            <w:tabs>
                              <w:tab w:val="left" w:pos="1134"/>
                            </w:tabs>
                            <w:ind w:firstLine="720"/>
                            <w:jc w:val="both"/>
                          </w:pPr>
                          <w:sdt>
                            <w:sdtPr>
                              <w:alias w:val="Numeris"/>
                              <w:tag w:val="nr_5cf4edb6eb8b46e3b2e60eddf488cfcf"/>
                              <w:lock w:val="sdtLocked"/>
                              <w:richText/>
                            </w:sdtPr>
                            <w:sdtContent>
                              <w:r>
                                <w:rPr>
                                  <w:szCs w:val="24"/>
                                  <w:shd w:val="clear" w:color="auto" w:fill="FFFFFF"/>
                                  <w:lang w:eastAsia="lt-LT"/>
                                </w:rPr>
                                <w:t>2.2.9.2</w:t>
                              </w:r>
                              <w:r>
                                <w:rPr>
                                  <w:szCs w:val="24"/>
                                  <w:shd w:val="clear" w:color="auto" w:fill="FFFFFF"/>
                                  <w:vertAlign w:val="superscript"/>
                                  <w:lang w:eastAsia="lt-LT"/>
                                </w:rPr>
                                <w:t>1</w:t>
                              </w:r>
                            </w:sdtContent>
                          </w:sdt>
                          <w:r>
                            <w:rPr>
                              <w:szCs w:val="24"/>
                              <w:shd w:val="clear" w:color="auto" w:fill="FFFFFF"/>
                              <w:lang w:eastAsia="lt-LT"/>
                            </w:rPr>
                            <w:t>. šio nutarimo 2</w:t>
                          </w:r>
                          <w:r>
                            <w:rPr>
                              <w:szCs w:val="24"/>
                              <w:shd w:val="clear" w:color="auto" w:fill="FFFFFF"/>
                              <w:vertAlign w:val="superscript"/>
                              <w:lang w:eastAsia="lt-LT"/>
                            </w:rPr>
                            <w:t>1</w:t>
                          </w:r>
                          <w:r>
                            <w:rPr>
                              <w:szCs w:val="24"/>
                              <w:shd w:val="clear" w:color="auto" w:fill="FFFFFF"/>
                              <w:lang w:eastAsia="lt-LT"/>
                            </w:rPr>
                            <w:t xml:space="preserve"> punkte nenurodytų savivaldybių teritorijose esančiose ugdymo įstaigose ugdymas pagal pradinio ugdymo programą vykdomas nuotoliniu būdu arba šių savivaldybių administracijų pasirinktose ugdymo įstaigose vykdomas mišriu būdu, periodiškai jose atliekant pagal pradinio ugdymo programą ugdomų mokinių ir įstaigose kontaktiniu būdu dirbančių darbuotojų profilaktinį tyrimą COVID-19 ligai (koronaviruso infekcijai) diagnozuoti arba savikontrolę</w:t>
                          </w:r>
                          <w:r>
                            <w:rPr>
                              <w:color w:val="000000"/>
                              <w:shd w:val="clear" w:color="auto" w:fill="FFFFFF"/>
                              <w:lang w:eastAsia="lt-LT"/>
                            </w:rPr>
                            <w:t xml:space="preserve"> </w:t>
                          </w:r>
                          <w:r>
                            <w:rPr>
                              <w:szCs w:val="24"/>
                              <w:shd w:val="clear" w:color="auto" w:fill="FFFFFF"/>
                              <w:lang w:eastAsia="lt-LT"/>
                            </w:rPr>
                            <w:t xml:space="preserve">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w:t>
                          </w:r>
                          <w:r>
                            <w:rPr>
                              <w:color w:val="000000"/>
                              <w:szCs w:val="24"/>
                              <w:shd w:val="clear" w:color="auto" w:fill="FFFFFF"/>
                              <w:lang w:eastAsia="lt-LT"/>
                            </w:rPr>
                            <w:t>Profilaktinis tyrimas COVID-19 ligai (koronaviruso infekcijai) diagnozuoti gali būti neatliekamas (arba savikontrolė</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neatliekama)</w:t>
                          </w:r>
                          <w:r>
                            <w:rPr>
                              <w:szCs w:val="24"/>
                              <w:shd w:val="clear" w:color="auto" w:fill="FFFFFF"/>
                              <w:lang w:eastAsia="lt-LT"/>
                            </w:rPr>
                            <w:t xml:space="preserve"> pagal pradinio ugdymo programą ugdomiems mokiniams, kuriems ugdymas organizuojamas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3 pp."/>
                        <w:tag w:val="part_d465d39e96c546509bbd215caf2f761b"/>
                        <w:lock w:val="sdtLocked"/>
                        <w:richText/>
                      </w:sdtPr>
                      <w:sdtContent>
                        <w:p>
                          <w:pPr>
                            <w:ind w:firstLine="720"/>
                            <w:jc w:val="both"/>
                          </w:pPr>
                          <w:sdt>
                            <w:sdtPr>
                              <w:alias w:val="Numeris"/>
                              <w:tag w:val="nr_d465d39e96c546509bbd215caf2f761b"/>
                              <w:lock w:val="sdtLocked"/>
                              <w:richText/>
                            </w:sdtPr>
                            <w:sdtContent>
                              <w:r>
                                <w:rPr>
                                  <w:color w:val="000000"/>
                                  <w:szCs w:val="24"/>
                                  <w:lang w:eastAsia="lt-LT"/>
                                </w:rPr>
                                <w:t>2.2.9.2</w:t>
                              </w:r>
                              <w:r>
                                <w:rPr>
                                  <w:color w:val="000000"/>
                                  <w:szCs w:val="24"/>
                                  <w:vertAlign w:val="superscript"/>
                                  <w:lang w:eastAsia="lt-LT"/>
                                </w:rPr>
                                <w:t>3</w:t>
                              </w:r>
                            </w:sdtContent>
                          </w:sdt>
                          <w:r>
                            <w:rPr>
                              <w:color w:val="000000"/>
                              <w:szCs w:val="24"/>
                              <w:lang w:eastAsia="lt-LT"/>
                            </w:rPr>
                            <w:t xml:space="preserve">. ugdymas vidurinio ugdymo programos baigiamosios klasės mokiniams vykdomas mišriu būdu </w:t>
                          </w:r>
                          <w:r>
                            <w:rPr>
                              <w:szCs w:val="24"/>
                              <w:lang w:eastAsia="lt-LT"/>
                            </w:rPr>
                            <w:t>švietimo, mokslo ir sporto ministro nustatyta tvarka bei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4 pp."/>
                        <w:tag w:val="part_04875454e5814fa9ab9ef55f55c50a3d"/>
                        <w:lock w:val="sdtLocked"/>
                        <w:richText/>
                      </w:sdtPr>
                      <w:sdtContent>
                        <w:p>
                          <w:pPr>
                            <w:ind w:firstLine="720"/>
                            <w:jc w:val="both"/>
                          </w:pPr>
                          <w:sdt>
                            <w:sdtPr>
                              <w:alias w:val="Numeris"/>
                              <w:tag w:val="nr_04875454e5814fa9ab9ef55f55c50a3d"/>
                              <w:lock w:val="sdtLocked"/>
                              <w:richText/>
                            </w:sdtPr>
                            <w:sdtContent>
                              <w:r>
                                <w:rPr>
                                  <w:color w:val="000000"/>
                                  <w:szCs w:val="24"/>
                                  <w:lang w:eastAsia="lt-LT"/>
                                </w:rPr>
                                <w:t>2.2.9.2</w:t>
                              </w:r>
                              <w:r>
                                <w:rPr>
                                  <w:color w:val="000000"/>
                                  <w:szCs w:val="24"/>
                                  <w:vertAlign w:val="superscript"/>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mokiniams, turintiems specialiųjų ugdymosi poreikių dėl kurtumo, vidutinio, žymaus, labai žymaus klausos sutrikimo ar kochlearinio implanto, visiško aklumo, aklumo su regėjimo likučiu, silpnaregystės, laisvės atėmimo vietose veikiančių mokyklų (skyrių) mokiniams pagrindinio ugdymo pasiekimų patikrinimas ar jo dalis vykdoma, kai patalpose yra ne daugiau kaip 10 mokinių, išlaikant tarp visų patalpoje esančių asmenų ne mažesnį kaip 2 metrų atstumą, arba 11</w:t>
                          </w:r>
                          <w:r>
                            <w:rPr>
                              <w:szCs w:val="24"/>
                              <w:lang w:eastAsia="lt-LT"/>
                            </w:rPr>
                            <w:t>–</w:t>
                          </w:r>
                          <w:r>
                            <w:rPr>
                              <w:color w:val="000000"/>
                              <w:szCs w:val="24"/>
                              <w:lang w:eastAsia="lt-LT"/>
                            </w:rPr>
                            <w:t>50 mokinių,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5 pp."/>
                        <w:tag w:val="part_3f87f74a67484c639c3f178b5ca7b176"/>
                        <w:lock w:val="sdtLocked"/>
                        <w:richText/>
                      </w:sdtPr>
                      <w:sdtContent>
                        <w:p>
                          <w:pPr>
                            <w:ind w:firstLine="720"/>
                            <w:jc w:val="both"/>
                            <w:rPr>
                              <w:szCs w:val="24"/>
                              <w:lang w:eastAsia="lt-LT"/>
                            </w:rPr>
                          </w:pPr>
                          <w:sdt>
                            <w:sdtPr>
                              <w:alias w:val="Numeris"/>
                              <w:tag w:val="nr_3f87f74a67484c639c3f178b5ca7b176"/>
                              <w:lock w:val="sdtLocked"/>
                              <w:richText/>
                            </w:sdtPr>
                            <w:sdtContent>
                              <w:r>
                                <w:rPr>
                                  <w:color w:val="000000"/>
                                  <w:szCs w:val="24"/>
                                  <w:lang w:eastAsia="lt-LT"/>
                                </w:rPr>
                                <w:t>2.2.9.2</w:t>
                              </w:r>
                              <w:r>
                                <w:rPr>
                                  <w:color w:val="000000"/>
                                  <w:szCs w:val="24"/>
                                  <w:vertAlign w:val="superscript"/>
                                  <w:lang w:eastAsia="lt-LT"/>
                                </w:rPr>
                                <w:t>5</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brandos egzaminai ar jų dalys vykdomi patalpose ne daugiau kaip </w:t>
                            <w:br/>
                            <w:t>10 kandidatų, išlaikant tarp visų patalpoje esančių asmenų ne mažesnį kaip 2 metrų atstumą, arba 11</w:t>
                          </w:r>
                          <w:r>
                            <w:rPr>
                              <w:szCs w:val="24"/>
                              <w:lang w:eastAsia="lt-LT"/>
                            </w:rPr>
                            <w:t>–</w:t>
                          </w:r>
                          <w:r>
                            <w:rPr>
                              <w:color w:val="000000"/>
                              <w:szCs w:val="24"/>
                              <w:lang w:eastAsia="lt-LT"/>
                            </w:rPr>
                            <w:t>50 kandidatų,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6 pp."/>
                        <w:tag w:val="part_feb6368cdd0647e9afc752a0b92ca655"/>
                        <w:lock w:val="sdtLocked"/>
                        <w:richText/>
                      </w:sdtPr>
                      <w:sdtContent>
                        <w:p>
                          <w:pPr>
                            <w:tabs>
                              <w:tab w:val="left" w:pos="1134"/>
                            </w:tabs>
                            <w:ind w:firstLine="720"/>
                            <w:jc w:val="both"/>
                            <w:rPr>
                              <w:szCs w:val="24"/>
                              <w:lang w:eastAsia="lt-LT"/>
                            </w:rPr>
                          </w:pPr>
                          <w:sdt>
                            <w:sdtPr>
                              <w:alias w:val="Numeris"/>
                              <w:tag w:val="nr_feb6368cdd0647e9afc752a0b92ca655"/>
                              <w:lock w:val="sdtLocked"/>
                              <w:richText/>
                            </w:sdtPr>
                            <w:sdtContent>
                              <w:r>
                                <w:rPr>
                                  <w:szCs w:val="24"/>
                                  <w:shd w:val="clear" w:color="auto" w:fill="FFFFFF"/>
                                  <w:lang w:eastAsia="lt-LT"/>
                                </w:rPr>
                                <w:t>2.2.9.2</w:t>
                              </w:r>
                              <w:r>
                                <w:rPr>
                                  <w:szCs w:val="24"/>
                                  <w:shd w:val="clear" w:color="auto" w:fill="FFFFFF"/>
                                  <w:vertAlign w:val="superscript"/>
                                  <w:lang w:eastAsia="lt-LT"/>
                                </w:rPr>
                                <w:t>6</w:t>
                              </w:r>
                            </w:sdtContent>
                          </w:sdt>
                          <w:r>
                            <w:rPr>
                              <w:szCs w:val="24"/>
                              <w:shd w:val="clear" w:color="auto" w:fill="FFFFFF"/>
                              <w:lang w:eastAsia="lt-LT"/>
                            </w:rPr>
                            <w:t>. egzaminai mokiniams, kurie baigia ugdymo programą pagal užsienio valstybių ir tarptautinių organizacijų švietimo programas, ir stojamieji egzaminai (ar kiti atrankos būdai) į bendrojo ugdymo programas vykdančias mokyklas vykdomi patalpose ne daugiau kaip 10 mokinių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sdtContent>
                    </w:sdt>
                    <w:sdt>
                      <w:sdtPr>
                        <w:alias w:val="2.2.9.3 pp."/>
                        <w:tag w:val="part_8930a46a98d4458bb7f6b49c75c19764"/>
                        <w:lock w:val="sdtLocked"/>
                        <w:richText/>
                      </w:sdtPr>
                      <w:sdtContent>
                        <w:p>
                          <w:pPr>
                            <w:tabs>
                              <w:tab w:val="left" w:pos="1134"/>
                            </w:tabs>
                            <w:ind w:firstLine="709"/>
                            <w:jc w:val="both"/>
                            <w:rPr>
                              <w:szCs w:val="24"/>
                              <w:shd w:val="clear" w:color="auto" w:fill="FFFFFF"/>
                              <w:lang w:eastAsia="lt-LT"/>
                            </w:rPr>
                          </w:pPr>
                          <w:sdt>
                            <w:sdtPr>
                              <w:alias w:val="Numeris"/>
                              <w:tag w:val="nr_8930a46a98d4458bb7f6b49c75c19764"/>
                              <w:lock w:val="sdtLocked"/>
                              <w:richText/>
                            </w:sdtPr>
                            <w:sdtContent>
                              <w:r>
                                <w:rPr>
                                  <w:szCs w:val="24"/>
                                  <w:shd w:val="clear" w:color="auto" w:fill="FFFFFF"/>
                                  <w:lang w:eastAsia="lt-LT"/>
                                </w:rPr>
                                <w:t>2.2.9.3</w:t>
                              </w:r>
                            </w:sdtContent>
                          </w:sdt>
                          <w:r>
                            <w:rPr>
                              <w:szCs w:val="24"/>
                              <w:shd w:val="clear" w:color="auto" w:fill="FFFFFF"/>
                              <w:lang w:eastAsia="lt-LT"/>
                            </w:rPr>
                            <w:t>. neformalusis vaikų švietimas vykdomas nuotoliniu būdu arba stabdomas, išskyrus šiuos atvejus,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
                          <w:sdtPr>
                            <w:alias w:val="2.2.9.3.1 pp."/>
                            <w:tag w:val="part_b472b52791af4f17b22c8211ba5fc248"/>
                            <w:lock w:val="sdtLocked"/>
                            <w:richText/>
                          </w:sdtPr>
                          <w:sdtContent>
                            <w:p>
                              <w:pPr>
                                <w:tabs>
                                  <w:tab w:val="left" w:pos="1134"/>
                                </w:tabs>
                                <w:ind w:firstLine="709"/>
                                <w:jc w:val="both"/>
                                <w:rPr>
                                  <w:szCs w:val="24"/>
                                  <w:shd w:val="clear" w:color="auto" w:fill="FFFFFF"/>
                                  <w:lang w:eastAsia="lt-LT"/>
                                </w:rPr>
                              </w:pPr>
                              <w:sdt>
                                <w:sdtPr>
                                  <w:alias w:val="Numeris"/>
                                  <w:tag w:val="nr_b472b52791af4f17b22c8211ba5fc248"/>
                                  <w:lock w:val="sdtLocked"/>
                                  <w:richText/>
                                </w:sdtPr>
                                <w:sdtContent>
                                  <w:r>
                                    <w:rPr>
                                      <w:szCs w:val="24"/>
                                      <w:shd w:val="clear" w:color="auto" w:fill="FFFFFF"/>
                                      <w:lang w:eastAsia="lt-LT"/>
                                    </w:rPr>
                                    <w:t>2.2.9.3.1</w:t>
                                  </w:r>
                                </w:sdtContent>
                              </w:sdt>
                              <w:r>
                                <w:rPr>
                                  <w:szCs w:val="24"/>
                                  <w:shd w:val="clear" w:color="auto" w:fill="FFFFFF"/>
                                  <w:lang w:eastAsia="lt-LT"/>
                                </w:rPr>
                                <w:t>. užsienio kalbos mokėjimo lygio vertinimo egzaminus (įskaitas) mokiniams, kai dalyvauja ne daugiau kaip 10 mokinių;</w:t>
                              </w:r>
                            </w:p>
                          </w:sdtContent>
                        </w:sdt>
                        <w:sdt>
                          <w:sdtPr>
                            <w:alias w:val="2.2.9.3.2 pp."/>
                            <w:tag w:val="part_cf84a3ff3bce4c70bac0e7ed8e1a2433"/>
                            <w:lock w:val="sdtLocked"/>
                            <w:richText/>
                          </w:sdtPr>
                          <w:sdtContent>
                            <w:p>
                              <w:pPr>
                                <w:tabs>
                                  <w:tab w:val="left" w:pos="1134"/>
                                </w:tabs>
                                <w:ind w:firstLine="709"/>
                                <w:jc w:val="both"/>
                                <w:rPr>
                                  <w:szCs w:val="24"/>
                                  <w:shd w:val="clear" w:color="auto" w:fill="FFFFFF"/>
                                  <w:lang w:eastAsia="lt-LT"/>
                                </w:rPr>
                              </w:pPr>
                              <w:sdt>
                                <w:sdtPr>
                                  <w:alias w:val="Numeris"/>
                                  <w:tag w:val="nr_cf84a3ff3bce4c70bac0e7ed8e1a2433"/>
                                  <w:lock w:val="sdtLocked"/>
                                  <w:richText/>
                                </w:sdtPr>
                                <w:sdtContent>
                                  <w:r>
                                    <w:rPr>
                                      <w:szCs w:val="24"/>
                                      <w:shd w:val="clear" w:color="auto" w:fill="FFFFFF"/>
                                      <w:lang w:eastAsia="lt-LT"/>
                                    </w:rPr>
                                    <w:t>2.2.9.3.2</w:t>
                                  </w:r>
                                </w:sdtContent>
                              </w:sdt>
                              <w:r>
                                <w:rPr>
                                  <w:szCs w:val="24"/>
                                  <w:shd w:val="clear" w:color="auto" w:fill="FFFFFF"/>
                                  <w:lang w:eastAsia="lt-LT"/>
                                </w:rPr>
                                <w:t>. neformaliojo vaikų švietimo užsiėmimus atvirose erdvėse, kai dalyvauja viena neformaliojo vaikų švietimo grupė, bet ne daugiau kaip 25 asmenys;</w:t>
                              </w:r>
                            </w:p>
                          </w:sdtContent>
                        </w:sdt>
                        <w:sdt>
                          <w:sdtPr>
                            <w:alias w:val="2.2.9.3.3 pp."/>
                            <w:tag w:val="part_7ea5c57a89e84164b222449ff18df365"/>
                            <w:lock w:val="sdtLocked"/>
                            <w:richText/>
                          </w:sdtPr>
                          <w:sdtContent>
                            <w:p>
                              <w:pPr>
                                <w:tabs>
                                  <w:tab w:val="left" w:pos="1134"/>
                                </w:tabs>
                                <w:ind w:firstLine="709"/>
                                <w:jc w:val="both"/>
                                <w:rPr>
                                  <w:szCs w:val="24"/>
                                  <w:shd w:val="clear" w:color="auto" w:fill="FFFFFF"/>
                                  <w:lang w:eastAsia="lt-LT"/>
                                </w:rPr>
                              </w:pPr>
                              <w:sdt>
                                <w:sdtPr>
                                  <w:alias w:val="Numeris"/>
                                  <w:tag w:val="nr_7ea5c57a89e84164b222449ff18df365"/>
                                  <w:lock w:val="sdtLocked"/>
                                  <w:richText/>
                                </w:sdtPr>
                                <w:sdtContent>
                                  <w:r>
                                    <w:rPr>
                                      <w:szCs w:val="24"/>
                                      <w:shd w:val="clear" w:color="auto" w:fill="FFFFFF"/>
                                      <w:lang w:eastAsia="lt-LT"/>
                                    </w:rPr>
                                    <w:t>2.2.9.3.3</w:t>
                                  </w:r>
                                </w:sdtContent>
                              </w:sdt>
                              <w:r>
                                <w:rPr>
                                  <w:szCs w:val="24"/>
                                  <w:shd w:val="clear" w:color="auto" w:fill="FFFFFF"/>
                                  <w:lang w:eastAsia="lt-LT"/>
                                </w:rPr>
                                <w:t>. neformaliojo vaikų švietimo užsiėmimus uždarose erdvėse, kai dalyvauja ne daugiau kaip 10 vaikų ir užtikrinamas 10 m² paslaugos teikimo plotas vienam vaikui;</w:t>
                              </w:r>
                            </w:p>
                          </w:sdtContent>
                        </w:sdt>
                        <w:sdt>
                          <w:sdtPr>
                            <w:alias w:val="2.2.9.3.4 pp."/>
                            <w:tag w:val="part_6712c84b3f3a40cbb37b23e1fe394eb2"/>
                            <w:lock w:val="sdtLocked"/>
                            <w:richText/>
                          </w:sdtPr>
                          <w:sdtContent>
                            <w:p>
                              <w:pPr>
                                <w:tabs>
                                  <w:tab w:val="left" w:pos="1134"/>
                                </w:tabs>
                                <w:ind w:firstLine="709"/>
                                <w:jc w:val="both"/>
                                <w:rPr>
                                  <w:szCs w:val="24"/>
                                  <w:shd w:val="clear" w:color="auto" w:fill="FFFFFF"/>
                                  <w:lang w:eastAsia="lt-LT"/>
                                </w:rPr>
                              </w:pPr>
                              <w:sdt>
                                <w:sdtPr>
                                  <w:alias w:val="Numeris"/>
                                  <w:tag w:val="nr_6712c84b3f3a40cbb37b23e1fe394eb2"/>
                                  <w:lock w:val="sdtLocked"/>
                                  <w:richText/>
                                </w:sdtPr>
                                <w:sdtContent>
                                  <w:r>
                                    <w:rPr>
                                      <w:szCs w:val="24"/>
                                      <w:shd w:val="clear" w:color="auto" w:fill="FFFFFF"/>
                                      <w:lang w:eastAsia="lt-LT"/>
                                    </w:rPr>
                                    <w:t>2.2.9.3.4</w:t>
                                  </w:r>
                                </w:sdtContent>
                              </w:sdt>
                              <w:r>
                                <w:rPr>
                                  <w:szCs w:val="24"/>
                                  <w:shd w:val="clear" w:color="auto" w:fill="FFFFFF"/>
                                  <w:lang w:eastAsia="lt-LT"/>
                                </w:rPr>
                                <w:t>. vaikų stovyklų veiklas, kai vienoje grupėje dalyvauja ne daugiau kaip 15 vaikų ir užtikrinamas 5 m² paslaugos teikimo plotas vienam vaikui;</w:t>
                              </w:r>
                            </w:p>
                          </w:sdtContent>
                        </w:sdt>
                        <w:sdt>
                          <w:sdtPr>
                            <w:alias w:val="2.2.9.3.5 pp."/>
                            <w:tag w:val="part_ca0c47d7fbe049e281eeb1b1975a31ff"/>
                            <w:lock w:val="sdtLocked"/>
                            <w:richText/>
                          </w:sdtPr>
                          <w:sdtContent>
                            <w:p>
                              <w:pPr>
                                <w:tabs>
                                  <w:tab w:val="left" w:pos="1134"/>
                                </w:tabs>
                                <w:ind w:firstLine="709"/>
                                <w:jc w:val="both"/>
                                <w:rPr>
                                  <w:szCs w:val="24"/>
                                  <w:lang w:eastAsia="lt-LT"/>
                                </w:rPr>
                              </w:pPr>
                              <w:sdt>
                                <w:sdtPr>
                                  <w:alias w:val="Numeris"/>
                                  <w:tag w:val="nr_ca0c47d7fbe049e281eeb1b1975a31ff"/>
                                  <w:lock w:val="sdtLocked"/>
                                  <w:richText/>
                                </w:sdtPr>
                                <w:sdtContent>
                                  <w:r>
                                    <w:rPr>
                                      <w:szCs w:val="24"/>
                                      <w:shd w:val="clear" w:color="auto" w:fill="FFFFFF"/>
                                      <w:lang w:eastAsia="lt-LT"/>
                                    </w:rPr>
                                    <w:t>2.2.9.3.5</w:t>
                                  </w:r>
                                </w:sdtContent>
                              </w:sdt>
                              <w:r>
                                <w:rPr>
                                  <w:szCs w:val="24"/>
                                  <w:shd w:val="clear" w:color="auto" w:fill="FFFFFF"/>
                                  <w:lang w:eastAsia="lt-LT"/>
                                </w:rPr>
                                <w:t>. individualius neformaliojo vaikų švietimo užsiėmimus;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9.4 pp."/>
                        <w:tag w:val="part_33c957454792488ab8ee10b61586d8b5"/>
                        <w:lock w:val="sdtLocked"/>
                        <w:richText/>
                      </w:sdtPr>
                      <w:sdtContent>
                        <w:p>
                          <w:pPr>
                            <w:ind w:firstLine="709"/>
                            <w:jc w:val="both"/>
                            <w:rPr>
                              <w:szCs w:val="24"/>
                              <w:lang w:eastAsia="lt-LT"/>
                            </w:rPr>
                          </w:pPr>
                          <w:sdt>
                            <w:sdtPr>
                              <w:alias w:val="Numeris"/>
                              <w:tag w:val="nr_33c957454792488ab8ee10b61586d8b5"/>
                              <w:lock w:val="sdtLocked"/>
                              <w:richText/>
                            </w:sdtPr>
                            <w:sdtContent>
                              <w:r>
                                <w:rPr>
                                  <w:szCs w:val="24"/>
                                  <w:lang w:eastAsia="lt-LT"/>
                                </w:rPr>
                                <w:t>2.2.9.4</w:t>
                              </w:r>
                            </w:sdtContent>
                          </w:sdt>
                          <w:r>
                            <w:rPr>
                              <w:szCs w:val="24"/>
                              <w:lang w:eastAsia="lt-LT"/>
                            </w:rPr>
                            <w:t>. neformalusis suaugusiųjų švietimas ir neformalusis profesinis mokymas vykdomi nuotoliniu būdu arba stabdomi, išskyrus šiuos atvejus,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
                          <w:sdtPr>
                            <w:alias w:val="2.2.9.4.1 pp."/>
                            <w:tag w:val="part_0ce0034940494b7497983129e482ad96"/>
                            <w:lock w:val="sdtLocked"/>
                            <w:richText/>
                          </w:sdtPr>
                          <w:sdtContent>
                            <w:p>
                              <w:pPr>
                                <w:ind w:firstLine="709"/>
                                <w:jc w:val="both"/>
                                <w:rPr>
                                  <w:bCs/>
                                  <w:szCs w:val="24"/>
                                  <w:lang w:eastAsia="lt-LT"/>
                                </w:rPr>
                              </w:pPr>
                              <w:sdt>
                                <w:sdtPr>
                                  <w:alias w:val="Numeris"/>
                                  <w:tag w:val="nr_0ce0034940494b7497983129e482ad96"/>
                                  <w:lock w:val="sdtLocked"/>
                                  <w:richText/>
                                </w:sdtPr>
                                <w:sdtContent>
                                  <w:r>
                                    <w:rPr>
                                      <w:bCs/>
                                      <w:szCs w:val="24"/>
                                      <w:lang w:eastAsia="lt-LT"/>
                                    </w:rPr>
                                    <w:t>2.2.9.4.1</w:t>
                                  </w:r>
                                </w:sdtContent>
                              </w:sdt>
                              <w:r>
                                <w:rPr>
                                  <w:bCs/>
                                  <w:szCs w:val="24"/>
                                  <w:lang w:eastAsia="lt-LT"/>
                                </w:rPr>
                                <w:t>.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10 asmenų ir užtikrinamas ne mažesnis kaip 10 m² paslaugos teikimo vienam asmeniui plotas;</w:t>
                              </w:r>
                            </w:p>
                          </w:sdtContent>
                        </w:sdt>
                        <w:sdt>
                          <w:sdtPr>
                            <w:alias w:val="2.2.9.4.2 pp."/>
                            <w:tag w:val="part_b12baa79a6034baebc1aa8ca03f95e98"/>
                            <w:lock w:val="sdtLocked"/>
                            <w:richText/>
                          </w:sdtPr>
                          <w:sdtContent>
                            <w:p>
                              <w:pPr>
                                <w:ind w:firstLine="709"/>
                                <w:jc w:val="both"/>
                                <w:rPr>
                                  <w:bCs/>
                                  <w:szCs w:val="24"/>
                                  <w:lang w:eastAsia="lt-LT"/>
                                </w:rPr>
                              </w:pPr>
                              <w:sdt>
                                <w:sdtPr>
                                  <w:alias w:val="Numeris"/>
                                  <w:tag w:val="nr_b12baa79a6034baebc1aa8ca03f95e98"/>
                                  <w:lock w:val="sdtLocked"/>
                                  <w:richText/>
                                </w:sdtPr>
                                <w:sdtContent>
                                  <w:r>
                                    <w:rPr>
                                      <w:bCs/>
                                      <w:szCs w:val="24"/>
                                      <w:lang w:eastAsia="lt-LT"/>
                                    </w:rPr>
                                    <w:t>2.2.9.4.2</w:t>
                                  </w:r>
                                </w:sdtContent>
                              </w:sdt>
                              <w:r>
                                <w:rPr>
                                  <w:bCs/>
                                  <w:szCs w:val="24"/>
                                  <w:lang w:eastAsia="lt-LT"/>
                                </w:rPr>
                                <w:t>. neformaliojo suaugusiųjų švietimo užsiėmimus atvirose erdvėse, kai dalyvauja ne daugiau kaip viena neformaliojo suaugusiųjų švietimo grupė, bet ne daugiau nei 25 asmenys;</w:t>
                              </w:r>
                            </w:p>
                          </w:sdtContent>
                        </w:sdt>
                        <w:sdt>
                          <w:sdtPr>
                            <w:alias w:val="2.2.9.4.3 pp."/>
                            <w:tag w:val="part_76b69fc5ec4c439bb3ac66f36e159b92"/>
                            <w:lock w:val="sdtLocked"/>
                            <w:richText/>
                          </w:sdtPr>
                          <w:sdtContent>
                            <w:p>
                              <w:pPr>
                                <w:ind w:firstLine="709"/>
                                <w:jc w:val="both"/>
                                <w:rPr>
                                  <w:bCs/>
                                  <w:szCs w:val="24"/>
                                  <w:lang w:eastAsia="lt-LT"/>
                                </w:rPr>
                              </w:pPr>
                              <w:sdt>
                                <w:sdtPr>
                                  <w:alias w:val="Numeris"/>
                                  <w:tag w:val="nr_76b69fc5ec4c439bb3ac66f36e159b92"/>
                                  <w:lock w:val="sdtLocked"/>
                                  <w:richText/>
                                </w:sdtPr>
                                <w:sdtContent>
                                  <w:r>
                                    <w:rPr>
                                      <w:bCs/>
                                      <w:szCs w:val="24"/>
                                      <w:lang w:eastAsia="lt-LT"/>
                                    </w:rPr>
                                    <w:t>2.2.9.4.3</w:t>
                                  </w:r>
                                </w:sdtContent>
                              </w:sdt>
                              <w:r>
                                <w:rPr>
                                  <w:bCs/>
                                  <w:szCs w:val="24"/>
                                  <w:lang w:eastAsia="lt-LT"/>
                                </w:rPr>
                                <w:t>. neformaliojo suaugusiųjų švietimo užsiėmimus uždarose erdvėse, kai dalyvauja ne daugiau kaip 10 asmenų ir užtikrinamas ne mažesnis kaip 10 m² paslaugos teikimo vienam asmeniui plotas;</w:t>
                              </w:r>
                            </w:p>
                          </w:sdtContent>
                        </w:sdt>
                        <w:sdt>
                          <w:sdtPr>
                            <w:alias w:val="2.2.9.4.4 pp."/>
                            <w:tag w:val="part_f3f81a5d2b8f4e6980040cb389388185"/>
                            <w:lock w:val="sdtLocked"/>
                            <w:richText/>
                          </w:sdtPr>
                          <w:sdtContent>
                            <w:p>
                              <w:pPr>
                                <w:ind w:firstLine="709"/>
                                <w:jc w:val="both"/>
                                <w:rPr>
                                  <w:bCs/>
                                  <w:szCs w:val="24"/>
                                  <w:lang w:eastAsia="lt-LT"/>
                                </w:rPr>
                              </w:pPr>
                              <w:sdt>
                                <w:sdtPr>
                                  <w:alias w:val="Numeris"/>
                                  <w:tag w:val="nr_f3f81a5d2b8f4e6980040cb389388185"/>
                                  <w:lock w:val="sdtLocked"/>
                                  <w:richText/>
                                </w:sdtPr>
                                <w:sdtContent>
                                  <w:r>
                                    <w:rPr>
                                      <w:bCs/>
                                      <w:szCs w:val="24"/>
                                      <w:lang w:eastAsia="lt-LT"/>
                                    </w:rPr>
                                    <w:t>2.2.9.4.4</w:t>
                                  </w:r>
                                </w:sdtContent>
                              </w:sdt>
                              <w:r>
                                <w:rPr>
                                  <w:bCs/>
                                  <w:szCs w:val="24"/>
                                  <w:lang w:eastAsia="lt-LT"/>
                                </w:rPr>
                                <w:t>. individualius neformaliojo suaugusiųjų švietimo ir neformaliojo profesinio mokymo užsiėmimus;</w:t>
                              </w:r>
                            </w:p>
                          </w:sdtContent>
                        </w:sdt>
                        <w:sdt>
                          <w:sdtPr>
                            <w:alias w:val="2.2.9.4.5 pp."/>
                            <w:tag w:val="part_f98847dbec3044bc9b7d7e23bf1821e3"/>
                            <w:lock w:val="sdtLocked"/>
                            <w:richText/>
                          </w:sdtPr>
                          <w:sdtContent>
                            <w:p>
                              <w:pPr>
                                <w:ind w:firstLine="709"/>
                                <w:jc w:val="both"/>
                                <w:rPr>
                                  <w:szCs w:val="24"/>
                                  <w:lang w:eastAsia="lt-LT"/>
                                </w:rPr>
                              </w:pPr>
                              <w:sdt>
                                <w:sdtPr>
                                  <w:alias w:val="Numeris"/>
                                  <w:tag w:val="nr_f98847dbec3044bc9b7d7e23bf1821e3"/>
                                  <w:lock w:val="sdtLocked"/>
                                  <w:richText/>
                                </w:sdtPr>
                                <w:sdtContent>
                                  <w:r>
                                    <w:rPr>
                                      <w:bCs/>
                                      <w:szCs w:val="24"/>
                                      <w:lang w:eastAsia="lt-LT"/>
                                    </w:rPr>
                                    <w:t>2.2.9.4.5</w:t>
                                  </w:r>
                                </w:sdtContent>
                              </w:sdt>
                              <w:r>
                                <w:rPr>
                                  <w:bCs/>
                                  <w:szCs w:val="24"/>
                                  <w:lang w:eastAsia="lt-LT"/>
                                </w:rPr>
                                <w:t xml:space="preserve">. neformaliojo suaugusiųjų švietimo užsiėmimus, kai dalyvauja tik asmenys, </w:t>
                              </w:r>
                              <w:r>
                                <w:rPr>
                                  <w:bCs/>
                                  <w:szCs w:val="24"/>
                                  <w:shd w:val="clear" w:color="auto" w:fill="FFFFFF"/>
                                  <w:lang w:eastAsia="lt-LT"/>
                                </w:rPr>
                                <w:t>atitinkantys šio nutarimo 2</w:t>
                              </w:r>
                              <w:r>
                                <w:rPr>
                                  <w:bCs/>
                                  <w:szCs w:val="24"/>
                                  <w:shd w:val="clear" w:color="auto" w:fill="FFFFFF"/>
                                  <w:vertAlign w:val="superscript"/>
                                  <w:lang w:eastAsia="lt-LT"/>
                                </w:rPr>
                                <w:t>2</w:t>
                              </w:r>
                              <w:r>
                                <w:rPr>
                                  <w:bCs/>
                                  <w:szCs w:val="24"/>
                                  <w:shd w:val="clear" w:color="auto" w:fill="FFFFFF"/>
                                  <w:lang w:eastAsia="lt-LT"/>
                                </w:rPr>
                                <w:t> punkte nurodytus kriterijus;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9.5 pp."/>
                        <w:tag w:val="part_c0fa2662d3884b5994918da04b33cf93"/>
                        <w:lock w:val="sdtLocked"/>
                        <w:richText/>
                      </w:sdtPr>
                      <w:sdtContent>
                        <w:p>
                          <w:pPr>
                            <w:ind w:firstLine="709"/>
                            <w:jc w:val="both"/>
                            <w:rPr>
                              <w:szCs w:val="24"/>
                              <w:lang w:eastAsia="lt-LT"/>
                            </w:rPr>
                          </w:pPr>
                          <w:sdt>
                            <w:sdtPr>
                              <w:alias w:val="Numeris"/>
                              <w:tag w:val="nr_c0fa2662d3884b5994918da04b33cf93"/>
                              <w:lock w:val="sdtLocked"/>
                              <w:richText/>
                            </w:sdtPr>
                            <w:sdtContent>
                              <w:r>
                                <w:rPr>
                                  <w:szCs w:val="24"/>
                                  <w:lang w:eastAsia="lt-LT"/>
                                </w:rPr>
                                <w:t>2.2.9.5</w:t>
                              </w:r>
                            </w:sdtContent>
                          </w:sdt>
                          <w:r>
                            <w:rPr>
                              <w:szCs w:val="24"/>
                              <w:lang w:eastAsia="lt-LT"/>
                            </w:rPr>
                            <w:t xml:space="preserve">.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arba mišriu būdu periodiškai atliekant studentų ir įstaigose kontaktiniu būdu dirbančių darbuotojų profilaktinį tyrimą COVID-19 ligai (koronaviruso infekcijai) diagnozuoti arba savikontrolę galimai COVID-19 ligai (koronaviruso infekcijai) nustatyti, užtikrinant valstybės lygio ekstremaliosios situacijos operacijų vadovo nustatytas asmenų srautų valdymo, saugaus atstumo laikymosi ir kitas būtinas visuomenės sveikatos saugos, higienos, asmenų aprūpinimo būtinosiomis asmeninėmis apsaugos priemonėmis sąlygas. </w:t>
                          </w:r>
                          <w:r>
                            <w:rPr>
                              <w:color w:val="000000"/>
                              <w:szCs w:val="24"/>
                              <w:lang w:eastAsia="lt-LT"/>
                            </w:rPr>
                            <w:t>Profesinis mokymas ar aukštojo mokslo studijos gali būti</w:t>
                          </w:r>
                          <w:r>
                            <w:rPr>
                              <w:b/>
                              <w:bCs/>
                              <w:color w:val="000000"/>
                              <w:szCs w:val="24"/>
                              <w:lang w:eastAsia="lt-LT"/>
                            </w:rPr>
                            <w:t xml:space="preserve"> </w:t>
                          </w:r>
                          <w:r>
                            <w:rPr>
                              <w:color w:val="000000"/>
                              <w:szCs w:val="24"/>
                              <w:lang w:eastAsia="lt-LT"/>
                            </w:rPr>
                            <w:t>vykdomi patalpose, kai dalyvauja ne daugiau kaip 10 mokinių ar studentų, išlaikant tarp visų patalpoje esančių asmenų ne mažesnį kaip 2 metrų atstumą, arba kai dalyvauja 11–30 mokinių ar studentų,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patalpos plotą vienam asmeniui</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a2e8f270d4645de82336c31033e2f1d"/>
                        <w:lock w:val="sdtLocked"/>
                        <w:richText/>
                      </w:sdtPr>
                      <w:sdtContent>
                        <w:p>
                          <w:pPr>
                            <w:pStyle w:val="PlainText"/>
                            <w:ind w:firstLine="567"/>
                            <w:jc w:val="both"/>
                            <w:rPr>
                              <w:rFonts w:ascii="Times New Roman" w:hAnsi="Times New Roman"/>
                              <w:b/>
                              <w:bCs/>
                              <w:sz w:val="22"/>
                            </w:rPr>
                          </w:pPr>
                          <w:r>
                            <w:rPr>
                              <w:rFonts w:ascii="Times New Roman" w:hAnsi="Times New Roman"/>
                              <w:sz w:val="22"/>
                            </w:rPr>
                            <w:t>2.2.9.7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320046081b304fecbc3228d955ce2b93"/>
                        <w:lock w:val="sdtLocked"/>
                        <w:richText/>
                      </w:sdtPr>
                      <w:sdtContent>
                        <w:p>
                          <w:pPr>
                            <w:tabs>
                              <w:tab w:val="left" w:pos="1134"/>
                            </w:tabs>
                            <w:ind w:firstLine="720"/>
                            <w:jc w:val="both"/>
                            <w:rPr>
                              <w:szCs w:val="24"/>
                              <w:lang w:eastAsia="lt-LT"/>
                            </w:rPr>
                          </w:pPr>
                          <w:sdt>
                            <w:sdtPr>
                              <w:alias w:val="Numeris"/>
                              <w:tag w:val="nr_320046081b304fecbc3228d955ce2b93"/>
                              <w:lock w:val="sdtLocked"/>
                              <w:richText/>
                            </w:sdtPr>
                            <w:sdtContent>
                              <w:r>
                                <w:rPr>
                                  <w:szCs w:val="24"/>
                                  <w:shd w:val="clear" w:color="auto" w:fill="FFFFFF"/>
                                  <w:lang w:eastAsia="lt-LT"/>
                                </w:rPr>
                                <w:t>2.2.10.1</w:t>
                              </w:r>
                            </w:sdtContent>
                          </w:sdt>
                          <w:r>
                            <w:rPr>
                              <w:szCs w:val="24"/>
                              <w:shd w:val="clear" w:color="auto" w:fill="FFFFFF"/>
                              <w:lang w:eastAsia="lt-LT"/>
                            </w:rPr>
                            <w:t>. draudžiamas gyventojų lankymas visose stacionariose socialinių paslaugų įstaigose, šeimynose, grupinio ir bendruomeninio gyvenimo namuose, išskyrus terminalinės būklės gyventojų lankymą ir (ar) asmenis, kurių lankymasis įstaigoje susijęs su pareigų atlikimu, ir kai gyventojus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d4a832532bd54413a3d4c1cc55f149be"/>
                        <w:lock w:val="sdtLocked"/>
                        <w:richText/>
                      </w:sdtPr>
                      <w:sdtContent>
                        <w:p>
                          <w:pPr>
                            <w:ind w:firstLine="720"/>
                            <w:jc w:val="both"/>
                            <w:rPr>
                              <w:szCs w:val="24"/>
                              <w:lang w:val="en-US" w:eastAsia="lt-LT"/>
                            </w:rPr>
                          </w:pPr>
                          <w:sdt>
                            <w:sdtPr>
                              <w:alias w:val="Numeris"/>
                              <w:tag w:val="nr_d4a832532bd54413a3d4c1cc55f149be"/>
                              <w:lock w:val="sdtLocked"/>
                              <w:richText/>
                            </w:sdtPr>
                            <w:sdtContent>
                              <w:r>
                                <w:rPr>
                                  <w:color w:val="000000"/>
                                  <w:szCs w:val="24"/>
                                  <w:lang w:eastAsia="lt-LT"/>
                                </w:rPr>
                                <w:t>2.2.11.4</w:t>
                              </w:r>
                            </w:sdtContent>
                          </w:sdt>
                          <w:r>
                            <w:rPr>
                              <w:color w:val="000000"/>
                              <w:szCs w:val="24"/>
                              <w:lang w:eastAsia="lt-LT"/>
                            </w:rPr>
                            <w:t>. draudžiamas asmens sveikatos priežiūros įstaigų pacientų lankymas, išskyrus įstaigos vadovo ar kito jo įgalioto asmens leidimu terminalinės būklės pacientų, pacientų iki 14 metų ir gimdyvių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fe3e7db348c4aa78f4c8fc74240ed49"/>
                            <w:lock w:val="sdtLocked"/>
                            <w:richText/>
                          </w:sdtPr>
                          <w:sdtContent>
                            <w:p>
                              <w:pPr>
                                <w:tabs>
                                  <w:tab w:val="left" w:pos="1134"/>
                                </w:tabs>
                                <w:ind w:firstLine="720"/>
                                <w:jc w:val="both"/>
                                <w:rPr>
                                  <w:szCs w:val="24"/>
                                  <w:lang w:eastAsia="lt-LT"/>
                                </w:rPr>
                              </w:pPr>
                              <w:sdt>
                                <w:sdtPr>
                                  <w:alias w:val="Numeris"/>
                                  <w:tag w:val="nr_7fe3e7db348c4aa78f4c8fc74240ed49"/>
                                  <w:lock w:val="sdtLocked"/>
                                  <w:richText/>
                                </w:sdtPr>
                                <w:sdtContent>
                                  <w:r>
                                    <w:rPr>
                                      <w:color w:val="000000"/>
                                      <w:szCs w:val="24"/>
                                      <w:lang w:eastAsia="lt-LT"/>
                                    </w:rPr>
                                    <w:t>2.2.11.8.3</w:t>
                                  </w:r>
                                </w:sdtContent>
                              </w:sdt>
                              <w:r>
                                <w:rPr>
                                  <w:color w:val="000000"/>
                                  <w:szCs w:val="24"/>
                                  <w:lang w:eastAsia="lt-LT"/>
                                </w:rPr>
                                <w:t>. draudžiamas pacientų lankymas, išskyrus gydančio gydytojo leidimu terminalinės būklės pacientų ir pacientų iki 14 metų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8d99314a5b1e4731a71df32de4401acf"/>
                    <w:lock w:val="sdtLocked"/>
                    <w:richText/>
                  </w:sdtPr>
                  <w:sdtContent>
                    <w:p>
                      <w:pPr>
                        <w:ind w:firstLine="720"/>
                        <w:jc w:val="both"/>
                        <w:rPr>
                          <w:bCs/>
                          <w:szCs w:val="24"/>
                          <w:lang w:eastAsia="lt-LT"/>
                        </w:rPr>
                      </w:pPr>
                      <w:sdt>
                        <w:sdtPr>
                          <w:alias w:val="Numeris"/>
                          <w:tag w:val="nr_8d99314a5b1e4731a71df32de4401acf"/>
                          <w:lock w:val="sdtLocked"/>
                          <w:richText/>
                        </w:sdtPr>
                        <w:sdtContent>
                          <w:r>
                            <w:rPr>
                              <w:color w:val="000000"/>
                              <w:szCs w:val="24"/>
                              <w:shd w:val="clear" w:color="auto" w:fill="FFFFFF"/>
                              <w:lang w:eastAsia="lt-LT"/>
                            </w:rPr>
                            <w:t>2.2.12</w:t>
                          </w:r>
                        </w:sdtContent>
                      </w:sdt>
                      <w:r>
                        <w:rPr>
                          <w:color w:val="000000"/>
                          <w:szCs w:val="24"/>
                          <w:shd w:val="clear" w:color="auto" w:fill="FFFFFF"/>
                          <w:lang w:eastAsia="lt-LT"/>
                        </w:rPr>
                        <w:t>. Draudžiamas ilgalaikių pasimatymų ir trumpalaikių kontaktinių pasimatymų pataisos įstaigose ir tardymo izoliatoriuose organizavimas ir vykdymas, išskyrus atvejus, kai į pasimatymą atvyksta asmenys</w:t>
                      </w:r>
                      <w:r>
                        <w:rPr>
                          <w:szCs w:val="24"/>
                          <w:lang w:eastAsia="lt-LT"/>
                        </w:rPr>
                        <w:t xml:space="preserve">, </w:t>
                      </w:r>
                      <w:r>
                        <w:rPr>
                          <w:szCs w:val="24"/>
                          <w:shd w:val="clear" w:color="auto" w:fill="FFFFFF"/>
                          <w:lang w:eastAsia="lt-LT"/>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r>
                        <w:rPr>
                          <w:color w:val="000000"/>
                          <w:szCs w:val="24"/>
                          <w:shd w:val="clear" w:color="auto" w:fill="FFFFFF"/>
                          <w:lang w:eastAsia="lt-LT"/>
                        </w:rPr>
                        <w:t>. Pasimatymai pataisos įstaigose ir tardymo izoliatoriuose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66bf4fd114b343a180d5f33d5594d009"/>
                    <w:lock w:val="sdtLocked"/>
                    <w:richText/>
                  </w:sdtPr>
                  <w:sdtContent>
                    <w:p>
                      <w:pPr>
                        <w:tabs>
                          <w:tab w:val="left" w:pos="1134"/>
                        </w:tabs>
                        <w:ind w:firstLine="709"/>
                        <w:jc w:val="both"/>
                        <w:rPr>
                          <w:bCs/>
                          <w:szCs w:val="24"/>
                          <w:lang w:eastAsia="lt-LT"/>
                        </w:rPr>
                      </w:pPr>
                      <w:sdt>
                        <w:sdtPr>
                          <w:alias w:val="Numeris"/>
                          <w:tag w:val="nr_66bf4fd114b343a180d5f33d5594d009"/>
                          <w:lock w:val="sdtLocked"/>
                          <w:richText/>
                        </w:sdtPr>
                        <w:sdtContent>
                          <w:r>
                            <w:rPr>
                              <w:szCs w:val="24"/>
                              <w:shd w:val="clear" w:color="auto" w:fill="FFFFFF"/>
                              <w:lang w:eastAsia="lt-LT"/>
                            </w:rPr>
                            <w:t>2.2.14</w:t>
                          </w:r>
                        </w:sdtContent>
                      </w:sdt>
                      <w:r>
                        <w:rPr>
                          <w:szCs w:val="24"/>
                          <w:shd w:val="clear" w:color="auto" w:fill="FFFFFF"/>
                          <w:lang w:eastAsia="lt-LT"/>
                        </w:rPr>
                        <w:t>. Rekomenduojama veikiančioms religinėms bendruomenėms organizuoti religines apeigas nuotoliniu būdu (išskyrus laidotuvių apeigas, kai dalyvauja ne daugiau nei 50 asmenų, išskyrus ritualines paslaugas teikiančius asmenis) arba tokiu būdu, kad būtų išvengta susibūrimų (užtikrinamas 10 m</w:t>
                      </w:r>
                      <w:r>
                        <w:rPr>
                          <w:szCs w:val="24"/>
                          <w:shd w:val="clear" w:color="auto" w:fill="FFFFFF"/>
                          <w:vertAlign w:val="superscript"/>
                          <w:lang w:eastAsia="lt-LT"/>
                        </w:rPr>
                        <w:t>2</w:t>
                      </w:r>
                      <w:r>
                        <w:rPr>
                          <w:szCs w:val="24"/>
                          <w:shd w:val="clear" w:color="auto" w:fill="FFFFFF"/>
                          <w:lang w:eastAsia="lt-LT"/>
                        </w:rPr>
                        <w:t xml:space="preserve"> plotas vienam asmeniui ir laikomasi ne mažesnio kaip 2 metrų atstumo tarp asmenų ar asmenų grupių (iki </w:t>
                      </w:r>
                      <w:r>
                        <w:rPr>
                          <w:szCs w:val="24"/>
                          <w:lang w:eastAsia="lt-LT"/>
                        </w:rPr>
                        <w:t>5 asmenų ar dviejų šeimų ir (ar) dviejų namų ūkių narių</w:t>
                      </w:r>
                      <w:r>
                        <w:rPr>
                          <w:szCs w:val="24"/>
                          <w:shd w:val="clear" w:color="auto" w:fill="FFFFFF"/>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sdtContent>
                </w:sdt>
              </w:sdtContent>
            </w:sdt>
          </w:sdtContent>
        </w:sdt>
        <w:sdt>
          <w:sdtPr>
            <w:alias w:val="2-1 p."/>
            <w:tag w:val="part_51cfbfd3ae0e4a7fbe35c90ea2b55462"/>
            <w:lock w:val="sdtLocked"/>
            <w:richText/>
          </w:sdtPr>
          <w:sdtContent>
            <w:p>
              <w:pPr>
                <w:tabs>
                  <w:tab w:val="left" w:pos="1134"/>
                </w:tabs>
                <w:ind w:firstLine="709"/>
                <w:jc w:val="both"/>
              </w:pPr>
              <w:sdt>
                <w:sdtPr>
                  <w:alias w:val="Numeris"/>
                  <w:tag w:val="nr_51cfbfd3ae0e4a7fbe35c90ea2b55462"/>
                  <w:lock w:val="sdtLocked"/>
                  <w:richText/>
                </w:sdtPr>
                <w:sdtContent>
                  <w:r>
                    <w:rPr>
                      <w:szCs w:val="24"/>
                      <w:lang w:eastAsia="lt-LT"/>
                    </w:rPr>
                    <w:t>2</w:t>
                  </w:r>
                  <w:r>
                    <w:rPr>
                      <w:szCs w:val="24"/>
                      <w:vertAlign w:val="superscript"/>
                      <w:lang w:eastAsia="lt-LT"/>
                    </w:rPr>
                    <w:t>1</w:t>
                  </w:r>
                </w:sdtContent>
              </w:sdt>
              <w:r>
                <w:rPr>
                  <w:szCs w:val="24"/>
                  <w:lang w:eastAsia="lt-LT"/>
                </w:rPr>
                <w:t>. Birštono, Biržų rajono, Elektrėnų, Ignalinos rajono, Jurbarko rajono, Joniškio rajono, Klaipėdos rajono, Kretingos rajono, Kupiškio rajono, Mažeikių rajono, Neringos, Pakruojo rajono, Pasvalio rajono, Rokiškio rajono, Skuodo rajono, Šiaulių rajono, Šilalės rajono, Telšių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36ecb0ae8d11eba871a26c1fc3fbc1">
                <w:r w:rsidRPr="00532B9F">
                  <w:rPr>
                    <w:rFonts w:ascii="Times New Roman" w:eastAsia="MS Mincho" w:hAnsi="Times New Roman"/>
                    <w:sz w:val="20"/>
                    <w:i/>
                    <w:iCs/>
                    <w:color w:val="0000FF" w:themeColor="hyperlink"/>
                    <w:u w:val="single"/>
                  </w:rPr>
                  <w:t>306</w:t>
                </w:r>
              </w:fldSimple>
              <w:r>
                <w:rPr>
                  <w:rFonts w:ascii="Times New Roman" w:eastAsia="MS Mincho" w:hAnsi="Times New Roman"/>
                  <w:sz w:val="20"/>
                  <w:i/>
                  <w:iCs/>
                </w:rPr>
                <w:t>,
2021-05-05,
paskelbta TAR 2021-05-06, i. k. 2021-10090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ed0ac0b3df11eb8371ea260d59d64b">
                <w:r w:rsidRPr="00532B9F">
                  <w:rPr>
                    <w:rFonts w:ascii="Times New Roman" w:eastAsia="MS Mincho" w:hAnsi="Times New Roman"/>
                    <w:sz w:val="20"/>
                    <w:i/>
                    <w:iCs/>
                    <w:color w:val="0000FF" w:themeColor="hyperlink"/>
                    <w:u w:val="single"/>
                  </w:rPr>
                  <w:t>330</w:t>
                </w:r>
              </w:fldSimple>
              <w:r>
                <w:rPr>
                  <w:rFonts w:ascii="Times New Roman" w:eastAsia="MS Mincho" w:hAnsi="Times New Roman"/>
                  <w:sz w:val="20"/>
                  <w:i/>
                  <w:iCs/>
                </w:rPr>
                <w:t>,
2021-05-12,
paskelbta TAR 2021-05-13, i. k. 2021-10707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23fe40b9f811eb8c24980b2b0e0fef">
                <w:r w:rsidRPr="00532B9F">
                  <w:rPr>
                    <w:rFonts w:ascii="Times New Roman" w:eastAsia="MS Mincho" w:hAnsi="Times New Roman"/>
                    <w:sz w:val="20"/>
                    <w:i/>
                    <w:iCs/>
                    <w:color w:val="0000FF" w:themeColor="hyperlink"/>
                    <w:u w:val="single"/>
                  </w:rPr>
                  <w:t>364</w:t>
                </w:r>
              </w:fldSimple>
              <w:r>
                <w:rPr>
                  <w:rFonts w:ascii="Times New Roman" w:eastAsia="MS Mincho" w:hAnsi="Times New Roman"/>
                  <w:sz w:val="20"/>
                  <w:i/>
                  <w:iCs/>
                </w:rPr>
                <w:t>,
2021-05-19,
paskelbta TAR 2021-05-21, i. k. 2021-11276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f8c050b9f711eb8c24980b2b0e0fef">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2021-05-19,
paskelbta TAR 2021-05-21, i. k. 2021-11273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4e1310be2f11eb8c24980b2b0e0fef">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2021-05-26,
paskelbta TAR 2021-05-26, i. k. 2021-11559            </w:t>
              </w:r>
            </w:p>
            <w:p/>
          </w:sdtContent>
        </w:sdt>
        <w:sdt>
          <w:sdtPr>
            <w:alias w:val="2-2 p."/>
            <w:tag w:val="part_9501502a020b416881c14ff926b06a7e"/>
            <w:lock w:val="sdtLocked"/>
            <w:richText/>
          </w:sdtPr>
          <w:sdtContent>
            <w:p>
              <w:pPr>
                <w:tabs>
                  <w:tab w:val="left" w:pos="1134"/>
                </w:tabs>
                <w:ind w:firstLine="709"/>
                <w:jc w:val="both"/>
                <w:rPr>
                  <w:szCs w:val="24"/>
                  <w:lang w:eastAsia="lt-LT"/>
                </w:rPr>
              </w:pPr>
              <w:r>
                <w:rPr>
                  <w:szCs w:val="24"/>
                  <w:lang w:eastAsia="lt-LT"/>
                </w:rPr>
                <w:t>2</w:t>
              </w:r>
              <w:r>
                <w:rPr>
                  <w:szCs w:val="24"/>
                  <w:vertAlign w:val="superscript"/>
                  <w:lang w:eastAsia="lt-LT"/>
                </w:rPr>
                <w:t>2</w:t>
              </w:r>
              <w:r>
                <w:rPr>
                  <w:szCs w:val="24"/>
                  <w:lang w:eastAsia="lt-LT"/>
                </w:rPr>
                <w:t>. Šiame nutarime nurodytais atvejais darbo, ūkinės veiklos ar kitos veiklos gali būti neribojamos arba ribojamos iš dalies (toliau – švelnesnės karantino režimo priemonės), jei asmenys atitinka bent vieną iš šių kriterijų:</w:t>
              </w:r>
            </w:p>
            <w:sdt>
              <w:sdtPr>
                <w:alias w:val="2-2.1 pp."/>
                <w:tag w:val="part_a03b0f22ff5840df99134d11e1134433"/>
                <w:lock w:val="sdtLocked"/>
                <w:richText/>
              </w:sdtPr>
              <w:sdtContent>
                <w:p>
                  <w:pPr>
                    <w:tabs>
                      <w:tab w:val="left" w:pos="1134"/>
                    </w:tabs>
                    <w:ind w:firstLine="709"/>
                    <w:jc w:val="both"/>
                    <w:rPr>
                      <w:szCs w:val="24"/>
                      <w:lang w:eastAsia="lt-LT"/>
                    </w:rPr>
                  </w:pPr>
                  <w:sdt>
                    <w:sdtPr>
                      <w:alias w:val="Numeris"/>
                      <w:tag w:val="nr_a03b0f22ff5840df99134d11e1134433"/>
                      <w:lock w:val="sdtLocked"/>
                      <w:richText/>
                    </w:sdtPr>
                    <w:sdtContent>
                      <w:r>
                        <w:rPr>
                          <w:szCs w:val="24"/>
                          <w:lang w:eastAsia="lt-LT"/>
                        </w:rPr>
                        <w:t>2</w:t>
                      </w:r>
                      <w:r>
                        <w:rPr>
                          <w:szCs w:val="24"/>
                          <w:vertAlign w:val="superscript"/>
                          <w:lang w:eastAsia="lt-LT"/>
                        </w:rPr>
                        <w:t>2</w:t>
                      </w:r>
                      <w:r>
                        <w:rPr>
                          <w:szCs w:val="24"/>
                          <w:lang w:eastAsia="lt-LT"/>
                        </w:rPr>
                        <w:t>.1</w:t>
                      </w:r>
                    </w:sdtContent>
                  </w:sdt>
                  <w:r>
                    <w:rPr>
                      <w:szCs w:val="24"/>
                      <w:lang w:eastAsia="lt-LT"/>
                    </w:rPr>
                    <w:t>. yra pasiskiepiję viena iš šių COVID-19 ligos (koronaviruso infekcijos) vakcinų:</w:t>
                  </w:r>
                </w:p>
                <w:sdt>
                  <w:sdtPr>
                    <w:alias w:val="2-2.1.1 pp."/>
                    <w:tag w:val="part_1fa8883b3e594fb0ac0f12ff49625312"/>
                    <w:lock w:val="sdtLocked"/>
                    <w:richText/>
                  </w:sdtPr>
                  <w:sdtContent>
                    <w:p>
                      <w:pPr>
                        <w:tabs>
                          <w:tab w:val="left" w:pos="1134"/>
                        </w:tabs>
                        <w:ind w:firstLine="709"/>
                        <w:jc w:val="both"/>
                        <w:rPr>
                          <w:szCs w:val="24"/>
                          <w:lang w:eastAsia="lt-LT"/>
                        </w:rPr>
                      </w:pPr>
                      <w:sdt>
                        <w:sdtPr>
                          <w:alias w:val="Numeris"/>
                          <w:tag w:val="nr_1fa8883b3e594fb0ac0f12ff49625312"/>
                          <w:lock w:val="sdtLocked"/>
                          <w:richText/>
                        </w:sdtPr>
                        <w:sdtContent>
                          <w:r>
                            <w:rPr>
                              <w:szCs w:val="24"/>
                              <w:lang w:eastAsia="lt-LT"/>
                            </w:rPr>
                            <w:t>2</w:t>
                          </w:r>
                          <w:r>
                            <w:rPr>
                              <w:szCs w:val="24"/>
                              <w:vertAlign w:val="superscript"/>
                              <w:lang w:eastAsia="lt-LT"/>
                            </w:rPr>
                            <w:t>2</w:t>
                          </w:r>
                          <w:r>
                            <w:rPr>
                              <w:szCs w:val="24"/>
                              <w:lang w:eastAsia="lt-LT"/>
                            </w:rPr>
                            <w:t>.1.1</w:t>
                          </w:r>
                        </w:sdtContent>
                      </w:sdt>
                      <w:r>
                        <w:rPr>
                          <w:szCs w:val="24"/>
                          <w:lang w:eastAsia="lt-LT"/>
                        </w:rPr>
                        <w:t>. praėjus vienai savaitei nuo „Comirnaty“ ar „COVID-19 Vaccine Moderna“ vakcinos antrosios dozės suleidimo pagal skiepijimo schemą;</w:t>
                      </w:r>
                    </w:p>
                  </w:sdtContent>
                </w:sdt>
                <w:sdt>
                  <w:sdtPr>
                    <w:alias w:val="2-2.1.2 pp."/>
                    <w:tag w:val="part_01f857cd8ab540039373cfb5f99494e3"/>
                    <w:lock w:val="sdtLocked"/>
                    <w:richText/>
                  </w:sdtPr>
                  <w:sdtContent>
                    <w:p>
                      <w:pPr>
                        <w:tabs>
                          <w:tab w:val="left" w:pos="1134"/>
                        </w:tabs>
                        <w:ind w:firstLine="709"/>
                        <w:jc w:val="both"/>
                        <w:rPr>
                          <w:szCs w:val="24"/>
                          <w:lang w:eastAsia="lt-LT"/>
                        </w:rPr>
                      </w:pPr>
                      <w:sdt>
                        <w:sdtPr>
                          <w:alias w:val="Numeris"/>
                          <w:tag w:val="nr_01f857cd8ab540039373cfb5f99494e3"/>
                          <w:lock w:val="sdtLocked"/>
                          <w:richText/>
                        </w:sdtPr>
                        <w:sdtContent>
                          <w:r>
                            <w:rPr>
                              <w:szCs w:val="24"/>
                              <w:lang w:eastAsia="lt-LT"/>
                            </w:rPr>
                            <w:t>2</w:t>
                          </w:r>
                          <w:r>
                            <w:rPr>
                              <w:szCs w:val="24"/>
                              <w:vertAlign w:val="superscript"/>
                              <w:lang w:eastAsia="lt-LT"/>
                            </w:rPr>
                            <w:t>2</w:t>
                          </w:r>
                          <w:r>
                            <w:rPr>
                              <w:szCs w:val="24"/>
                              <w:lang w:eastAsia="lt-LT"/>
                            </w:rPr>
                            <w:t>.1.2</w:t>
                          </w:r>
                        </w:sdtContent>
                      </w:sdt>
                      <w:r>
                        <w:rPr>
                          <w:szCs w:val="24"/>
                          <w:lang w:eastAsia="lt-LT"/>
                        </w:rPr>
                        <w:t>. praėjus 4 savaitėms nuo „COVID-19 Vaccine Janssen“ vakcinos dozės suleidimo;</w:t>
                      </w:r>
                    </w:p>
                  </w:sdtContent>
                </w:sdt>
                <w:sdt>
                  <w:sdtPr>
                    <w:alias w:val="2-2.1.3 pp."/>
                    <w:tag w:val="part_2a5aaec61a1840548d4fb03627cd5b5f"/>
                    <w:lock w:val="sdtLocked"/>
                    <w:richText/>
                  </w:sdtPr>
                  <w:sdtContent>
                    <w:p>
                      <w:pPr>
                        <w:tabs>
                          <w:tab w:val="left" w:pos="1134"/>
                        </w:tabs>
                        <w:ind w:firstLine="709"/>
                        <w:jc w:val="both"/>
                        <w:rPr>
                          <w:szCs w:val="24"/>
                          <w:lang w:eastAsia="lt-LT"/>
                        </w:rPr>
                      </w:pPr>
                      <w:sdt>
                        <w:sdtPr>
                          <w:alias w:val="Numeris"/>
                          <w:tag w:val="nr_2a5aaec61a1840548d4fb03627cd5b5f"/>
                          <w:lock w:val="sdtLocked"/>
                          <w:richText/>
                        </w:sdtPr>
                        <w:sdtContent>
                          <w:r>
                            <w:rPr>
                              <w:szCs w:val="24"/>
                              <w:lang w:eastAsia="lt-LT"/>
                            </w:rPr>
                            <w:t>2</w:t>
                          </w:r>
                          <w:r>
                            <w:rPr>
                              <w:szCs w:val="24"/>
                              <w:vertAlign w:val="superscript"/>
                              <w:lang w:eastAsia="lt-LT"/>
                            </w:rPr>
                            <w:t>2</w:t>
                          </w:r>
                          <w:r>
                            <w:rPr>
                              <w:szCs w:val="24"/>
                              <w:lang w:eastAsia="lt-LT"/>
                            </w:rPr>
                            <w:t>.1.3</w:t>
                          </w:r>
                        </w:sdtContent>
                      </w:sdt>
                      <w:r>
                        <w:rPr>
                          <w:szCs w:val="24"/>
                          <w:lang w:eastAsia="lt-LT"/>
                        </w:rPr>
                        <w:t>. praėjus 4 savaitėms, bet ne daugiau kaip 12 savaičių nuo pirmos „Vaxzevria“ vakcinos dozės suleidimo;</w:t>
                      </w:r>
                    </w:p>
                  </w:sdtContent>
                </w:sdt>
                <w:sdt>
                  <w:sdtPr>
                    <w:alias w:val="2-2.1.4 pp."/>
                    <w:tag w:val="part_a7cba9e0f74a4ec0a97b72471ba9413c"/>
                    <w:lock w:val="sdtLocked"/>
                    <w:richText/>
                  </w:sdtPr>
                  <w:sdtContent>
                    <w:p>
                      <w:pPr>
                        <w:tabs>
                          <w:tab w:val="left" w:pos="1134"/>
                        </w:tabs>
                        <w:ind w:firstLine="709"/>
                        <w:jc w:val="both"/>
                        <w:rPr>
                          <w:szCs w:val="24"/>
                          <w:lang w:eastAsia="lt-LT"/>
                        </w:rPr>
                      </w:pPr>
                      <w:sdt>
                        <w:sdtPr>
                          <w:alias w:val="Numeris"/>
                          <w:tag w:val="nr_a7cba9e0f74a4ec0a97b72471ba9413c"/>
                          <w:lock w:val="sdtLocked"/>
                          <w:richText/>
                        </w:sdtPr>
                        <w:sdtContent>
                          <w:r>
                            <w:rPr>
                              <w:szCs w:val="24"/>
                              <w:lang w:eastAsia="lt-LT"/>
                            </w:rPr>
                            <w:t>2</w:t>
                          </w:r>
                          <w:r>
                            <w:rPr>
                              <w:szCs w:val="24"/>
                              <w:vertAlign w:val="superscript"/>
                              <w:lang w:eastAsia="lt-LT"/>
                            </w:rPr>
                            <w:t>2</w:t>
                          </w:r>
                          <w:r>
                            <w:rPr>
                              <w:szCs w:val="24"/>
                              <w:lang w:eastAsia="lt-LT"/>
                            </w:rPr>
                            <w:t>.1.4</w:t>
                          </w:r>
                        </w:sdtContent>
                      </w:sdt>
                      <w:r>
                        <w:rPr>
                          <w:szCs w:val="24"/>
                          <w:lang w:eastAsia="lt-LT"/>
                        </w:rPr>
                        <w:t>. po antros „Vaxzevria“ vakcinos dozės suleidimo pagal skiepijimo schemą;</w:t>
                      </w:r>
                    </w:p>
                  </w:sdtContent>
                </w:sdt>
              </w:sdtContent>
            </w:sdt>
            <w:sdt>
              <w:sdtPr>
                <w:alias w:val="2-2.2 pp."/>
                <w:tag w:val="part_4d5c64d68cf4446f883d34b5a3c1f96d"/>
                <w:lock w:val="sdtLocked"/>
                <w:richText/>
              </w:sdtPr>
              <w:sdtContent>
                <w:p>
                  <w:pPr>
                    <w:tabs>
                      <w:tab w:val="left" w:pos="1134"/>
                    </w:tabs>
                    <w:ind w:firstLine="709"/>
                    <w:jc w:val="both"/>
                    <w:rPr>
                      <w:szCs w:val="24"/>
                      <w:lang w:eastAsia="lt-LT"/>
                    </w:rPr>
                  </w:pPr>
                  <w:sdt>
                    <w:sdtPr>
                      <w:alias w:val="Numeris"/>
                      <w:tag w:val="nr_4d5c64d68cf4446f883d34b5a3c1f96d"/>
                      <w:lock w:val="sdtLocked"/>
                      <w:richText/>
                    </w:sdtPr>
                    <w:sdtContent>
                      <w:r>
                        <w:rPr>
                          <w:szCs w:val="24"/>
                          <w:lang w:eastAsia="lt-LT"/>
                        </w:rPr>
                        <w:t>2</w:t>
                      </w:r>
                      <w:r>
                        <w:rPr>
                          <w:szCs w:val="24"/>
                          <w:vertAlign w:val="superscript"/>
                          <w:lang w:eastAsia="lt-LT"/>
                        </w:rPr>
                        <w:t>2</w:t>
                      </w:r>
                      <w:r>
                        <w:rPr>
                          <w:szCs w:val="24"/>
                          <w:lang w:eastAsia="lt-LT"/>
                        </w:rPr>
                        <w:t>.2</w:t>
                      </w:r>
                    </w:sdtContent>
                  </w:sdt>
                  <w:r>
                    <w:rPr>
                      <w:szCs w:val="24"/>
                      <w:lang w:eastAsia="lt-LT"/>
                    </w:rPr>
                    <w:t>. persirgo COVID-19 liga (koronaviruso infekcija) ir diagnozė buvo patvirtinta remiantis teigiamu SARS-CoV-2 PGR tyrimo ar antigeno testo rezultatu, o nuo teigiamo tyrimo rezultato praėjo ne daugiau kaip 180 dienų (bet ne anksčiau, nei asmeniui baigėsi paskirtos izoliacijos terminas);</w:t>
                  </w:r>
                </w:p>
              </w:sdtContent>
            </w:sdt>
            <w:sdt>
              <w:sdtPr>
                <w:alias w:val="2-2.3 pp."/>
                <w:tag w:val="part_584712df7fc0432cbe14ed2711c85432"/>
                <w:lock w:val="sdtLocked"/>
                <w:richText/>
              </w:sdtPr>
              <w:sdtContent>
                <w:p>
                  <w:pPr>
                    <w:tabs>
                      <w:tab w:val="left" w:pos="1134"/>
                    </w:tabs>
                    <w:ind w:firstLine="709"/>
                    <w:jc w:val="both"/>
                    <w:rPr>
                      <w:szCs w:val="24"/>
                      <w:lang w:eastAsia="lt-LT"/>
                    </w:rPr>
                  </w:pPr>
                  <w:sdt>
                    <w:sdtPr>
                      <w:alias w:val="Numeris"/>
                      <w:tag w:val="nr_584712df7fc0432cbe14ed2711c85432"/>
                      <w:lock w:val="sdtLocked"/>
                      <w:richText/>
                    </w:sdtPr>
                    <w:sdtContent>
                      <w:r>
                        <w:rPr>
                          <w:szCs w:val="24"/>
                          <w:lang w:eastAsia="lt-LT"/>
                        </w:rPr>
                        <w:t>2</w:t>
                      </w:r>
                      <w:r>
                        <w:rPr>
                          <w:szCs w:val="24"/>
                          <w:vertAlign w:val="superscript"/>
                          <w:lang w:eastAsia="lt-LT"/>
                        </w:rPr>
                        <w:t>2</w:t>
                      </w:r>
                      <w:r>
                        <w:rPr>
                          <w:szCs w:val="24"/>
                          <w:lang w:eastAsia="lt-LT"/>
                        </w:rPr>
                        <w:t>.3</w:t>
                      </w:r>
                    </w:sdtContent>
                  </w:sdt>
                  <w:r>
                    <w:rPr>
                      <w:szCs w:val="24"/>
                      <w:lang w:eastAsia="lt-LT"/>
                    </w:rPr>
                    <w:t>. ne anksčiau nei prieš 24 valandas, skaičiuojant nuo ėminio paėmimo momento, atlikus COVID-19 tyrimą (SARS-CoV-2 PGR tyrimą ar antigeno testą), turi gautą neigiamą atsakymą;</w:t>
                  </w:r>
                </w:p>
              </w:sdtContent>
            </w:sdt>
            <w:sdt>
              <w:sdtPr>
                <w:alias w:val="2-2.4 pp."/>
                <w:tag w:val="part_2ef0e151afd841ebb258543f184ac13b"/>
                <w:lock w:val="sdtLocked"/>
                <w:richText/>
              </w:sdtPr>
              <w:sdtContent>
                <w:p>
                  <w:pPr>
                    <w:tabs>
                      <w:tab w:val="left" w:pos="1134"/>
                    </w:tabs>
                    <w:ind w:firstLine="709"/>
                    <w:jc w:val="both"/>
                  </w:pPr>
                  <w:sdt>
                    <w:sdtPr>
                      <w:alias w:val="Numeris"/>
                      <w:tag w:val="nr_2ef0e151afd841ebb258543f184ac13b"/>
                      <w:lock w:val="sdtLocked"/>
                      <w:richText/>
                    </w:sdtPr>
                    <w:sdtContent>
                      <w:r>
                        <w:rPr>
                          <w:szCs w:val="24"/>
                          <w:lang w:eastAsia="lt-LT"/>
                        </w:rPr>
                        <w:t>2</w:t>
                      </w:r>
                      <w:r>
                        <w:rPr>
                          <w:szCs w:val="24"/>
                          <w:vertAlign w:val="superscript"/>
                          <w:lang w:eastAsia="lt-LT"/>
                        </w:rPr>
                        <w:t>2</w:t>
                      </w:r>
                      <w:r>
                        <w:rPr>
                          <w:szCs w:val="24"/>
                          <w:lang w:eastAsia="lt-LT"/>
                        </w:rPr>
                        <w:t>.4</w:t>
                      </w:r>
                    </w:sdtContent>
                  </w:sdt>
                  <w:r>
                    <w:rPr>
                      <w:szCs w:val="24"/>
                      <w:lang w:eastAsia="lt-LT"/>
                    </w:rPr>
                    <w:t>. yra vaikai iki 16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bbb70b9f811eb8c24980b2b0e0fef">
                <w:r w:rsidRPr="00532B9F">
                  <w:rPr>
                    <w:rFonts w:ascii="Times New Roman" w:eastAsia="MS Mincho" w:hAnsi="Times New Roman"/>
                    <w:sz w:val="20"/>
                    <w:i/>
                    <w:iCs/>
                    <w:color w:val="0000FF" w:themeColor="hyperlink"/>
                    <w:u w:val="single"/>
                  </w:rPr>
                  <w:t>363</w:t>
                </w:r>
              </w:fldSimple>
              <w:r>
                <w:rPr>
                  <w:rFonts w:ascii="Times New Roman" w:eastAsia="MS Mincho" w:hAnsi="Times New Roman"/>
                  <w:sz w:val="20"/>
                  <w:i/>
                  <w:iCs/>
                </w:rPr>
                <w:t>,
2021-05-19,
paskelbta TAR 2021-05-21, i. k. 2021-11274            </w:t>
              </w:r>
            </w:p>
            <w:p/>
          </w:sdtContent>
        </w:sdt>
        <w:sdt>
          <w:sdtPr>
            <w:alias w:val="2-3 p."/>
            <w:tag w:val="part_6de8a0b13bd24936b644915a3b7386c5"/>
            <w:lock w:val="sdtLocked"/>
            <w:richText/>
          </w:sdtPr>
          <w:sdtContent>
            <w:p>
              <w:pPr>
                <w:tabs>
                  <w:tab w:val="left" w:pos="1134"/>
                </w:tabs>
                <w:ind w:firstLine="709"/>
                <w:jc w:val="both"/>
                <w:rPr>
                  <w:szCs w:val="24"/>
                  <w:lang w:eastAsia="lt-LT"/>
                </w:rPr>
              </w:pPr>
              <w:r>
                <w:rPr>
                  <w:szCs w:val="24"/>
                  <w:lang w:eastAsia="lt-LT"/>
                </w:rPr>
                <w:t>2</w:t>
              </w:r>
              <w:r>
                <w:rPr>
                  <w:szCs w:val="24"/>
                  <w:vertAlign w:val="superscript"/>
                  <w:lang w:eastAsia="lt-LT"/>
                </w:rPr>
                <w:t>3</w:t>
              </w:r>
              <w:r>
                <w:rPr>
                  <w:szCs w:val="24"/>
                  <w:lang w:eastAsia="lt-LT"/>
                </w:rPr>
                <w:t>. Asmenų teisės į švelnesnes karantino režimo priemones įgyvendinimas:</w:t>
              </w:r>
            </w:p>
            <w:sdt>
              <w:sdtPr>
                <w:alias w:val="2-3.1 pp."/>
                <w:tag w:val="part_ac84467ef6024f74b60319217bfda18e"/>
                <w:lock w:val="sdtLocked"/>
                <w:richText/>
              </w:sdtPr>
              <w:sdtContent>
                <w:p>
                  <w:pPr>
                    <w:tabs>
                      <w:tab w:val="left" w:pos="1134"/>
                    </w:tabs>
                    <w:ind w:firstLine="709"/>
                    <w:jc w:val="both"/>
                    <w:rPr>
                      <w:szCs w:val="24"/>
                      <w:lang w:eastAsia="lt-LT"/>
                    </w:rPr>
                  </w:pPr>
                  <w:sdt>
                    <w:sdtPr>
                      <w:alias w:val="Numeris"/>
                      <w:tag w:val="nr_ac84467ef6024f74b60319217bfda18e"/>
                      <w:lock w:val="sdtLocked"/>
                      <w:richText/>
                    </w:sdtPr>
                    <w:sdtContent>
                      <w:r>
                        <w:rPr>
                          <w:szCs w:val="24"/>
                          <w:lang w:eastAsia="lt-LT"/>
                        </w:rPr>
                        <w:t>2</w:t>
                      </w:r>
                      <w:r>
                        <w:rPr>
                          <w:szCs w:val="24"/>
                          <w:vertAlign w:val="superscript"/>
                          <w:lang w:eastAsia="lt-LT"/>
                        </w:rPr>
                        <w:t>3</w:t>
                      </w:r>
                      <w:r>
                        <w:rPr>
                          <w:szCs w:val="24"/>
                          <w:lang w:eastAsia="lt-LT"/>
                        </w:rPr>
                        <w:t>.1</w:t>
                      </w:r>
                    </w:sdtContent>
                  </w:sdt>
                  <w:r>
                    <w:rPr>
                      <w:szCs w:val="24"/>
                      <w:lang w:eastAsia="lt-LT"/>
                    </w:rPr>
                    <w:t>. asmenų, atitinkančių šio nutarimo 2</w:t>
                  </w:r>
                  <w:r>
                    <w:rPr>
                      <w:szCs w:val="24"/>
                      <w:vertAlign w:val="superscript"/>
                      <w:lang w:eastAsia="lt-LT"/>
                    </w:rPr>
                    <w:t>2</w:t>
                  </w:r>
                  <w:r>
                    <w:rPr>
                      <w:szCs w:val="24"/>
                      <w:lang w:eastAsia="lt-LT"/>
                    </w:rPr>
                    <w:t xml:space="preserve"> punkte nurodytus kriterijus, teisė į švelnesnes karantino režimo priemones patvirtinama valstybės lygio ekstremaliosios situacijos operacijų vadovo nustatyta tvarka; </w:t>
                  </w:r>
                </w:p>
              </w:sdtContent>
            </w:sdt>
            <w:sdt>
              <w:sdtPr>
                <w:alias w:val="2-3.2 pp."/>
                <w:tag w:val="part_7f9c7d4a0a044a41835e0aa6e63d57a0"/>
                <w:lock w:val="sdtLocked"/>
                <w:richText/>
              </w:sdtPr>
              <w:sdtContent>
                <w:p>
                  <w:pPr>
                    <w:tabs>
                      <w:tab w:val="left" w:pos="1134"/>
                    </w:tabs>
                    <w:ind w:firstLine="709"/>
                    <w:jc w:val="both"/>
                    <w:rPr>
                      <w:szCs w:val="24"/>
                      <w:lang w:eastAsia="lt-LT"/>
                    </w:rPr>
                  </w:pPr>
                  <w:sdt>
                    <w:sdtPr>
                      <w:alias w:val="Numeris"/>
                      <w:tag w:val="nr_7f9c7d4a0a044a41835e0aa6e63d57a0"/>
                      <w:lock w:val="sdtLocked"/>
                      <w:richText/>
                    </w:sdtPr>
                    <w:sdtContent>
                      <w:r>
                        <w:rPr>
                          <w:szCs w:val="24"/>
                          <w:lang w:eastAsia="lt-LT"/>
                        </w:rPr>
                        <w:t>2</w:t>
                      </w:r>
                      <w:r>
                        <w:rPr>
                          <w:szCs w:val="24"/>
                          <w:vertAlign w:val="superscript"/>
                          <w:lang w:eastAsia="lt-LT"/>
                        </w:rPr>
                        <w:t>3</w:t>
                      </w:r>
                      <w:r>
                        <w:rPr>
                          <w:szCs w:val="24"/>
                          <w:lang w:eastAsia="lt-LT"/>
                        </w:rPr>
                        <w:t>.2</w:t>
                      </w:r>
                    </w:sdtContent>
                  </w:sdt>
                  <w:r>
                    <w:rPr>
                      <w:szCs w:val="24"/>
                      <w:lang w:eastAsia="lt-LT"/>
                    </w:rPr>
                    <w:t>. asmenų teisę į švelnesnes karantino režimo priemones įrodančius dokumentus ir juose esančius asmens duomenis fiziniai ar juridiniai asmenys, teikiantys paslaugas,</w:t>
                  </w:r>
                  <w:r>
                    <w:rPr>
                      <w:i/>
                      <w:iCs/>
                      <w:szCs w:val="24"/>
                      <w:lang w:eastAsia="lt-LT"/>
                    </w:rPr>
                    <w:t xml:space="preserve"> </w:t>
                  </w:r>
                  <w:r>
                    <w:rPr>
                      <w:szCs w:val="24"/>
                      <w:lang w:eastAsia="lt-LT"/>
                    </w:rPr>
                    <w:t>ar kiti fiziniai ir juridiniai asmenys, kurie priima sprendimus dėl švelnesnių karantino priemonių taikymo šio nutarimo 2.2 papunktyje nurodytais atvejais, ir karantino režimo priemonių laikymosi kontrolę atliekantys pareigūnai gali tik peržiūrėti; draudžiama juos rinkti, saugoti ar kitaip tvarkyti. Jei kyla abejonių, karantino režimo priemonių laikymosi kontrolę atliekantys pareigūnai remiasi Elektroninėje sveikatos paslaugų ir bendradarbiavimo infrastruktūros informacinėje sistemoje tvarkomais asmens duomenimis;</w:t>
                  </w:r>
                </w:p>
              </w:sdtContent>
            </w:sdt>
            <w:sdt>
              <w:sdtPr>
                <w:alias w:val="2-3.3 pp."/>
                <w:tag w:val="part_9fe605a26153419e88ca5c9a67734cbc"/>
                <w:lock w:val="sdtLocked"/>
                <w:richText/>
              </w:sdtPr>
              <w:sdtContent>
                <w:p>
                  <w:pPr>
                    <w:tabs>
                      <w:tab w:val="left" w:pos="1134"/>
                    </w:tabs>
                    <w:ind w:firstLine="709"/>
                    <w:jc w:val="both"/>
                  </w:pPr>
                  <w:sdt>
                    <w:sdtPr>
                      <w:alias w:val="Numeris"/>
                      <w:tag w:val="nr_9fe605a26153419e88ca5c9a67734cbc"/>
                      <w:lock w:val="sdtLocked"/>
                      <w:richText/>
                    </w:sdtPr>
                    <w:sdtContent>
                      <w:r>
                        <w:rPr>
                          <w:szCs w:val="24"/>
                          <w:lang w:eastAsia="lt-LT"/>
                        </w:rPr>
                        <w:t>2</w:t>
                      </w:r>
                      <w:r>
                        <w:rPr>
                          <w:szCs w:val="24"/>
                          <w:vertAlign w:val="superscript"/>
                          <w:lang w:eastAsia="lt-LT"/>
                        </w:rPr>
                        <w:t>3</w:t>
                      </w:r>
                      <w:r>
                        <w:rPr>
                          <w:szCs w:val="24"/>
                          <w:lang w:eastAsia="lt-LT"/>
                        </w:rPr>
                        <w:t>.3</w:t>
                      </w:r>
                    </w:sdtContent>
                  </w:sdt>
                  <w:r>
                    <w:rPr>
                      <w:szCs w:val="24"/>
                      <w:lang w:eastAsia="lt-LT"/>
                    </w:rPr>
                    <w:t>. asmenų teisę į švelnesnes karantino režimo priemones įrodančius dokumentus ir juose esančius asmens duomenis šio nutarimo 2</w:t>
                  </w:r>
                  <w:r>
                    <w:rPr>
                      <w:szCs w:val="24"/>
                      <w:vertAlign w:val="superscript"/>
                      <w:lang w:eastAsia="lt-LT"/>
                    </w:rPr>
                    <w:t>3</w:t>
                  </w:r>
                  <w:r>
                    <w:rPr>
                      <w:szCs w:val="24"/>
                      <w:lang w:eastAsia="lt-LT"/>
                    </w:rPr>
                    <w:t>.2 papunktyje nurodyti asmenys peržiūri šiais tikslais: siekiant nustatyti asmens atitiktį šio nutarimo 2</w:t>
                  </w:r>
                  <w:r>
                    <w:rPr>
                      <w:szCs w:val="24"/>
                      <w:vertAlign w:val="superscript"/>
                      <w:lang w:eastAsia="lt-LT"/>
                    </w:rPr>
                    <w:t>2</w:t>
                  </w:r>
                  <w:r>
                    <w:rPr>
                      <w:szCs w:val="24"/>
                      <w:lang w:eastAsia="lt-LT"/>
                    </w:rPr>
                    <w:t xml:space="preserve"> punkte nurodytiems kriterijams, sudarant galimybę asmenims šiame nutarime nurodytais atvejais naudotis teise į švelnesnes karantino režimo priemones ir įgyvendinant COVID-19 ligos (koronaviruso infekcijos) profilaktikos ir kontrolės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bbb70b9f811eb8c24980b2b0e0fef">
                <w:r w:rsidRPr="00532B9F">
                  <w:rPr>
                    <w:rFonts w:ascii="Times New Roman" w:eastAsia="MS Mincho" w:hAnsi="Times New Roman"/>
                    <w:sz w:val="20"/>
                    <w:i/>
                    <w:iCs/>
                    <w:color w:val="0000FF" w:themeColor="hyperlink"/>
                    <w:u w:val="single"/>
                  </w:rPr>
                  <w:t>363</w:t>
                </w:r>
              </w:fldSimple>
              <w:r>
                <w:rPr>
                  <w:rFonts w:ascii="Times New Roman" w:eastAsia="MS Mincho" w:hAnsi="Times New Roman"/>
                  <w:sz w:val="20"/>
                  <w:i/>
                  <w:iCs/>
                </w:rPr>
                <w:t>,
2021-05-19,
paskelbta TAR 2021-05-21, i. k. 2021-11274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3ae7af95fcd4922a07be27628325888"/>
            <w:lock w:val="sdtLocked"/>
            <w:richText/>
          </w:sdtPr>
          <w:sdtContent>
            <w:p>
              <w:pPr>
                <w:tabs>
                  <w:tab w:val="left" w:pos="1134"/>
                </w:tabs>
                <w:ind w:firstLine="720"/>
                <w:jc w:val="both"/>
                <w:rPr>
                  <w:szCs w:val="24"/>
                  <w:lang w:eastAsia="lt-LT"/>
                </w:rPr>
              </w:pPr>
              <w:sdt>
                <w:sdtPr>
                  <w:alias w:val="Numeris"/>
                  <w:tag w:val="nr_63ae7af95fcd4922a07be27628325888"/>
                  <w:lock w:val="sdtLocked"/>
                  <w:richText/>
                </w:sdtPr>
                <w:sdtContent>
                  <w:r>
                    <w:rPr>
                      <w:szCs w:val="24"/>
                      <w:lang w:eastAsia="lt-LT"/>
                    </w:rPr>
                    <w:t>5</w:t>
                  </w:r>
                </w:sdtContent>
              </w:sdt>
              <w:r>
                <w:rPr>
                  <w:szCs w:val="24"/>
                  <w:lang w:eastAsia="lt-LT"/>
                </w:rPr>
                <w:t>. Karantino režimo trukmė – nuo 2020 m. lapkričio 7 d. 00:00 val. iki 2021 m. gegužės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21f4cd2b836745129b62d3fe804ecfd1"/>
                <w:lock w:val="sdtLocked"/>
                <w:richText/>
              </w:sdtPr>
              <w:sdtContent>
                <w:p>
                  <w:pPr>
                    <w:ind w:firstLine="720"/>
                    <w:jc w:val="both"/>
                    <w:rPr>
                      <w:szCs w:val="24"/>
                      <w:lang w:eastAsia="lt-LT"/>
                    </w:rPr>
                  </w:pPr>
                  <w:sdt>
                    <w:sdtPr>
                      <w:alias w:val="Numeris"/>
                      <w:tag w:val="nr_21f4cd2b836745129b62d3fe804ecfd1"/>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ef16c4bb8ce048dd8c22fdf94ba79d17"/>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ef16c4bb8ce048dd8c22fdf94ba79d17"/>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521b09ed411eb9fecb5ecd3bd711c">
            <w:r w:rsidRPr="00532B9F">
              <w:rPr>
                <w:rFonts w:ascii="Times New Roman" w:eastAsia="MS Mincho" w:hAnsi="Times New Roman"/>
                <w:sz w:val="20"/>
                <w:iCs/>
                <w:color w:val="0000FF" w:themeColor="hyperlink"/>
                <w:u w:val="single"/>
              </w:rPr>
              <w:t>229</w:t>
            </w:r>
          </w:fldSimple>
          <w:r>
            <w:rPr>
              <w:rFonts w:ascii="Times New Roman" w:eastAsia="MS Mincho" w:hAnsi="Times New Roman"/>
              <w:sz w:val="20"/>
              <w:iCs/>
            </w:rPr>
            <w:t>,
2021-04-15,
paskelbta TAR 2021-04-16, i. k. 2021-07895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729950a2cd11ebb9bbd96a0c51af2c">
            <w:r w:rsidRPr="00532B9F">
              <w:rPr>
                <w:rFonts w:ascii="Times New Roman" w:eastAsia="MS Mincho" w:hAnsi="Times New Roman"/>
                <w:sz w:val="20"/>
                <w:iCs/>
                <w:color w:val="0000FF" w:themeColor="hyperlink"/>
                <w:u w:val="single"/>
              </w:rPr>
              <w:t>250</w:t>
            </w:r>
          </w:fldSimple>
          <w:r>
            <w:rPr>
              <w:rFonts w:ascii="Times New Roman" w:eastAsia="MS Mincho" w:hAnsi="Times New Roman"/>
              <w:sz w:val="20"/>
              <w:iCs/>
            </w:rPr>
            <w:t>,
2021-04-21,
paskelbta TAR 2021-04-21, i. k. 2021-08257                </w:t>
          </w:r>
        </w:p>
        <w:p>
          <w:pPr>
            <w:jc w:val="both"/>
            <w:rPr>
              <w:rFonts w:ascii="Times New Roman" w:hAnsi="Times New Roman"/>
            </w:rPr>
          </w:pPr>
          <w:r>
            <w:rPr>
              <w:rFonts w:ascii="Times New Roman" w:hAnsi="Times New Roman"/>
              <w:sz w:val="20"/>
            </w:rPr>
            <w:t>Dėl Lietuvos Respublikos Vyriausybės 2021 m. balandžio 15 d. nutarimo Nr. 229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ea45510a34111ebb9bbd96a0c51af2c">
            <w:r w:rsidRPr="00532B9F">
              <w:rPr>
                <w:rFonts w:ascii="Times New Roman" w:eastAsia="MS Mincho" w:hAnsi="Times New Roman"/>
                <w:sz w:val="20"/>
                <w:iCs/>
                <w:color w:val="0000FF" w:themeColor="hyperlink"/>
                <w:u w:val="single"/>
              </w:rPr>
              <w:t>255</w:t>
            </w:r>
          </w:fldSimple>
          <w:r>
            <w:rPr>
              <w:rFonts w:ascii="Times New Roman" w:eastAsia="MS Mincho" w:hAnsi="Times New Roman"/>
              <w:sz w:val="20"/>
              <w:iCs/>
            </w:rPr>
            <w:t>,
2021-04-21,
paskelbta TAR 2021-04-22, i. k. 2021-08258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868c7c0a99e11ebbcbbc2971cdac3cb">
            <w:r w:rsidRPr="00532B9F">
              <w:rPr>
                <w:rFonts w:ascii="Times New Roman" w:eastAsia="MS Mincho" w:hAnsi="Times New Roman"/>
                <w:sz w:val="20"/>
                <w:iCs/>
                <w:color w:val="0000FF" w:themeColor="hyperlink"/>
                <w:u w:val="single"/>
              </w:rPr>
              <w:t>300</w:t>
            </w:r>
          </w:fldSimple>
          <w:r>
            <w:rPr>
              <w:rFonts w:ascii="Times New Roman" w:eastAsia="MS Mincho" w:hAnsi="Times New Roman"/>
              <w:sz w:val="20"/>
              <w:iCs/>
            </w:rPr>
            <w:t>,
2021-04-28,
paskelbta TAR 2021-04-30, i. k. 2021-09293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c36ecb0ae8d11eba871a26c1fc3fbc1">
            <w:r w:rsidRPr="00532B9F">
              <w:rPr>
                <w:rFonts w:ascii="Times New Roman" w:eastAsia="MS Mincho" w:hAnsi="Times New Roman"/>
                <w:sz w:val="20"/>
                <w:iCs/>
                <w:color w:val="0000FF" w:themeColor="hyperlink"/>
                <w:u w:val="single"/>
              </w:rPr>
              <w:t>306</w:t>
            </w:r>
          </w:fldSimple>
          <w:r>
            <w:rPr>
              <w:rFonts w:ascii="Times New Roman" w:eastAsia="MS Mincho" w:hAnsi="Times New Roman"/>
              <w:sz w:val="20"/>
              <w:iCs/>
            </w:rPr>
            <w:t>,
2021-05-05,
paskelbta TAR 2021-05-06, i. k. 2021-10090                </w:t>
          </w:r>
        </w:p>
        <w:p>
          <w:pPr>
            <w:jc w:val="both"/>
            <w:rPr>
              <w:rFonts w:ascii="Times New Roman" w:hAnsi="Times New Roman"/>
            </w:rPr>
          </w:pPr>
          <w:r>
            <w:rPr>
              <w:rFonts w:ascii="Times New Roman" w:hAnsi="Times New Roman"/>
              <w:sz w:val="20"/>
            </w:rPr>
            <w:t>Dėl Lietuvos Respublikos Vyriausybės 2021 m. balandžio 28 d. nutarimo Nr. 300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a454d0b14e11eba871a26c1fc3fbc1">
            <w:r w:rsidRPr="00532B9F">
              <w:rPr>
                <w:rFonts w:ascii="Times New Roman" w:eastAsia="MS Mincho" w:hAnsi="Times New Roman"/>
                <w:sz w:val="20"/>
                <w:iCs/>
                <w:color w:val="0000FF" w:themeColor="hyperlink"/>
                <w:u w:val="single"/>
              </w:rPr>
              <w:t>307</w:t>
            </w:r>
          </w:fldSimple>
          <w:r>
            <w:rPr>
              <w:rFonts w:ascii="Times New Roman" w:eastAsia="MS Mincho" w:hAnsi="Times New Roman"/>
              <w:sz w:val="20"/>
              <w:iCs/>
            </w:rPr>
            <w:t>,
2021-05-05,
paskelbta TAR 2021-05-10, i. k. 2021-10233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6ed0ac0b3df11eb8371ea260d59d64b">
            <w:r w:rsidRPr="00532B9F">
              <w:rPr>
                <w:rFonts w:ascii="Times New Roman" w:eastAsia="MS Mincho" w:hAnsi="Times New Roman"/>
                <w:sz w:val="20"/>
                <w:iCs/>
                <w:color w:val="0000FF" w:themeColor="hyperlink"/>
                <w:u w:val="single"/>
              </w:rPr>
              <w:t>330</w:t>
            </w:r>
          </w:fldSimple>
          <w:r>
            <w:rPr>
              <w:rFonts w:ascii="Times New Roman" w:eastAsia="MS Mincho" w:hAnsi="Times New Roman"/>
              <w:sz w:val="20"/>
              <w:iCs/>
            </w:rPr>
            <w:t>,
2021-05-12,
paskelbta TAR 2021-05-13, i. k. 2021-10707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7f8c050b9f711eb8c24980b2b0e0fef">
            <w:r w:rsidRPr="00532B9F">
              <w:rPr>
                <w:rFonts w:ascii="Times New Roman" w:eastAsia="MS Mincho" w:hAnsi="Times New Roman"/>
                <w:sz w:val="20"/>
                <w:iCs/>
                <w:color w:val="0000FF" w:themeColor="hyperlink"/>
                <w:u w:val="single"/>
              </w:rPr>
              <w:t>362</w:t>
            </w:r>
          </w:fldSimple>
          <w:r>
            <w:rPr>
              <w:rFonts w:ascii="Times New Roman" w:eastAsia="MS Mincho" w:hAnsi="Times New Roman"/>
              <w:sz w:val="20"/>
              <w:iCs/>
            </w:rPr>
            <w:t>,
2021-05-19,
paskelbta TAR 2021-05-21, i. k. 2021-11273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e7bbb70b9f811eb8c24980b2b0e0fef">
            <w:r w:rsidRPr="00532B9F">
              <w:rPr>
                <w:rFonts w:ascii="Times New Roman" w:eastAsia="MS Mincho" w:hAnsi="Times New Roman"/>
                <w:sz w:val="20"/>
                <w:iCs/>
                <w:color w:val="0000FF" w:themeColor="hyperlink"/>
                <w:u w:val="single"/>
              </w:rPr>
              <w:t>363</w:t>
            </w:r>
          </w:fldSimple>
          <w:r>
            <w:rPr>
              <w:rFonts w:ascii="Times New Roman" w:eastAsia="MS Mincho" w:hAnsi="Times New Roman"/>
              <w:sz w:val="20"/>
              <w:iCs/>
            </w:rPr>
            <w:t>,
2021-05-19,
paskelbta TAR 2021-05-21, i. k. 2021-11274                </w:t>
          </w:r>
        </w:p>
        <w:p>
          <w:pPr>
            <w:jc w:val="both"/>
            <w:rPr>
              <w:rFonts w:ascii="Times New Roman" w:hAnsi="Times New Roman"/>
            </w:rPr>
          </w:pPr>
          <w:r>
            <w:rPr>
              <w:rFonts w:ascii="Times New Roman" w:hAnsi="Times New Roman"/>
              <w:sz w:val="20"/>
            </w:rPr>
            <w:t>Dėl Lietuvos Respublikos Vyriausybės 2021 m. gegužės 5 d. nutarimo Nr. 307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d23fe40b9f811eb8c24980b2b0e0fef">
            <w:r w:rsidRPr="00532B9F">
              <w:rPr>
                <w:rFonts w:ascii="Times New Roman" w:eastAsia="MS Mincho" w:hAnsi="Times New Roman"/>
                <w:sz w:val="20"/>
                <w:iCs/>
                <w:color w:val="0000FF" w:themeColor="hyperlink"/>
                <w:u w:val="single"/>
              </w:rPr>
              <w:t>364</w:t>
            </w:r>
          </w:fldSimple>
          <w:r>
            <w:rPr>
              <w:rFonts w:ascii="Times New Roman" w:eastAsia="MS Mincho" w:hAnsi="Times New Roman"/>
              <w:sz w:val="20"/>
              <w:iCs/>
            </w:rPr>
            <w:t>,
2021-05-19,
paskelbta TAR 2021-05-21, i. k. 2021-11276                </w:t>
          </w:r>
        </w:p>
        <w:p>
          <w:pPr>
            <w:jc w:val="both"/>
            <w:rPr>
              <w:rFonts w:ascii="Times New Roman" w:hAnsi="Times New Roman"/>
            </w:rPr>
          </w:pPr>
          <w:r>
            <w:rPr>
              <w:rFonts w:ascii="Times New Roman" w:hAnsi="Times New Roman"/>
              <w:sz w:val="20"/>
            </w:rPr>
            <w:t>Dėl Lietuvos Respublikos Vyriausybės 2021 m. gegužės 12 d. nutarimo Nr. 330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14e1310be2f11eb8c24980b2b0e0fef">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2021-05-26,
paskelbta TAR 2021-05-26, i. k. 2021-11559                </w:t>
          </w:r>
        </w:p>
        <w:p>
          <w:pPr>
            <w:jc w:val="both"/>
            <w:rPr>
              <w:rFonts w:ascii="Times New Roman" w:hAnsi="Times New Roman"/>
            </w:rPr>
          </w:pPr>
          <w:r>
            <w:rPr>
              <w:rFonts w:ascii="Times New Roman" w:hAnsi="Times New Roman"/>
              <w:sz w:val="20"/>
            </w:rPr>
            <w:t>Dėl Lietuvos Respublikos Vyriausybės 2021 m. gegužės 19 d. nutarimo Nr. 362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200" w:line="276" w:lineRule="auto"/>
      <w:rPr>
        <w:lang w:eastAsia="lt-LT"/>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17</w:t>
    </w:r>
    <w:r>
      <w:rPr>
        <w:lang w:eastAsia="lt-LT"/>
      </w:rPr>
      <w:fldChar w:fldCharType="end"/>
    </w:r>
  </w:p>
  <w:p>
    <w:pPr>
      <w:tabs>
        <w:tab w:val="center" w:pos="4153"/>
        <w:tab w:val="right" w:pos="8306"/>
      </w:tabs>
      <w:spacing w:after="200" w:line="276" w:lineRule="auto"/>
      <w:rPr>
        <w:lang w:eastAsia="lt-LT"/>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200" w:line="276" w:lineRule="auto"/>
      <w:rPr>
        <w:lang w:eastAsia="lt-LT"/>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7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721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5.xml"/>
  <Relationship Id="rId11" Type="http://schemas.openxmlformats.org/officeDocument/2006/relationships/header" Target="header116.xml"/>
  <Relationship Id="rId12" Type="http://schemas.openxmlformats.org/officeDocument/2006/relationships/footer" Target="footer115.xml"/>
  <Relationship Id="rId13" Type="http://schemas.openxmlformats.org/officeDocument/2006/relationships/footer" Target="footer116.xml"/>
  <Relationship Id="rId14" Type="http://schemas.openxmlformats.org/officeDocument/2006/relationships/header" Target="header117.xml"/>
  <Relationship Id="rId15" Type="http://schemas.openxmlformats.org/officeDocument/2006/relationships/footer" Target="footer117.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67b37dbd7be94573b1a94ef15c28b780">
            <Part Type="papunktis" Nr="2.1.1.1.1" Abbr="2.1.1.1.1 pp." DocPartId="25b78cdf9125446aa8acac7372c9e64a" PartId="2ed6e9773699485e85991233e859bc82"/>
            <Part Type="papunktis" Nr="2.1.1.1.2" Abbr="2.1.1.1.2 pp." DocPartId="d5fac0d95faa48118b4c0a546dd01c2a" PartId="ddbaf681e5b941ac80a4957524ab4248"/>
            <Part Type="papunktis" Nr="2.1.1.1.3" Abbr="2.1.1.1.3 pp." DocPartId="cdf950c2ee5341f1a597d81b3e9da22a" PartId="f86c9007b10b49869f1c98497414ad8c"/>
            <Part Type="papunktis" Nr="2.1.1.1.4" Abbr="2.1.1.1.4 pp." DocPartId="789e8276caa940579e25a9a56da0a9dd" PartId="8a528507540f49309423f25f1872d0b8"/>
            <Part Type="papunktis" Nr="2.1.1.1.5" Abbr="2.1.1.1.5 pp." DocPartId="b3aa82c6c2084553882b54ababda0111" PartId="c8e8e94e2524401994a8e598597bdae3"/>
            <Part Type="papunktis" Nr="2.1.1.1.6" Abbr="2.1.1.1.6 pp." DocPartId="b0762751751a4921bfff0ac8f754e0e8" PartId="f906968f389d4958b5c57403a7a8f209"/>
            <Part Type="papunktis" Nr="2.1.1.1.7" Abbr="2.1.1.1.7 pp." DocPartId="03b8f7120fb54536bbdfb1a126a9eb56" PartId="d97450ebe8964777b4d2400c5972a7c4"/>
            <Part Type="papunktis" Nr="2.1.1.1.8" Abbr="2.1.1.1.8 pp." DocPartId="59d7247780c8421f81535928bc44fa3d" PartId="cbb415b617a344a2971169dd86b8b28d"/>
            <Part Type="papunktis" Nr="2.1.1.1.9" Abbr="2.1.1.1.9 pp." DocPartId="417b3f5fe006478db5238be2812da05a" PartId="b7746d74eec744f7baf018cf38d61b06"/>
            <Part Type="papunktis" Nr="2.1.1.1.10" Abbr="2.1.1.1.10 pp." DocPartId="5b22700d148b4df3b0b5b38d904b05eb" PartId="434c5e5e0a154117ba7e94aef6c8595c"/>
            <Part Type="papunktis" Nr="2.1.1.1.11" Abbr="2.1.1.1.11 pp." DocPartId="2535a1ba677a4f879152f4981e5bf22d" PartId="dff917465f864216aafa570c9e418b63"/>
            <Part Type="papunktis" Nr="2.1.1.1.12" Abbr="2.1.1.1.12 pp." DocPartId="beeb7091298141d28d419771a2b495c1" PartId="6eea73bafbc4454780856341112ea77e"/>
          </Part>
          <Part Type="papunktis" Nr="2.1.1.2" Abbr="2.1.1.2 pp." DocPartId="cbda1dbde8f243e68c92d3c05c38cc7d" PartId="d9f91d6dfbfd4f169ee0367749eeddb9">
            <Part Type="papunktis" Nr="2.1.1.2.1" Abbr="2.1.1.2.1 pp." DocPartId="5ea677b9c9664b41a1d9ce8cf6d433a0" PartId="7a62152d47a54b28a6cd390252287e62">
              <Part Type="papunktis" Nr="2.1.1.2.1.1" Abbr="2.1.1.2.1.1 pp." DocPartId="981ce312948d400d872776ae4bc60a44" PartId="02ff808f59884bf596a1c92a5d463a53"/>
              <Part Type="papunktis" Nr="2.1.1.2.1.2" Abbr="2.1.1.2.1.2 pp." DocPartId="817ec5d6d02d42418e0b5659acad2675" PartId="f7a25b548a044f04836f8059d576bdd3"/>
              <Part Type="papunktis" Nr="2.1.1.2.1.3" Abbr="2.1.1.2.1.3 pp." DocPartId="d1673ee79c654f50bbd32baf36a24718" PartId="1808d3adf594489c86886706539de0b2"/>
              <Part Type="papunktis" Nr="2.1.1.2.1.4" Abbr="2.1.1.2.1.4 pp." DocPartId="b9e3461ae5754e44b6ec4f3cc5c2ce7b" PartId="f047a537481b442bbb29665411ad595e"/>
              <Part Type="papunktis" Nr="2.1.1.2.1.5" Abbr="2.1.1.2.1.5 pp." DocPartId="5f47ad7b793844ee8438e82cdb315d5b" PartId="18a6ba2ec447473a9396930740cd312b"/>
              <Part Type="papunktis" Nr="2.1.1.2.1.6" Abbr="2.1.1.2.1.6 pp." DocPartId="37dc5210c60c403c94c6f844ab0d1ee5" PartId="79b75accbf6e43439d65ec49b7a319bd"/>
              <Part Type="papunktis" Nr="2.1.1.2.1.7" Abbr="2.1.1.2.1.7 pp." DocPartId="cf5134bebf5546a19e1232a6b0642cb1" PartId="a275189e87b44d15acdb087593d888a9"/>
              <Part Type="papunktis" Nr="2.1.1.2.1.8" Abbr="2.1.1.2.1.8 pp." DocPartId="5d8abb575654423aa48c39ec937f76ce" PartId="f8284396baa94d7baf1c9cf84df31e51"/>
              <Part Type="papunktis" Nr="2.1.1.2.1.9" Abbr="2.1.1.2.1.9 pp." DocPartId="d241b1879ed84716880d7565cb023299" PartId="2cec5a7154f54dc8acccbfb2b875cd0f"/>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Type="papunktis" Nr="2.1.2.13.4" Abbr="2.1.2.13.4 pp." DocPartId="9d509438fd8f4ff98a3a8e06ae8f2d43" PartId="93a1c0ad6ca5474aaa63f73ed7d7e31a"/>
          </Part>
          <Part Type="papunktis" Nr="2.1.2.14" Abbr="2.1.2.14 pp." DocPartId="7cc2d389f6a447e7af8e959bdf62b586" PartId="f6d0091931cf48a5bc732252ead72b09"/>
          <Part Type="papunktis" Nr="2.1.2.14-1" Abbr="2.1.2.14-1 pp." DocPartId="5774ffe5ee904f40bb946ffc3ddb52cc" PartId="a92958724d51411b93d7281f608f183c"/>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Type="papunktis" Nr="2.1.2.19" Abbr="2.1.2.19 pp." DocPartId="311e28f4e9d7442798c7ff7c3fd53a2d" PartId="4b1789a438824cb3bf3e7ce79d28af94"/>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74b714b99dc24ed3b532f0e693356917"/>
          <Part Type="papunktis" Nr="2.1.3-1.2" Abbr="2.1.3-1.2 pp." DocPartId="f121d171cfd54e37a03599d3449ea24d" PartId="d989a8f7152c45d2b883e72cfffbd650"/>
          <Part Type="papunktis" Nr="2.1.3-1.3" Abbr="2.1.3-1.3 pp." DocPartId="99318108e9074342beca4fd5a29696d2" PartId="86b52ed58369408a80459229d116358d"/>
          <Part Type="papunktis" Nr="2.1.3-1.4" Abbr="2.1.3-1.4 pp." DocPartId="81e2c06cfa9c43d19e8da5947e9bfbe4" PartId="befa0bfd71f74e979b5c45753af644f3"/>
          <Part Type="papunktis" Nr="2.1.3-1.5" Abbr="2.1.3-1.5 pp." DocPartId="9a57f4e7a7de4c7cbc8f3e02ce6a3eeb" PartId="d0bc7cd26e444b98b6957edc7caa8899"/>
          <Part Type="papunktis" Nr="2.1.3-1.6" Abbr="2.1.3-1.6 pp." DocPartId="4907315b87464b00ace73543ce82fd99" PartId="39bc70dd745645089f9066b21e6369f6"/>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f94310716b764158a975c145f5b8c0da"/>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Type="papunktis" Nr="2.1.5.2.7" Abbr="2.1.5.2.7 pp." DocPartId="bf78b68c8afb45efbe008b7a5a4f643a" PartId="e9728bf8c76940eeafae1f2569000243"/>
          </Part>
        </Part>
        <Part Type="papunktis" Nr="2.1.6" Abbr="2.1.6 pp." DocPartId="1137bba8fcaf4fabb9ea53990288e6f0" PartId="09938d8dcc5e45b289b590e14ecada62"/>
        <Part Type="papunktis" Nr="2.1.7" Abbr="2.1.7 pp." DocPartId="88d3e06345f64af696d0123200569198" PartId="1c4324136385484db6d5a6083918b2a2"/>
        <Part Type="papunktis" Nr="2.1.8" Abbr="2.1.8 pp." DocPartId="03ed9f9233b1464e9c619f99ef7da538" PartId="40b89ac91da84c8488ecb99bf7e66a5f">
          <Part Type="papunktis" Nr="2.1.8.1" Abbr="2.1.8.1 pp." DocPartId="c4c5e18545fa4032af686e044f0f6276" PartId="27dd7416c3114b2ab87bb2a684973e4f"/>
          <Part Type="papunktis" Nr="2.1.8.2" Abbr="2.1.8.2 pp." DocPartId="c8774f4654cb4eec94778754d8308ab7" PartId="3113f1b8bef14a6a8629d74f7902aadc"/>
          <Part Type="papunktis" Nr="2.1.8.3" Abbr="2.1.8.3 pp." DocPartId="0142b1860ba84811b11ee0322aba2ff7" PartId="919e965108b3464eb81a12c3043f4895"/>
        </Part>
      </Part>
      <Part Type="papunktis" Nr="2.2" Abbr="2.2 pp." DocPartId="079c5a0a04e34f4bb0c39342b9a21eef" PartId="a6106cda2f5d45afb968702221353dcd">
        <Part Type="papunktis" Nr="2.2.1" Abbr="2.2.1 pp." DocPartId="c25ce7dab620424589bb6d6353908918" PartId="54a97a1b6990414d8f11a500f9f338f3"/>
        <Part Type="papunktis" Nr="2.2.2" Abbr="2.2.2 pp." DocPartId="7274c9587bc141f9bc6a39e6fcb9bb3c" PartId="499faa2c5f1d46f79f557436edb2a3dc">
          <Part Type="papunktis" Nr="2.2.2.1" Abbr="2.2.2.1 pp." DocPartId="fa0e9a7a64cd4170babe3acb0377699e" PartId="06f320b2188d421d95ec0bd5de8ad272"/>
          <Part Type="papunktis" Nr="2.2.2.2" Abbr="2.2.2.2 pp." DocPartId="41985fc056134d99a6ba64df17d63396" PartId="5346f9f9dab04e8bb88b041dc7a404cc"/>
          <Part Type="papunktis" Nr="2.2.2.3" Abbr="2.2.2.3 pp." DocPartId="b720e019785f447b9d034c7ef674dccc" PartId="8de02e4eaee94b118004038b98af4e52"/>
          <Part Type="papunktis" Nr="2.2.2.4" Abbr="2.2.2.4 pp." DocPartId="6fee790670b44158a1b71a8d6f5ce4d0" PartId="f19adfa730894f9ab41664ffe59f4b7d"/>
        </Part>
        <Part Type="papunktis" Nr="2.2.2-1" Abbr="2.2.2-1 pp." DocPartId="47e35d3d85f7486aa5428c0b13523d40" PartId="a65ec6a8370e4613a39f1879413b801a"/>
        <Part Type="papunktis" Nr="2.2.2-2" Abbr="2.2.2-2 pp." DocPartId="b38fa12dde3c47d9b907d7f4b8bb7ccd" PartId="d93925fa57db453faf15cfedd1bdcb0b"/>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e58ac7c8bc0d453db224c93bcff000af"/>
        <Part Type="papunktis" Nr="2.2.3-2" Abbr="2.2.3-2 pp." DocPartId="45cd7f47c12246c3b097d40c051a1aa6" PartId="b5c892c74f5e46adb1422317b63c6a6d"/>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9834c05aedb8487f8967e05434d6794a"/>
          <Part Type="papunktis" Nr="2.2.4.5" Abbr="2.2.4.5 pp." DocPartId="e5c1e008dfa64276b3fcbdefc433bbcf" PartId="a240c29c3ddd45a6a6b47e1cdd322995"/>
        </Part>
        <Part Type="papunktis" Nr="2.2.5" Abbr="2.2.5 pp." DocPartId="69da48298fee4300a3e693210e90fcd2" PartId="abeacd8a842043c3853d33000c89a39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bad476672d7f48e896c6725b721b3bff">
            <Part Type="papunktis" Nr="2.2.6.3.1" Abbr="2.2.6.3.1 pp." DocPartId="3faa3925cf054a53a6d1334be3de4151" PartId="8b415159bcd54da78fdff90155d0e85f"/>
            <Part Type="papunktis" Nr="2.2.6.3.2" Abbr="2.2.6.3.2 pp." DocPartId="935567190d5740d28ff3d97c9f00b62f" PartId="aef74af844f34ca9a34576eb03d74a5d"/>
          </Part>
          <Part Type="papunktis" Nr="2.2.6.4" Abbr="2.2.6.4 pp." DocPartId="a94f5eec04b24d1598c405e176f4d11a" PartId="dba23fd2c1e048ce99b9d950f1abf6da"/>
          <Part Type="papunktis" Nr="2.2.6.5" Abbr="2.2.6.5 pp." DocPartId="badfc96c4d1c4457b60da48770440845" PartId="6c5f28115c7c46cdba849ea931dadbe1"/>
          <Part Type="papunktis" Nr="2.2.6.6" Abbr="2.2.6.6 pp." DocPartId="ff2bc85031cc4913b60037a4e7a0a59c" PartId="bacd5d340efc409eaf92cd79b06520f6"/>
          <Part Type="papunktis" Nr="2.2.6.7" Abbr="2.2.6.7 pp." DocPartId="67e2dbc8a2424bf6b605e55541a18ee0" PartId="a8b43e221d8d42c4ba9b62c498cf0bc5"/>
          <Part Type="papunktis" Nr="2.2.6.8" Abbr="2.2.6.8 pp." DocPartId="68edb1fd242e4dbca62f757e8a52e8d0" PartId="f4e7c8750b7b403b91318a2b294c1ebb"/>
          <Part Type="papunktis" Nr="2.2.6.9" Abbr="2.2.6.9 pp." DocPartId="931a4fae025f4329b4aa5b39416234fb" PartId="c04951e671ef4050a643fa66a202f483"/>
          <Part Type="papunktis" Nr="2.2.6.10" Abbr="2.2.6.10 pp." DocPartId="aac95feee5784d15b39a6d7e02bf1eeb" PartId="107157957b5248beb82bae1d85e0ea80"/>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4d9cc5d500e24125ace6384d3bb0168e"/>
          <Part Type="papunktis" Nr="2.2.6-1.3" Abbr="2.2.6-1.3 pp." DocPartId="6f81406b9ee0463689265a2a639c057b" PartId="aba24ef2333e44bfb877278c1d6b5729"/>
          <Part Type="papunktis" Nr="2.2.6-1.4" Abbr="2.2.6-1.4 pp." DocPartId="fb829f0346294c4ba3199d467af13988" PartId="4451ec9abf83478e92456411b1048700"/>
          <Part Type="papunktis" Nr="2.2.6-1.5" Abbr="2.2.6-1.5 pp." DocPartId="9d9bd8719461413d893e83ff3d3f77ec" PartId="fdd28dedd77746a3b54aca85f6632745"/>
          <Part Type="papunktis" Nr="2.2.6-1.6" Abbr="2.2.6-1.6 pp." DocPartId="7cf5f25f278244b88725165f6f5e81a9" PartId="c67fbb3c73f74f1a828bea5832ad664a"/>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e3780497c76e4d44b35b9f28b2f70b31"/>
          <Part Type="papunktis" Nr="2.2.7.4" Abbr="2.2.7.4 pp." DocPartId="c22bf6a2be504bca85598b9db643f4e0" PartId="c7a94577923e4ad29a3317e5e7e956c1"/>
          <Part Type="papunktis" Nr="2.2.7.5" Abbr="2.2.7.5 pp." DocPartId="9e7f2aa74a5e4d72b3ff87d3c18eb673" PartId="fb020414c5a14cdab5f01f5043e70ad5"/>
          <Part Type="papunktis" Nr="2.2.7.6" Abbr="2.2.7.6 pp." DocPartId="5e85215dee5e486d87792bc367e63634" PartId="f3b838be625d4edb80032346db24ba71"/>
          <Part Type="papunktis" Nr="2.2.7.7" Abbr="2.2.7.7 pp." DocPartId="5d0577d32cbb4ea09b8c82afc07db998" PartId="6e6d5fd6f15b4f308202e5e03a4ea26c"/>
        </Part>
        <Part Type="papunktis" Nr="2.2.8" Abbr="2.2.8 pp." DocPartId="f481c805788d4a749fc19bf4e9c2add1" PartId="de6eb196fe524a43881dd0dd3b727e26">
          <Part Type="papunktis" Nr="2.2.8.1" Abbr="2.2.8.1 pp." DocPartId="e09cdfd7834e417ab81b1e7bcf310f8e" PartId="fc2ba90fa4014f929bd9535a1934c407"/>
          <Part Type="papunktis" Nr="2.2.8.2" Abbr="2.2.8.2 pp." DocPartId="b56ed19e3cb54d5faeeaaf5c91f0e739" PartId="252c34fd9bff471fb70710747bcb83ff"/>
          <Part Type="papunktis" Nr="2.2.8.3" Abbr="2.2.8.3 pp." DocPartId="41a8e784aff94791852426fadeae358a" PartId="7d231989b2e4468fa9ad5d6543c8cf73"/>
          <Part Type="papunktis" Nr="2.2.8.4" Abbr="2.2.8.4 pp." DocPartId="3fc11570569547d4842197325fd0c4bc" PartId="3b0aa3afb3e04b7ea29bf9a7639e960c"/>
          <Part Type="papunktis" Nr="2.2.8.5" Abbr="2.2.8.5 pp." DocPartId="143256f791a642ec8eb7a54b3bbfa774" PartId="250dc021a88148e78ee50ca3f5d1533b"/>
          <Part Type="papunktis" Nr="2.2.8.6" Abbr="2.2.8.6 pp." DocPartId="99ca4425023f461f98e660f9bf0489d6" PartId="c95f9b46597845589164193f5df7217b"/>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13a3ce3c86414db19235afe2f49b60cc"/>
          <Part Type="papunktis" Nr="2.2.9.2-1" Abbr="2.2.9.2-1 pp." DocPartId="fa2ec9dd8ed74ee69a876d344670664a" PartId="5cf4edb6eb8b46e3b2e60eddf488cfcf"/>
          <Part Type="papunktis" Nr="2.2.9.2-2" Abbr="2.2.9.2-2 pp." DocPartId="63b3190add554ad4b19caa8e5440d9f5" PartId="78d906b8f3ba476e89412363b1c8b3c3"/>
          <Part Type="papunktis" Nr="2.2.9.2-3" Abbr="2.2.9.2-3 pp." DocPartId="34ea20fcda0a418bb557130b9bad2b2e" PartId="d465d39e96c546509bbd215caf2f761b"/>
          <Part Type="papunktis" Nr="2.2.9.2-4" Abbr="2.2.9.2-4 pp." DocPartId="5d85737880974e739e278eaee8f9329d" PartId="04875454e5814fa9ab9ef55f55c50a3d"/>
          <Part Type="papunktis" Nr="2.2.9.2-5" Abbr="2.2.9.2-5 pp." DocPartId="666cb85214a84fd8a0c2b1084b84504f" PartId="3f87f74a67484c639c3f178b5ca7b176"/>
          <Part Type="papunktis" Nr="2.2.9.2-6" Abbr="2.2.9.2-6 pp." DocPartId="34ab284ccf97469b944fedb8a2cb7eb1" PartId="feb6368cdd0647e9afc752a0b92ca655"/>
          <Part Type="papunktis" Nr="2.2.9.3" Abbr="2.2.9.3 pp." DocPartId="67e918b206064a3b995a2c5c212d137b" PartId="8930a46a98d4458bb7f6b49c75c19764">
            <Part Type="papunktis" Nr="2.2.9.3.1" Abbr="2.2.9.3.1 pp." DocPartId="043a08c369094c61b639b77d8e6ee4e2" PartId="b472b52791af4f17b22c8211ba5fc248"/>
            <Part Type="papunktis" Nr="2.2.9.3.2" Abbr="2.2.9.3.2 pp." DocPartId="f3d7e2635c434765b2769d50d59fb4e3" PartId="cf84a3ff3bce4c70bac0e7ed8e1a2433"/>
            <Part Type="papunktis" Nr="2.2.9.3.3" Abbr="2.2.9.3.3 pp." DocPartId="8a293c81dc9047bfa47ae2d74a42b6fb" PartId="7ea5c57a89e84164b222449ff18df365"/>
            <Part Type="papunktis" Nr="2.2.9.3.4" Abbr="2.2.9.3.4 pp." DocPartId="c62191827bae42659ef683459b17eec2" PartId="6712c84b3f3a40cbb37b23e1fe394eb2"/>
            <Part Type="papunktis" Nr="2.2.9.3.5" Abbr="2.2.9.3.5 pp." DocPartId="7f5a9794980a4c43ae39ef7b79f34813" PartId="ca0c47d7fbe049e281eeb1b1975a31ff"/>
          </Part>
          <Part Type="papunktis" Nr="2.2.9.4" Abbr="2.2.9.4 pp." DocPartId="e60ad632291442fe93773586043fcccf" PartId="33c957454792488ab8ee10b61586d8b5">
            <Part Type="papunktis" Nr="2.2.9.4.1" Abbr="2.2.9.4.1 pp." DocPartId="900b5cd78f0141a5be25da5ed8168f6a" PartId="0ce0034940494b7497983129e482ad96"/>
            <Part Type="papunktis" Nr="2.2.9.4.2" Abbr="2.2.9.4.2 pp." DocPartId="b0e0e7509d59447382a7a560462c380f" PartId="b12baa79a6034baebc1aa8ca03f95e98"/>
            <Part Type="papunktis" Nr="2.2.9.4.3" Abbr="2.2.9.4.3 pp." DocPartId="27b7d8ff83b347e382057ffc7b2ba1d6" PartId="76b69fc5ec4c439bb3ac66f36e159b92"/>
            <Part Type="papunktis" Nr="2.2.9.4.4" Abbr="2.2.9.4.4 pp." DocPartId="59a6ca2b8f4b425195275ea41761f189" PartId="f3f81a5d2b8f4e6980040cb389388185"/>
            <Part Type="papunktis" Nr="2.2.9.4.5" Abbr="2.2.9.4.5 pp." DocPartId="e57d300929b6440d96318f3dd9085237" PartId="f98847dbec3044bc9b7d7e23bf1821e3"/>
          </Part>
          <Part Type="papunktis" Nr="2.2.9.5" Abbr="2.2.9.5 pp." DocPartId="2b245849ef5f4a7a8c6571c220a150b5" PartId="c0fa2662d3884b5994918da04b33cf93"/>
          <Part Type="papunktis" Nr="2.2.9.6" Abbr="2.2.9.6 pp." DocPartId="e51890dd5e00457398ef7f4267fbdeb7" PartId="75b4d842c8ca49859a620abfb637c4a2"/>
          <Part Type="papunktis" Nr="2.2.9.7" Abbr="2.2.9.7 pp." DocPartId="c901eb6cb82f4e3e83486975cf170c2d" PartId="aa2e8f270d4645de82336c31033e2f1d"/>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320046081b304fecbc3228d955ce2b93"/>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d4a832532bd54413a3d4c1cc55f149be"/>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fe3e7db348c4aa78f4c8fc74240ed49"/>
          </Part>
        </Part>
        <Part Type="papunktis" Nr="2.2.12" Abbr="2.2.12 pp." DocPartId="d213453eac6847eb91bbd922bec6a90e" PartId="8d99314a5b1e4731a71df32de4401acf"/>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66bf4fd114b343a180d5f33d5594d009"/>
      </Part>
    </Part>
    <Part Type="punktas" Nr="2-1" Abbr="2-1 p." DocPartId="27ff5028d93c4a39bff3eda09ff5f63e" PartId="51cfbfd3ae0e4a7fbe35c90ea2b55462"/>
    <Part Type="punktas" Nr="2-2" Abbr="2-2 p." DocPartId="7a576472b3834a53b19b35d9526a9128" PartId="9501502a020b416881c14ff926b06a7e">
      <Part Type="papunktis" Nr="2-2.1" Abbr="2-2.1 pp." DocPartId="1c8ebee6607c40f385808521055e8a2b" PartId="a03b0f22ff5840df99134d11e1134433">
        <Part Type="papunktis" Nr="2-2.1.1" Abbr="2-2.1.1 pp." DocPartId="4d8792335ec14746bc84fae98e1cb743" PartId="1fa8883b3e594fb0ac0f12ff49625312"/>
        <Part Type="papunktis" Nr="2-2.1.2" Abbr="2-2.1.2 pp." DocPartId="d6909fb02e404c96a68147e1a7e8fe83" PartId="01f857cd8ab540039373cfb5f99494e3"/>
        <Part Type="papunktis" Nr="2-2.1.3" Abbr="2-2.1.3 pp." DocPartId="0ce38cf87c704595ace1ff2b69a400df" PartId="2a5aaec61a1840548d4fb03627cd5b5f"/>
        <Part Type="papunktis" Nr="2-2.1.4" Abbr="2-2.1.4 pp." DocPartId="552019d805b74253932d48e4a71a6110" PartId="a7cba9e0f74a4ec0a97b72471ba9413c"/>
      </Part>
      <Part Type="papunktis" Nr="2-2.2" Abbr="2-2.2 pp." DocPartId="e7f5107e44b148eab874129eb55ba3c3" PartId="4d5c64d68cf4446f883d34b5a3c1f96d"/>
      <Part Type="papunktis" Nr="2-2.3" Abbr="2-2.3 pp." DocPartId="ba08688716fd4dbea41d83af8a22b5b0" PartId="584712df7fc0432cbe14ed2711c85432"/>
      <Part Type="papunktis" Nr="2-2.4" Abbr="2-2.4 pp." DocPartId="7b436440146148f1a22544a31b3767a1" PartId="2ef0e151afd841ebb258543f184ac13b"/>
    </Part>
    <Part Type="punktas" Nr="2-3" Abbr="2-3 p." DocPartId="f00c3cabaea4438b9c24306e6a2f913a" PartId="6de8a0b13bd24936b644915a3b7386c5">
      <Part Type="papunktis" Nr="2-3.1" Abbr="2-3.1 pp." DocPartId="9d1a5bc1aed341e9b1f8cc59bec03184" PartId="ac84467ef6024f74b60319217bfda18e"/>
      <Part Type="papunktis" Nr="2-3.2" Abbr="2-3.2 pp." DocPartId="524deda355cb45b48bdbc847010c52da" PartId="7f9c7d4a0a044a41835e0aa6e63d57a0"/>
      <Part Type="papunktis" Nr="2-3.3" Abbr="2-3.3 pp." DocPartId="edb53a0a41354f81b30d55116d744d8f" PartId="9fe605a26153419e88ca5c9a67734cbc"/>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3ae7af95fcd4922a07be27628325888"/>
    <Part Type="punktas" Nr="6" Abbr="6 p." DocPartId="3fe1cf72014b43489b56130c3a954fbd" PartId="117a40fb43df4394bff8f4686e3e9f9e">
      <Part Type="papunktis" Nr="6.1" Abbr="6.1 pp." DocPartId="ffb170051d83440fb4323a2ce8c1749f" PartId="21f4cd2b836745129b62d3fe804ecfd1"/>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ef16c4bb8ce048dd8c22fdf94ba79d17">
    <Part Type="pabaiga" DocPartId="8aa7d51d84b848debd65b12b26547c89" PartId="eeabe54f6d92436eb4751102dd485d22"/>
  </Part>
</Parts>
</file>

<file path=customXml/itemProps1.xml><?xml version="1.0" encoding="utf-8"?>
<ds:datastoreItem xmlns:ds="http://schemas.openxmlformats.org/officeDocument/2006/customXml" ds:itemID="{E960458E-B524-4C1E-9DA8-F1C75D8B4799}">
  <ds:schemaRefs>
    <ds:schemaRef ds:uri="http://lrs.lt/TAIS/DocParts"/>
  </ds:schemaRefs>
</ds:datastoreItem>
</file>

<file path=docProps/app.xml><?xml version="1.0" encoding="utf-8"?>
<Properties xmlns="http://schemas.openxmlformats.org/officeDocument/2006/extended-properties">
  <Template>Normal.dotm</Template>
  <TotalTime>171</TotalTime>
  <Pages>19</Pages>
  <Words>7855</Words>
  <Characters>58675</Characters>
  <Application>Microsoft Office Word</Application>
  <DocSecurity>0</DocSecurity>
  <Lines>488</Lines>
  <Paragraphs>132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66398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2021-05-26T17:35:00Z</dcterms:modified>
  <revision>48</revision>
</coreProperties>
</file>