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2021-03-16 iki 2021-03-21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4373db5d38ad47d0aa59a109b6fe2f20"/>
                    <w:lock w:val="sdtLocked"/>
                    <w:richText/>
                  </w:sdtPr>
                  <w:sdtContent>
                    <w:p>
                      <w:pPr>
                        <w:tabs>
                          <w:tab w:val="left" w:pos="1134"/>
                        </w:tabs>
                        <w:ind w:firstLine="709"/>
                        <w:jc w:val="both"/>
                      </w:pPr>
                      <w:sdt>
                        <w:sdtPr>
                          <w:alias w:val="Numeris"/>
                          <w:tag w:val="nr_4373db5d38ad47d0aa59a109b6fe2f20"/>
                          <w:lock w:val="sdtLocked"/>
                          <w:richText/>
                        </w:sdtPr>
                        <w:sdtContent>
                          <w:r>
                            <w:rPr>
                              <w:szCs w:val="24"/>
                              <w:lang w:eastAsia="lt-LT"/>
                            </w:rPr>
                            <w:t>2.1.7</w:t>
                          </w:r>
                        </w:sdtContent>
                      </w:sdt>
                      <w:r>
                        <w:rPr>
                          <w:szCs w:val="24"/>
                          <w:lang w:eastAsia="lt-LT"/>
                        </w:rPr>
                        <w:t>. Nuo 2021 m. kovo 16 d. 00:00 val. iki 2021 m. kovo 31 d. 24:00 val. Lietuvos Respublikos teritorijoje ribojamas asmenų judėjimas Biržų rajono, Klaipėdos miesto, Kupiškio rajono, Marijampolės, Neringos, Panevėžio miesto, Panevėžio rajono, Šalčininkų rajono, Širvintų rajono, Švenčionių rajono, Trakų rajono, Utenos rajono, Varėnos rajono, Vilniaus miesto, Vilniaus rajono, Visagino savivaldybėse – į šias savivaldybes asmenims draudžiama atvykti ir išvykti iš jų,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2.1.8.1.3 papunkčiuose numatytais atvejais; kai asmenys, gyvenantys besiribojančiose Klaipėdos miesto ir rajono, Panevėžio miesto ir rajono, Vilniaus miesto ir rajono savivaldybėse, juda tarp nurodytų besiribojančių savivaldybių;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a55c21e2666f4594a04c2b4f12a30bff"/>
                        <w:lock w:val="sdtLocked"/>
                        <w:richText/>
                      </w:sdtPr>
                      <w:sdtContent>
                        <w:p>
                          <w:pPr>
                            <w:tabs>
                              <w:tab w:val="left" w:pos="1134"/>
                            </w:tabs>
                            <w:ind w:firstLine="709"/>
                            <w:jc w:val="both"/>
                            <w:rPr>
                              <w:szCs w:val="24"/>
                              <w:lang w:eastAsia="lt-LT"/>
                            </w:rPr>
                          </w:pPr>
                          <w:sdt>
                            <w:sdtPr>
                              <w:alias w:val="Numeris"/>
                              <w:tag w:val="nr_a55c21e2666f4594a04c2b4f12a30bff"/>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.3</w:t>
                              </w:r>
                            </w:sdtContent>
                          </w:sdt>
                          <w:r>
                            <w:rPr>
                              <w:szCs w:val="24"/>
                              <w:shd w:val="clear" w:color="auto" w:fill="FFFFFF"/>
                              <w:lang w:eastAsia="lt-LT"/>
                            </w:rPr>
                            <w:t>. lankomi uždarose erdvėse esantys muziejai, galerijos ir kitos ekspozicinės erdvės, zoologijos ir botanikos sodai, užtikrinant lankytojų srauto ribojimą, – didžiausias vienu metu leidžiamas lankytojų skaičius apskaičiuojamas pagal viešai lankomą plotą, kad vienam lankytojui tektų ne mažiau kaip 20 m</w:t>
                          </w:r>
                          <w:r>
                            <w:rPr>
                              <w:szCs w:val="24"/>
                              <w:shd w:val="clear" w:color="auto" w:fill="FFFFFF"/>
                              <w:vertAlign w:val="superscript"/>
                              <w:lang w:eastAsia="lt-LT"/>
                            </w:rPr>
                            <w:t>2</w:t>
                          </w:r>
                          <w:r>
                            <w:rPr>
                              <w:szCs w:val="24"/>
                              <w:shd w:val="clear" w:color="auto" w:fill="FFFFFF"/>
                              <w:lang w:eastAsia="lt-LT"/>
                            </w:rPr>
                            <w:t>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4933d0858111eb9fecb5ecd3bd711c">
                            <w:r w:rsidRPr="00532B9F">
                              <w:rPr>
                                <w:rFonts w:ascii="Times New Roman" w:eastAsia="MS Mincho" w:hAnsi="Times New Roman"/>
                                <w:sz w:val="20"/>
                                <w:i/>
                                <w:iCs/>
                                <w:color w:val="0000FF" w:themeColor="hyperlink"/>
                                <w:u w:val="single"/>
                              </w:rPr>
                              <w:t>153</w:t>
                            </w:r>
                          </w:fldSimple>
                          <w:r>
                            <w:rPr>
                              <w:rFonts w:ascii="Times New Roman" w:eastAsia="MS Mincho" w:hAnsi="Times New Roman"/>
                              <w:sz w:val="20"/>
                              <w:i/>
                              <w:iCs/>
                            </w:rPr>
                            <w:t>,
2021-03-15,
paskelbta TAR 2021-03-15, i. k. 2021-05110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ad0b7a057c0049d385c9ed511b0ac363"/>
                        <w:lock w:val="sdtLocked"/>
                        <w:richText/>
                      </w:sdtPr>
                      <w:sdtContent>
                        <w:p>
                          <w:pPr>
                            <w:ind w:firstLine="720"/>
                            <w:jc w:val="both"/>
                            <w:rPr>
                              <w:szCs w:val="24"/>
                              <w:lang w:eastAsia="lt-LT"/>
                            </w:rPr>
                          </w:pPr>
                          <w:sdt>
                            <w:sdtPr>
                              <w:alias w:val="Numeris"/>
                              <w:tag w:val="nr_ad0b7a057c0049d385c9ed511b0ac363"/>
                              <w:lock w:val="sdtLocked"/>
                              <w:richText/>
                            </w:sdtPr>
                            <w:sdtContent>
                              <w:r>
                                <w:rPr>
                                  <w:szCs w:val="24"/>
                                  <w:lang w:eastAsia="lt-LT"/>
                                </w:rPr>
                                <w:t>2.2.9.2</w:t>
                              </w:r>
                              <w:r>
                                <w:rPr>
                                  <w:szCs w:val="24"/>
                                  <w:vertAlign w:val="superscript"/>
                                  <w:lang w:eastAsia="lt-LT"/>
                                </w:rPr>
                                <w:t>1</w:t>
                              </w:r>
                            </w:sdtContent>
                          </w:sdt>
                          <w:r>
                            <w:rPr>
                              <w:szCs w:val="24"/>
                              <w:lang w:eastAsia="lt-LT"/>
                            </w:rPr>
                            <w:t>. Akmenės rajono, Alytaus miesto, Birštono, Biržų rajono, Kauno miesto, Kazlų Rūdos, Klaipėdos miesto, Klaipėdos rajono, Kretingos rajono, Marijampolės, Mažeikių rajono, Pakruojo rajono, Palangos miesto, Panevėžio rajono, Plungės rajono, Radviliškio rajono, Raseinių rajono, Rietavo, Šakių rajono, Šalčininkų rajono, Šiaulių miesto, Širvintų rajono, Švenčionių rajono, Vilkaviškio rajono, Vilniaus miesto ir Vilniaus rajono savivaldybių administracijų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9.3 pp."/>
                        <w:tag w:val="part_b95acaa9deac4310a39a14c4734a09b6"/>
                        <w:lock w:val="sdtLocked"/>
                        <w:richText/>
                      </w:sdtPr>
                      <w:sdtContent>
                        <w:p>
                          <w:pPr>
                            <w:ind w:firstLine="709"/>
                            <w:jc w:val="both"/>
                            <w:rPr>
                              <w:szCs w:val="24"/>
                              <w:lang w:eastAsia="lt-LT"/>
                            </w:rPr>
                          </w:pPr>
                          <w:sdt>
                            <w:sdtPr>
                              <w:alias w:val="Numeris"/>
                              <w:tag w:val="nr_b95acaa9deac4310a39a14c4734a09b6"/>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4 pp."/>
                        <w:tag w:val="part_2596dfdec1234ff29321447efde666d5"/>
                        <w:lock w:val="sdtLocked"/>
                        <w:richText/>
                      </w:sdtPr>
                      <w:sdtContent>
                        <w:p>
                          <w:pPr>
                            <w:ind w:firstLine="709"/>
                            <w:jc w:val="both"/>
                            <w:rPr>
                              <w:szCs w:val="24"/>
                              <w:lang w:eastAsia="lt-LT"/>
                            </w:rPr>
                          </w:pPr>
                          <w:sdt>
                            <w:sdtPr>
                              <w:alias w:val="Numeris"/>
                              <w:tag w:val="nr_2596dfdec1234ff29321447efde666d5"/>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32961ee38b984a4f9005a0c780328203"/>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32961ee38b984a4f9005a0c780328203"/>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64933d0858111eb9fecb5ecd3bd711c">
            <w:r w:rsidRPr="00532B9F">
              <w:rPr>
                <w:rFonts w:ascii="Times New Roman" w:eastAsia="MS Mincho" w:hAnsi="Times New Roman"/>
                <w:sz w:val="20"/>
                <w:iCs/>
                <w:color w:val="0000FF" w:themeColor="hyperlink"/>
                <w:u w:val="single"/>
              </w:rPr>
              <w:t>153</w:t>
            </w:r>
          </w:fldSimple>
          <w:r>
            <w:rPr>
              <w:rFonts w:ascii="Times New Roman" w:eastAsia="MS Mincho" w:hAnsi="Times New Roman"/>
              <w:sz w:val="20"/>
              <w:iCs/>
            </w:rPr>
            <w:t>,
2021-03-15,
paskelbta TAR 2021-03-15, i. k. 2021-05110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200" w:line="276" w:lineRule="auto"/>
      <w:rPr>
        <w:lang w:eastAsia="lt-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0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0.xml"/>
  <Relationship Id="rId11" Type="http://schemas.openxmlformats.org/officeDocument/2006/relationships/header" Target="header71.xml"/>
  <Relationship Id="rId12" Type="http://schemas.openxmlformats.org/officeDocument/2006/relationships/footer" Target="footer70.xml"/>
  <Relationship Id="rId13" Type="http://schemas.openxmlformats.org/officeDocument/2006/relationships/footer" Target="footer71.xml"/>
  <Relationship Id="rId14" Type="http://schemas.openxmlformats.org/officeDocument/2006/relationships/header" Target="header72.xml"/>
  <Relationship Id="rId15" Type="http://schemas.openxmlformats.org/officeDocument/2006/relationships/footer" Target="footer7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Type="papunktis" Nr="2.1.3-1.5" Abbr="2.1.3-1.5 pp." DocPartId="9a57f4e7a7de4c7cbc8f3e02ce6a3eeb" PartId="d0bc7cd26e444b98b6957edc7caa8899"/>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4373db5d38ad47d0aa59a109b6fe2f20"/>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a55c21e2666f4594a04c2b4f12a30bff"/>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ad0b7a057c0049d385c9ed511b0ac363"/>
          <Part Type="papunktis" Nr="2.2.9.3" Abbr="2.2.9.3 pp." DocPartId="67e918b206064a3b995a2c5c212d137b" PartId="b95acaa9deac4310a39a14c4734a09b6"/>
          <Part Type="papunktis" Nr="2.2.9.4" Abbr="2.2.9.4 pp." DocPartId="e60ad632291442fe93773586043fcccf" PartId="2596dfdec1234ff29321447efde666d5"/>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32961ee38b984a4f9005a0c780328203">
    <Part Type="pabaiga" DocPartId="8aa7d51d84b848debd65b12b26547c89" PartId="eeabe54f6d92436eb4751102dd485d22"/>
  </Part>
</Parts>
</file>

<file path=customXml/itemProps1.xml><?xml version="1.0" encoding="utf-8"?>
<ds:datastoreItem xmlns:ds="http://schemas.openxmlformats.org/officeDocument/2006/customXml" ds:itemID="{98D1CBFD-5530-470A-89DE-FC2A31B9B05E}">
  <ds:schemaRefs>
    <ds:schemaRef ds:uri="http://lrs.lt/TAIS/DocParts"/>
  </ds:schemaRefs>
</ds:datastoreItem>
</file>

<file path=docProps/app.xml><?xml version="1.0" encoding="utf-8"?>
<Properties xmlns="http://schemas.openxmlformats.org/officeDocument/2006/extended-properties">
  <Template>Normal.dotm</Template>
  <TotalTime>80</TotalTime>
  <Pages>15</Pages>
  <Words>5846</Words>
  <Characters>43841</Characters>
  <Application>Microsoft Office Word</Application>
  <DocSecurity>0</DocSecurity>
  <Lines>365</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49588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2021-03-15T13:36:00Z</dcterms:modified>
  <revision>31</revision>
</coreProperties>
</file>