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2021-03-10 iki 2021-03-10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3-1 pp."/>
                    <w:tag w:val="part_0c4522fe75b748ddb6b97366fb4e1639"/>
                    <w:lock w:val="sdtLocked"/>
                    <w:richText/>
                  </w:sdtPr>
                  <w:sdtContent>
                    <w:p>
                      <w:pPr>
                        <w:tabs>
                          <w:tab w:val="left" w:pos="1134"/>
                        </w:tabs>
                        <w:ind w:firstLine="709"/>
                        <w:jc w:val="both"/>
                        <w:rPr>
                          <w:szCs w:val="24"/>
                          <w:lang w:eastAsia="lt-LT"/>
                        </w:rPr>
                      </w:pPr>
                      <w:sdt>
                        <w:sdtPr>
                          <w:alias w:val="Numeris"/>
                          <w:tag w:val="nr_0c4522fe75b748ddb6b97366fb4e1639"/>
                          <w:lock w:val="sdtLocked"/>
                          <w:richText/>
                        </w:sdt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1.3-1.1 pp."/>
                        <w:tag w:val="part_cc93e640a245447aa6c8ed2cfef760ed"/>
                        <w:lock w:val="sdtLocked"/>
                        <w:richText/>
                      </w:sdtPr>
                      <w:sdtContent>
                        <w:p>
                          <w:pPr>
                            <w:tabs>
                              <w:tab w:val="left" w:pos="1134"/>
                            </w:tabs>
                            <w:ind w:firstLine="709"/>
                            <w:jc w:val="both"/>
                            <w:rPr>
                              <w:szCs w:val="24"/>
                              <w:lang w:eastAsia="lt-LT"/>
                            </w:rPr>
                          </w:pPr>
                          <w:sdt>
                            <w:sdtPr>
                              <w:alias w:val="Numeris"/>
                              <w:tag w:val="nr_cc93e640a245447aa6c8ed2cfef760ed"/>
                              <w:lock w:val="sdtLocked"/>
                              <w:richText/>
                            </w:sdtPr>
                            <w:sdtContent>
                              <w:r>
                                <w:rPr>
                                  <w:szCs w:val="24"/>
                                  <w:lang w:eastAsia="lt-LT"/>
                                </w:rPr>
                                <w:t>2.1.3</w:t>
                              </w:r>
                              <w:r>
                                <w:rPr>
                                  <w:szCs w:val="24"/>
                                  <w:vertAlign w:val="superscript"/>
                                  <w:lang w:eastAsia="lt-LT"/>
                                </w:rPr>
                                <w:t>1</w:t>
                              </w:r>
                              <w:r>
                                <w:rPr>
                                  <w:szCs w:val="24"/>
                                  <w:lang w:eastAsia="lt-LT"/>
                                </w:rPr>
                                <w:t>.1</w:t>
                              </w:r>
                            </w:sdtContent>
                          </w:sdt>
                          <w:r>
                            <w:rPr>
                              <w:szCs w:val="24"/>
                              <w:lang w:eastAsia="lt-LT"/>
                            </w:rPr>
                            <w:t>. ekipažų ir įgulų nariams, kurie vykdo keleivių vežimus tarptautinio susisiekimo maršrutais visų rūšių transporto priemonėmis;</w:t>
                          </w:r>
                        </w:p>
                      </w:sdtContent>
                    </w:sdt>
                    <w:sdt>
                      <w:sdtPr>
                        <w:alias w:val="2.1.3-1.2 pp."/>
                        <w:tag w:val="part_d989a8f7152c45d2b883e72cfffbd650"/>
                        <w:lock w:val="sdtLocked"/>
                        <w:richText/>
                      </w:sdtPr>
                      <w:sdtContent>
                        <w:p>
                          <w:pPr>
                            <w:tabs>
                              <w:tab w:val="left" w:pos="1134"/>
                            </w:tabs>
                            <w:ind w:firstLine="709"/>
                            <w:jc w:val="both"/>
                            <w:rPr>
                              <w:szCs w:val="24"/>
                              <w:lang w:eastAsia="lt-LT"/>
                            </w:rPr>
                          </w:pPr>
                          <w:sdt>
                            <w:sdtPr>
                              <w:alias w:val="Numeris"/>
                              <w:tag w:val="nr_d989a8f7152c45d2b883e72cfffbd650"/>
                              <w:lock w:val="sdtLocked"/>
                              <w:richText/>
                            </w:sdtPr>
                            <w:sdtContent>
                              <w:r>
                                <w:rPr>
                                  <w:szCs w:val="24"/>
                                  <w:lang w:eastAsia="lt-LT"/>
                                </w:rPr>
                                <w:t>2.1.3</w:t>
                              </w:r>
                              <w:r>
                                <w:rPr>
                                  <w:szCs w:val="24"/>
                                  <w:vertAlign w:val="superscript"/>
                                  <w:lang w:eastAsia="lt-LT"/>
                                </w:rPr>
                                <w:t>1</w:t>
                              </w:r>
                              <w:r>
                                <w:rPr>
                                  <w:szCs w:val="24"/>
                                  <w:lang w:eastAsia="lt-LT"/>
                                </w:rPr>
                                <w:t>.2</w:t>
                              </w:r>
                            </w:sdtContent>
                          </w:sdt>
                          <w:r>
                            <w:rPr>
                              <w:szCs w:val="24"/>
                              <w:lang w:eastAsia="lt-LT"/>
                            </w:rPr>
                            <w:t>. tranzitu per Lietuvos Respubliką vykstantiems asmenims;</w:t>
                          </w:r>
                        </w:p>
                      </w:sdtContent>
                    </w:sdt>
                    <w:sdt>
                      <w:sdtPr>
                        <w:alias w:val="2.1.3-1.3 pp."/>
                        <w:tag w:val="part_1e35413b70cd4d7981cb2a823bcfa177"/>
                        <w:lock w:val="sdtLocked"/>
                        <w:richText/>
                      </w:sdtPr>
                      <w:sdtContent>
                        <w:p>
                          <w:pPr>
                            <w:tabs>
                              <w:tab w:val="left" w:pos="1134"/>
                            </w:tabs>
                            <w:ind w:firstLine="709"/>
                            <w:jc w:val="both"/>
                            <w:rPr>
                              <w:szCs w:val="24"/>
                              <w:lang w:eastAsia="lt-LT"/>
                            </w:rPr>
                          </w:pPr>
                          <w:sdt>
                            <w:sdtPr>
                              <w:alias w:val="Numeris"/>
                              <w:tag w:val="nr_1e35413b70cd4d7981cb2a823bcfa177"/>
                              <w:lock w:val="sdtLocked"/>
                              <w:richText/>
                            </w:sdtPr>
                            <w:sdtContent>
                              <w:r>
                                <w:rPr>
                                  <w:szCs w:val="24"/>
                                  <w:lang w:eastAsia="lt-LT"/>
                                </w:rPr>
                                <w:t>2.1.3</w:t>
                              </w:r>
                              <w:r>
                                <w:rPr>
                                  <w:szCs w:val="24"/>
                                  <w:vertAlign w:val="superscript"/>
                                  <w:lang w:eastAsia="lt-LT"/>
                                </w:rPr>
                                <w:t>1</w:t>
                              </w:r>
                              <w:r>
                                <w:rPr>
                                  <w:szCs w:val="24"/>
                                  <w:lang w:eastAsia="lt-LT"/>
                                </w:rPr>
                                <w:t>.3</w:t>
                              </w:r>
                            </w:sdtContent>
                          </w:sdt>
                          <w:r>
                            <w:rPr>
                              <w:szCs w:val="24"/>
                              <w:lang w:eastAsia="lt-LT"/>
                            </w:rPr>
                            <w:t>. asmenims,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90 dienų iki grįžimo / atvykimo į Lietuvos Respubliką, arba asmenims, turintiems asmens sveikatos priežiūros įstaigos dokumentą, konkrečios šalies skiepijimų sertifikatą arba tarptautinį skiepijimų sertifikatą, nurodantį, kad asmens skiepijimas Sąjungos vaistinių preparatų registre įregistruota COVID-19 ligos (koronaviruso infekcijos) vakcina pagal skiepijimo schemą yra baigtas (šiame papunktyje nurodyti dokumentai turi būti parengti viena iš oficialių Europos Sąjungos kalbų);</w:t>
                          </w:r>
                        </w:p>
                      </w:sdtContent>
                    </w:sdt>
                    <w:sdt>
                      <w:sdtPr>
                        <w:alias w:val="2.1.3-1.4 pp."/>
                        <w:tag w:val="part_befa0bfd71f74e979b5c45753af644f3"/>
                        <w:lock w:val="sdtLocked"/>
                        <w:richText/>
                      </w:sdtPr>
                      <w:sdtContent>
                        <w:p>
                          <w:pPr>
                            <w:tabs>
                              <w:tab w:val="left" w:pos="1134"/>
                            </w:tabs>
                            <w:ind w:firstLine="709"/>
                            <w:jc w:val="both"/>
                            <w:rPr>
                              <w:szCs w:val="24"/>
                              <w:lang w:eastAsia="lt-LT"/>
                            </w:rPr>
                          </w:pPr>
                          <w:sdt>
                            <w:sdtPr>
                              <w:alias w:val="Numeris"/>
                              <w:tag w:val="nr_befa0bfd71f74e979b5c45753af644f3"/>
                              <w:lock w:val="sdtLocked"/>
                              <w:richText/>
                            </w:sdtPr>
                            <w:sdtContent>
                              <w:r>
                                <w:rPr>
                                  <w:szCs w:val="24"/>
                                  <w:lang w:eastAsia="lt-LT"/>
                                </w:rPr>
                                <w:t>2.1.3</w:t>
                              </w:r>
                              <w:r>
                                <w:rPr>
                                  <w:szCs w:val="24"/>
                                  <w:vertAlign w:val="superscript"/>
                                  <w:lang w:eastAsia="lt-LT"/>
                                </w:rPr>
                                <w:t>1</w:t>
                              </w:r>
                              <w:r>
                                <w:rPr>
                                  <w:szCs w:val="24"/>
                                  <w:lang w:eastAsia="lt-LT"/>
                                </w:rPr>
                                <w:t>.4</w:t>
                              </w:r>
                            </w:sdtContent>
                          </w:sdt>
                          <w:r>
                            <w:rPr>
                              <w:szCs w:val="24"/>
                              <w:lang w:eastAsia="lt-LT"/>
                            </w:rPr>
                            <w:t>. asmenims iki 16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e46607daf11eb9601893677bfd7d8">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2021-03-05,
paskelbta TAR 2021-03-05, i. k. 2021-04675            </w:t>
                      </w:r>
                    </w:p>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441f2c9970bc4a5d9d0e8c5501ff3859"/>
                        <w:lock w:val="sdtLocked"/>
                        <w:richText/>
                      </w:sdtPr>
                      <w:sdtContent>
                        <w:p>
                          <w:pPr>
                            <w:ind w:firstLine="709"/>
                            <w:jc w:val="both"/>
                          </w:pPr>
                          <w:sdt>
                            <w:sdtPr>
                              <w:alias w:val="Numeris"/>
                              <w:tag w:val="nr_441f2c9970bc4a5d9d0e8c5501ff3859"/>
                              <w:lock w:val="sdtLocked"/>
                              <w:richText/>
                            </w:sdtPr>
                            <w:sdtContent>
                              <w:r>
                                <w:rPr>
                                  <w:szCs w:val="24"/>
                                  <w:lang w:eastAsia="lt-LT"/>
                                </w:rPr>
                                <w:t>2.1.5.1</w:t>
                              </w:r>
                            </w:sdtContent>
                          </w:sdt>
                          <w:r>
                            <w:rPr>
                              <w:szCs w:val="24"/>
                              <w:lang w:eastAsia="lt-LT"/>
                            </w:rPr>
                            <w:t>. viešose uždarose vietose ir transporto priemonėse, išskyrus miesto, tarpmiestinio ir priemiestinio reguliaraus susisiekimo keleivinio transporto priemones ar transporto priemones, kuriomis vykstama į darbo vietą ar iš jos, būti ne didesnėmis nei 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arba dviejų šeimų ir (ar) dviejų namų ūkių narių grupėmis. 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c51985aa931b4357bcf436ff24269600"/>
                            <w:lock w:val="sdtLocked"/>
                            <w:richText/>
                          </w:sdtPr>
                          <w:sdtContent>
                            <w:p>
                              <w:pPr>
                                <w:ind w:firstLine="720"/>
                                <w:jc w:val="both"/>
                              </w:pPr>
                              <w:sdt>
                                <w:sdtPr>
                                  <w:alias w:val="Numeris"/>
                                  <w:tag w:val="nr_c51985aa931b4357bcf436ff24269600"/>
                                  <w:lock w:val="sdtLocked"/>
                                  <w:richText/>
                                </w:sdtPr>
                                <w:sdtContent>
                                  <w:r>
                                    <w:rPr>
                                      <w:szCs w:val="24"/>
                                      <w:shd w:val="clear" w:color="auto" w:fill="FFFFFF"/>
                                      <w:lang w:eastAsia="lt-LT"/>
                                    </w:rPr>
                                    <w:t>2.1.5.2.5</w:t>
                                  </w:r>
                                </w:sdtContent>
                              </w:sdt>
                              <w:r>
                                <w:rPr>
                                  <w:szCs w:val="24"/>
                                  <w:shd w:val="clear" w:color="auto" w:fill="FFFFFF"/>
                                  <w:lang w:eastAsia="lt-LT"/>
                                </w:rPr>
                                <w:t>.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cdfb30813b8543b4b880d86049decd27"/>
                    <w:lock w:val="sdtLocked"/>
                    <w:richText/>
                  </w:sdtPr>
                  <w:sdtContent>
                    <w:p>
                      <w:pPr>
                        <w:ind w:firstLine="720"/>
                        <w:jc w:val="both"/>
                      </w:pPr>
                      <w:sdt>
                        <w:sdtPr>
                          <w:alias w:val="Numeris"/>
                          <w:tag w:val="nr_cdfb30813b8543b4b880d86049decd27"/>
                          <w:lock w:val="sdtLocked"/>
                          <w:richText/>
                        </w:sdtPr>
                        <w:sdtContent>
                          <w:r>
                            <w:rPr>
                              <w:szCs w:val="24"/>
                              <w:lang w:eastAsia="lt-LT"/>
                            </w:rPr>
                            <w:t>2.1.7</w:t>
                          </w:r>
                        </w:sdtContent>
                      </w:sdt>
                      <w:r>
                        <w:rPr>
                          <w:szCs w:val="24"/>
                          <w:lang w:eastAsia="lt-LT"/>
                        </w:rPr>
                        <w:t>. Nuo 2020 m. gruodžio 16 d. 00:00 val. iki 2021 m. kovo 15 d. 24:00 val. Lietuvos Respublikos teritorijoje ribojamas asmenų judėjimas tarp savivaldybių, išskyrus atvejus, kai vykstama: į savo gyvenamosios vietos savivaldybę; į kitą nei savo gyvenamosios vietos savivaldybę dėl artimųjų giminaičių mirties; į darbą (darbo reikalais), kai darbo vieta yra kitoje savivaldybėje; į aptarnaujančius tarptautinius keleivių maršrutus oro, jūrų uostus, autobusų stotis ar iš jų; dėl sveikatos priežiūros paslaugų; šio nutarimo 2.1.8.1.1 ir 2.1.8.1.2 papunkčiuose numatytais atvejais; kai asmenys, gyvenantys besiribojančiose</w:t>
                      </w:r>
                      <w:r>
                        <w:rPr>
                          <w:b/>
                          <w:bCs/>
                          <w:szCs w:val="24"/>
                          <w:lang w:eastAsia="lt-LT"/>
                        </w:rPr>
                        <w:t xml:space="preserve"> </w:t>
                      </w:r>
                      <w:r>
                        <w:rPr>
                          <w:szCs w:val="24"/>
                          <w:lang w:eastAsia="lt-LT"/>
                        </w:rPr>
                        <w:t>Alytaus miesto ir rajono, Kauno miesto ir rajono, Klaipėdos miesto ir rajono, Panevėžio miesto ir rajono, Šiaulių miesto ir rajono, Vilniaus miesto ir rajono savivaldybėse, juda tarp nurodytų besiribojančių savivaldybių;</w:t>
                      </w:r>
                      <w:r>
                        <w:rPr>
                          <w:szCs w:val="24"/>
                          <w:shd w:val="clear" w:color="auto" w:fill="FFFFFF"/>
                          <w:lang w:eastAsia="lt-LT"/>
                        </w:rPr>
                        <w:t xml:space="preserve"> </w:t>
                      </w:r>
                      <w:r>
                        <w:rPr>
                          <w:szCs w:val="24"/>
                          <w:lang w:eastAsia="lt-LT"/>
                        </w:rPr>
                        <w:t>dėl kitų objektyviai pagrįstų neatidėliotinų priežasčių, kai vykimas į kitą nei savo gyvenamosios vietos savivaldybę yra neišvengiamai būtinas. Šis ribojimas netaikomas asmenims – vienos šeimos ar vieno namų ūkio nariams, vykstantiems į kitą nei savo gyvenamosios vietos savivaldybę, kurioje jie turi nekilnojamojo turto, priklausančio vienam iš šeimos ar namų ūkio narių nuosavybės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8 pp."/>
                    <w:tag w:val="part_40b89ac91da84c8488ecb99bf7e66a5f"/>
                    <w:lock w:val="sdtLocked"/>
                    <w:richText/>
                  </w:sdtPr>
                  <w:sdtContent>
                    <w:p>
                      <w:pPr>
                        <w:ind w:firstLine="709"/>
                        <w:jc w:val="both"/>
                        <w:rPr>
                          <w:szCs w:val="24"/>
                          <w:lang w:eastAsia="lt-LT"/>
                        </w:rPr>
                      </w:pPr>
                      <w:sdt>
                        <w:sdtPr>
                          <w:alias w:val="Numeris"/>
                          <w:tag w:val="nr_40b89ac91da84c8488ecb99bf7e66a5f"/>
                          <w:lock w:val="sdtLocked"/>
                          <w:richText/>
                        </w:sdtPr>
                        <w:sdtContent>
                          <w:r>
                            <w:rPr>
                              <w:szCs w:val="24"/>
                              <w:lang w:eastAsia="lt-LT"/>
                            </w:rPr>
                            <w:t>2.1.8</w:t>
                          </w:r>
                        </w:sdtContent>
                      </w:sdt>
                      <w:r>
                        <w:rPr>
                          <w:szCs w:val="24"/>
                          <w:lang w:eastAsia="lt-LT"/>
                        </w:rPr>
                        <w:t>. Draudžiama:</w:t>
                      </w:r>
                    </w:p>
                    <w:sdt>
                      <w:sdtPr>
                        <w:alias w:val="2.1.8.1 pp."/>
                        <w:tag w:val="part_00aa4ad8b70040188dab7639200457a4"/>
                        <w:lock w:val="sdtLocked"/>
                        <w:richText/>
                      </w:sdtPr>
                      <w:sdtContent>
                        <w:p>
                          <w:pPr>
                            <w:ind w:firstLine="709"/>
                            <w:jc w:val="both"/>
                            <w:rPr>
                              <w:szCs w:val="24"/>
                              <w:lang w:eastAsia="lt-LT"/>
                            </w:rPr>
                          </w:pPr>
                          <w:sdt>
                            <w:sdtPr>
                              <w:alias w:val="Numeris"/>
                              <w:tag w:val="nr_00aa4ad8b70040188dab7639200457a4"/>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8915693e41164f14931e29f25ccdeed1"/>
                            <w:lock w:val="sdtLocked"/>
                            <w:richText/>
                          </w:sdtPr>
                          <w:sdtContent>
                            <w:p>
                              <w:pPr>
                                <w:ind w:firstLine="709"/>
                                <w:jc w:val="both"/>
                                <w:rPr>
                                  <w:szCs w:val="24"/>
                                  <w:lang w:eastAsia="lt-LT"/>
                                </w:rPr>
                              </w:pPr>
                              <w:sdt>
                                <w:sdtPr>
                                  <w:alias w:val="Numeris"/>
                                  <w:tag w:val="nr_8915693e41164f14931e29f25ccdeed1"/>
                                  <w:lock w:val="sdtLocked"/>
                                  <w:richText/>
                                </w:sdtPr>
                                <w:sdtContent>
                                  <w:r>
                                    <w:rPr>
                                      <w:szCs w:val="24"/>
                                      <w:lang w:eastAsia="lt-LT"/>
                                    </w:rPr>
                                    <w:t>2.1.8.1.1</w:t>
                                  </w:r>
                                </w:sdtContent>
                              </w:sdt>
                              <w:r>
                                <w:rPr>
                                  <w:szCs w:val="24"/>
                                  <w:lang w:eastAsia="lt-LT"/>
                                </w:rPr>
                                <w:t>. dviejų šeimų ir (ar) dviejų namų ūkių artimus kontaktus, jeigu viename iš jų yra 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bc750ed0df1642d696d34cf7551ea10e"/>
                            <w:lock w:val="sdtLocked"/>
                            <w:richText/>
                          </w:sdtPr>
                          <w:sdtContent>
                            <w:p>
                              <w:pPr>
                                <w:ind w:firstLine="709"/>
                                <w:jc w:val="both"/>
                                <w:rPr>
                                  <w:szCs w:val="24"/>
                                  <w:lang w:eastAsia="lt-LT"/>
                                </w:rPr>
                              </w:pPr>
                              <w:sdt>
                                <w:sdtPr>
                                  <w:alias w:val="Numeris"/>
                                  <w:tag w:val="nr_bc750ed0df1642d696d34cf7551ea10e"/>
                                  <w:lock w:val="sdtLocked"/>
                                  <w:richText/>
                                </w:sdtPr>
                                <w:sdtContent>
                                  <w:r>
                                    <w:rPr>
                                      <w:szCs w:val="24"/>
                                      <w:lang w:eastAsia="lt-LT"/>
                                    </w:rPr>
                                    <w:t>2.1.8.1.2</w:t>
                                  </w:r>
                                </w:sdtContent>
                              </w:sdt>
                              <w:r>
                                <w:rPr>
                                  <w:szCs w:val="24"/>
                                  <w:lang w:eastAsia="lt-LT"/>
                                </w:rPr>
                                <w:t>. dviejų šeimų ir (ar) dviejų namų ūkių artimus kontaktus atvirose erdvėse;</w:t>
                              </w:r>
                            </w:p>
                          </w:sdtContent>
                        </w:sdt>
                        <w:sdt>
                          <w:sdtPr>
                            <w:alias w:val="2.1.8.1.3 pp."/>
                            <w:tag w:val="part_aeb3c0341a9c4a7a96787984c341672c"/>
                            <w:lock w:val="sdtLocked"/>
                            <w:richText/>
                          </w:sdtPr>
                          <w:sdtContent>
                            <w:p>
                              <w:pPr>
                                <w:ind w:firstLine="709"/>
                                <w:jc w:val="both"/>
                                <w:rPr>
                                  <w:szCs w:val="24"/>
                                  <w:lang w:eastAsia="lt-LT"/>
                                </w:rPr>
                              </w:pPr>
                              <w:sdt>
                                <w:sdtPr>
                                  <w:alias w:val="Numeris"/>
                                  <w:tag w:val="nr_aeb3c0341a9c4a7a96787984c341672c"/>
                                  <w:lock w:val="sdtLocked"/>
                                  <w:richText/>
                                </w:sdtPr>
                                <w:sdtContent>
                                  <w:r>
                                    <w:rPr>
                                      <w:szCs w:val="24"/>
                                      <w:lang w:eastAsia="lt-LT"/>
                                    </w:rPr>
                                    <w:t>2.1.8.1.3</w:t>
                                  </w:r>
                                </w:sdtContent>
                              </w:sdt>
                              <w:r>
                                <w:rPr>
                                  <w:szCs w:val="24"/>
                                  <w:lang w:eastAsia="lt-LT"/>
                                </w:rPr>
                                <w:t>. neatidėliotinus atvejus, kai reikia suteikti pagalbą, prižiūrėti sergančius ar negalinčius savimi pasirūpinti asmenis;</w:t>
                              </w:r>
                            </w:p>
                          </w:sdtContent>
                        </w:sdt>
                        <w:sdt>
                          <w:sdtPr>
                            <w:alias w:val="2.1.8.1.4 pp."/>
                            <w:tag w:val="part_8798758460a549fd8dc77a26c96b41d0"/>
                            <w:lock w:val="sdtLocked"/>
                            <w:richText/>
                          </w:sdtPr>
                          <w:sdtContent>
                            <w:p>
                              <w:pPr>
                                <w:ind w:firstLine="709"/>
                                <w:jc w:val="both"/>
                                <w:rPr>
                                  <w:szCs w:val="24"/>
                                  <w:lang w:eastAsia="lt-LT"/>
                                </w:rPr>
                              </w:pPr>
                              <w:sdt>
                                <w:sdtPr>
                                  <w:alias w:val="Numeris"/>
                                  <w:tag w:val="nr_8798758460a549fd8dc77a26c96b41d0"/>
                                  <w:lock w:val="sdtLocked"/>
                                  <w:richText/>
                                </w:sdtPr>
                                <w:sdtContent>
                                  <w:r>
                                    <w:rPr>
                                      <w:szCs w:val="24"/>
                                      <w:lang w:eastAsia="lt-LT"/>
                                    </w:rPr>
                                    <w:t>2.1.8.1.4</w:t>
                                  </w:r>
                                </w:sdtContent>
                              </w:sdt>
                              <w:r>
                                <w:rPr>
                                  <w:szCs w:val="24"/>
                                  <w:lang w:eastAsia="lt-LT"/>
                                </w:rPr>
                                <w:t>. šio nutarimo 2.1.5.1 papunktyje nustatytus atvejus;</w:t>
                              </w:r>
                            </w:p>
                          </w:sdtContent>
                        </w:sdt>
                      </w:sdtContent>
                    </w:sdt>
                    <w:sdt>
                      <w:sdtPr>
                        <w:alias w:val="2.1.8.2 pp."/>
                        <w:tag w:val="part_1457452cf8d64f77996b97455d836017"/>
                        <w:lock w:val="sdtLocked"/>
                        <w:richText/>
                      </w:sdtPr>
                      <w:sdtContent>
                        <w:p>
                          <w:pPr>
                            <w:ind w:firstLine="709"/>
                            <w:jc w:val="both"/>
                            <w:rPr>
                              <w:color w:val="000000"/>
                              <w:szCs w:val="24"/>
                              <w:lang w:eastAsia="lt-LT"/>
                            </w:rPr>
                          </w:pPr>
                          <w:sdt>
                            <w:sdtPr>
                              <w:alias w:val="Numeris"/>
                              <w:tag w:val="nr_1457452cf8d64f77996b97455d836017"/>
                              <w:lock w:val="sdtLocked"/>
                              <w:richText/>
                            </w:sdtPr>
                            <w:sdtContent>
                              <w:r>
                                <w:rPr>
                                  <w:color w:val="000000"/>
                                  <w:szCs w:val="24"/>
                                  <w:shd w:val="clear" w:color="auto" w:fill="FFFFFF"/>
                                  <w:lang w:eastAsia="lt-LT"/>
                                </w:rPr>
                                <w:t>2.1.8.2</w:t>
                              </w:r>
                            </w:sdtContent>
                          </w:sdt>
                          <w:r>
                            <w:rPr>
                              <w:color w:val="000000"/>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 išskyrus šventes atvirose erdvėse, kai dalyvauja ne daugiau nei</w:t>
                          </w:r>
                          <w:r>
                            <w:rPr>
                              <w:szCs w:val="24"/>
                              <w:lang w:eastAsia="lt-LT"/>
                            </w:rPr>
                            <w:t xml:space="preserve"> dvi šeimos ir (ar) du namų ūkiai</w:t>
                          </w:r>
                          <w:r>
                            <w:rPr>
                              <w:color w:val="000000"/>
                              <w:szCs w:val="24"/>
                              <w:lang w:eastAsia="lt-LT"/>
                            </w:rPr>
                            <w:t>;</w:t>
                          </w:r>
                        </w:p>
                      </w:sdtContent>
                    </w:sdt>
                    <w:sdt>
                      <w:sdtPr>
                        <w:alias w:val="2.1.8.3 pp."/>
                        <w:tag w:val="part_7bafe04f7be740b5b4728ca7262368ec"/>
                        <w:lock w:val="sdtLocked"/>
                        <w:richText/>
                      </w:sdtPr>
                      <w:sdtContent>
                        <w:p>
                          <w:pPr>
                            <w:ind w:firstLine="709"/>
                            <w:jc w:val="both"/>
                            <w:rPr>
                              <w:szCs w:val="24"/>
                              <w:lang w:val="en-US" w:eastAsia="lt-LT"/>
                            </w:rPr>
                          </w:pPr>
                          <w:sdt>
                            <w:sdtPr>
                              <w:alias w:val="Numeris"/>
                              <w:tag w:val="nr_7bafe04f7be740b5b4728ca7262368ec"/>
                              <w:lock w:val="sdtLocked"/>
                              <w:richText/>
                            </w:sdtPr>
                            <w:sdtContent>
                              <w:r>
                                <w:rPr>
                                  <w:color w:val="000000"/>
                                  <w:szCs w:val="24"/>
                                  <w:lang w:eastAsia="lt-LT"/>
                                </w:rPr>
                                <w:t>2.1.8.3</w:t>
                              </w:r>
                            </w:sdtContent>
                          </w:sdt>
                          <w:r>
                            <w:rPr>
                              <w:color w:val="000000"/>
                              <w:szCs w:val="24"/>
                              <w:lang w:eastAsia="lt-LT"/>
                            </w:rPr>
                            <w:t xml:space="preserve">. palikti gyvenamąją vietą, išskyrus atvejus, kai vykstama į darbą (darbo reikalais), prekybos vietą, kai vykstama į aptarnaujančius tarptautinius keleivių maršrutus oro, jūrų uostus, autobusų stotis ar iš jų, į nekilnojamojo turto objektą, valdomą nuosavybės teise, laidotuves, dėl sveikatos priežiūros ir kitų paslaugų ar objektyviai pagrįstų priežasčių, kai vykimas neišvengiamai būtinas, kai vykstama pasivaikščioti atvirose vietose, taip pat kai vykstama </w:t>
                          </w:r>
                          <w:r>
                            <w:rPr>
                              <w:color w:val="000000"/>
                              <w:szCs w:val="24"/>
                              <w:shd w:val="clear" w:color="auto" w:fill="FFFFFF"/>
                              <w:lang w:eastAsia="lt-LT"/>
                            </w:rPr>
                            <w:t>prižiūrėti sergančių ar negalinčių savimi pasirūpinti asmenų</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cad3f48ef6ff4eccaef3590dbb0d6106"/>
                        <w:lock w:val="sdtLocked"/>
                        <w:richText/>
                      </w:sdtPr>
                      <w:sdtContent>
                        <w:p>
                          <w:pPr>
                            <w:ind w:firstLine="709"/>
                            <w:jc w:val="both"/>
                            <w:rPr>
                              <w:rFonts w:eastAsia="Calibri"/>
                              <w:szCs w:val="24"/>
                              <w:lang w:eastAsia="lt-LT"/>
                            </w:rPr>
                          </w:pPr>
                          <w:sdt>
                            <w:sdtPr>
                              <w:alias w:val="Numeris"/>
                              <w:tag w:val="nr_cad3f48ef6ff4eccaef3590dbb0d6106"/>
                              <w:lock w:val="sdtLocked"/>
                              <w:richText/>
                            </w:sdtPr>
                            <w:sdtContent>
                              <w:r>
                                <w:rPr>
                                  <w:szCs w:val="24"/>
                                  <w:shd w:val="clear" w:color="auto" w:fill="FFFFFF"/>
                                  <w:lang w:eastAsia="lt-LT"/>
                                </w:rPr>
                                <w:t>2.2.2.1</w:t>
                              </w:r>
                            </w:sdtContent>
                          </w:sdt>
                          <w:r>
                            <w:rPr>
                              <w:szCs w:val="24"/>
                              <w:shd w:val="clear" w:color="auto" w:fill="FFFFFF"/>
                              <w:lang w:eastAsia="lt-LT"/>
                            </w:rPr>
                            <w:t>. parduotuvėms (įskaitant parduotuves prekybos ir (arba) pramogų centruose), kurių pagrindinė veikla yra maisto, veterinarijos, pašarų gyvūnams, vaistinių, gėlių, optikos prekių ir ortopedijos techninių priemonių pardavimas;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2 pp."/>
                        <w:tag w:val="part_e00b7361c721488f94cc77d57549b83a"/>
                        <w:lock w:val="sdtLocked"/>
                        <w:richText/>
                      </w:sdtPr>
                      <w:sdtContent>
                        <w:p>
                          <w:pPr>
                            <w:ind w:firstLine="709"/>
                            <w:jc w:val="both"/>
                            <w:rPr>
                              <w:rFonts w:eastAsia="Calibri"/>
                              <w:szCs w:val="24"/>
                              <w:lang w:eastAsia="lt-LT"/>
                            </w:rPr>
                          </w:pPr>
                          <w:sdt>
                            <w:sdtPr>
                              <w:alias w:val="Numeris"/>
                              <w:tag w:val="nr_e00b7361c721488f94cc77d57549b83a"/>
                              <w:lock w:val="sdtLocked"/>
                              <w:richText/>
                            </w:sdtPr>
                            <w:sdtContent>
                              <w:r>
                                <w:rPr>
                                  <w:szCs w:val="24"/>
                                  <w:shd w:val="clear" w:color="auto" w:fill="FFFFFF"/>
                                  <w:lang w:eastAsia="lt-LT"/>
                                </w:rPr>
                                <w:t>2.2.2.2</w:t>
                              </w:r>
                            </w:sdtContent>
                          </w:sdt>
                          <w:r>
                            <w:rPr>
                              <w:szCs w:val="24"/>
                              <w:shd w:val="clear" w:color="auto" w:fill="FFFFFF"/>
                              <w:lang w:eastAsia="lt-LT"/>
                            </w:rPr>
                            <w:t>. maisto ir gėlių prekybai turgavietėse ir kitose viešose prekybos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c42b513d70ed476da843c83f29a28f46"/>
                        <w:lock w:val="sdtLocked"/>
                        <w:richText/>
                      </w:sdtPr>
                      <w:sdtContent>
                        <w:p>
                          <w:pPr>
                            <w:pStyle w:val="PlainText"/>
                            <w:ind w:firstLine="567"/>
                            <w:jc w:val="both"/>
                            <w:rPr>
                              <w:rFonts w:ascii="Times New Roman" w:hAnsi="Times New Roman"/>
                              <w:b/>
                              <w:bCs/>
                              <w:sz w:val="22"/>
                            </w:rPr>
                          </w:pPr>
                          <w:r>
                            <w:rPr>
                              <w:rFonts w:ascii="Times New Roman" w:hAnsi="Times New Roman"/>
                              <w:sz w:val="22"/>
                            </w:rPr>
                            <w:t>2.2.2.4</w:t>
                          </w:r>
                          <w:r>
                            <w:rPr>
                              <w:rFonts w:ascii="Times New Roman" w:hAnsi="Times New Roman"/>
                              <w:sz w:val="22"/>
                            </w:rPr>
                            <w:t>.</w:t>
                          </w:r>
                          <w:r>
                            <w:rPr>
                              <w:rFonts w:ascii="Times New Roman" w:eastAsia="MS Mincho" w:hAnsi="Times New Roman"/>
                              <w:sz w:val="20"/>
                              <w:i/>
                              <w:iCs/>
                            </w:rPr>
                            <w:t xml:space="preserve"> Neteko galios nuo 2021-02-15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5 pp."/>
                        <w:tag w:val="part_4ed5c202d2d04b7d9b5ea4f6f71da4d7"/>
                        <w:lock w:val="sdtLocked"/>
                        <w:richText/>
                      </w:sdtPr>
                      <w:sdtContent>
                        <w:p>
                          <w:pPr>
                            <w:ind w:firstLine="720"/>
                            <w:jc w:val="both"/>
                          </w:pPr>
                          <w:sdt>
                            <w:sdtPr>
                              <w:alias w:val="Numeris"/>
                              <w:tag w:val="nr_4ed5c202d2d04b7d9b5ea4f6f71da4d7"/>
                              <w:lock w:val="sdtLocked"/>
                              <w:richText/>
                            </w:sdtPr>
                            <w:sdtContent>
                              <w:r>
                                <w:rPr>
                                  <w:color w:val="000000"/>
                                  <w:szCs w:val="24"/>
                                  <w:lang w:eastAsia="lt-LT"/>
                                </w:rPr>
                                <w:t>2.2.2.5</w:t>
                              </w:r>
                            </w:sdtContent>
                          </w:sdt>
                          <w:r>
                            <w:rPr>
                              <w:color w:val="000000"/>
                              <w:szCs w:val="24"/>
                              <w:lang w:eastAsia="lt-LT"/>
                            </w:rPr>
                            <w:t>. laidojimo reikmenų parduotuvėms.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6 pp."/>
                        <w:tag w:val="part_8302fbdf8225415da0a0dcad1bd4ce8c"/>
                        <w:lock w:val="sdtLocked"/>
                        <w:richText/>
                      </w:sdtPr>
                      <w:sdtContent>
                        <w:p>
                          <w:pPr>
                            <w:ind w:firstLine="709"/>
                            <w:jc w:val="both"/>
                          </w:pPr>
                          <w:sdt>
                            <w:sdtPr>
                              <w:alias w:val="Numeris"/>
                              <w:tag w:val="nr_8302fbdf8225415da0a0dcad1bd4ce8c"/>
                              <w:lock w:val="sdtLocked"/>
                              <w:richText/>
                            </w:sdtPr>
                            <w:sdtContent>
                              <w:r>
                                <w:rPr>
                                  <w:szCs w:val="24"/>
                                  <w:lang w:eastAsia="lt-LT"/>
                                </w:rPr>
                                <w:t>2.2.2.6</w:t>
                              </w:r>
                            </w:sdtContent>
                          </w:sdt>
                          <w:r>
                            <w:rPr>
                              <w:szCs w:val="24"/>
                              <w:lang w:eastAsia="lt-LT"/>
                            </w:rPr>
                            <w:t>. parduotuvėms, kioskams ir paviljonams (išskyrus kioskus ir paviljonus, esančius turgavietėse), vykdantiems veiklą patalpose, kurių prekybos plotas (t. y. prekybos salės, skirtos pirkėjams aptarnauti ir prekėms išdėlioti, plotas, įskaitant matavimosi kabinas. Į prekybos plotą neįskaitomas administracinių patalpų, sandėlių ir pagalbinių patalpų, dirbtuvių, laiptinių, sanitarinių patalpų plotas) neviršija 300 m</w:t>
                          </w:r>
                          <w:r>
                            <w:rPr>
                              <w:szCs w:val="24"/>
                              <w:vertAlign w:val="superscript"/>
                              <w:lang w:eastAsia="lt-LT"/>
                            </w:rPr>
                            <w:t>2</w:t>
                          </w:r>
                          <w:r>
                            <w:rPr>
                              <w:szCs w:val="24"/>
                              <w:lang w:eastAsia="lt-LT"/>
                            </w:rPr>
                            <w:t>. Šiame papunktyje nurodytos parduotuvės ir paviljonai gali veikti, tik jeigu turi tiesioginį įėjimą iš lauko klientams arba atskirą įėjimą, kuriuo naudojasi tik tos parduotuvės ar paviljono klientai.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7 pp."/>
                        <w:tag w:val="part_628030520a3e4d18b6361f1184e6e8ca"/>
                        <w:lock w:val="sdtLocked"/>
                        <w:richText/>
                      </w:sdtPr>
                      <w:sdtContent>
                        <w:p>
                          <w:pPr>
                            <w:ind w:firstLine="709"/>
                            <w:jc w:val="both"/>
                          </w:pPr>
                          <w:sdt>
                            <w:sdtPr>
                              <w:alias w:val="Numeris"/>
                              <w:tag w:val="nr_628030520a3e4d18b6361f1184e6e8ca"/>
                              <w:lock w:val="sdtLocked"/>
                              <w:richText/>
                            </w:sdtPr>
                            <w:sdtContent>
                              <w:r>
                                <w:rPr>
                                  <w:szCs w:val="24"/>
                                  <w:lang w:eastAsia="lt-LT"/>
                                </w:rPr>
                                <w:t>2.2.2.7</w:t>
                              </w:r>
                            </w:sdtContent>
                          </w:sdt>
                          <w:r>
                            <w:rPr>
                              <w:szCs w:val="24"/>
                              <w:lang w:eastAsia="lt-LT"/>
                            </w:rPr>
                            <w:t>. ne maisto prekių prekybai lauko sąlygomis nuo laikinų prekybos įrenginių, taip pat ne prekybos patalpose sudaromoms sutartims (išnešiojamoji prekyba).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1 pp."/>
                    <w:tag w:val="part_c8a9f2f15e0743538da15ccef84a740f"/>
                    <w:lock w:val="sdtLocked"/>
                    <w:richText/>
                  </w:sdtPr>
                  <w:sdtContent>
                    <w:p>
                      <w:pPr>
                        <w:ind w:firstLine="709"/>
                        <w:jc w:val="both"/>
                        <w:rPr>
                          <w:szCs w:val="24"/>
                          <w:lang w:eastAsia="lt-LT"/>
                        </w:rPr>
                      </w:pPr>
                      <w:sdt>
                        <w:sdtPr>
                          <w:alias w:val="Numeris"/>
                          <w:tag w:val="nr_c8a9f2f15e0743538da15ccef84a740f"/>
                          <w:lock w:val="sdtLocked"/>
                          <w:richText/>
                        </w:sdtPr>
                        <w:sdtContent>
                          <w:r>
                            <w:rPr>
                              <w:szCs w:val="24"/>
                              <w:lang w:eastAsia="lt-LT"/>
                            </w:rPr>
                            <w:t>2.2.2</w:t>
                          </w:r>
                          <w:r>
                            <w:rPr>
                              <w:szCs w:val="24"/>
                              <w:vertAlign w:val="superscript"/>
                              <w:lang w:eastAsia="lt-LT"/>
                            </w:rPr>
                            <w:t>1</w:t>
                          </w:r>
                        </w:sdtContent>
                      </w:sdt>
                      <w:r>
                        <w:rPr>
                          <w:szCs w:val="24"/>
                          <w:lang w:eastAsia="lt-LT"/>
                        </w:rPr>
                        <w:t>. Parduotuvėse, įskaitant parduotuves prekybos ir (arba) pramogų centruose, turgavietėse ir kitose viešose prekybos vietose, kurių veikla nedraudžiama, turi būti užtikrinamas 15 m</w:t>
                      </w:r>
                      <w:r>
                        <w:rPr>
                          <w:szCs w:val="24"/>
                          <w:vertAlign w:val="superscript"/>
                          <w:lang w:eastAsia="lt-LT"/>
                        </w:rPr>
                        <w:t xml:space="preserve">2 </w:t>
                      </w:r>
                      <w:r>
                        <w:rPr>
                          <w:szCs w:val="24"/>
                          <w:lang w:eastAsia="lt-LT"/>
                        </w:rPr>
                        <w:t>prekybos plotas vienam lankytojui arba vienu metu aptarnaujamas ne daugiau kaip vienas asmuo, o parduotuvėse ir prekybos vietose, nurodytose šio nutarimo 2.2.2.6 ir 2.2.2.7 papunkčiuose, – 20 m</w:t>
                      </w:r>
                      <w:r>
                        <w:rPr>
                          <w:szCs w:val="24"/>
                          <w:vertAlign w:val="superscript"/>
                          <w:lang w:eastAsia="lt-LT"/>
                        </w:rPr>
                        <w:t>2</w:t>
                      </w:r>
                      <w:r>
                        <w:rPr>
                          <w:szCs w:val="24"/>
                          <w:lang w:eastAsia="lt-LT"/>
                        </w:rPr>
                        <w:t xml:space="preserve"> prekybos plotas vienam lankytojui arba vienu metu aptarnaujamas ne daugiau kaip vienas asmuo, taip pat turi būti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b70005d735544c8eb12101c057c4b488"/>
                        <w:lock w:val="sdtLocked"/>
                        <w:richText/>
                      </w:sdtPr>
                      <w:sdtContent>
                        <w:p>
                          <w:pPr>
                            <w:ind w:firstLine="709"/>
                            <w:jc w:val="both"/>
                            <w:rPr>
                              <w:szCs w:val="24"/>
                              <w:lang w:eastAsia="lt-LT"/>
                            </w:rPr>
                          </w:pPr>
                          <w:sdt>
                            <w:sdtPr>
                              <w:alias w:val="Numeris"/>
                              <w:tag w:val="nr_b70005d735544c8eb12101c057c4b488"/>
                              <w:lock w:val="sdtLocked"/>
                              <w:richText/>
                            </w:sdtPr>
                            <w:sdtContent>
                              <w:r>
                                <w:rPr>
                                  <w:szCs w:val="24"/>
                                  <w:shd w:val="clear" w:color="auto" w:fill="FFFFFF"/>
                                  <w:lang w:eastAsia="lt-LT"/>
                                </w:rPr>
                                <w:t>2.2.3.1</w:t>
                              </w:r>
                            </w:sdtContent>
                          </w:sdt>
                          <w:r>
                            <w:rPr>
                              <w:szCs w:val="24"/>
                              <w:shd w:val="clear" w:color="auto" w:fill="FFFFFF"/>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w:t>
                          </w:r>
                          <w:r>
                            <w:rPr>
                              <w:szCs w:val="24"/>
                              <w:lang w:eastAsia="lt-LT"/>
                            </w:rPr>
                            <w:t xml:space="preserve"> transporto priemonių vairavimo egzaminavimo paslaugoms,</w:t>
                          </w:r>
                          <w:r>
                            <w:rPr>
                              <w:szCs w:val="24"/>
                              <w:shd w:val="clear" w:color="auto" w:fill="FFFFFF"/>
                              <w:lang w:eastAsia="lt-LT"/>
                            </w:rPr>
                            <w:t xml:space="preserve"> finansinėms paslaugoms ir kvalifikuotų patikimumo užtikrinimo paslaugų teikėjų sudarytų kvalifikuotų sertifikatų išdavimo paslaugoms, kurių neįmanoma suteikti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7c3dfc28ed7a4c9c8c72c32b6f5e1c60"/>
                    <w:lock w:val="sdtLocked"/>
                    <w:richText/>
                  </w:sdtPr>
                  <w:sdtContent>
                    <w:p>
                      <w:pPr>
                        <w:ind w:firstLine="709"/>
                        <w:jc w:val="both"/>
                        <w:rPr>
                          <w:szCs w:val="24"/>
                          <w:lang w:eastAsia="lt-LT"/>
                        </w:rPr>
                      </w:pPr>
                      <w:sdt>
                        <w:sdtPr>
                          <w:alias w:val="Numeris"/>
                          <w:tag w:val="nr_7c3dfc28ed7a4c9c8c72c32b6f5e1c60"/>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c25d9b9b32bc420eac23902a0d07b8b0"/>
                        <w:lock w:val="sdtLocked"/>
                        <w:richText/>
                      </w:sdtPr>
                      <w:sdtContent>
                        <w:p>
                          <w:pPr>
                            <w:ind w:firstLine="709"/>
                            <w:jc w:val="both"/>
                          </w:pPr>
                          <w:sdt>
                            <w:sdtPr>
                              <w:alias w:val="Numeris"/>
                              <w:tag w:val="nr_c25d9b9b32bc420eac23902a0d07b8b0"/>
                              <w:lock w:val="sdtLocked"/>
                              <w:richText/>
                            </w:sdtPr>
                            <w:sdtContent>
                              <w:r>
                                <w:rPr>
                                  <w:rFonts w:eastAsia="Calibri"/>
                                  <w:color w:val="000000"/>
                                  <w:szCs w:val="24"/>
                                  <w:shd w:val="clear" w:color="auto" w:fill="FFFFFF"/>
                                  <w:lang w:eastAsia="lt-LT"/>
                                </w:rPr>
                                <w:t>2.2.6.3</w:t>
                              </w:r>
                            </w:sdtContent>
                          </w:sdt>
                          <w:r>
                            <w:rPr>
                              <w:rFonts w:eastAsia="Calibri"/>
                              <w:color w:val="000000"/>
                              <w:szCs w:val="24"/>
                              <w:shd w:val="clear" w:color="auto" w:fill="FFFFFF"/>
                              <w:lang w:eastAsia="lt-LT"/>
                            </w:rPr>
                            <w:t xml:space="preserve">. sporto, laisvalaikio ir pramogų paslaugas atvirose erdvėse, vienu metu teikiamas ne daugiau kaip 5 asmenims, </w:t>
                          </w:r>
                          <w:r>
                            <w:rPr>
                              <w:szCs w:val="24"/>
                              <w:shd w:val="clear" w:color="auto" w:fill="FFFFFF"/>
                              <w:lang w:eastAsia="lt-LT"/>
                            </w:rPr>
                            <w:t xml:space="preserve">išskyrus </w:t>
                          </w:r>
                          <w:r>
                            <w:rPr>
                              <w:szCs w:val="24"/>
                              <w:lang w:eastAsia="lt-LT"/>
                            </w:rPr>
                            <w:t xml:space="preserve">dviejų šeimų ir (ar) dviejų namų ūkių </w:t>
                          </w:r>
                          <w:r>
                            <w:rPr>
                              <w:szCs w:val="24"/>
                              <w:shd w:val="clear" w:color="auto" w:fill="FFFFFF"/>
                              <w:lang w:eastAsia="lt-LT"/>
                            </w:rPr>
                            <w:t>narius</w:t>
                          </w:r>
                          <w:r>
                            <w:rPr>
                              <w:rFonts w:eastAsia="Calibri"/>
                              <w:color w:val="000000"/>
                              <w:szCs w:val="24"/>
                              <w:shd w:val="clear" w:color="auto" w:fill="FFFFFF"/>
                              <w:lang w:eastAsia="lt-LT"/>
                            </w:rPr>
                            <w:t>, ir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6d3faa262bae435b87971752c41b6abd"/>
                    <w:lock w:val="sdtLocked"/>
                    <w:richText/>
                  </w:sdtPr>
                  <w:sdtContent>
                    <w:p>
                      <w:pPr>
                        <w:tabs>
                          <w:tab w:val="left" w:pos="1134"/>
                        </w:tabs>
                        <w:ind w:firstLine="709"/>
                        <w:jc w:val="both"/>
                        <w:rPr>
                          <w:strike/>
                          <w:szCs w:val="24"/>
                          <w:lang w:eastAsia="lt-LT"/>
                        </w:rPr>
                      </w:pPr>
                      <w:sdt>
                        <w:sdtPr>
                          <w:alias w:val="Numeris"/>
                          <w:tag w:val="nr_6d3faa262bae435b87971752c41b6abd"/>
                          <w:lock w:val="sdtLocked"/>
                          <w:richText/>
                        </w:sdt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d3f90748b559456b88f325a9dc4421a1"/>
                        <w:lock w:val="sdtLocked"/>
                        <w:richText/>
                      </w:sdtPr>
                      <w:sdtContent>
                        <w:p>
                          <w:pPr>
                            <w:tabs>
                              <w:tab w:val="left" w:pos="1134"/>
                            </w:tabs>
                            <w:ind w:firstLine="709"/>
                            <w:jc w:val="both"/>
                            <w:rPr>
                              <w:strike/>
                              <w:szCs w:val="24"/>
                              <w:lang w:eastAsia="lt-LT"/>
                            </w:rPr>
                          </w:pPr>
                          <w:sdt>
                            <w:sdtPr>
                              <w:alias w:val="Numeris"/>
                              <w:tag w:val="nr_d3f90748b559456b88f325a9dc4421a1"/>
                              <w:lock w:val="sdtLocked"/>
                              <w:richText/>
                            </w:sdtPr>
                            <w:sdtContent>
                              <w:r>
                                <w:rPr>
                                  <w:color w:val="000000"/>
                                  <w:szCs w:val="24"/>
                                  <w:shd w:val="clear" w:color="auto" w:fill="FFFFFF"/>
                                  <w:lang w:eastAsia="lt-LT"/>
                                </w:rPr>
                                <w:t>2.2.6</w:t>
                              </w:r>
                              <w:r>
                                <w:rPr>
                                  <w:color w:val="000000"/>
                                  <w:szCs w:val="24"/>
                                  <w:shd w:val="clear" w:color="auto" w:fill="FFFFFF"/>
                                  <w:vertAlign w:val="superscript"/>
                                  <w:lang w:eastAsia="lt-LT"/>
                                </w:rPr>
                                <w:t>1</w:t>
                              </w:r>
                              <w:r>
                                <w:rPr>
                                  <w:color w:val="000000"/>
                                  <w:szCs w:val="24"/>
                                  <w:shd w:val="clear" w:color="auto" w:fill="FFFFFF"/>
                                  <w:lang w:eastAsia="lt-LT"/>
                                </w:rPr>
                                <w:t>.1</w:t>
                              </w:r>
                            </w:sdtContent>
                          </w:sdt>
                          <w:r>
                            <w:rPr>
                              <w:color w:val="000000"/>
                              <w:szCs w:val="24"/>
                              <w:shd w:val="clear" w:color="auto" w:fill="FFFFFF"/>
                              <w:lang w:eastAsia="lt-LT"/>
                            </w:rPr>
                            <w:t>. fiziškai aptarnaujami lankytojai bibliotekose;</w:t>
                          </w:r>
                        </w:p>
                      </w:sdtContent>
                    </w:sdt>
                    <w:sdt>
                      <w:sdtPr>
                        <w:alias w:val="2.2.6-1.2 pp."/>
                        <w:tag w:val="part_e64a6bebfac1467681cebe2984734dad"/>
                        <w:lock w:val="sdtLocked"/>
                        <w:richText/>
                      </w:sdtPr>
                      <w:sdtContent>
                        <w:p>
                          <w:pPr>
                            <w:ind w:firstLine="709"/>
                            <w:jc w:val="both"/>
                            <w:rPr>
                              <w:szCs w:val="24"/>
                              <w:lang w:eastAsia="lt-LT"/>
                            </w:rPr>
                          </w:pPr>
                          <w:sdt>
                            <w:sdtPr>
                              <w:alias w:val="Numeris"/>
                              <w:tag w:val="nr_e64a6bebfac1467681cebe2984734dad"/>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.2</w:t>
                              </w:r>
                            </w:sdtContent>
                          </w:sdt>
                          <w:r>
                            <w:rPr>
                              <w:szCs w:val="24"/>
                              <w:shd w:val="clear" w:color="auto" w:fill="FFFFFF"/>
                              <w:lang w:eastAsia="lt-LT"/>
                            </w:rPr>
                            <w:t xml:space="preserve">. lankomi pažintiniai ir mokomieji takai, parkai, muziejai, galerijos ir kitos ekspozicinės erdvės, zoologijos ir botanikos sodai, esantys atvirose lauko erdvėse, ne didesnėmis nei 5 asmenų grupėmis, išskyrus </w:t>
                          </w:r>
                          <w:r>
                            <w:rPr>
                              <w:szCs w:val="24"/>
                              <w:lang w:eastAsia="lt-LT"/>
                            </w:rPr>
                            <w:t xml:space="preserve">dviejų šeimų ir (ar) dviejų namų ūkių </w:t>
                          </w:r>
                          <w:r>
                            <w:rPr>
                              <w:szCs w:val="24"/>
                              <w:shd w:val="clear" w:color="auto" w:fill="FFFFFF"/>
                              <w:lang w:eastAsia="lt-LT"/>
                            </w:rPr>
                            <w:t>narius.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8.3 pp."/>
                        <w:tag w:val="part_7d231989b2e4468fa9ad5d6543c8cf73"/>
                        <w:lock w:val="sdtLocked"/>
                        <w:richText/>
                      </w:sdtPr>
                      <w:sdtContent>
                        <w:p>
                          <w:pPr>
                            <w:ind w:firstLine="709"/>
                            <w:jc w:val="both"/>
                            <w:rPr>
                              <w:bCs/>
                              <w:szCs w:val="24"/>
                              <w:lang w:eastAsia="lt-LT"/>
                            </w:rPr>
                          </w:pPr>
                          <w:sdt>
                            <w:sdtPr>
                              <w:alias w:val="Numeris"/>
                              <w:tag w:val="nr_7d231989b2e4468fa9ad5d6543c8cf73"/>
                              <w:lock w:val="sdtLocked"/>
                              <w:richText/>
                            </w:sdt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ada61dfe957c46ccb4f26a307f8036d1"/>
                        <w:lock w:val="sdtLocked"/>
                        <w:richText/>
                      </w:sdtPr>
                      <w:sdtContent>
                        <w:p>
                          <w:pPr>
                            <w:tabs>
                              <w:tab w:val="left" w:pos="1134"/>
                            </w:tabs>
                            <w:ind w:firstLine="720"/>
                            <w:jc w:val="both"/>
                          </w:pPr>
                          <w:sdt>
                            <w:sdtPr>
                              <w:alias w:val="Numeris"/>
                              <w:tag w:val="nr_ada61dfe957c46ccb4f26a307f8036d1"/>
                              <w:lock w:val="sdtLocked"/>
                              <w:richText/>
                            </w:sdtPr>
                            <w:sdtContent>
                              <w:r>
                                <w:rPr>
                                  <w:szCs w:val="24"/>
                                  <w:lang w:eastAsia="lt-LT"/>
                                </w:rPr>
                                <w:t>2.2.9.2</w:t>
                              </w:r>
                            </w:sdtContent>
                          </w:sdt>
                          <w:r>
                            <w:rPr>
                              <w:szCs w:val="24"/>
                              <w:lang w:eastAsia="lt-LT"/>
                            </w:rPr>
                            <w:t>. ugdymas mokyklose pagal pradinio,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ir šio nutarimo 2.2.9.2</w:t>
                          </w:r>
                          <w:r>
                            <w:rPr>
                              <w:szCs w:val="24"/>
                              <w:vertAlign w:val="superscript"/>
                              <w:lang w:eastAsia="lt-LT"/>
                            </w:rPr>
                            <w:t>1</w:t>
                          </w:r>
                          <w:r>
                            <w:rPr>
                              <w:szCs w:val="24"/>
                              <w:lang w:eastAsia="lt-LT"/>
                            </w:rPr>
                            <w:t xml:space="preserve"> papunktyje nurodytą atvejį,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sdtContent>
                    </w:sdt>
                    <w:sdt>
                      <w:sdtPr>
                        <w:alias w:val="2.2.9.2-1 pp."/>
                        <w:tag w:val="part_e3dd8b8d779d49aca88995ca0aecf6a9"/>
                        <w:lock w:val="sdtLocked"/>
                        <w:richText/>
                      </w:sdtPr>
                      <w:sdtContent>
                        <w:p>
                          <w:pPr>
                            <w:ind w:firstLine="709"/>
                            <w:jc w:val="both"/>
                            <w:rPr>
                              <w:szCs w:val="24"/>
                              <w:lang w:eastAsia="lt-LT"/>
                            </w:rPr>
                          </w:pPr>
                          <w:sdt>
                            <w:sdtPr>
                              <w:alias w:val="Numeris"/>
                              <w:tag w:val="nr_e3dd8b8d779d49aca88995ca0aecf6a9"/>
                              <w:lock w:val="sdtLocked"/>
                              <w:richText/>
                            </w:sdtPr>
                            <w:sdtContent>
                              <w:r>
                                <w:rPr>
                                  <w:szCs w:val="24"/>
                                  <w:shd w:val="clear" w:color="auto" w:fill="FFFFFF"/>
                                  <w:lang w:eastAsia="lt-LT"/>
                                </w:rPr>
                                <w:t>2.2.9.2</w:t>
                              </w:r>
                              <w:r>
                                <w:rPr>
                                  <w:szCs w:val="24"/>
                                  <w:shd w:val="clear" w:color="auto" w:fill="FFFFFF"/>
                                  <w:vertAlign w:val="superscript"/>
                                  <w:lang w:eastAsia="lt-LT"/>
                                </w:rPr>
                                <w:t>1</w:t>
                              </w:r>
                            </w:sdtContent>
                          </w:sdt>
                          <w:r>
                            <w:rPr>
                              <w:szCs w:val="24"/>
                              <w:shd w:val="clear" w:color="auto" w:fill="FFFFFF"/>
                              <w:lang w:eastAsia="lt-LT"/>
                            </w:rPr>
                            <w:t>. Vilniaus miesto savivaldybės administracijos pasirinktose ugdymo įstaigose nuo 2021 m. vasario 22 d. iki 2021 m. kovo 31 d. ugdymas pagal pradinio ugdymo programą vykdomas mišriu būdu, periodiškai jose atliekant pagal pradinio ugdymo programą ugdomų mokinių namų ūkių ir įstaigose kontaktiniu būdu dirbančių darbuotojų bandomąjį profilaktinį tyrimą COVID-19 ligai (koronaviruso infekcijai) diagnozuoti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9.3 pp."/>
                        <w:tag w:val="part_b95acaa9deac4310a39a14c4734a09b6"/>
                        <w:lock w:val="sdtLocked"/>
                        <w:richText/>
                      </w:sdtPr>
                      <w:sdtContent>
                        <w:p>
                          <w:pPr>
                            <w:ind w:firstLine="709"/>
                            <w:jc w:val="both"/>
                            <w:rPr>
                              <w:szCs w:val="24"/>
                              <w:lang w:eastAsia="lt-LT"/>
                            </w:rPr>
                          </w:pPr>
                          <w:sdt>
                            <w:sdtPr>
                              <w:alias w:val="Numeris"/>
                              <w:tag w:val="nr_b95acaa9deac4310a39a14c4734a09b6"/>
                              <w:lock w:val="sdtLocked"/>
                              <w:richText/>
                            </w:sdtPr>
                            <w:sdtContent>
                              <w:r>
                                <w:rPr>
                                  <w:color w:val="000000"/>
                                  <w:szCs w:val="24"/>
                                  <w:lang w:eastAsia="lt-LT"/>
                                </w:rPr>
                                <w:t>2.2.9.3</w:t>
                              </w:r>
                            </w:sdtContent>
                          </w:sdt>
                          <w:r>
                            <w:rPr>
                              <w:color w:val="000000"/>
                              <w:szCs w:val="24"/>
                              <w:lang w:eastAsia="lt-LT"/>
                            </w:rPr>
                            <w:t>. neformalusis vaikų švietimas vykdomas nuotoliniu būdu arba stabdomas, išskyrus užsienio kalbos mokėjimo lygio vertinimo egzaminus (įskaitas) mokiniams, kai dalyvauja ne daugiau kaip 5 mokiniai, bei neformaliojo vaikų švietimo užsiėmimus atvirose erdvėse, kai dalyvauja ne daugiau kaip 5 vaikai,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9.4 pp."/>
                        <w:tag w:val="part_2596dfdec1234ff29321447efde666d5"/>
                        <w:lock w:val="sdtLocked"/>
                        <w:richText/>
                      </w:sdtPr>
                      <w:sdtContent>
                        <w:p>
                          <w:pPr>
                            <w:ind w:firstLine="709"/>
                            <w:jc w:val="both"/>
                            <w:rPr>
                              <w:szCs w:val="24"/>
                              <w:lang w:eastAsia="lt-LT"/>
                            </w:rPr>
                          </w:pPr>
                          <w:sdt>
                            <w:sdtPr>
                              <w:alias w:val="Numeris"/>
                              <w:tag w:val="nr_2596dfdec1234ff29321447efde666d5"/>
                              <w:lock w:val="sdtLocked"/>
                              <w:richText/>
                            </w:sdtPr>
                            <w:sdtContent>
                              <w:r>
                                <w:rPr>
                                  <w:szCs w:val="24"/>
                                  <w:shd w:val="clear" w:color="auto" w:fill="FFFFFF"/>
                                  <w:lang w:eastAsia="lt-LT"/>
                                </w:rPr>
                                <w:t>2.2.9.4</w:t>
                              </w:r>
                            </w:sdtContent>
                          </w:sdt>
                          <w:r>
                            <w:rPr>
                              <w:szCs w:val="24"/>
                              <w:shd w:val="clear" w:color="auto" w:fill="FFFFFF"/>
                              <w:lang w:eastAsia="lt-LT"/>
                            </w:rPr>
                            <w:t>. neformalusis suaugusiųjų švietimas ir neformalusis profesinis mokymas vykdomi nuotoliniu būdu arba stabdomi, išskyrus aviacijos</w:t>
                          </w:r>
                          <w:r>
                            <w:rPr>
                              <w:szCs w:val="24"/>
                              <w:lang w:eastAsia="lt-LT"/>
                            </w:rPr>
                            <w:t xml:space="preserve"> bei jūrininkų praktinius mokymus, transporto priemonių</w:t>
                          </w:r>
                          <w:r>
                            <w:rPr>
                              <w:szCs w:val="24"/>
                              <w:shd w:val="clear" w:color="auto" w:fill="FFFFFF"/>
                              <w:lang w:eastAsia="lt-LT"/>
                            </w:rPr>
                            <w:t xml:space="preserve"> vairavimo praktinius mokymus, užsienio kalbos mokėjimo lygio vertinimo egzaminus (įskaitas) asmenims, stojantiems į užsienio aukštąsias mokyklas,</w:t>
                          </w:r>
                          <w:r>
                            <w:rPr>
                              <w:color w:val="000000"/>
                              <w:szCs w:val="24"/>
                              <w:shd w:val="clear" w:color="auto" w:fill="FFFFFF"/>
                              <w:lang w:eastAsia="lt-LT"/>
                            </w:rPr>
                            <w:t xml:space="preserve"> ir valstybinės kalbos ir Lietuvos Respublikos Konstitucijos pagrindų egzaminus asmenims, kuriems pagal Lietuvos Respublikos pilietybės įstatymą būtina juos išlaikyti</w:t>
                          </w:r>
                          <w:r>
                            <w:rPr>
                              <w:szCs w:val="24"/>
                              <w:shd w:val="clear" w:color="auto" w:fill="FFFFFF"/>
                              <w:lang w:eastAsia="lt-LT"/>
                            </w:rPr>
                            <w:t>, kai dalyvauja ne daugiau kaip 5 asmenys, bei neformaliojo suaugusiųjų švietimo užsiėmimus atvirose erdvėse, kai dalyvauja ne daugiau kaip 5 asmenys,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3f35a89bd374fc38eb533bd0789a97a"/>
                        <w:lock w:val="sdtLocked"/>
                        <w:richText/>
                      </w:sdtPr>
                      <w:sdtContent>
                        <w:p>
                          <w:pPr>
                            <w:tabs>
                              <w:tab w:val="left" w:pos="1134"/>
                            </w:tabs>
                            <w:ind w:firstLine="720"/>
                            <w:jc w:val="both"/>
                          </w:pPr>
                          <w:sdt>
                            <w:sdtPr>
                              <w:alias w:val="Numeris"/>
                              <w:tag w:val="nr_a3f35a89bd374fc38eb533bd0789a97a"/>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4679613073244e7f9500ea5433b6c7a8"/>
                    <w:lock w:val="sdtLocked"/>
                    <w:richText/>
                  </w:sdtPr>
                  <w:sdtContent>
                    <w:p>
                      <w:pPr>
                        <w:ind w:firstLine="709"/>
                        <w:jc w:val="both"/>
                        <w:rPr>
                          <w:bCs/>
                          <w:szCs w:val="24"/>
                          <w:lang w:eastAsia="lt-LT"/>
                        </w:rPr>
                      </w:pPr>
                      <w:sdt>
                        <w:sdtPr>
                          <w:alias w:val="Numeris"/>
                          <w:tag w:val="nr_4679613073244e7f9500ea5433b6c7a8"/>
                          <w:lock w:val="sdtLocked"/>
                          <w:richText/>
                        </w:sdtPr>
                        <w:sdtContent>
                          <w:r>
                            <w:rPr>
                              <w:color w:val="000000"/>
                              <w:szCs w:val="24"/>
                              <w:lang w:eastAsia="lt-LT"/>
                            </w:rPr>
                            <w:t>2.2.12</w:t>
                          </w:r>
                        </w:sdtContent>
                      </w:sdt>
                      <w:r>
                        <w:rPr>
                          <w:color w:val="000000"/>
                          <w:szCs w:val="24"/>
                          <w:lang w:eastAsia="lt-LT"/>
                        </w:rPr>
                        <w:t>. Apribojamas ilgalaikių pasimatymų pataisos įstaigose ir tardymo izoliatoriuose organizavimas ir vykdymas. Trumpalaikiai pasimatymai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15ee135273184a44acaca6609f2632d4"/>
            <w:lock w:val="sdtLocked"/>
            <w:richText/>
          </w:sdtPr>
          <w:sdtContent>
            <w:p>
              <w:pPr>
                <w:tabs>
                  <w:tab w:val="left" w:pos="1134"/>
                </w:tabs>
                <w:ind w:firstLine="720"/>
                <w:jc w:val="both"/>
                <w:rPr>
                  <w:szCs w:val="24"/>
                  <w:lang w:eastAsia="lt-LT"/>
                </w:rPr>
              </w:pPr>
              <w:sdt>
                <w:sdtPr>
                  <w:alias w:val="Numeris"/>
                  <w:tag w:val="nr_15ee135273184a44acaca6609f2632d4"/>
                  <w:lock w:val="sdtLocked"/>
                  <w:richText/>
                </w:sdtPr>
                <w:sdtContent>
                  <w:r>
                    <w:rPr>
                      <w:szCs w:val="24"/>
                      <w:lang w:eastAsia="lt-LT"/>
                    </w:rPr>
                    <w:t>5</w:t>
                  </w:r>
                </w:sdtContent>
              </w:sdt>
              <w:r>
                <w:rPr>
                  <w:szCs w:val="24"/>
                  <w:lang w:eastAsia="lt-LT"/>
                </w:rPr>
                <w:t>. Karantino režimo trukmė – nuo 2020 m. lapkričio 7 d. 00:00 val. iki 2021 m. kovo 31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cb774d9fa692426f81e712e6384430fb"/>
                <w:lock w:val="sdtLocked"/>
                <w:richText/>
              </w:sdtPr>
              <w:sdtContent>
                <w:p>
                  <w:pPr>
                    <w:ind w:firstLine="720"/>
                    <w:jc w:val="both"/>
                    <w:rPr>
                      <w:szCs w:val="24"/>
                      <w:lang w:eastAsia="lt-LT"/>
                    </w:rPr>
                  </w:pPr>
                  <w:sdt>
                    <w:sdtPr>
                      <w:alias w:val="Numeris"/>
                      <w:tag w:val="nr_cb774d9fa692426f81e712e6384430fb"/>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ce747fa8c6c54b9090517c0e073b6501"/>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ce747fa8c6c54b9090517c0e073b6501"/>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983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830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67.xml"/>
  <Relationship Id="rId11" Type="http://schemas.openxmlformats.org/officeDocument/2006/relationships/header" Target="header68.xml"/>
  <Relationship Id="rId12" Type="http://schemas.openxmlformats.org/officeDocument/2006/relationships/footer" Target="footer67.xml"/>
  <Relationship Id="rId13" Type="http://schemas.openxmlformats.org/officeDocument/2006/relationships/footer" Target="footer68.xml"/>
  <Relationship Id="rId14" Type="http://schemas.openxmlformats.org/officeDocument/2006/relationships/header" Target="header69.xml"/>
  <Relationship Id="rId15" Type="http://schemas.openxmlformats.org/officeDocument/2006/relationships/footer" Target="footer6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3-1" Abbr="2.1.3-1 pp." DocPartId="f0033d3d26d04692b6d75b6e65d11de2" PartId="0c4522fe75b748ddb6b97366fb4e1639">
          <Part Type="papunktis" Nr="2.1.3-1.1" Abbr="2.1.3-1.1 pp." DocPartId="1b8d269666504bde9ab7cf581cfaee17" PartId="cc93e640a245447aa6c8ed2cfef760ed"/>
          <Part Type="papunktis" Nr="2.1.3-1.2" Abbr="2.1.3-1.2 pp." DocPartId="f121d171cfd54e37a03599d3449ea24d" PartId="d989a8f7152c45d2b883e72cfffbd650"/>
          <Part Type="papunktis" Nr="2.1.3-1.3" Abbr="2.1.3-1.3 pp." DocPartId="99318108e9074342beca4fd5a29696d2" PartId="1e35413b70cd4d7981cb2a823bcfa177"/>
          <Part Type="papunktis" Nr="2.1.3-1.4" Abbr="2.1.3-1.4 pp." DocPartId="81e2c06cfa9c43d19e8da5947e9bfbe4" PartId="befa0bfd71f74e979b5c45753af644f3"/>
        </Part>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441f2c9970bc4a5d9d0e8c5501ff3859"/>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c51985aa931b4357bcf436ff24269600"/>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cdfb30813b8543b4b880d86049decd27"/>
        <Part Type="papunktis" Nr="2.1.8" Abbr="2.1.8 pp." DocPartId="03ed9f9233b1464e9c619f99ef7da538" PartId="40b89ac91da84c8488ecb99bf7e66a5f">
          <Part Type="papunktis" Nr="2.1.8.1" Abbr="2.1.8.1 pp." DocPartId="c4c5e18545fa4032af686e044f0f6276" PartId="00aa4ad8b70040188dab7639200457a4">
            <Part Type="papunktis" Nr="2.1.8.1.1" Abbr="2.1.8.1.1 pp." DocPartId="addfee91e34947c9abaed60ce1f6e65d" PartId="8915693e41164f14931e29f25ccdeed1"/>
            <Part Type="papunktis" Nr="2.1.8.1.2" Abbr="2.1.8.1.2 pp." DocPartId="81c8f790214f4a838ccd42b4fe35b52f" PartId="bc750ed0df1642d696d34cf7551ea10e"/>
            <Part Type="papunktis" Nr="2.1.8.1.3" Abbr="2.1.8.1.3 pp." DocPartId="95cdb0944bd7429790252589c8669958" PartId="aeb3c0341a9c4a7a96787984c341672c"/>
            <Part Type="papunktis" Nr="2.1.8.1.4" Abbr="2.1.8.1.4 pp." DocPartId="ec94a0e7b4ad4643bddff43998b8196a" PartId="8798758460a549fd8dc77a26c96b41d0"/>
          </Part>
          <Part Type="papunktis" Nr="2.1.8.2" Abbr="2.1.8.2 pp." DocPartId="c8774f4654cb4eec94778754d8308ab7" PartId="1457452cf8d64f77996b97455d836017"/>
          <Part Type="papunktis" Nr="2.1.8.3" Abbr="2.1.8.3 pp." DocPartId="0142b1860ba84811b11ee0322aba2ff7" PartId="7bafe04f7be740b5b4728ca7262368ec"/>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cad3f48ef6ff4eccaef3590dbb0d6106"/>
          <Part Type="papunktis" Nr="2.2.2.2" Abbr="2.2.2.2 pp." DocPartId="fb7a210718c64d62924d35e07205d64a" PartId="e00b7361c721488f94cc77d57549b83a"/>
          <Part Type="papunktis" Nr="2.2.2.3" Abbr="2.2.2.3 pp." DocPartId="716118d28a484da7a1f726c0a1b6520c" PartId="b5b5b65a8d9a41cab9623cc8a46fc6bd"/>
          <Part Type="papunktis" Nr="2.2.2.4" Abbr="2.2.2.4 pp." DocPartId="cac039cc850743c6b2b8141d3e47f684" PartId="c42b513d70ed476da843c83f29a28f46"/>
          <Part Type="papunktis" Nr="2.2.2.5" Abbr="2.2.2.5 pp." DocPartId="8b735764867347b7b70e8cd0189addc5" PartId="4ed5c202d2d04b7d9b5ea4f6f71da4d7"/>
          <Part Type="papunktis" Nr="2.2.2.6" Abbr="2.2.2.6 pp." DocPartId="bd2eef74523f493e9849ac7d923e0810" PartId="8302fbdf8225415da0a0dcad1bd4ce8c"/>
          <Part Type="papunktis" Nr="2.2.2.7" Abbr="2.2.2.7 pp." DocPartId="9da1b78268794f91ad55acc2c8c6f20d" PartId="628030520a3e4d18b6361f1184e6e8ca"/>
        </Part>
        <Part Type="papunktis" Nr="2.2.2-1" Abbr="2.2.2-1 pp." DocPartId="47e35d3d85f7486aa5428c0b13523d40" PartId="c8a9f2f15e0743538da15ccef84a740f"/>
        <Part Type="papunktis" Nr="2.2.3" Abbr="2.2.3 pp." DocPartId="bcc5c49ba58c431ab3d87de22de791e6" PartId="d10665b3036744258afe79aaa4c84bd5">
          <Part Type="papunktis" Nr="2.2.3.1" Abbr="2.2.3.1 pp." DocPartId="8971ee41741e4f55a3e0557e95e58c00" PartId="b70005d735544c8eb12101c057c4b488"/>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7c3dfc28ed7a4c9c8c72c32b6f5e1c60"/>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b9dd9375d0ae4877890f986f18ffb3d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c25d9b9b32bc420eac23902a0d07b8b0"/>
        </Part>
        <Part Type="papunktis" Nr="2.2.6-1" Abbr="2.2.6-1 pp." DocPartId="62cd7d48202148ad9be8e090326cd720" PartId="6d3faa262bae435b87971752c41b6abd">
          <Part Type="papunktis" Nr="2.2.6-1.1" Abbr="2.2.6-1.1 pp." DocPartId="622203c7bb3440808dcbe56d710e8b75" PartId="d3f90748b559456b88f325a9dc4421a1"/>
          <Part Type="papunktis" Nr="2.2.6-1.2" Abbr="2.2.6-1.2 pp." DocPartId="8ae7638cfaa94c61924a78d4d1b69d50" PartId="e64a6bebfac1467681cebe2984734dad"/>
        </Part>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673dde6ab37b410faca2c6bedab066be"/>
          <Part Type="papunktis" Nr="2.2.8.3" Abbr="2.2.8.3 pp." DocPartId="41a8e784aff94791852426fadeae358a" PartId="7d231989b2e4468fa9ad5d6543c8cf73"/>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ada61dfe957c46ccb4f26a307f8036d1"/>
          <Part Type="papunktis" Nr="2.2.9.2-1" Abbr="2.2.9.2-1 pp." DocPartId="fa2ec9dd8ed74ee69a876d344670664a" PartId="e3dd8b8d779d49aca88995ca0aecf6a9"/>
          <Part Type="papunktis" Nr="2.2.9.3" Abbr="2.2.9.3 pp." DocPartId="67e918b206064a3b995a2c5c212d137b" PartId="b95acaa9deac4310a39a14c4734a09b6"/>
          <Part Type="papunktis" Nr="2.2.9.4" Abbr="2.2.9.4 pp." DocPartId="e60ad632291442fe93773586043fcccf" PartId="2596dfdec1234ff29321447efde666d5"/>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3f35a89bd374fc38eb533bd0789a97a"/>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4679613073244e7f9500ea5433b6c7a8"/>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15ee135273184a44acaca6609f2632d4"/>
    <Part Type="punktas" Nr="6" Abbr="6 p." DocPartId="3fe1cf72014b43489b56130c3a954fbd" PartId="117a40fb43df4394bff8f4686e3e9f9e">
      <Part Type="papunktis" Nr="6.1" Abbr="6.1 pp." DocPartId="ffb170051d83440fb4323a2ce8c1749f" PartId="cb774d9fa692426f81e712e6384430fb"/>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ce747fa8c6c54b9090517c0e073b6501">
    <Part Type="pabaiga" DocPartId="8aa7d51d84b848debd65b12b26547c89" PartId="eeabe54f6d92436eb4751102dd485d22"/>
  </Part>
</Parts>
</file>

<file path=customXml/itemProps1.xml><?xml version="1.0" encoding="utf-8"?>
<ds:datastoreItem xmlns:ds="http://schemas.openxmlformats.org/officeDocument/2006/customXml" ds:itemID="{8DE1F332-4455-4F07-A99E-9A70534665EE}">
  <ds:schemaRefs>
    <ds:schemaRef ds:uri="http://lrs.lt/TAIS/DocParts"/>
  </ds:schemaRefs>
</ds:datastoreItem>
</file>

<file path=docProps/app.xml><?xml version="1.0" encoding="utf-8"?>
<Properties xmlns="http://schemas.openxmlformats.org/officeDocument/2006/extended-properties">
  <Template>Normal.dotm</Template>
  <TotalTime>77</TotalTime>
  <Pages>14</Pages>
  <Words>5732</Words>
  <Characters>43184</Characters>
  <Application>Microsoft Office Word</Application>
  <DocSecurity>0</DocSecurity>
  <Lines>359</Lines>
  <Paragraphs>97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48819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2021-03-07T09:05:00Z</dcterms:modified>
  <revision>29</revision>
</coreProperties>
</file>