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3e85d9f2ed46478f98487168ffc898"/>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2014-02-28, i. k. 2014-02274</w:t>
          </w:r>
        </w:p>
        <w:p>
          <w:pPr>
            <w:jc w:val="both"/>
            <w:rPr>
              <w:rFonts w:ascii="Times New Roman" w:hAnsi="Times New Roman"/>
              <w:sz w:val="20"/>
            </w:rPr>
          </w:pPr>
        </w:p>
        <w:p>
          <w:pPr>
            <w:widowControl w:val="0"/>
            <w:tabs>
              <w:tab w:val="center" w:pos="4819"/>
              <w:tab w:val="right" w:pos="9638"/>
            </w:tabs>
            <w:ind w:firstLine="720"/>
            <w:rPr>
              <w:rFonts w:ascii="Arial" w:eastAsia="Calibri" w:hAnsi="Arial" w:cs="Arial"/>
              <w:sz w:val="20"/>
              <w:szCs w:val="24"/>
              <w:lang w:val="x-none" w:eastAsia="lt-LT"/>
            </w:rPr>
          </w:pPr>
          <w:r>
            <w:t xml:space="preserve"> </w:t>
          </w:r>
        </w:p>
        <w:p>
          <w:pPr>
            <w:widowControl w:val="0"/>
            <w:suppressAutoHyphens/>
            <w:rPr>
              <w:rFonts w:eastAsia="Calibri"/>
              <w:b/>
              <w:color w:val="000000"/>
              <w:szCs w:val="24"/>
              <w:lang w:eastAsia="lt-LT"/>
            </w:rPr>
          </w:pPr>
          <w:r>
            <w:rPr>
              <w:rFonts w:ascii="Arial" w:eastAsia="Calibri" w:hAnsi="Arial" w:cs="Arial"/>
              <w:sz w:val="20"/>
              <w:szCs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215.2pt;margin-top:0;width:36.8pt;height:43.05pt;z-index:251659264;mso-position-horizontal:absolute;mso-position-horizontal-relative:text;mso-position-vertical-relative:text" fillcolor="window">
                <v:imagedata r:id="rId9" o:title=""/>
                <w10:wrap type="square" side="right"/>
              </v:shape>
              <o:OLEObject Type="Embed" ProgID="Word.Picture.8" ShapeID="_x0000_s1027" DrawAspect="Content" ObjectID="_0000000001" r:id="rId10"/>
            </w:object>
          </w:r>
          <w:r>
            <w:rPr>
              <w:rFonts w:eastAsia="Calibri"/>
              <w:b/>
              <w:color w:val="000000"/>
              <w:szCs w:val="24"/>
              <w:lang w:eastAsia="lt-LT"/>
            </w:rPr>
            <w:br w:type="textWrapping" w:clear="all"/>
          </w:r>
        </w:p>
        <w:p>
          <w:pPr>
            <w:widowControl w:val="0"/>
            <w:suppressAutoHyphens/>
            <w:jc w:val="center"/>
            <w:rPr>
              <w:rFonts w:eastAsia="Calibri"/>
              <w:b/>
              <w:color w:val="000000"/>
              <w:sz w:val="10"/>
              <w:szCs w:val="10"/>
              <w:lang w:eastAsia="lt-LT"/>
            </w:rPr>
          </w:pPr>
        </w:p>
        <w:p>
          <w:pPr>
            <w:widowControl w:val="0"/>
            <w:suppressAutoHyphens/>
            <w:jc w:val="center"/>
            <w:rPr>
              <w:rFonts w:eastAsia="Calibri"/>
              <w:b/>
              <w:color w:val="000000"/>
              <w:szCs w:val="24"/>
              <w:lang w:eastAsia="lt-LT"/>
            </w:rPr>
          </w:pPr>
          <w:r>
            <w:rPr>
              <w:rFonts w:eastAsia="Calibri"/>
              <w:b/>
              <w:color w:val="000000"/>
              <w:szCs w:val="24"/>
              <w:lang w:eastAsia="lt-LT"/>
            </w:rPr>
            <w:t>LIETUVOS RESPUBLIKOS SVEIKATOS APSAUGOS MINISTRAS</w:t>
          </w:r>
        </w:p>
        <w:p>
          <w:pPr>
            <w:widowControl w:val="0"/>
            <w:suppressAutoHyphens/>
            <w:jc w:val="center"/>
            <w:rPr>
              <w:rFonts w:eastAsia="Calibri"/>
              <w:b/>
              <w:color w:val="000000"/>
              <w:spacing w:val="60"/>
              <w:szCs w:val="24"/>
              <w:lang w:eastAsia="lt-LT"/>
            </w:rPr>
          </w:pPr>
        </w:p>
        <w:p>
          <w:pPr>
            <w:widowControl w:val="0"/>
            <w:jc w:val="center"/>
            <w:rPr>
              <w:rFonts w:eastAsia="Calibri"/>
              <w:b/>
              <w:szCs w:val="24"/>
              <w:lang w:eastAsia="lt-LT"/>
            </w:rPr>
          </w:pPr>
          <w:r>
            <w:rPr>
              <w:rFonts w:eastAsia="Calibri"/>
              <w:b/>
              <w:szCs w:val="24"/>
              <w:lang w:eastAsia="lt-LT"/>
            </w:rPr>
            <w:t>ĮSAKYMAS</w:t>
          </w:r>
        </w:p>
        <w:p>
          <w:pPr>
            <w:widowControl w:val="0"/>
            <w:jc w:val="center"/>
            <w:rPr>
              <w:rFonts w:eastAsia="SimSun"/>
              <w:b/>
              <w:bCs/>
              <w:szCs w:val="24"/>
              <w:lang w:eastAsia="lt-LT"/>
            </w:rPr>
          </w:pPr>
          <w:r>
            <w:rPr>
              <w:rFonts w:eastAsia="Calibri"/>
              <w:b/>
              <w:color w:val="000000"/>
              <w:szCs w:val="24"/>
              <w:lang w:eastAsia="lt-LT"/>
            </w:rPr>
            <w:t xml:space="preserve">DĖL ILGALAIKIO PACIENTŲ, SERGANČIŲ LĖTINĖMIS LIGOMIS, SVEIKATOS BŪKLĖS STEBĖJIMO TVARKOS APRAŠO </w:t>
          </w:r>
          <w:r>
            <w:rPr>
              <w:rFonts w:eastAsia="SimSun"/>
              <w:b/>
              <w:bCs/>
              <w:szCs w:val="24"/>
              <w:lang w:eastAsia="lt-LT"/>
            </w:rPr>
            <w:t>PATVIRTINIMO</w:t>
          </w:r>
        </w:p>
        <w:p>
          <w:pPr>
            <w:widowControl w:val="0"/>
            <w:suppressAutoHyphens/>
            <w:jc w:val="center"/>
            <w:rPr>
              <w:rFonts w:eastAsia="Calibri"/>
              <w:color w:val="000000"/>
              <w:szCs w:val="24"/>
              <w:lang w:eastAsia="lt-LT"/>
            </w:rPr>
          </w:pPr>
        </w:p>
        <w:p>
          <w:pPr>
            <w:widowControl w:val="0"/>
            <w:suppressAutoHyphens/>
            <w:jc w:val="center"/>
            <w:rPr>
              <w:rFonts w:eastAsia="Calibri"/>
              <w:color w:val="000000"/>
              <w:szCs w:val="24"/>
              <w:lang w:eastAsia="lt-LT"/>
            </w:rPr>
          </w:pPr>
          <w:r>
            <w:rPr>
              <w:rFonts w:eastAsia="Calibri"/>
              <w:color w:val="000000"/>
              <w:szCs w:val="24"/>
              <w:lang w:eastAsia="lt-LT"/>
            </w:rPr>
            <w:t>2014 m. vasario 28 d. Nr. V-288</w:t>
          </w:r>
        </w:p>
        <w:p>
          <w:pPr>
            <w:widowControl w:val="0"/>
            <w:suppressAutoHyphens/>
            <w:jc w:val="center"/>
            <w:rPr>
              <w:rFonts w:eastAsia="Calibri"/>
              <w:color w:val="000000"/>
              <w:szCs w:val="24"/>
              <w:lang w:eastAsia="lt-LT"/>
            </w:rPr>
          </w:pPr>
          <w:r>
            <w:rPr>
              <w:rFonts w:eastAsia="Calibri"/>
              <w:color w:val="000000"/>
              <w:szCs w:val="24"/>
              <w:lang w:eastAsia="lt-LT"/>
            </w:rPr>
            <w:t>Vilnius</w:t>
          </w:r>
        </w:p>
        <w:p>
          <w:pPr>
            <w:widowControl w:val="0"/>
            <w:suppressAutoHyphens/>
            <w:jc w:val="center"/>
            <w:rPr>
              <w:rFonts w:eastAsia="Calibri"/>
              <w:color w:val="000000"/>
              <w:szCs w:val="24"/>
              <w:lang w:eastAsia="lt-LT"/>
            </w:rPr>
          </w:pPr>
        </w:p>
        <w:p>
          <w:pPr>
            <w:widowControl w:val="0"/>
            <w:suppressAutoHyphens/>
            <w:jc w:val="center"/>
            <w:rPr>
              <w:rFonts w:eastAsia="Calibri"/>
              <w:color w:val="000000"/>
              <w:szCs w:val="24"/>
              <w:lang w:eastAsia="lt-LT"/>
            </w:rPr>
          </w:pPr>
        </w:p>
        <w:sdt>
          <w:sdtPr>
            <w:alias w:val="preambule"/>
            <w:tag w:val="part_68b2eebe54c8483385b67f2110f7ce3a"/>
            <w:lock w:val="sdtLocked"/>
            <w:richText/>
          </w:sdtPr>
          <w:sdtContent>
            <w:p>
              <w:pPr>
                <w:widowControl w:val="0"/>
                <w:ind w:firstLine="720"/>
                <w:jc w:val="both"/>
                <w:rPr>
                  <w:rFonts w:eastAsia="SimSun"/>
                  <w:szCs w:val="24"/>
                  <w:lang w:eastAsia="lt-LT"/>
                </w:rPr>
              </w:pPr>
              <w:r>
                <w:rPr>
                  <w:rFonts w:eastAsia="SimSun"/>
                  <w:szCs w:val="24"/>
                  <w:lang w:eastAsia="lt-LT"/>
                </w:rPr>
                <w:t xml:space="preserve">Vadovaudamasis Lietuvos Respublikos sveikatos sistemos įstatymo </w:t>
              </w:r>
              <w:r>
                <w:rPr>
                  <w:rFonts w:eastAsia="SimSun"/>
                  <w:lang w:eastAsia="lt-LT"/>
                </w:rPr>
                <w:t>2 straipsnio 4</w:t>
              </w:r>
              <w:r>
                <w:rPr>
                  <w:rFonts w:eastAsia="SimSun"/>
                  <w:vertAlign w:val="superscript"/>
                  <w:lang w:eastAsia="lt-LT"/>
                </w:rPr>
                <w:t xml:space="preserve">1 </w:t>
              </w:r>
              <w:r>
                <w:rPr>
                  <w:rFonts w:eastAsia="SimSun"/>
                  <w:lang w:eastAsia="lt-LT"/>
                </w:rPr>
                <w:t>punktu ir</w:t>
              </w:r>
              <w:r>
                <w:rPr>
                  <w:rFonts w:eastAsia="SimSun"/>
                  <w:szCs w:val="24"/>
                  <w:lang w:eastAsia="lt-LT"/>
                </w:rPr>
                <w:t xml:space="preserve"> 49 straipsnio 4 dalies 2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sdtContent>
        </w:sdt>
        <w:sdt>
          <w:sdtPr>
            <w:alias w:val="1 p."/>
            <w:tag w:val="part_f1fb70c237ab4bc597a8646f973049fa"/>
            <w:lock w:val="sdtLocked"/>
            <w:richText/>
          </w:sdtPr>
          <w:sdtContent>
            <w:p>
              <w:pPr>
                <w:widowControl w:val="0"/>
                <w:ind w:firstLine="720"/>
                <w:jc w:val="both"/>
                <w:rPr>
                  <w:rFonts w:eastAsia="SimSun"/>
                  <w:szCs w:val="24"/>
                  <w:lang w:eastAsia="lt-LT"/>
                </w:rPr>
              </w:pPr>
              <w:sdt>
                <w:sdtPr>
                  <w:alias w:val="Numeris"/>
                  <w:tag w:val="nr_f1fb70c237ab4bc597a8646f973049fa"/>
                  <w:lock w:val="sdtLocked"/>
                  <w:richText/>
                </w:sdtPr>
                <w:sdtContent>
                  <w:r>
                    <w:rPr>
                      <w:rFonts w:eastAsia="SimSun"/>
                      <w:szCs w:val="24"/>
                      <w:lang w:eastAsia="lt-LT"/>
                    </w:rPr>
                    <w:t>1</w:t>
                  </w:r>
                </w:sdtContent>
              </w:sdt>
              <w:r>
                <w:rPr>
                  <w:rFonts w:eastAsia="SimSun"/>
                  <w:szCs w:val="24"/>
                  <w:lang w:eastAsia="lt-LT"/>
                </w:rPr>
                <w:t>. T v i r t i n u Ilgalaikio pacientų, sergančių lėtinėmis ligomis, sveikatos būklės stebėjimo tvarkos aprašą (pridedama).</w:t>
              </w:r>
            </w:p>
          </w:sdtContent>
        </w:sdt>
        <w:sdt>
          <w:sdtPr>
            <w:alias w:val="2 p."/>
            <w:tag w:val="part_17684663520949dc96bfb19e33ae135d"/>
            <w:lock w:val="sdtLocked"/>
            <w:richText/>
          </w:sdtPr>
          <w:sdtContent>
            <w:p>
              <w:pPr>
                <w:widowControl w:val="0"/>
                <w:ind w:firstLine="720"/>
                <w:jc w:val="both"/>
                <w:rPr>
                  <w:rFonts w:eastAsia="SimSun"/>
                  <w:spacing w:val="3"/>
                  <w:szCs w:val="24"/>
                  <w:lang w:eastAsia="lt-LT"/>
                </w:rPr>
              </w:pPr>
              <w:sdt>
                <w:sdtPr>
                  <w:alias w:val="Numeris"/>
                  <w:tag w:val="nr_17684663520949dc96bfb19e33ae135d"/>
                  <w:lock w:val="sdtLocked"/>
                  <w:richText/>
                </w:sdtPr>
                <w:sdtContent>
                  <w:r>
                    <w:rPr>
                      <w:rFonts w:eastAsia="SimSun"/>
                      <w:spacing w:val="3"/>
                      <w:szCs w:val="24"/>
                      <w:lang w:eastAsia="lt-LT"/>
                    </w:rPr>
                    <w:t>2</w:t>
                  </w:r>
                </w:sdtContent>
              </w:sdt>
              <w:r>
                <w:rPr>
                  <w:rFonts w:eastAsia="SimSun"/>
                  <w:spacing w:val="3"/>
                  <w:szCs w:val="24"/>
                  <w:lang w:eastAsia="lt-LT"/>
                </w:rPr>
                <w:t>. N u s t a t a u, kad šis įsakymas įsigalioja 2014 m. lapkričio 1d.</w:t>
              </w:r>
            </w:p>
          </w:sdtContent>
        </w:sdt>
        <w:sdt>
          <w:sdtPr>
            <w:alias w:val="3 p."/>
            <w:tag w:val="part_942c0c9657ac42649decd2024670fe43"/>
            <w:lock w:val="sdtLocked"/>
            <w:richText/>
          </w:sdtPr>
          <w:sdtContent>
            <w:p>
              <w:pPr>
                <w:widowControl w:val="0"/>
                <w:ind w:firstLine="720"/>
                <w:jc w:val="both"/>
                <w:rPr>
                  <w:rFonts w:eastAsia="SimSun"/>
                  <w:spacing w:val="-9"/>
                  <w:szCs w:val="24"/>
                  <w:lang w:eastAsia="lt-LT"/>
                </w:rPr>
              </w:pPr>
              <w:sdt>
                <w:sdtPr>
                  <w:alias w:val="Numeris"/>
                  <w:tag w:val="nr_942c0c9657ac42649decd2024670fe43"/>
                  <w:lock w:val="sdtLocked"/>
                  <w:richText/>
                </w:sdtPr>
                <w:sdtContent>
                  <w:r>
                    <w:rPr>
                      <w:rFonts w:eastAsia="SimSun"/>
                      <w:spacing w:val="3"/>
                      <w:szCs w:val="24"/>
                      <w:lang w:eastAsia="lt-LT"/>
                    </w:rPr>
                    <w:t>3</w:t>
                  </w:r>
                </w:sdtContent>
              </w:sdt>
              <w:r>
                <w:rPr>
                  <w:rFonts w:eastAsia="SimSun"/>
                  <w:spacing w:val="3"/>
                  <w:szCs w:val="24"/>
                  <w:lang w:eastAsia="lt-LT"/>
                </w:rPr>
                <w:t>. P a v e d u įsakymo vykdymą kontroliuoti viceministrui pagal veiklos sritį.</w:t>
              </w:r>
            </w:p>
            <w:p>
              <w:pPr>
                <w:widowControl w:val="0"/>
                <w:tabs>
                  <w:tab w:val="left" w:pos="567"/>
                </w:tabs>
                <w:jc w:val="both"/>
                <w:rPr>
                  <w:rFonts w:eastAsia="Calibri"/>
                  <w:szCs w:val="24"/>
                  <w:lang w:eastAsia="lt-LT"/>
                </w:rPr>
              </w:pPr>
            </w:p>
            <w:p>
              <w:pPr>
                <w:widowControl w:val="0"/>
                <w:tabs>
                  <w:tab w:val="left" w:pos="567"/>
                </w:tabs>
                <w:jc w:val="both"/>
                <w:rPr>
                  <w:rFonts w:eastAsia="Calibri"/>
                  <w:szCs w:val="24"/>
                  <w:lang w:eastAsia="lt-LT"/>
                </w:rPr>
              </w:pPr>
            </w:p>
            <w:p>
              <w:pPr>
                <w:widowControl w:val="0"/>
                <w:tabs>
                  <w:tab w:val="left" w:pos="567"/>
                </w:tabs>
                <w:jc w:val="both"/>
                <w:rPr>
                  <w:rFonts w:eastAsia="Calibri"/>
                  <w:szCs w:val="24"/>
                  <w:lang w:eastAsia="lt-LT"/>
                </w:rPr>
              </w:pPr>
            </w:p>
          </w:sdtContent>
        </w:sdt>
        <w:sdt>
          <w:sdtPr>
            <w:alias w:val="signatura"/>
            <w:tag w:val="part_b40090e7dabc425a9d58e92c4c482700"/>
            <w:lock w:val="sdtLocked"/>
            <w:richText/>
          </w:sdtPr>
          <w:sdtContent>
            <w:p>
              <w:pPr>
                <w:widowControl w:val="0"/>
                <w:tabs>
                  <w:tab w:val="left" w:pos="6521"/>
                </w:tabs>
                <w:rPr>
                  <w:rFonts w:eastAsia="Calibri"/>
                  <w:szCs w:val="24"/>
                  <w:lang w:eastAsia="lt-LT"/>
                </w:rPr>
              </w:pPr>
              <w:r>
                <w:rPr>
                  <w:rFonts w:eastAsia="Calibri"/>
                  <w:szCs w:val="24"/>
                  <w:lang w:eastAsia="lt-LT"/>
                </w:rPr>
                <w:t>Sveikatos apsaugos ministras</w:t>
                <w:tab/>
                <w:t>Vytenis Povilas Andriukaitis</w:t>
              </w:r>
            </w:p>
          </w:sdtContent>
        </w:sdt>
      </w:sdtContent>
    </w:sdt>
    <w:sdt>
      <w:sdtPr>
        <w:alias w:val="patvirtinta"/>
        <w:tag w:val="part_7a9a79fae16b4871af7bb842e393f6e3"/>
        <w:lock w:val="sdtLocked"/>
        <w:richText/>
      </w:sdtPr>
      <w:sdtContent>
        <w:p>
          <w:pPr>
            <w:widowControl w:val="0"/>
            <w:tabs>
              <w:tab w:val="left" w:pos="9072"/>
            </w:tabs>
            <w:ind w:left="4111" w:right="-143"/>
            <w:sectPr>
              <w:headerReference w:type="even" r:id="rId11"/>
              <w:headerReference w:type="default" r:id="rId12"/>
              <w:footerReference w:type="even" r:id="rId13"/>
              <w:footerReference w:type="default" r:id="rId14"/>
              <w:headerReference w:type="first" r:id="rId15"/>
              <w:footerReference w:type="first" r:id="rId16"/>
              <w:pgSz w:w="11907" w:h="16839"/>
              <w:pgMar w:top="1134" w:right="851" w:bottom="1134" w:left="1701" w:header="567" w:footer="567" w:gutter="0"/>
              <w:pgNumType w:start="1"/>
              <w:cols w:space="1296"/>
              <w:titlePg/>
              <w:docGrid w:linePitch="272"/>
            </w:sectPr>
          </w:pPr>
        </w:p>
        <w:p>
          <w:pPr>
            <w:widowControl w:val="0"/>
            <w:tabs>
              <w:tab w:val="left" w:pos="9072"/>
            </w:tabs>
            <w:ind w:left="4111" w:right="-143"/>
            <w:rPr>
              <w:rFonts w:eastAsia="Calibri"/>
              <w:szCs w:val="24"/>
              <w:lang w:eastAsia="lt-LT"/>
            </w:rPr>
          </w:pPr>
          <w:r>
            <w:rPr>
              <w:rFonts w:eastAsia="Calibri"/>
              <w:szCs w:val="24"/>
              <w:lang w:eastAsia="lt-LT"/>
            </w:rPr>
            <w:t>PATVIRTINTA</w:t>
          </w:r>
        </w:p>
        <w:p>
          <w:pPr>
            <w:widowControl w:val="0"/>
            <w:tabs>
              <w:tab w:val="left" w:pos="9072"/>
            </w:tabs>
            <w:ind w:left="4111" w:right="-143"/>
            <w:rPr>
              <w:rFonts w:eastAsia="Calibri"/>
              <w:szCs w:val="24"/>
              <w:lang w:eastAsia="lt-LT"/>
            </w:rPr>
          </w:pPr>
          <w:r>
            <w:rPr>
              <w:rFonts w:eastAsia="Calibri"/>
              <w:szCs w:val="24"/>
              <w:lang w:eastAsia="lt-LT"/>
            </w:rPr>
            <w:t xml:space="preserve">Lietuvos Respublikos sveikatos apsaugos ministro </w:t>
          </w:r>
        </w:p>
        <w:p>
          <w:pPr>
            <w:widowControl w:val="0"/>
            <w:tabs>
              <w:tab w:val="left" w:pos="9072"/>
            </w:tabs>
            <w:ind w:left="4111" w:right="-143"/>
            <w:rPr>
              <w:rFonts w:eastAsia="Calibri"/>
              <w:szCs w:val="24"/>
              <w:lang w:eastAsia="lt-LT"/>
            </w:rPr>
          </w:pPr>
          <w:r>
            <w:rPr>
              <w:rFonts w:eastAsia="Calibri"/>
              <w:szCs w:val="24"/>
              <w:lang w:eastAsia="lt-LT"/>
            </w:rPr>
            <w:t>2014 m. vasario 28 d. įsakymu Nr. V-288</w:t>
          </w:r>
        </w:p>
        <w:p>
          <w:pPr>
            <w:tabs>
              <w:tab w:val="left" w:pos="9072"/>
            </w:tabs>
            <w:ind w:left="4111" w:right="-143"/>
            <w:textAlignment w:val="center"/>
            <w:rPr>
              <w:color w:val="000000"/>
              <w:szCs w:val="24"/>
              <w:lang w:eastAsia="lt-LT"/>
            </w:rPr>
          </w:pPr>
          <w:r>
            <w:rPr>
              <w:color w:val="000000"/>
              <w:szCs w:val="24"/>
              <w:lang w:eastAsia="lt-LT"/>
            </w:rPr>
            <w:t xml:space="preserve">(Lietuvos Respublikos sveikatos apsaugos ministro </w:t>
          </w:r>
        </w:p>
        <w:p>
          <w:pPr>
            <w:tabs>
              <w:tab w:val="left" w:pos="9072"/>
            </w:tabs>
            <w:ind w:left="4111" w:right="-143"/>
            <w:textAlignment w:val="center"/>
            <w:rPr>
              <w:color w:val="000000"/>
              <w:szCs w:val="24"/>
              <w:lang w:eastAsia="lt-LT"/>
            </w:rPr>
          </w:pPr>
          <w:r>
            <w:rPr>
              <w:color w:val="000000"/>
              <w:szCs w:val="24"/>
              <w:lang w:eastAsia="lt-LT"/>
            </w:rPr>
            <w:t>202</w:t>
          </w:r>
          <w:r>
            <w:rPr>
              <w:color w:val="000000"/>
              <w:szCs w:val="24"/>
              <w:lang w:val="fi-FI" w:eastAsia="lt-LT"/>
            </w:rPr>
            <w:t>4</w:t>
          </w:r>
          <w:r>
            <w:rPr>
              <w:color w:val="000000"/>
              <w:szCs w:val="24"/>
              <w:lang w:eastAsia="lt-LT"/>
            </w:rPr>
            <w:t xml:space="preserve"> m. kovo 18 d. įsakymo Nr. V-339</w:t>
          </w:r>
        </w:p>
        <w:p>
          <w:pPr>
            <w:tabs>
              <w:tab w:val="left" w:pos="9072"/>
            </w:tabs>
            <w:ind w:left="4111" w:right="-143"/>
            <w:textAlignment w:val="center"/>
            <w:rPr>
              <w:color w:val="000000"/>
              <w:szCs w:val="24"/>
              <w:lang w:eastAsia="lt-LT"/>
            </w:rPr>
          </w:pPr>
          <w:r>
            <w:rPr>
              <w:color w:val="000000"/>
              <w:szCs w:val="24"/>
              <w:lang w:eastAsia="lt-LT"/>
            </w:rPr>
            <w:t>redakcija)</w:t>
          </w:r>
        </w:p>
        <w:p>
          <w:pPr>
            <w:tabs>
              <w:tab w:val="left" w:pos="9072"/>
            </w:tabs>
            <w:ind w:left="4111" w:right="-143"/>
            <w:textAlignment w:val="center"/>
            <w:rPr>
              <w:color w:val="000000"/>
              <w:szCs w:val="24"/>
              <w:lang w:eastAsia="lt-LT"/>
            </w:rPr>
          </w:pPr>
        </w:p>
        <w:p>
          <w:pPr>
            <w:widowControl w:val="0"/>
            <w:tabs>
              <w:tab w:val="left" w:pos="9072"/>
            </w:tabs>
            <w:ind w:right="-143"/>
            <w:rPr>
              <w:rFonts w:eastAsia="Calibri"/>
              <w:b/>
              <w:szCs w:val="24"/>
              <w:lang w:eastAsia="lt-LT"/>
            </w:rPr>
          </w:pPr>
        </w:p>
        <w:p>
          <w:pPr>
            <w:widowControl w:val="0"/>
            <w:tabs>
              <w:tab w:val="left" w:pos="9072"/>
            </w:tabs>
            <w:ind w:right="-143"/>
            <w:jc w:val="center"/>
            <w:rPr>
              <w:rFonts w:eastAsia="Calibri"/>
              <w:b/>
              <w:szCs w:val="24"/>
              <w:lang w:eastAsia="lt-LT"/>
            </w:rPr>
          </w:pPr>
          <w:sdt>
            <w:sdtPr>
              <w:alias w:val="Pavadinimas"/>
              <w:tag w:val="title_7a9a79fae16b4871af7bb842e393f6e3"/>
              <w:lock w:val="sdtLocked"/>
              <w:richText/>
            </w:sdtPr>
            <w:sdtContent>
              <w:r>
                <w:rPr>
                  <w:rFonts w:eastAsia="Calibri"/>
                  <w:b/>
                  <w:szCs w:val="24"/>
                  <w:lang w:eastAsia="lt-LT"/>
                </w:rPr>
                <w:t>ILGALAIKIO PACIENTŲ, SERGANČIŲ LĖTINĖMIS LIGOMIS, SVEIKATOS BŪKLĖS STEBĖJIMO TVARKOS APRAŠAS</w:t>
              </w:r>
            </w:sdtContent>
          </w:sdt>
        </w:p>
        <w:p>
          <w:pPr>
            <w:widowControl w:val="0"/>
            <w:tabs>
              <w:tab w:val="left" w:pos="9072"/>
            </w:tabs>
            <w:ind w:right="-143"/>
            <w:rPr>
              <w:rFonts w:eastAsia="Calibri"/>
              <w:b/>
              <w:szCs w:val="24"/>
              <w:lang w:eastAsia="lt-LT"/>
            </w:rPr>
          </w:pPr>
        </w:p>
        <w:sdt>
          <w:sdtPr>
            <w:alias w:val="skyrius"/>
            <w:tag w:val="part_5931dd0cddf74b4dba85c6970d66c2fa"/>
            <w:lock w:val="sdtLocked"/>
            <w:richText/>
          </w:sdtPr>
          <w:sdtContent>
            <w:p>
              <w:pPr>
                <w:widowControl w:val="0"/>
                <w:tabs>
                  <w:tab w:val="left" w:pos="9072"/>
                </w:tabs>
                <w:ind w:right="-143"/>
                <w:jc w:val="center"/>
                <w:rPr>
                  <w:rFonts w:eastAsia="Calibri"/>
                  <w:b/>
                  <w:szCs w:val="24"/>
                  <w:lang w:eastAsia="lt-LT"/>
                </w:rPr>
              </w:pPr>
              <w:sdt>
                <w:sdtPr>
                  <w:alias w:val="Numeris"/>
                  <w:tag w:val="nr_5931dd0cddf74b4dba85c6970d66c2fa"/>
                  <w:lock w:val="sdtLocked"/>
                  <w:richText/>
                </w:sdtPr>
                <w:sdtContent>
                  <w:r>
                    <w:rPr>
                      <w:rFonts w:eastAsia="Calibri"/>
                      <w:b/>
                      <w:szCs w:val="24"/>
                      <w:lang w:eastAsia="lt-LT"/>
                    </w:rPr>
                    <w:t>I</w:t>
                  </w:r>
                </w:sdtContent>
              </w:sdt>
              <w:r>
                <w:rPr>
                  <w:rFonts w:eastAsia="Calibri"/>
                  <w:b/>
                  <w:szCs w:val="24"/>
                  <w:lang w:eastAsia="lt-LT"/>
                </w:rPr>
                <w:t xml:space="preserve"> SKYRIUS</w:t>
              </w:r>
            </w:p>
            <w:p>
              <w:pPr>
                <w:widowControl w:val="0"/>
                <w:tabs>
                  <w:tab w:val="left" w:pos="9072"/>
                </w:tabs>
                <w:ind w:right="-143"/>
                <w:jc w:val="center"/>
                <w:rPr>
                  <w:rFonts w:eastAsia="Calibri"/>
                  <w:b/>
                  <w:szCs w:val="24"/>
                  <w:lang w:eastAsia="lt-LT"/>
                </w:rPr>
              </w:pPr>
              <w:sdt>
                <w:sdtPr>
                  <w:alias w:val="Pavadinimas"/>
                  <w:tag w:val="title_5931dd0cddf74b4dba85c6970d66c2fa"/>
                  <w:lock w:val="sdtLocked"/>
                  <w:richText/>
                </w:sdtPr>
                <w:sdtContent>
                  <w:r>
                    <w:rPr>
                      <w:rFonts w:eastAsia="Calibri"/>
                      <w:b/>
                      <w:szCs w:val="24"/>
                      <w:lang w:eastAsia="lt-LT"/>
                    </w:rPr>
                    <w:t>BENDROSIOS NUOSTATOS</w:t>
                  </w:r>
                </w:sdtContent>
              </w:sdt>
            </w:p>
            <w:p>
              <w:pPr>
                <w:widowControl w:val="0"/>
                <w:tabs>
                  <w:tab w:val="left" w:pos="9072"/>
                </w:tabs>
                <w:ind w:right="-143" w:firstLine="720"/>
                <w:rPr>
                  <w:rFonts w:eastAsia="Calibri"/>
                  <w:szCs w:val="24"/>
                  <w:lang w:eastAsia="lt-LT"/>
                </w:rPr>
              </w:pPr>
            </w:p>
            <w:sdt>
              <w:sdtPr>
                <w:alias w:val="1 p."/>
                <w:tag w:val="part_24133012c8db418bb46ab5379bdcf45d"/>
                <w:lock w:val="sdtLocked"/>
                <w:richText/>
              </w:sdtPr>
              <w:sdtContent>
                <w:p>
                  <w:pPr>
                    <w:widowControl w:val="0"/>
                    <w:tabs>
                      <w:tab w:val="left" w:pos="9072"/>
                    </w:tabs>
                    <w:ind w:right="-143" w:firstLine="720"/>
                    <w:jc w:val="both"/>
                    <w:rPr>
                      <w:rFonts w:eastAsia="Calibri"/>
                      <w:szCs w:val="24"/>
                      <w:lang w:eastAsia="lt-LT"/>
                    </w:rPr>
                  </w:pPr>
                  <w:sdt>
                    <w:sdtPr>
                      <w:alias w:val="Numeris"/>
                      <w:tag w:val="nr_24133012c8db418bb46ab5379bdcf45d"/>
                      <w:lock w:val="sdtLocked"/>
                      <w:richText/>
                    </w:sdtPr>
                    <w:sdtContent>
                      <w:r>
                        <w:rPr>
                          <w:rFonts w:eastAsia="Calibri"/>
                          <w:szCs w:val="24"/>
                          <w:lang w:eastAsia="lt-LT"/>
                        </w:rPr>
                        <w:t>1</w:t>
                      </w:r>
                    </w:sdtContent>
                  </w:sdt>
                  <w:r>
                    <w:rPr>
                      <w:rFonts w:eastAsia="Calibri"/>
                      <w:szCs w:val="24"/>
                      <w:lang w:eastAsia="lt-LT"/>
                    </w:rPr>
                    <w:t>. Ilgalaikio pacientų, sergančių lėtinėmis ligomis, sveikatos būklės stebėjimo tvarkos aprašas (toliau – Aprašas) nustato ilgalaikio pacientų sveikatos būklės stebėjimo po baigto aktyviojo diagnozuotos lėtinės ligos gydymo tvarką. Ligų sąrašai ir duomenų formos pateikti Aprašo prieduose:</w:t>
                  </w:r>
                </w:p>
                <w:sdt>
                  <w:sdtPr>
                    <w:alias w:val="1.1 pp."/>
                    <w:tag w:val="part_67606d9c8c804e17836dda530c36b1c7"/>
                    <w:lock w:val="sdtLocked"/>
                    <w:richText/>
                  </w:sdtPr>
                  <w:sdtContent>
                    <w:p>
                      <w:pPr>
                        <w:widowControl w:val="0"/>
                        <w:tabs>
                          <w:tab w:val="left" w:pos="9072"/>
                        </w:tabs>
                        <w:ind w:right="-143" w:firstLine="720"/>
                        <w:jc w:val="both"/>
                        <w:rPr>
                          <w:bCs/>
                          <w:szCs w:val="24"/>
                        </w:rPr>
                      </w:pPr>
                      <w:sdt>
                        <w:sdtPr>
                          <w:alias w:val="Numeris"/>
                          <w:tag w:val="nr_67606d9c8c804e17836dda530c36b1c7"/>
                          <w:lock w:val="sdtLocked"/>
                          <w:richText/>
                        </w:sdtPr>
                        <w:sdtContent>
                          <w:r>
                            <w:rPr>
                              <w:rFonts w:eastAsia="Calibri"/>
                              <w:szCs w:val="24"/>
                              <w:lang w:eastAsia="lt-LT"/>
                            </w:rPr>
                            <w:t>1.1</w:t>
                          </w:r>
                        </w:sdtContent>
                      </w:sdt>
                      <w:r>
                        <w:rPr>
                          <w:rFonts w:eastAsia="Calibri"/>
                          <w:szCs w:val="24"/>
                          <w:lang w:eastAsia="lt-LT"/>
                        </w:rPr>
                        <w:t>. Aprašo 1 priede „</w:t>
                      </w:r>
                      <w:r>
                        <w:rPr>
                          <w:bCs/>
                          <w:szCs w:val="24"/>
                        </w:rPr>
                        <w:t>Ilgalaikio suaugusiųjų, sergančių lėtinėmis nervų sistemos ligomis, sveikatos būklės stebėjimo sąlygos ir ligų sąrašas“;</w:t>
                      </w:r>
                    </w:p>
                  </w:sdtContent>
                </w:sdt>
                <w:sdt>
                  <w:sdtPr>
                    <w:alias w:val="1.2 pp."/>
                    <w:tag w:val="part_7899afcd6c954672907e88625d0fe7cb"/>
                    <w:lock w:val="sdtLocked"/>
                    <w:richText/>
                  </w:sdtPr>
                  <w:sdtContent>
                    <w:p>
                      <w:pPr>
                        <w:widowControl w:val="0"/>
                        <w:tabs>
                          <w:tab w:val="left" w:pos="9072"/>
                        </w:tabs>
                        <w:ind w:right="-143" w:firstLine="720"/>
                        <w:jc w:val="both"/>
                        <w:rPr>
                          <w:bCs/>
                          <w:szCs w:val="24"/>
                        </w:rPr>
                      </w:pPr>
                      <w:sdt>
                        <w:sdtPr>
                          <w:alias w:val="Numeris"/>
                          <w:tag w:val="nr_7899afcd6c954672907e88625d0fe7cb"/>
                          <w:lock w:val="sdtLocked"/>
                          <w:richText/>
                        </w:sdtPr>
                        <w:sdtContent>
                          <w:r>
                            <w:rPr>
                              <w:bCs/>
                              <w:szCs w:val="24"/>
                            </w:rPr>
                            <w:t>1.2</w:t>
                          </w:r>
                        </w:sdtContent>
                      </w:sdt>
                      <w:r>
                        <w:rPr>
                          <w:bCs/>
                          <w:szCs w:val="24"/>
                        </w:rPr>
                        <w:t xml:space="preserve">. </w:t>
                      </w:r>
                      <w:r>
                        <w:rPr>
                          <w:rFonts w:eastAsia="Calibri"/>
                          <w:szCs w:val="24"/>
                          <w:lang w:eastAsia="lt-LT"/>
                        </w:rPr>
                        <w:t>Aprašo 2 priede „I</w:t>
                      </w:r>
                      <w:r>
                        <w:rPr>
                          <w:bCs/>
                          <w:szCs w:val="24"/>
                        </w:rPr>
                        <w:t>lgalaikio vaikų, sergančių lėtinėmis nervų sistemos ligomis, sveikatos būklės stebėjimo sąlygos ir ligų sąrašas“;</w:t>
                      </w:r>
                    </w:p>
                  </w:sdtContent>
                </w:sdt>
                <w:sdt>
                  <w:sdtPr>
                    <w:alias w:val="1.3 pp."/>
                    <w:tag w:val="part_d5f5d674fc9d4cc8863ab2fabbc117ac"/>
                    <w:lock w:val="sdtLocked"/>
                    <w:richText/>
                  </w:sdtPr>
                  <w:sdtContent>
                    <w:p>
                      <w:pPr>
                        <w:widowControl w:val="0"/>
                        <w:tabs>
                          <w:tab w:val="left" w:pos="9072"/>
                        </w:tabs>
                        <w:ind w:right="-143" w:firstLine="720"/>
                        <w:jc w:val="both"/>
                        <w:rPr>
                          <w:bCs/>
                          <w:szCs w:val="24"/>
                        </w:rPr>
                      </w:pPr>
                      <w:sdt>
                        <w:sdtPr>
                          <w:alias w:val="Numeris"/>
                          <w:tag w:val="nr_d5f5d674fc9d4cc8863ab2fabbc117ac"/>
                          <w:lock w:val="sdtLocked"/>
                          <w:richText/>
                        </w:sdtPr>
                        <w:sdtContent>
                          <w:r>
                            <w:rPr>
                              <w:rFonts w:eastAsia="Calibri"/>
                              <w:szCs w:val="24"/>
                              <w:lang w:eastAsia="lt-LT"/>
                            </w:rPr>
                            <w:t>1.3</w:t>
                          </w:r>
                        </w:sdtContent>
                      </w:sdt>
                      <w:r>
                        <w:rPr>
                          <w:rFonts w:eastAsia="Calibri"/>
                          <w:szCs w:val="24"/>
                          <w:lang w:eastAsia="lt-LT"/>
                        </w:rPr>
                        <w:t>. Aprašo 3 priede „</w:t>
                      </w:r>
                      <w:r>
                        <w:rPr>
                          <w:bCs/>
                          <w:szCs w:val="24"/>
                        </w:rPr>
                        <w:t>Ilgalaikio suaugusiųjų, sergančių lėtinėmis endokrininėmis, mitybos ir medžiagų apykaitos ligomis, sveikatos būklės stebėjimo sąlygos ir ligų sąrašas“;</w:t>
                      </w:r>
                    </w:p>
                  </w:sdtContent>
                </w:sdt>
                <w:sdt>
                  <w:sdtPr>
                    <w:alias w:val="1.4 pp."/>
                    <w:tag w:val="part_cef5e27eae8f4a75b0101e49c19adeed"/>
                    <w:lock w:val="sdtLocked"/>
                    <w:richText/>
                  </w:sdtPr>
                  <w:sdtContent>
                    <w:p>
                      <w:pPr>
                        <w:widowControl w:val="0"/>
                        <w:tabs>
                          <w:tab w:val="left" w:pos="9072"/>
                        </w:tabs>
                        <w:ind w:right="-143" w:firstLine="720"/>
                        <w:jc w:val="both"/>
                        <w:rPr>
                          <w:rFonts w:eastAsia="Calibri"/>
                          <w:szCs w:val="24"/>
                          <w:lang w:eastAsia="lt-LT"/>
                        </w:rPr>
                      </w:pPr>
                      <w:sdt>
                        <w:sdtPr>
                          <w:alias w:val="Numeris"/>
                          <w:tag w:val="nr_cef5e27eae8f4a75b0101e49c19adeed"/>
                          <w:lock w:val="sdtLocked"/>
                          <w:richText/>
                        </w:sdtPr>
                        <w:sdtContent>
                          <w:r>
                            <w:rPr>
                              <w:rFonts w:eastAsia="Calibri"/>
                              <w:szCs w:val="24"/>
                              <w:lang w:eastAsia="lt-LT"/>
                            </w:rPr>
                            <w:t>1.4</w:t>
                          </w:r>
                        </w:sdtContent>
                      </w:sdt>
                      <w:r>
                        <w:rPr>
                          <w:rFonts w:eastAsia="Calibri"/>
                          <w:szCs w:val="24"/>
                          <w:lang w:eastAsia="lt-LT"/>
                        </w:rPr>
                        <w:t>. Aprašo 4 priede „</w:t>
                      </w:r>
                      <w:r>
                        <w:rPr>
                          <w:bCs/>
                          <w:szCs w:val="24"/>
                        </w:rPr>
                        <w:t>Ilgalaikio vaikų, sergančių lėtinėmis endokrininėmis, mitybos ir medžiagų apykaitos ligomis, sveikatos būklės stebėjimo sąlygos ir ligų sąrašas“;</w:t>
                      </w:r>
                    </w:p>
                  </w:sdtContent>
                </w:sdt>
                <w:sdt>
                  <w:sdtPr>
                    <w:alias w:val="1.5 pp."/>
                    <w:tag w:val="part_87ecc6229701477ea3fe9bc4f9d25061"/>
                    <w:lock w:val="sdtLocked"/>
                    <w:richText/>
                  </w:sdtPr>
                  <w:sdtContent>
                    <w:p>
                      <w:pPr>
                        <w:widowControl w:val="0"/>
                        <w:tabs>
                          <w:tab w:val="left" w:pos="9072"/>
                        </w:tabs>
                        <w:ind w:right="-143" w:firstLine="720"/>
                        <w:jc w:val="both"/>
                        <w:rPr>
                          <w:bCs/>
                          <w:szCs w:val="24"/>
                        </w:rPr>
                      </w:pPr>
                      <w:sdt>
                        <w:sdtPr>
                          <w:alias w:val="Numeris"/>
                          <w:tag w:val="nr_87ecc6229701477ea3fe9bc4f9d25061"/>
                          <w:lock w:val="sdtLocked"/>
                          <w:richText/>
                        </w:sdtPr>
                        <w:sdtContent>
                          <w:r>
                            <w:rPr>
                              <w:rFonts w:eastAsia="Calibri"/>
                              <w:szCs w:val="24"/>
                              <w:lang w:eastAsia="lt-LT"/>
                            </w:rPr>
                            <w:t>1.5</w:t>
                          </w:r>
                        </w:sdtContent>
                      </w:sdt>
                      <w:r>
                        <w:rPr>
                          <w:rFonts w:eastAsia="Calibri"/>
                          <w:szCs w:val="24"/>
                          <w:lang w:eastAsia="lt-LT"/>
                        </w:rPr>
                        <w:t>. Aprašo 5 priede „</w:t>
                      </w:r>
                      <w:r>
                        <w:rPr>
                          <w:bCs/>
                          <w:szCs w:val="24"/>
                        </w:rPr>
                        <w:t>Ilgalaikio suaugusiųjų, sergančių tuberkulioze, sveikatos būklės stebėjimo sąlygos ir ligų sąrašas“;</w:t>
                      </w:r>
                    </w:p>
                  </w:sdtContent>
                </w:sdt>
                <w:sdt>
                  <w:sdtPr>
                    <w:alias w:val="1.6 pp."/>
                    <w:tag w:val="part_6c8227dc7ff643928c68d2ab18d8018d"/>
                    <w:lock w:val="sdtLocked"/>
                    <w:richText/>
                  </w:sdtPr>
                  <w:sdtContent>
                    <w:p>
                      <w:pPr>
                        <w:widowControl w:val="0"/>
                        <w:tabs>
                          <w:tab w:val="left" w:pos="9072"/>
                        </w:tabs>
                        <w:ind w:right="-143" w:firstLine="720"/>
                        <w:jc w:val="both"/>
                        <w:rPr>
                          <w:bCs/>
                          <w:szCs w:val="24"/>
                        </w:rPr>
                      </w:pPr>
                      <w:sdt>
                        <w:sdtPr>
                          <w:alias w:val="Numeris"/>
                          <w:tag w:val="nr_6c8227dc7ff643928c68d2ab18d8018d"/>
                          <w:lock w:val="sdtLocked"/>
                          <w:richText/>
                        </w:sdtPr>
                        <w:sdtContent>
                          <w:r>
                            <w:rPr>
                              <w:rFonts w:eastAsia="Calibri"/>
                              <w:szCs w:val="24"/>
                              <w:lang w:eastAsia="lt-LT"/>
                            </w:rPr>
                            <w:t>1.6</w:t>
                          </w:r>
                        </w:sdtContent>
                      </w:sdt>
                      <w:r>
                        <w:rPr>
                          <w:rFonts w:eastAsia="Calibri"/>
                          <w:szCs w:val="24"/>
                          <w:lang w:eastAsia="lt-LT"/>
                        </w:rPr>
                        <w:t>. Aprašo 6 priede „</w:t>
                      </w:r>
                      <w:r>
                        <w:rPr>
                          <w:bCs/>
                          <w:szCs w:val="24"/>
                        </w:rPr>
                        <w:t>Ilgalaikio vaikų, sergančių tuberkulioze, sveikatos būklės stebėjimo sąlygos ir ligų sąrašas“;</w:t>
                      </w:r>
                    </w:p>
                  </w:sdtContent>
                </w:sdt>
                <w:sdt>
                  <w:sdtPr>
                    <w:alias w:val="1.7 pp."/>
                    <w:tag w:val="part_de3b5b6ad53e4ba58bbb4513419c9757"/>
                    <w:lock w:val="sdtLocked"/>
                    <w:richText/>
                  </w:sdtPr>
                  <w:sdtContent>
                    <w:p>
                      <w:pPr>
                        <w:widowControl w:val="0"/>
                        <w:tabs>
                          <w:tab w:val="left" w:pos="9072"/>
                        </w:tabs>
                        <w:ind w:right="-143" w:firstLine="720"/>
                        <w:jc w:val="both"/>
                        <w:rPr>
                          <w:bCs/>
                          <w:szCs w:val="24"/>
                        </w:rPr>
                      </w:pPr>
                      <w:sdt>
                        <w:sdtPr>
                          <w:alias w:val="Numeris"/>
                          <w:tag w:val="nr_de3b5b6ad53e4ba58bbb4513419c9757"/>
                          <w:lock w:val="sdtLocked"/>
                          <w:richText/>
                        </w:sdtPr>
                        <w:sdtContent>
                          <w:r>
                            <w:rPr>
                              <w:bCs/>
                              <w:szCs w:val="24"/>
                            </w:rPr>
                            <w:t>1.7</w:t>
                          </w:r>
                        </w:sdtContent>
                      </w:sdt>
                      <w:r>
                        <w:rPr>
                          <w:bCs/>
                          <w:szCs w:val="24"/>
                        </w:rPr>
                        <w:t xml:space="preserve">. </w:t>
                      </w:r>
                      <w:r>
                        <w:rPr>
                          <w:rFonts w:eastAsia="Calibri"/>
                          <w:szCs w:val="24"/>
                          <w:lang w:eastAsia="lt-LT"/>
                        </w:rPr>
                        <w:t>Aprašo 7 priede „</w:t>
                      </w:r>
                      <w:r>
                        <w:rPr>
                          <w:bCs/>
                          <w:szCs w:val="24"/>
                        </w:rPr>
                        <w:t>Ilgalaikio suaugusiųjų, kuriems diagnozuoti navikai, sveikatos būklės stebėjimo sąlygos ir ligų sąrašas“;</w:t>
                      </w:r>
                    </w:p>
                  </w:sdtContent>
                </w:sdt>
                <w:sdt>
                  <w:sdtPr>
                    <w:alias w:val="1.8 pp."/>
                    <w:tag w:val="part_30c070550272488fb58eb884e7c7dd48"/>
                    <w:lock w:val="sdtLocked"/>
                    <w:richText/>
                  </w:sdtPr>
                  <w:sdtContent>
                    <w:p>
                      <w:pPr>
                        <w:widowControl w:val="0"/>
                        <w:tabs>
                          <w:tab w:val="left" w:pos="9072"/>
                        </w:tabs>
                        <w:ind w:right="-143" w:firstLine="720"/>
                        <w:jc w:val="both"/>
                        <w:rPr>
                          <w:rFonts w:eastAsia="Calibri"/>
                          <w:szCs w:val="24"/>
                          <w:lang w:eastAsia="lt-LT"/>
                        </w:rPr>
                      </w:pPr>
                      <w:sdt>
                        <w:sdtPr>
                          <w:alias w:val="Numeris"/>
                          <w:tag w:val="nr_30c070550272488fb58eb884e7c7dd48"/>
                          <w:lock w:val="sdtLocked"/>
                          <w:richText/>
                        </w:sdtPr>
                        <w:sdtContent>
                          <w:r>
                            <w:rPr>
                              <w:rFonts w:eastAsia="Calibri"/>
                              <w:szCs w:val="24"/>
                              <w:lang w:eastAsia="lt-LT"/>
                            </w:rPr>
                            <w:t>1.8</w:t>
                          </w:r>
                        </w:sdtContent>
                      </w:sdt>
                      <w:r>
                        <w:rPr>
                          <w:rFonts w:eastAsia="Calibri"/>
                          <w:szCs w:val="24"/>
                          <w:lang w:eastAsia="lt-LT"/>
                        </w:rPr>
                        <w:t>. Aprašo 8 priede „</w:t>
                      </w:r>
                      <w:r>
                        <w:rPr>
                          <w:bCs/>
                          <w:szCs w:val="24"/>
                        </w:rPr>
                        <w:t>Ilgalaikio suaugusiųjų, sergančių lėtinėmis kraujotakos sistemos ligomis, sveikatos būklės stebėjimo sąlygos ir ligų sąrašas“;</w:t>
                      </w:r>
                    </w:p>
                  </w:sdtContent>
                </w:sdt>
                <w:sdt>
                  <w:sdtPr>
                    <w:alias w:val="1.9 pp."/>
                    <w:tag w:val="part_31ecf2494b0941abb01d3418ddd2c0af"/>
                    <w:lock w:val="sdtLocked"/>
                    <w:richText/>
                  </w:sdtPr>
                  <w:sdtContent>
                    <w:p>
                      <w:pPr>
                        <w:widowControl w:val="0"/>
                        <w:tabs>
                          <w:tab w:val="left" w:pos="9072"/>
                        </w:tabs>
                        <w:ind w:right="-143" w:firstLine="720"/>
                        <w:jc w:val="both"/>
                        <w:rPr>
                          <w:rFonts w:eastAsia="Calibri"/>
                          <w:szCs w:val="24"/>
                          <w:lang w:eastAsia="lt-LT"/>
                        </w:rPr>
                      </w:pPr>
                      <w:sdt>
                        <w:sdtPr>
                          <w:alias w:val="Numeris"/>
                          <w:tag w:val="nr_31ecf2494b0941abb01d3418ddd2c0af"/>
                          <w:lock w:val="sdtLocked"/>
                          <w:richText/>
                        </w:sdtPr>
                        <w:sdtContent>
                          <w:r>
                            <w:rPr>
                              <w:rFonts w:eastAsia="Calibri"/>
                              <w:szCs w:val="24"/>
                              <w:lang w:eastAsia="lt-LT"/>
                            </w:rPr>
                            <w:t>1.9</w:t>
                          </w:r>
                        </w:sdtContent>
                      </w:sdt>
                      <w:r>
                        <w:rPr>
                          <w:rFonts w:eastAsia="Calibri"/>
                          <w:szCs w:val="24"/>
                          <w:lang w:eastAsia="lt-LT"/>
                        </w:rPr>
                        <w:t>. Aprašo 9 priede „</w:t>
                      </w:r>
                      <w:r>
                        <w:rPr>
                          <w:bCs/>
                          <w:szCs w:val="24"/>
                        </w:rPr>
                        <w:t>Ilgalaikio vaikų, sergančių lėtinėmis kraujotakos sistemos ligomis, sveikatos būklės stebėjimo sąlygos ir ligų sąrašas“;</w:t>
                      </w:r>
                    </w:p>
                  </w:sdtContent>
                </w:sdt>
                <w:sdt>
                  <w:sdtPr>
                    <w:alias w:val="1.10 pp."/>
                    <w:tag w:val="part_18d1eb42831e4c038f2c41bff7f2f9dc"/>
                    <w:lock w:val="sdtLocked"/>
                    <w:richText/>
                  </w:sdtPr>
                  <w:sdtContent>
                    <w:p>
                      <w:pPr>
                        <w:widowControl w:val="0"/>
                        <w:tabs>
                          <w:tab w:val="left" w:pos="9072"/>
                        </w:tabs>
                        <w:ind w:right="-143" w:firstLine="720"/>
                        <w:jc w:val="both"/>
                        <w:rPr>
                          <w:bCs/>
                          <w:szCs w:val="24"/>
                        </w:rPr>
                      </w:pPr>
                      <w:sdt>
                        <w:sdtPr>
                          <w:alias w:val="Numeris"/>
                          <w:tag w:val="nr_18d1eb42831e4c038f2c41bff7f2f9dc"/>
                          <w:lock w:val="sdtLocked"/>
                          <w:richText/>
                        </w:sdtPr>
                        <w:sdtContent>
                          <w:r>
                            <w:rPr>
                              <w:rFonts w:eastAsia="Calibri"/>
                              <w:szCs w:val="24"/>
                              <w:lang w:eastAsia="lt-LT"/>
                            </w:rPr>
                            <w:t>1.10</w:t>
                          </w:r>
                        </w:sdtContent>
                      </w:sdt>
                      <w:r>
                        <w:rPr>
                          <w:rFonts w:eastAsia="Calibri"/>
                          <w:szCs w:val="24"/>
                          <w:lang w:eastAsia="lt-LT"/>
                        </w:rPr>
                        <w:t>. Aprašo 10 priede „</w:t>
                      </w:r>
                      <w:r>
                        <w:rPr>
                          <w:bCs/>
                          <w:szCs w:val="24"/>
                        </w:rPr>
                        <w:t>Ilgalaikio suaugusiųjų, sergančių lėtinėmis kvėpavimo sistemos ligomis, sveikatos būklės stebėjimo sąlygos ir ligų sąrašas“;</w:t>
                      </w:r>
                    </w:p>
                  </w:sdtContent>
                </w:sdt>
                <w:sdt>
                  <w:sdtPr>
                    <w:alias w:val="1.11 pp."/>
                    <w:tag w:val="part_a26369c116c94fdb9d1adc5737ca3c32"/>
                    <w:lock w:val="sdtLocked"/>
                    <w:richText/>
                  </w:sdtPr>
                  <w:sdtContent>
                    <w:p>
                      <w:pPr>
                        <w:widowControl w:val="0"/>
                        <w:tabs>
                          <w:tab w:val="left" w:pos="9072"/>
                        </w:tabs>
                        <w:ind w:right="-143" w:firstLine="720"/>
                        <w:jc w:val="both"/>
                        <w:rPr>
                          <w:bCs/>
                          <w:szCs w:val="24"/>
                        </w:rPr>
                      </w:pPr>
                      <w:sdt>
                        <w:sdtPr>
                          <w:alias w:val="Numeris"/>
                          <w:tag w:val="nr_a26369c116c94fdb9d1adc5737ca3c32"/>
                          <w:lock w:val="sdtLocked"/>
                          <w:richText/>
                        </w:sdtPr>
                        <w:sdtContent>
                          <w:r>
                            <w:rPr>
                              <w:rFonts w:eastAsia="Calibri"/>
                              <w:szCs w:val="24"/>
                              <w:lang w:eastAsia="lt-LT"/>
                            </w:rPr>
                            <w:t>1.11</w:t>
                          </w:r>
                        </w:sdtContent>
                      </w:sdt>
                      <w:r>
                        <w:rPr>
                          <w:rFonts w:eastAsia="Calibri"/>
                          <w:szCs w:val="24"/>
                          <w:lang w:eastAsia="lt-LT"/>
                        </w:rPr>
                        <w:t>. Aprašo 11 priede „</w:t>
                      </w:r>
                      <w:r>
                        <w:rPr>
                          <w:bCs/>
                          <w:szCs w:val="24"/>
                        </w:rPr>
                        <w:t>Ilgalaikio vaikų, sergančių lėtinėmis kvėpavimo sistemos ligomis, sveikatos būklės stebėjimo sąlygos ir ligų sąrašas“;</w:t>
                      </w:r>
                    </w:p>
                  </w:sdtContent>
                </w:sdt>
                <w:sdt>
                  <w:sdtPr>
                    <w:alias w:val="1.12 pp."/>
                    <w:tag w:val="part_30683fa1a8cd44da8121e2d65c4c487a"/>
                    <w:lock w:val="sdtLocked"/>
                    <w:richText/>
                  </w:sdtPr>
                  <w:sdtContent>
                    <w:p>
                      <w:pPr>
                        <w:widowControl w:val="0"/>
                        <w:tabs>
                          <w:tab w:val="left" w:pos="9072"/>
                        </w:tabs>
                        <w:ind w:right="-143" w:firstLine="720"/>
                        <w:jc w:val="both"/>
                        <w:rPr>
                          <w:bCs/>
                          <w:szCs w:val="24"/>
                        </w:rPr>
                      </w:pPr>
                      <w:sdt>
                        <w:sdtPr>
                          <w:alias w:val="Numeris"/>
                          <w:tag w:val="nr_30683fa1a8cd44da8121e2d65c4c487a"/>
                          <w:lock w:val="sdtLocked"/>
                          <w:richText/>
                        </w:sdtPr>
                        <w:sdtContent>
                          <w:r>
                            <w:rPr>
                              <w:bCs/>
                              <w:szCs w:val="24"/>
                            </w:rPr>
                            <w:t>1.12</w:t>
                          </w:r>
                        </w:sdtContent>
                      </w:sdt>
                      <w:r>
                        <w:rPr>
                          <w:bCs/>
                          <w:szCs w:val="24"/>
                        </w:rPr>
                        <w:t xml:space="preserve">. </w:t>
                      </w:r>
                      <w:r>
                        <w:rPr>
                          <w:rFonts w:eastAsia="Calibri"/>
                          <w:szCs w:val="24"/>
                          <w:lang w:eastAsia="lt-LT"/>
                        </w:rPr>
                        <w:t>Aprašo 12 priede „</w:t>
                      </w:r>
                      <w:r>
                        <w:rPr>
                          <w:bCs/>
                          <w:szCs w:val="24"/>
                        </w:rPr>
                        <w:t xml:space="preserve">Ilgalaikio suaugusiųjų, sergančių lėtinėmis </w:t>
                      </w:r>
                      <w:r>
                        <w:rPr>
                          <w:bCs/>
                        </w:rPr>
                        <w:t>kvėpavimo sistemos, odos ir paodžio ligomis ir tam tikrais sutrikimais, susijusiais su alerginiais ir imuniniais mechanizmais</w:t>
                      </w:r>
                      <w:r>
                        <w:rPr>
                          <w:bCs/>
                          <w:szCs w:val="24"/>
                        </w:rPr>
                        <w:t>, sveikatos būklės stebėjimo sąlygos ir ligų sąrašas“;</w:t>
                      </w:r>
                    </w:p>
                  </w:sdtContent>
                </w:sdt>
                <w:sdt>
                  <w:sdtPr>
                    <w:alias w:val="1.13 pp."/>
                    <w:tag w:val="part_18d5fb6da1094b0fa251dedc86cc3e8f"/>
                    <w:lock w:val="sdtLocked"/>
                    <w:richText/>
                  </w:sdtPr>
                  <w:sdtContent>
                    <w:p>
                      <w:pPr>
                        <w:widowControl w:val="0"/>
                        <w:tabs>
                          <w:tab w:val="left" w:pos="9072"/>
                        </w:tabs>
                        <w:ind w:right="-143" w:firstLine="720"/>
                        <w:jc w:val="both"/>
                        <w:rPr>
                          <w:rFonts w:eastAsia="Calibri"/>
                          <w:szCs w:val="24"/>
                          <w:lang w:eastAsia="lt-LT"/>
                        </w:rPr>
                      </w:pPr>
                      <w:sdt>
                        <w:sdtPr>
                          <w:alias w:val="Numeris"/>
                          <w:tag w:val="nr_18d5fb6da1094b0fa251dedc86cc3e8f"/>
                          <w:lock w:val="sdtLocked"/>
                          <w:richText/>
                        </w:sdtPr>
                        <w:sdtContent>
                          <w:r>
                            <w:rPr>
                              <w:rFonts w:eastAsia="Calibri"/>
                              <w:szCs w:val="24"/>
                              <w:lang w:eastAsia="lt-LT"/>
                            </w:rPr>
                            <w:t>1.13</w:t>
                          </w:r>
                        </w:sdtContent>
                      </w:sdt>
                      <w:r>
                        <w:rPr>
                          <w:rFonts w:eastAsia="Calibri"/>
                          <w:szCs w:val="24"/>
                          <w:lang w:eastAsia="lt-LT"/>
                        </w:rPr>
                        <w:t>. Aprašo 13 priede „</w:t>
                      </w:r>
                      <w:r>
                        <w:rPr>
                          <w:bCs/>
                          <w:szCs w:val="24"/>
                        </w:rPr>
                        <w:t xml:space="preserve">Ilgalaikio vaikų, sergančių lėtinėmis </w:t>
                      </w:r>
                      <w:r>
                        <w:rPr>
                          <w:bCs/>
                        </w:rPr>
                        <w:t>kvėpavimo sistemos, odos ir paodžio ligomis ir tam tikrais sutrikimais, susijusiais su alerginiais ir imuniniais mechanizmais</w:t>
                      </w:r>
                      <w:r>
                        <w:rPr>
                          <w:bCs/>
                          <w:szCs w:val="24"/>
                        </w:rPr>
                        <w:t>, sveikatos būklės stebėjimo sąlygos ir ligų sąrašas“;</w:t>
                      </w:r>
                    </w:p>
                  </w:sdtContent>
                </w:sdt>
                <w:sdt>
                  <w:sdtPr>
                    <w:alias w:val="1.14 pp."/>
                    <w:tag w:val="part_82128e50fa9c4dcfa4da2f2c3f852597"/>
                    <w:lock w:val="sdtLocked"/>
                    <w:richText/>
                  </w:sdtPr>
                  <w:sdtContent>
                    <w:p>
                      <w:pPr>
                        <w:widowControl w:val="0"/>
                        <w:tabs>
                          <w:tab w:val="left" w:pos="9072"/>
                        </w:tabs>
                        <w:ind w:right="-143" w:firstLine="720"/>
                        <w:jc w:val="both"/>
                        <w:rPr>
                          <w:rFonts w:eastAsia="Calibri"/>
                          <w:szCs w:val="24"/>
                          <w:lang w:eastAsia="lt-LT"/>
                        </w:rPr>
                      </w:pPr>
                      <w:sdt>
                        <w:sdtPr>
                          <w:alias w:val="Numeris"/>
                          <w:tag w:val="nr_82128e50fa9c4dcfa4da2f2c3f852597"/>
                          <w:lock w:val="sdtLocked"/>
                          <w:richText/>
                        </w:sdtPr>
                        <w:sdtContent>
                          <w:r>
                            <w:rPr>
                              <w:rFonts w:eastAsia="Calibri"/>
                              <w:szCs w:val="24"/>
                              <w:lang w:eastAsia="lt-LT"/>
                            </w:rPr>
                            <w:t>1.14</w:t>
                          </w:r>
                        </w:sdtContent>
                      </w:sdt>
                      <w:r>
                        <w:rPr>
                          <w:rFonts w:eastAsia="Calibri"/>
                          <w:szCs w:val="24"/>
                          <w:lang w:eastAsia="lt-LT"/>
                        </w:rPr>
                        <w:t>. Aprašo 14 priede „</w:t>
                      </w:r>
                      <w:r>
                        <w:rPr>
                          <w:bCs/>
                          <w:szCs w:val="24"/>
                        </w:rPr>
                        <w:t>Ilgalaikio suaugusiųjų, sergančių lėtinėmis akies ir jos priedinių organų ligomis, sveikatos būklės stebėjimo sąlygos ir ligų sąrašas“;</w:t>
                      </w:r>
                    </w:p>
                  </w:sdtContent>
                </w:sdt>
                <w:sdt>
                  <w:sdtPr>
                    <w:alias w:val="1.15 pp."/>
                    <w:tag w:val="part_c619ec0496124d0dbcdb34e836d0a610"/>
                    <w:lock w:val="sdtLocked"/>
                    <w:richText/>
                  </w:sdtPr>
                  <w:sdtContent>
                    <w:p>
                      <w:pPr>
                        <w:widowControl w:val="0"/>
                        <w:tabs>
                          <w:tab w:val="left" w:pos="9072"/>
                        </w:tabs>
                        <w:ind w:right="-143" w:firstLine="720"/>
                        <w:jc w:val="both"/>
                        <w:rPr>
                          <w:bCs/>
                          <w:szCs w:val="24"/>
                        </w:rPr>
                      </w:pPr>
                      <w:sdt>
                        <w:sdtPr>
                          <w:alias w:val="Numeris"/>
                          <w:tag w:val="nr_c619ec0496124d0dbcdb34e836d0a610"/>
                          <w:lock w:val="sdtLocked"/>
                          <w:richText/>
                        </w:sdtPr>
                        <w:sdtContent>
                          <w:r>
                            <w:rPr>
                              <w:rFonts w:eastAsia="Calibri"/>
                              <w:szCs w:val="24"/>
                              <w:lang w:eastAsia="lt-LT"/>
                            </w:rPr>
                            <w:t>1.15</w:t>
                          </w:r>
                        </w:sdtContent>
                      </w:sdt>
                      <w:r>
                        <w:rPr>
                          <w:rFonts w:eastAsia="Calibri"/>
                          <w:szCs w:val="24"/>
                          <w:lang w:eastAsia="lt-LT"/>
                        </w:rPr>
                        <w:t>. Aprašo 15 priede „</w:t>
                      </w:r>
                      <w:r>
                        <w:rPr>
                          <w:bCs/>
                          <w:szCs w:val="24"/>
                        </w:rPr>
                        <w:t>Ilgalaikio pacientų, sergančių profesinėmis ligomis, sveikatos būklės stebėjimo sąlygos ir ligų sąrašas“;</w:t>
                      </w:r>
                    </w:p>
                  </w:sdtContent>
                </w:sdt>
                <w:sdt>
                  <w:sdtPr>
                    <w:alias w:val="1.16 pp."/>
                    <w:tag w:val="part_2ac2e61caced4e23842df0b282452a43"/>
                    <w:lock w:val="sdtLocked"/>
                    <w:richText/>
                  </w:sdtPr>
                  <w:sdtContent>
                    <w:p>
                      <w:pPr>
                        <w:widowControl w:val="0"/>
                        <w:tabs>
                          <w:tab w:val="left" w:pos="9072"/>
                        </w:tabs>
                        <w:ind w:right="-143" w:firstLine="720"/>
                        <w:jc w:val="both"/>
                        <w:rPr>
                          <w:bCs/>
                          <w:szCs w:val="24"/>
                        </w:rPr>
                      </w:pPr>
                      <w:sdt>
                        <w:sdtPr>
                          <w:alias w:val="Numeris"/>
                          <w:tag w:val="nr_2ac2e61caced4e23842df0b282452a43"/>
                          <w:lock w:val="sdtLocked"/>
                          <w:richText/>
                        </w:sdtPr>
                        <w:sdtContent>
                          <w:r>
                            <w:rPr>
                              <w:rFonts w:eastAsia="Calibri"/>
                              <w:szCs w:val="24"/>
                              <w:lang w:eastAsia="lt-LT"/>
                            </w:rPr>
                            <w:t>1.16</w:t>
                          </w:r>
                        </w:sdtContent>
                      </w:sdt>
                      <w:r>
                        <w:rPr>
                          <w:rFonts w:eastAsia="Calibri"/>
                          <w:szCs w:val="24"/>
                          <w:lang w:eastAsia="lt-LT"/>
                        </w:rPr>
                        <w:t>. Aprašo 16 priede „I</w:t>
                      </w:r>
                      <w:r>
                        <w:rPr>
                          <w:bCs/>
                          <w:szCs w:val="24"/>
                        </w:rPr>
                        <w:t xml:space="preserve">lgalaikio </w:t>
                      </w:r>
                      <w:r>
                        <w:rPr>
                          <w:bCs/>
                        </w:rPr>
                        <w:t>vaikų, sergančių piktybiniais navikais, kraujo ir kraujodaros organų</w:t>
                      </w:r>
                      <w:r>
                        <w:rPr>
                          <w:b/>
                        </w:rPr>
                        <w:t xml:space="preserve"> </w:t>
                      </w:r>
                      <w:r>
                        <w:rPr>
                          <w:bCs/>
                          <w:szCs w:val="24"/>
                        </w:rPr>
                        <w:t>ligomis, sveikatos būklės stebėjimo sąlygos ir ligų sąrašas“;</w:t>
                      </w:r>
                    </w:p>
                  </w:sdtContent>
                </w:sdt>
                <w:sdt>
                  <w:sdtPr>
                    <w:alias w:val="1.17 pp."/>
                    <w:tag w:val="part_40d2c93f416d48a08e85e8c3ef077cea"/>
                    <w:lock w:val="sdtLocked"/>
                    <w:richText/>
                  </w:sdtPr>
                  <w:sdtContent>
                    <w:p>
                      <w:pPr>
                        <w:widowControl w:val="0"/>
                        <w:tabs>
                          <w:tab w:val="left" w:pos="9072"/>
                        </w:tabs>
                        <w:ind w:right="-143" w:firstLine="720"/>
                        <w:jc w:val="both"/>
                        <w:rPr>
                          <w:bCs/>
                          <w:szCs w:val="24"/>
                        </w:rPr>
                      </w:pPr>
                      <w:sdt>
                        <w:sdtPr>
                          <w:alias w:val="Numeris"/>
                          <w:tag w:val="nr_40d2c93f416d48a08e85e8c3ef077cea"/>
                          <w:lock w:val="sdtLocked"/>
                          <w:richText/>
                        </w:sdtPr>
                        <w:sdtContent>
                          <w:r>
                            <w:rPr>
                              <w:bCs/>
                              <w:szCs w:val="24"/>
                            </w:rPr>
                            <w:t>1.17</w:t>
                          </w:r>
                        </w:sdtContent>
                      </w:sdt>
                      <w:r>
                        <w:rPr>
                          <w:bCs/>
                          <w:szCs w:val="24"/>
                        </w:rPr>
                        <w:t xml:space="preserve">. </w:t>
                      </w:r>
                      <w:r>
                        <w:rPr>
                          <w:rFonts w:eastAsia="Calibri"/>
                          <w:szCs w:val="24"/>
                          <w:lang w:eastAsia="lt-LT"/>
                        </w:rPr>
                        <w:t>Aprašo 17 priede „</w:t>
                      </w:r>
                      <w:r>
                        <w:rPr>
                          <w:bCs/>
                          <w:szCs w:val="24"/>
                        </w:rPr>
                        <w:t>Ilgalaikio vaikų, sergančių lėtinėmis akies ir jos priedinių organų ligomis, sveikatos būklės stebėjimo sąlygos ir ligų sąrašas“;</w:t>
                      </w:r>
                    </w:p>
                  </w:sdtContent>
                </w:sdt>
                <w:sdt>
                  <w:sdtPr>
                    <w:alias w:val="1.18 pp."/>
                    <w:tag w:val="part_a9a1446a8063473aa0bf03ccc96b8119"/>
                    <w:lock w:val="sdtLocked"/>
                    <w:richText/>
                  </w:sdtPr>
                  <w:sdtContent>
                    <w:p>
                      <w:pPr>
                        <w:widowControl w:val="0"/>
                        <w:tabs>
                          <w:tab w:val="left" w:pos="9072"/>
                        </w:tabs>
                        <w:ind w:right="-143" w:firstLine="720"/>
                        <w:jc w:val="both"/>
                        <w:rPr>
                          <w:rFonts w:eastAsia="Calibri"/>
                          <w:szCs w:val="24"/>
                          <w:lang w:eastAsia="lt-LT"/>
                        </w:rPr>
                      </w:pPr>
                      <w:sdt>
                        <w:sdtPr>
                          <w:alias w:val="Numeris"/>
                          <w:tag w:val="nr_a9a1446a8063473aa0bf03ccc96b8119"/>
                          <w:lock w:val="sdtLocked"/>
                          <w:richText/>
                        </w:sdtPr>
                        <w:sdtContent>
                          <w:r>
                            <w:rPr>
                              <w:rFonts w:eastAsia="Calibri"/>
                              <w:szCs w:val="24"/>
                              <w:lang w:eastAsia="lt-LT"/>
                            </w:rPr>
                            <w:t>1.18</w:t>
                          </w:r>
                        </w:sdtContent>
                      </w:sdt>
                      <w:r>
                        <w:rPr>
                          <w:rFonts w:eastAsia="Calibri"/>
                          <w:szCs w:val="24"/>
                          <w:lang w:eastAsia="lt-LT"/>
                        </w:rPr>
                        <w:t>. Aprašo 18 priede „</w:t>
                      </w:r>
                      <w:r>
                        <w:rPr>
                          <w:bCs/>
                          <w:szCs w:val="24"/>
                        </w:rPr>
                        <w:t>Ilgalaikio vaikų, sergančių lėtinėmis lyties ir šlapimo sistemos ligomis, sveikatos būklės stebėjimo sąlygos ir ligų sąrašas“;</w:t>
                      </w:r>
                    </w:p>
                  </w:sdtContent>
                </w:sdt>
                <w:sdt>
                  <w:sdtPr>
                    <w:alias w:val="1.19 pp."/>
                    <w:tag w:val="part_2a69e06f400e4dd698d7e5cac3f8d81e"/>
                    <w:lock w:val="sdtLocked"/>
                    <w:richText/>
                  </w:sdtPr>
                  <w:sdtContent>
                    <w:p>
                      <w:pPr>
                        <w:widowControl w:val="0"/>
                        <w:tabs>
                          <w:tab w:val="left" w:pos="9072"/>
                        </w:tabs>
                        <w:ind w:right="-143" w:firstLine="720"/>
                        <w:jc w:val="both"/>
                        <w:rPr>
                          <w:rFonts w:eastAsia="Calibri"/>
                          <w:szCs w:val="24"/>
                          <w:lang w:eastAsia="lt-LT"/>
                        </w:rPr>
                      </w:pPr>
                      <w:sdt>
                        <w:sdtPr>
                          <w:alias w:val="Numeris"/>
                          <w:tag w:val="nr_2a69e06f400e4dd698d7e5cac3f8d81e"/>
                          <w:lock w:val="sdtLocked"/>
                          <w:richText/>
                        </w:sdtPr>
                        <w:sdtContent>
                          <w:r>
                            <w:rPr>
                              <w:rFonts w:eastAsia="Calibri"/>
                              <w:szCs w:val="24"/>
                              <w:lang w:eastAsia="lt-LT"/>
                            </w:rPr>
                            <w:t>1.19</w:t>
                          </w:r>
                        </w:sdtContent>
                      </w:sdt>
                      <w:r>
                        <w:rPr>
                          <w:rFonts w:eastAsia="Calibri"/>
                          <w:szCs w:val="24"/>
                          <w:lang w:eastAsia="lt-LT"/>
                        </w:rPr>
                        <w:t>. Aprašo 19 priede „</w:t>
                      </w:r>
                      <w:r>
                        <w:rPr>
                          <w:szCs w:val="24"/>
                        </w:rPr>
                        <w:t>Paciento, patyrusio vainikinių arterijų sindromą, ilgalaikės stebėsenos duomenų forma</w:t>
                      </w:r>
                      <w:r>
                        <w:rPr>
                          <w:bCs/>
                          <w:szCs w:val="24"/>
                        </w:rPr>
                        <w:t>“;</w:t>
                      </w:r>
                    </w:p>
                  </w:sdtContent>
                </w:sdt>
                <w:sdt>
                  <w:sdtPr>
                    <w:alias w:val="1.20 pp."/>
                    <w:tag w:val="part_5666e495b5d04f22b49aab57bfb4556b"/>
                    <w:lock w:val="sdtLocked"/>
                    <w:richText/>
                  </w:sdtPr>
                  <w:sdtContent>
                    <w:p>
                      <w:pPr>
                        <w:widowControl w:val="0"/>
                        <w:tabs>
                          <w:tab w:val="left" w:pos="9072"/>
                        </w:tabs>
                        <w:ind w:right="-143" w:firstLine="720"/>
                        <w:jc w:val="both"/>
                        <w:rPr>
                          <w:bCs/>
                          <w:szCs w:val="24"/>
                        </w:rPr>
                      </w:pPr>
                      <w:sdt>
                        <w:sdtPr>
                          <w:alias w:val="Numeris"/>
                          <w:tag w:val="nr_5666e495b5d04f22b49aab57bfb4556b"/>
                          <w:lock w:val="sdtLocked"/>
                          <w:richText/>
                        </w:sdtPr>
                        <w:sdtContent>
                          <w:r>
                            <w:rPr>
                              <w:rFonts w:eastAsia="Calibri"/>
                              <w:szCs w:val="24"/>
                              <w:lang w:eastAsia="lt-LT"/>
                            </w:rPr>
                            <w:t>1.20</w:t>
                          </w:r>
                        </w:sdtContent>
                      </w:sdt>
                      <w:r>
                        <w:rPr>
                          <w:rFonts w:eastAsia="Calibri"/>
                          <w:szCs w:val="24"/>
                          <w:lang w:eastAsia="lt-LT"/>
                        </w:rPr>
                        <w:t>. Aprašo 20 priede „</w:t>
                      </w:r>
                      <w:r>
                        <w:rPr>
                          <w:bCs/>
                          <w:szCs w:val="24"/>
                        </w:rPr>
                        <w:t>Ilgalaikio sutrikusios raidos vaikų sveikatos būklės stebėjimo sąlygos ir ligų sąrašas“;</w:t>
                      </w:r>
                    </w:p>
                  </w:sdtContent>
                </w:sdt>
                <w:sdt>
                  <w:sdtPr>
                    <w:alias w:val="1.21 pp."/>
                    <w:tag w:val="part_57d45f6448954fbbb62132df4b8d83e1"/>
                    <w:lock w:val="sdtLocked"/>
                    <w:richText/>
                  </w:sdtPr>
                  <w:sdtContent>
                    <w:p>
                      <w:pPr>
                        <w:widowControl w:val="0"/>
                        <w:tabs>
                          <w:tab w:val="left" w:pos="9072"/>
                        </w:tabs>
                        <w:ind w:right="-143" w:firstLine="720"/>
                        <w:jc w:val="both"/>
                        <w:rPr>
                          <w:bCs/>
                          <w:szCs w:val="24"/>
                        </w:rPr>
                      </w:pPr>
                      <w:sdt>
                        <w:sdtPr>
                          <w:alias w:val="Numeris"/>
                          <w:tag w:val="nr_57d45f6448954fbbb62132df4b8d83e1"/>
                          <w:lock w:val="sdtLocked"/>
                          <w:richText/>
                        </w:sdtPr>
                        <w:sdtContent>
                          <w:r>
                            <w:rPr>
                              <w:rFonts w:eastAsia="Calibri"/>
                              <w:szCs w:val="24"/>
                              <w:lang w:eastAsia="lt-LT"/>
                            </w:rPr>
                            <w:t>1.21</w:t>
                          </w:r>
                        </w:sdtContent>
                      </w:sdt>
                      <w:r>
                        <w:rPr>
                          <w:rFonts w:eastAsia="Calibri"/>
                          <w:szCs w:val="24"/>
                          <w:lang w:eastAsia="lt-LT"/>
                        </w:rPr>
                        <w:t>. Aprašo 21 priede „</w:t>
                      </w:r>
                      <w:r>
                        <w:rPr>
                          <w:bCs/>
                          <w:szCs w:val="24"/>
                        </w:rPr>
                        <w:t xml:space="preserve">Ilgalaikio </w:t>
                      </w:r>
                      <w:r>
                        <w:rPr>
                          <w:bCs/>
                          <w:szCs w:val="24"/>
                          <w:lang w:eastAsia="lt-LT"/>
                        </w:rPr>
                        <w:t>moterų, sergančių lėtinėmis reprodukcinės sistemos ligomis, įskaitant nėštumo laikotarpį, sveikatos būklės stebėjimo sąlygos ir ligų sąrašas</w:t>
                      </w:r>
                      <w:r>
                        <w:rPr>
                          <w:bCs/>
                          <w:szCs w:val="24"/>
                        </w:rPr>
                        <w:t>“;</w:t>
                      </w:r>
                    </w:p>
                  </w:sdtContent>
                </w:sdt>
                <w:sdt>
                  <w:sdtPr>
                    <w:alias w:val="1.22 pp."/>
                    <w:tag w:val="part_f5f865a9cbfb4e3b8c030bfd4d7342ad"/>
                    <w:lock w:val="sdtLocked"/>
                    <w:richText/>
                  </w:sdtPr>
                  <w:sdtContent>
                    <w:p>
                      <w:pPr>
                        <w:widowControl w:val="0"/>
                        <w:tabs>
                          <w:tab w:val="left" w:pos="9072"/>
                        </w:tabs>
                        <w:ind w:right="-143" w:firstLine="720"/>
                        <w:jc w:val="both"/>
                        <w:rPr>
                          <w:bCs/>
                          <w:szCs w:val="24"/>
                        </w:rPr>
                      </w:pPr>
                      <w:sdt>
                        <w:sdtPr>
                          <w:alias w:val="Numeris"/>
                          <w:tag w:val="nr_f5f865a9cbfb4e3b8c030bfd4d7342ad"/>
                          <w:lock w:val="sdtLocked"/>
                          <w:richText/>
                        </w:sdtPr>
                        <w:sdtContent>
                          <w:r>
                            <w:rPr>
                              <w:bCs/>
                              <w:szCs w:val="24"/>
                            </w:rPr>
                            <w:t>1.22</w:t>
                          </w:r>
                        </w:sdtContent>
                      </w:sdt>
                      <w:r>
                        <w:rPr>
                          <w:bCs/>
                          <w:szCs w:val="24"/>
                        </w:rPr>
                        <w:t xml:space="preserve">. </w:t>
                      </w:r>
                      <w:r>
                        <w:rPr>
                          <w:rFonts w:eastAsia="Calibri"/>
                          <w:szCs w:val="24"/>
                          <w:lang w:eastAsia="lt-LT"/>
                        </w:rPr>
                        <w:t>Aprašo 22 priede „</w:t>
                      </w:r>
                      <w:r>
                        <w:rPr>
                          <w:bCs/>
                          <w:szCs w:val="24"/>
                        </w:rPr>
                        <w:t xml:space="preserve">Ilgalaikio suaugusiųjų, </w:t>
                      </w:r>
                      <w:r>
                        <w:rPr>
                          <w:bCs/>
                          <w:szCs w:val="24"/>
                          <w:lang w:eastAsia="lt-LT"/>
                        </w:rPr>
                        <w:t>sergančių lėtinėmis jungiamojo audinio ir raumenų bei skeleto ligomis</w:t>
                      </w:r>
                      <w:r>
                        <w:rPr>
                          <w:bCs/>
                          <w:szCs w:val="24"/>
                        </w:rPr>
                        <w:t>, sveikatos būklės stebėjimo sąlygos ir ligų sąrašas“;</w:t>
                      </w:r>
                    </w:p>
                  </w:sdtContent>
                </w:sdt>
                <w:sdt>
                  <w:sdtPr>
                    <w:alias w:val="1.23 pp."/>
                    <w:tag w:val="part_24fa45239987493dbc1379d72e95936f"/>
                    <w:lock w:val="sdtLocked"/>
                    <w:richText/>
                  </w:sdtPr>
                  <w:sdtContent>
                    <w:p>
                      <w:pPr>
                        <w:widowControl w:val="0"/>
                        <w:tabs>
                          <w:tab w:val="left" w:pos="9072"/>
                        </w:tabs>
                        <w:ind w:right="-143" w:firstLine="720"/>
                        <w:jc w:val="both"/>
                        <w:rPr>
                          <w:rFonts w:eastAsia="Calibri"/>
                          <w:szCs w:val="24"/>
                          <w:lang w:eastAsia="lt-LT"/>
                        </w:rPr>
                      </w:pPr>
                      <w:sdt>
                        <w:sdtPr>
                          <w:alias w:val="Numeris"/>
                          <w:tag w:val="nr_24fa45239987493dbc1379d72e95936f"/>
                          <w:lock w:val="sdtLocked"/>
                          <w:richText/>
                        </w:sdtPr>
                        <w:sdtContent>
                          <w:r>
                            <w:rPr>
                              <w:rFonts w:eastAsia="Calibri"/>
                              <w:szCs w:val="24"/>
                              <w:lang w:eastAsia="lt-LT"/>
                            </w:rPr>
                            <w:t>1.23</w:t>
                          </w:r>
                        </w:sdtContent>
                      </w:sdt>
                      <w:r>
                        <w:rPr>
                          <w:rFonts w:eastAsia="Calibri"/>
                          <w:szCs w:val="24"/>
                          <w:lang w:eastAsia="lt-LT"/>
                        </w:rPr>
                        <w:t>. Aprašo 23 priede „</w:t>
                      </w:r>
                      <w:r>
                        <w:rPr>
                          <w:bCs/>
                          <w:szCs w:val="24"/>
                        </w:rPr>
                        <w:t>Ilgalaikio suaugusiųjų, sergančių</w:t>
                      </w:r>
                      <w:r>
                        <w:rPr>
                          <w:b/>
                          <w:szCs w:val="24"/>
                          <w:lang w:eastAsia="lt-LT"/>
                        </w:rPr>
                        <w:t xml:space="preserve"> </w:t>
                      </w:r>
                      <w:r>
                        <w:rPr>
                          <w:bCs/>
                          <w:szCs w:val="24"/>
                          <w:lang w:eastAsia="lt-LT"/>
                        </w:rPr>
                        <w:t>lėtinėmis lyties ir šlapimo sistemos ligomis</w:t>
                      </w:r>
                      <w:r>
                        <w:rPr>
                          <w:bCs/>
                          <w:szCs w:val="24"/>
                        </w:rPr>
                        <w:t>, sveikatos būklės stebėjimo sąlygos ir ligų sąrašas“;</w:t>
                      </w:r>
                    </w:p>
                  </w:sdtContent>
                </w:sdt>
                <w:sdt>
                  <w:sdtPr>
                    <w:alias w:val="1.24 pp."/>
                    <w:tag w:val="part_6ee647282c894764a50f714c3ef28fba"/>
                    <w:lock w:val="sdtLocked"/>
                    <w:richText/>
                  </w:sdtPr>
                  <w:sdtContent>
                    <w:p>
                      <w:pPr>
                        <w:widowControl w:val="0"/>
                        <w:tabs>
                          <w:tab w:val="left" w:pos="9072"/>
                        </w:tabs>
                        <w:ind w:right="-143" w:firstLine="720"/>
                        <w:jc w:val="both"/>
                        <w:rPr>
                          <w:rFonts w:eastAsia="Calibri"/>
                          <w:szCs w:val="24"/>
                          <w:lang w:eastAsia="lt-LT"/>
                        </w:rPr>
                      </w:pPr>
                      <w:sdt>
                        <w:sdtPr>
                          <w:alias w:val="Numeris"/>
                          <w:tag w:val="nr_6ee647282c894764a50f714c3ef28fba"/>
                          <w:lock w:val="sdtLocked"/>
                          <w:richText/>
                        </w:sdtPr>
                        <w:sdtContent>
                          <w:r>
                            <w:rPr>
                              <w:rFonts w:eastAsia="Calibri"/>
                              <w:szCs w:val="24"/>
                              <w:lang w:eastAsia="lt-LT"/>
                            </w:rPr>
                            <w:t>1.24</w:t>
                          </w:r>
                        </w:sdtContent>
                      </w:sdt>
                      <w:r>
                        <w:rPr>
                          <w:rFonts w:eastAsia="Calibri"/>
                          <w:szCs w:val="24"/>
                          <w:lang w:eastAsia="lt-LT"/>
                        </w:rPr>
                        <w:t>. Aprašo 24 priede „</w:t>
                      </w:r>
                      <w:r>
                        <w:rPr>
                          <w:bCs/>
                          <w:szCs w:val="24"/>
                        </w:rPr>
                        <w:t>Ilgalaikio suaugusiųjų, sergančių lėtinėmis virškinimo sistemos ligomis, sveikatos būklės stebėjimo sąlygos ir ligų sąrašas“;</w:t>
                      </w:r>
                    </w:p>
                  </w:sdtContent>
                </w:sdt>
                <w:sdt>
                  <w:sdtPr>
                    <w:alias w:val="1.25 pp."/>
                    <w:tag w:val="part_5889d1ae9de241f39f9bb20f8b1721e8"/>
                    <w:lock w:val="sdtLocked"/>
                    <w:richText/>
                  </w:sdtPr>
                  <w:sdtContent>
                    <w:p>
                      <w:pPr>
                        <w:widowControl w:val="0"/>
                        <w:tabs>
                          <w:tab w:val="left" w:pos="9072"/>
                        </w:tabs>
                        <w:ind w:right="-143" w:firstLine="720"/>
                        <w:jc w:val="both"/>
                        <w:rPr>
                          <w:bCs/>
                          <w:szCs w:val="24"/>
                        </w:rPr>
                      </w:pPr>
                      <w:sdt>
                        <w:sdtPr>
                          <w:alias w:val="Numeris"/>
                          <w:tag w:val="nr_5889d1ae9de241f39f9bb20f8b1721e8"/>
                          <w:lock w:val="sdtLocked"/>
                          <w:richText/>
                        </w:sdtPr>
                        <w:sdtContent>
                          <w:r>
                            <w:rPr>
                              <w:rFonts w:eastAsia="Calibri"/>
                              <w:szCs w:val="24"/>
                              <w:lang w:eastAsia="lt-LT"/>
                            </w:rPr>
                            <w:t>1.25</w:t>
                          </w:r>
                        </w:sdtContent>
                      </w:sdt>
                      <w:r>
                        <w:rPr>
                          <w:rFonts w:eastAsia="Calibri"/>
                          <w:szCs w:val="24"/>
                          <w:lang w:eastAsia="lt-LT"/>
                        </w:rPr>
                        <w:t>. Aprašo 25 priede „</w:t>
                      </w:r>
                      <w:r>
                        <w:rPr>
                          <w:bCs/>
                          <w:szCs w:val="24"/>
                        </w:rPr>
                        <w:t xml:space="preserve">Ilgalaikio </w:t>
                      </w:r>
                      <w:r>
                        <w:rPr>
                          <w:bCs/>
                          <w:szCs w:val="24"/>
                          <w:lang w:eastAsia="lt-LT"/>
                        </w:rPr>
                        <w:t>vaikų ir suaugusiųjų, sergančių retomis ligomis</w:t>
                      </w:r>
                      <w:r>
                        <w:rPr>
                          <w:bCs/>
                          <w:szCs w:val="24"/>
                        </w:rPr>
                        <w:t>, sveikatos būklės stebėjimo sąlygos ir ligų sąrašas“;</w:t>
                      </w:r>
                    </w:p>
                  </w:sdtContent>
                </w:sdt>
                <w:sdt>
                  <w:sdtPr>
                    <w:alias w:val="1.26 pp."/>
                    <w:tag w:val="part_096d3aedc997414dad0afd4aa788a0e9"/>
                    <w:lock w:val="sdtLocked"/>
                    <w:richText/>
                  </w:sdtPr>
                  <w:sdtContent>
                    <w:p>
                      <w:pPr>
                        <w:widowControl w:val="0"/>
                        <w:tabs>
                          <w:tab w:val="left" w:pos="9072"/>
                        </w:tabs>
                        <w:ind w:right="-143" w:firstLine="720"/>
                        <w:jc w:val="both"/>
                      </w:pPr>
                      <w:sdt>
                        <w:sdtPr>
                          <w:alias w:val="Numeris"/>
                          <w:tag w:val="nr_096d3aedc997414dad0afd4aa788a0e9"/>
                          <w:lock w:val="sdtLocked"/>
                          <w:richText/>
                        </w:sdtPr>
                        <w:sdtContent>
                          <w:r>
                            <w:rPr>
                              <w:rFonts w:eastAsia="Calibri"/>
                              <w:szCs w:val="24"/>
                              <w:lang w:eastAsia="lt-LT"/>
                            </w:rPr>
                            <w:t>1.26</w:t>
                          </w:r>
                        </w:sdtContent>
                      </w:sdt>
                      <w:r>
                        <w:rPr>
                          <w:rFonts w:eastAsia="Calibri"/>
                          <w:szCs w:val="24"/>
                          <w:lang w:eastAsia="lt-LT"/>
                        </w:rPr>
                        <w:t>. Aprašo 26 priede „</w:t>
                      </w:r>
                      <w:r>
                        <w:rPr>
                          <w:bCs/>
                          <w:szCs w:val="24"/>
                        </w:rPr>
                        <w:t xml:space="preserve">Ilgalaikio suaugusiųjų, sergančių </w:t>
                      </w:r>
                      <w:r>
                        <w:rPr>
                          <w:bCs/>
                        </w:rPr>
                        <w:t>lėtinėmis kraujo ir kraujodaros organų ligomis</w:t>
                      </w:r>
                      <w:r>
                        <w:rPr>
                          <w:bCs/>
                          <w:szCs w:val="24"/>
                        </w:rPr>
                        <w:t>, sveikatos būklės stebėjimo sąlygos ir ligų sąrašas“;</w:t>
                      </w:r>
                    </w:p>
                  </w:sdtContent>
                </w:sdt>
                <w:sdt>
                  <w:sdtPr>
                    <w:alias w:val="1.27 pp."/>
                    <w:tag w:val="part_cc2d6dc067cb4d3b9643433114a6faef"/>
                    <w:lock w:val="sdtLocked"/>
                    <w:richText/>
                  </w:sdtPr>
                  <w:sdtContent>
                    <w:p>
                      <w:pPr>
                        <w:tabs>
                          <w:tab w:val="left" w:pos="1134"/>
                        </w:tabs>
                        <w:suppressAutoHyphens/>
                        <w:ind w:firstLine="720"/>
                        <w:jc w:val="both"/>
                        <w:textAlignment w:val="baseline"/>
                        <w:rPr>
                          <w:bCs/>
                          <w:szCs w:val="24"/>
                        </w:rPr>
                      </w:pPr>
                      <w:sdt>
                        <w:sdtPr>
                          <w:alias w:val="Numeris"/>
                          <w:tag w:val="nr_cc2d6dc067cb4d3b9643433114a6faef"/>
                          <w:lock w:val="sdtLocked"/>
                          <w:richText/>
                        </w:sdtPr>
                        <w:sdtContent>
                          <w:r>
                            <w:rPr>
                              <w:szCs w:val="24"/>
                            </w:rPr>
                            <w:t>1.27</w:t>
                          </w:r>
                        </w:sdtContent>
                      </w:sdt>
                      <w:r>
                        <w:rPr>
                          <w:szCs w:val="24"/>
                        </w:rPr>
                        <w:t>. Aprašo 28 priede „Ilgalaikio suaugusiųjų, sergančių lėtinėmis infekcinėmis ligomis, sveikatos būklės stebėjimo sąlygos ir ligų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704204e75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2024-07-30,
paskelbta TAR 2024-07-30, i. k. 2024-13930        </w:t>
                      </w:r>
                    </w:p>
                    <w:p/>
                  </w:sdtContent>
                </w:sdt>
              </w:sdtContent>
            </w:sdt>
            <w:sdt>
              <w:sdtPr>
                <w:alias w:val="2 p."/>
                <w:tag w:val="part_b204a22e99e24dea934774970c86fe65"/>
                <w:lock w:val="sdtLocked"/>
                <w:richText/>
              </w:sdtPr>
              <w:sdtContent>
                <w:p>
                  <w:pPr>
                    <w:widowControl w:val="0"/>
                    <w:tabs>
                      <w:tab w:val="left" w:pos="9072"/>
                    </w:tabs>
                    <w:ind w:right="-143" w:firstLine="720"/>
                    <w:jc w:val="both"/>
                    <w:rPr>
                      <w:rFonts w:eastAsia="Calibri"/>
                      <w:szCs w:val="24"/>
                      <w:lang w:eastAsia="lt-LT"/>
                    </w:rPr>
                  </w:pPr>
                  <w:sdt>
                    <w:sdtPr>
                      <w:alias w:val="Numeris"/>
                      <w:tag w:val="nr_b204a22e99e24dea934774970c86fe65"/>
                      <w:lock w:val="sdtLocked"/>
                      <w:richText/>
                    </w:sdtPr>
                    <w:sdtContent>
                      <w:r>
                        <w:rPr>
                          <w:rFonts w:eastAsia="Calibri"/>
                          <w:szCs w:val="24"/>
                          <w:lang w:eastAsia="lt-LT"/>
                        </w:rPr>
                        <w:t>2</w:t>
                      </w:r>
                    </w:sdtContent>
                  </w:sdt>
                  <w:r>
                    <w:rPr>
                      <w:rFonts w:eastAsia="Calibri"/>
                      <w:szCs w:val="24"/>
                      <w:lang w:eastAsia="lt-LT"/>
                    </w:rPr>
                    <w:t>. Apraše vartojamos sąvokos ir jų apibrėžtys:</w:t>
                  </w:r>
                </w:p>
                <w:sdt>
                  <w:sdtPr>
                    <w:alias w:val="2.1 pp."/>
                    <w:tag w:val="part_673247bff2cc4138bc51f29fc05a6590"/>
                    <w:lock w:val="sdtLocked"/>
                    <w:richText/>
                  </w:sdtPr>
                  <w:sdtContent>
                    <w:p>
                      <w:pPr>
                        <w:widowControl w:val="0"/>
                        <w:tabs>
                          <w:tab w:val="left" w:pos="9072"/>
                        </w:tabs>
                        <w:ind w:right="-143" w:firstLine="720"/>
                        <w:jc w:val="both"/>
                        <w:rPr>
                          <w:color w:val="000000"/>
                          <w:szCs w:val="24"/>
                          <w:shd w:val="clear" w:color="auto" w:fill="FFFFFF"/>
                        </w:rPr>
                      </w:pPr>
                      <w:sdt>
                        <w:sdtPr>
                          <w:alias w:val="Numeris"/>
                          <w:tag w:val="nr_673247bff2cc4138bc51f29fc05a6590"/>
                          <w:lock w:val="sdtLocked"/>
                          <w:richText/>
                        </w:sdtPr>
                        <w:sdtContent>
                          <w:r>
                            <w:rPr>
                              <w:rFonts w:eastAsia="Calibri"/>
                              <w:szCs w:val="24"/>
                              <w:lang w:eastAsia="lt-LT"/>
                            </w:rPr>
                            <w:t>2.1</w:t>
                          </w:r>
                        </w:sdtContent>
                      </w:sdt>
                      <w:r>
                        <w:rPr>
                          <w:rFonts w:eastAsia="Calibri"/>
                          <w:szCs w:val="24"/>
                          <w:lang w:eastAsia="lt-LT"/>
                        </w:rPr>
                        <w:t xml:space="preserve">. </w:t>
                      </w:r>
                      <w:r>
                        <w:rPr>
                          <w:rFonts w:eastAsia="Calibri"/>
                          <w:b/>
                          <w:bCs/>
                          <w:szCs w:val="24"/>
                          <w:lang w:eastAsia="lt-LT"/>
                        </w:rPr>
                        <w:t>Aktyvusis lėtinės ligos gydymas</w:t>
                      </w:r>
                      <w:r>
                        <w:rPr>
                          <w:rFonts w:eastAsia="Calibri"/>
                          <w:szCs w:val="24"/>
                          <w:lang w:eastAsia="lt-LT"/>
                        </w:rPr>
                        <w:t xml:space="preserve"> – pacientui diagnozuotos lėtinės ligos, nurodytos Aprašo prieduose, gydymas, įskaitant gydymą jos paūmėjimo laikotarpiu, kai pacientui teikiamos stacionarinės aktyviojo gydymo asmens sveikatos priežiūros paslaugos arba specializuotos ambulatorinės asmens sveikatos priežiūros paslaugos, </w:t>
                      </w:r>
                      <w:r>
                        <w:rPr>
                          <w:szCs w:val="24"/>
                          <w:shd w:val="clear" w:color="auto" w:fill="FBFBFB"/>
                        </w:rPr>
                        <w:t>kol visiškai išnyksta arba susilpnėja ligos simptomai ir jų nebereikia aktyviai gydyti</w:t>
                      </w:r>
                      <w:r>
                        <w:rPr>
                          <w:sz w:val="16"/>
                          <w:szCs w:val="16"/>
                        </w:rPr>
                        <w:t>.</w:t>
                      </w:r>
                    </w:p>
                  </w:sdtContent>
                </w:sdt>
                <w:sdt>
                  <w:sdtPr>
                    <w:alias w:val="2.2 pp."/>
                    <w:tag w:val="part_ae4aa73c0c4d4b619072212aa57fc313"/>
                    <w:lock w:val="sdtLocked"/>
                    <w:richText/>
                  </w:sdtPr>
                  <w:sdtContent>
                    <w:p>
                      <w:pPr>
                        <w:widowControl w:val="0"/>
                        <w:tabs>
                          <w:tab w:val="left" w:pos="9072"/>
                        </w:tabs>
                        <w:ind w:right="-143" w:firstLine="720"/>
                        <w:jc w:val="both"/>
                        <w:rPr>
                          <w:szCs w:val="24"/>
                          <w:shd w:val="clear" w:color="auto" w:fill="FBFBFB"/>
                        </w:rPr>
                      </w:pPr>
                      <w:sdt>
                        <w:sdtPr>
                          <w:alias w:val="Numeris"/>
                          <w:tag w:val="nr_ae4aa73c0c4d4b619072212aa57fc313"/>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bCs/>
                          <w:szCs w:val="24"/>
                          <w:lang w:eastAsia="lt-LT"/>
                        </w:rPr>
                        <w:t>Šeimos medicinos paslaugas teikiantis gydytojas</w:t>
                      </w:r>
                      <w:r>
                        <w:rPr>
                          <w:rFonts w:eastAsia="Calibri"/>
                          <w:szCs w:val="24"/>
                          <w:lang w:eastAsia="lt-LT"/>
                        </w:rPr>
                        <w:t xml:space="preserve"> </w:t>
                      </w:r>
                      <w:r>
                        <w:rPr>
                          <w:rFonts w:eastAsia="Calibri"/>
                          <w:b/>
                          <w:szCs w:val="24"/>
                          <w:lang w:eastAsia="lt-LT"/>
                        </w:rPr>
                        <w:t>(toliau – šeimos gydytojas)</w:t>
                      </w:r>
                      <w:r>
                        <w:rPr>
                          <w:rFonts w:eastAsia="Calibri"/>
                          <w:szCs w:val="24"/>
                          <w:lang w:eastAsia="lt-LT"/>
                        </w:rPr>
                        <w:t xml:space="preserve"> – </w:t>
                      </w:r>
                      <w:r>
                        <w:rPr>
                          <w:color w:val="000000"/>
                          <w:szCs w:val="24"/>
                          <w:shd w:val="clear" w:color="auto" w:fill="FFFFFF"/>
                        </w:rPr>
                        <w:t>asmuo, Lietuvos Respublikos medicinos praktikos įstatymo nustatyta tvarka įgijęs šeimos gydytojo profesinę kvalifikaciją ir turintis galiojančią medicinos praktikos licenciją verstis medicinos praktika pagal šeimos gydytojo profesinę kvalifikaciją, arba kitas gydytojas, pagal Lietuvos medicinos normoje MN 14:2019 „Šeimos gydytojas“, patvirtintoje Lietuvos Respublikos sveikatos apsaugos ministro 2005 m. gruodžio 22 d. įsakymu Nr. V-1013 „Dėl Lietuvos medicinos normos MN 14:2019 „Šeimos gydytojas“ patvirtinimo“, nustatytą kompetenciją teikiantis pirminės ambulatorinės asmens sveikatos priežiūros paslaugas.</w:t>
                      </w:r>
                    </w:p>
                  </w:sdtContent>
                </w:sdt>
                <w:sdt>
                  <w:sdtPr>
                    <w:alias w:val="2.3 pp."/>
                    <w:tag w:val="part_2e31e76516a6451085ae04d57f5f2036"/>
                    <w:lock w:val="sdtLocked"/>
                    <w:richText/>
                  </w:sdtPr>
                  <w:sdtContent>
                    <w:p>
                      <w:pPr>
                        <w:widowControl w:val="0"/>
                        <w:tabs>
                          <w:tab w:val="left" w:pos="9072"/>
                        </w:tabs>
                        <w:ind w:right="-143" w:firstLine="720"/>
                        <w:jc w:val="both"/>
                        <w:rPr>
                          <w:rFonts w:eastAsia="Calibri"/>
                          <w:szCs w:val="24"/>
                          <w:lang w:eastAsia="lt-LT"/>
                        </w:rPr>
                      </w:pPr>
                      <w:sdt>
                        <w:sdtPr>
                          <w:alias w:val="Numeris"/>
                          <w:tag w:val="nr_2e31e76516a6451085ae04d57f5f2036"/>
                          <w:lock w:val="sdtLocked"/>
                          <w:richText/>
                        </w:sdtPr>
                        <w:sdtContent>
                          <w:r>
                            <w:rPr>
                              <w:color w:val="000000"/>
                              <w:szCs w:val="24"/>
                            </w:rPr>
                            <w:t>2.3</w:t>
                          </w:r>
                        </w:sdtContent>
                      </w:sdt>
                      <w:r>
                        <w:rPr>
                          <w:color w:val="000000"/>
                          <w:szCs w:val="24"/>
                        </w:rPr>
                        <w:t>. Kitos Apraše vartojamos sąvokos suprantamos taip, kaip jos</w:t>
                      </w:r>
                      <w:r>
                        <w:rPr>
                          <w:color w:val="000000"/>
                        </w:rPr>
                        <w:t xml:space="preserve"> apibrėžtos Lietuvos Respublikos medicinos praktikos įstatyme, Lietuvos Respublikos sveikatos sistemos įstatyme, Lietuvos Respublikos sveikatos priežiūros įstaigų įstatyme, Lietuvos Respublikos sveikatos apsaugos ministro 2020 m. lapkričio 10 d. įsakyme Nr. V-2569 „Dėl Nuotolinių gydytojo ir šeimos gydytojo komandos nario konsultacijų pacientui ir gydytojo konsultacijų gydytojui teikimo ir jų išlaidų apmokėjimo Privalomojo sveikatos draudimo fondo biudžeto lėšomis tvarkos aprašo patvirtinimo“ ir kituose asmens sveikatos priežiūros paslaugų teikimą reguliuojančiuose teisės aktuose.</w:t>
                      </w:r>
                    </w:p>
                    <w:p>
                      <w:pPr>
                        <w:widowControl w:val="0"/>
                        <w:tabs>
                          <w:tab w:val="left" w:pos="9072"/>
                        </w:tabs>
                        <w:ind w:right="-143" w:firstLine="720"/>
                        <w:jc w:val="both"/>
                        <w:rPr>
                          <w:rFonts w:eastAsia="Calibri"/>
                          <w:szCs w:val="24"/>
                          <w:lang w:eastAsia="lt-LT"/>
                        </w:rPr>
                      </w:pPr>
                    </w:p>
                  </w:sdtContent>
                </w:sdt>
              </w:sdtContent>
            </w:sdt>
          </w:sdtContent>
        </w:sdt>
        <w:sdt>
          <w:sdtPr>
            <w:alias w:val="skyrius"/>
            <w:tag w:val="part_bbc04b31a43d40ce8c2b1157344bf013"/>
            <w:lock w:val="sdtLocked"/>
            <w:richText/>
          </w:sdtPr>
          <w:sdtContent>
            <w:p>
              <w:pPr>
                <w:widowControl w:val="0"/>
                <w:tabs>
                  <w:tab w:val="left" w:pos="9072"/>
                </w:tabs>
                <w:ind w:right="-143"/>
                <w:jc w:val="center"/>
                <w:rPr>
                  <w:rFonts w:eastAsia="Calibri"/>
                  <w:b/>
                  <w:bCs/>
                  <w:szCs w:val="24"/>
                  <w:lang w:eastAsia="lt-LT"/>
                </w:rPr>
              </w:pPr>
              <w:sdt>
                <w:sdtPr>
                  <w:alias w:val="Numeris"/>
                  <w:tag w:val="nr_bbc04b31a43d40ce8c2b1157344bf013"/>
                  <w:lock w:val="sdtLocked"/>
                  <w:richText/>
                </w:sdtPr>
                <w:sdtContent>
                  <w:r>
                    <w:rPr>
                      <w:rFonts w:eastAsia="Calibri"/>
                      <w:b/>
                      <w:bCs/>
                      <w:szCs w:val="24"/>
                      <w:lang w:eastAsia="lt-LT"/>
                    </w:rPr>
                    <w:t>II</w:t>
                  </w:r>
                </w:sdtContent>
              </w:sdt>
              <w:r>
                <w:rPr>
                  <w:rFonts w:eastAsia="Calibri"/>
                  <w:b/>
                  <w:bCs/>
                  <w:szCs w:val="24"/>
                  <w:lang w:eastAsia="lt-LT"/>
                </w:rPr>
                <w:t xml:space="preserve"> SKYRIUS</w:t>
              </w:r>
            </w:p>
            <w:p>
              <w:pPr>
                <w:widowControl w:val="0"/>
                <w:tabs>
                  <w:tab w:val="left" w:pos="9072"/>
                </w:tabs>
                <w:ind w:right="-143"/>
                <w:jc w:val="center"/>
                <w:rPr>
                  <w:rFonts w:eastAsia="Calibri"/>
                  <w:b/>
                  <w:bCs/>
                  <w:szCs w:val="24"/>
                  <w:lang w:eastAsia="lt-LT"/>
                </w:rPr>
              </w:pPr>
              <w:sdt>
                <w:sdtPr>
                  <w:alias w:val="Pavadinimas"/>
                  <w:tag w:val="title_bbc04b31a43d40ce8c2b1157344bf013"/>
                  <w:lock w:val="sdtLocked"/>
                  <w:richText/>
                </w:sdtPr>
                <w:sdtContent>
                  <w:r>
                    <w:rPr>
                      <w:rFonts w:eastAsia="Calibri"/>
                      <w:b/>
                      <w:bCs/>
                      <w:szCs w:val="24"/>
                      <w:lang w:eastAsia="lt-LT"/>
                    </w:rPr>
                    <w:t>REIKALAVIMAI ILGALAIKĮ PACIENTO SVEIKATOS BŪKLĖS STEBĖJIMĄ VYKDANČIOMS ASMENS SVEIKATOS PRIEŽIŪROS ĮSTAIGOMS IR SVEIKATOS PRIEŽIŪROS SPECIALISTAMS</w:t>
                  </w:r>
                </w:sdtContent>
              </w:sdt>
            </w:p>
            <w:p>
              <w:pPr>
                <w:widowControl w:val="0"/>
                <w:tabs>
                  <w:tab w:val="left" w:pos="9072"/>
                </w:tabs>
                <w:ind w:right="-143" w:firstLine="720"/>
                <w:jc w:val="both"/>
                <w:rPr>
                  <w:rFonts w:eastAsia="Calibri"/>
                  <w:szCs w:val="24"/>
                  <w:lang w:eastAsia="lt-LT"/>
                </w:rPr>
              </w:pPr>
            </w:p>
            <w:sdt>
              <w:sdtPr>
                <w:alias w:val="3 p."/>
                <w:tag w:val="part_de5b5d0b339c49c38b7c2fce72f217d2"/>
                <w:lock w:val="sdtLocked"/>
                <w:richText/>
              </w:sdtPr>
              <w:sdtContent>
                <w:p>
                  <w:pPr>
                    <w:tabs>
                      <w:tab w:val="left" w:pos="1134"/>
                    </w:tabs>
                    <w:suppressAutoHyphens/>
                    <w:ind w:firstLine="720"/>
                    <w:jc w:val="both"/>
                    <w:textAlignment w:val="baseline"/>
                    <w:rPr>
                      <w:rFonts w:eastAsia="Calibri"/>
                      <w:szCs w:val="24"/>
                      <w:lang w:eastAsia="lt-LT"/>
                    </w:rPr>
                  </w:pPr>
                  <w:sdt>
                    <w:sdtPr>
                      <w:alias w:val="Numeris"/>
                      <w:tag w:val="nr_de5b5d0b339c49c38b7c2fce72f217d2"/>
                      <w:lock w:val="sdtLocked"/>
                      <w:richText/>
                    </w:sdtPr>
                    <w:sdtContent>
                      <w:r>
                        <w:rPr>
                          <w:szCs w:val="24"/>
                        </w:rPr>
                        <w:t>3</w:t>
                      </w:r>
                    </w:sdtContent>
                  </w:sdt>
                  <w:r>
                    <w:rPr>
                      <w:szCs w:val="24"/>
                    </w:rPr>
                    <w:t>. Ilgalaikį paciento sveikatos būklės stebėjimą gali vykdyti asmens sveikatos priežiūros įstaiga, turinti asmens sveikatos priežiūros veiklos licenciją, suteikiančią teisę teikti atitinkamą specializuotą ambulatorinę asmens sveikatos priežiūros paslaugą pagal Aprašo 1–26 ir 28 prieduose nurodytą ilgalaikį paciento sveikatos būklės stebėjimą vykdančio gydytojo specialisto profesinę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704204e75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2024-07-30,
paskelbta TAR 2024-07-30, i. k. 2024-13930            </w:t>
                  </w:r>
                </w:p>
                <w:p/>
              </w:sdtContent>
            </w:sdt>
            <w:sdt>
              <w:sdtPr>
                <w:alias w:val="4 p."/>
                <w:tag w:val="part_5d98d93165224334a14e903e21fe7e78"/>
                <w:lock w:val="sdtLocked"/>
                <w:richText/>
              </w:sdtPr>
              <w:sdtContent>
                <w:p>
                  <w:pPr>
                    <w:tabs>
                      <w:tab w:val="left" w:pos="1134"/>
                    </w:tabs>
                    <w:suppressAutoHyphens/>
                    <w:ind w:firstLine="720"/>
                    <w:jc w:val="both"/>
                    <w:textAlignment w:val="baseline"/>
                    <w:rPr>
                      <w:rFonts w:eastAsia="Calibri"/>
                      <w:b/>
                      <w:szCs w:val="24"/>
                      <w:lang w:eastAsia="lt-LT"/>
                    </w:rPr>
                  </w:pPr>
                  <w:sdt>
                    <w:sdtPr>
                      <w:alias w:val="Numeris"/>
                      <w:tag w:val="nr_5d98d93165224334a14e903e21fe7e78"/>
                      <w:lock w:val="sdtLocked"/>
                      <w:richText/>
                    </w:sdtPr>
                    <w:sdtContent>
                      <w:r>
                        <w:rPr>
                          <w:szCs w:val="24"/>
                        </w:rPr>
                        <w:t>4</w:t>
                      </w:r>
                    </w:sdtContent>
                  </w:sdt>
                  <w:r>
                    <w:rPr>
                      <w:szCs w:val="24"/>
                    </w:rPr>
                    <w:t>. Asmens sveikatos priežiūros paslaugas, kai vykdomas ilgalaikis paciento sveikatos būklės stebėjimas, teikia Aprašo 1–26 ir 28 prieduose nurodyti atitinkamos profesinės kvalifikacijos gydytojai kartu su bendrosios praktikos slaugytoju.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704204e75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2024-07-30,
paskelbta TAR 2024-07-30, i. k. 2024-13930            </w:t>
                  </w:r>
                </w:p>
                <w:p/>
              </w:sdtContent>
            </w:sdt>
          </w:sdtContent>
        </w:sdt>
        <w:sdt>
          <w:sdtPr>
            <w:alias w:val="skyrius"/>
            <w:tag w:val="part_746d6ea5ce6841228b33b075c69593ce"/>
            <w:lock w:val="sdtLocked"/>
            <w:richText/>
          </w:sdtPr>
          <w:sdtContent>
            <w:p>
              <w:pPr>
                <w:widowControl w:val="0"/>
                <w:tabs>
                  <w:tab w:val="left" w:pos="9072"/>
                </w:tabs>
                <w:ind w:right="-143"/>
                <w:jc w:val="center"/>
                <w:rPr>
                  <w:rFonts w:eastAsia="Calibri"/>
                  <w:b/>
                  <w:szCs w:val="24"/>
                  <w:lang w:eastAsia="lt-LT"/>
                </w:rPr>
              </w:pPr>
              <w:sdt>
                <w:sdtPr>
                  <w:alias w:val="Numeris"/>
                  <w:tag w:val="nr_746d6ea5ce6841228b33b075c69593ce"/>
                  <w:lock w:val="sdtLocked"/>
                  <w:richText/>
                </w:sdtPr>
                <w:sdtContent>
                  <w:r>
                    <w:rPr>
                      <w:rFonts w:eastAsia="Calibri"/>
                      <w:b/>
                      <w:szCs w:val="24"/>
                      <w:lang w:eastAsia="lt-LT"/>
                    </w:rPr>
                    <w:t>III</w:t>
                  </w:r>
                </w:sdtContent>
              </w:sdt>
              <w:r>
                <w:rPr>
                  <w:rFonts w:eastAsia="Calibri"/>
                  <w:b/>
                  <w:szCs w:val="24"/>
                  <w:lang w:eastAsia="lt-LT"/>
                </w:rPr>
                <w:t xml:space="preserve"> SKYRIUS</w:t>
              </w:r>
            </w:p>
            <w:p>
              <w:pPr>
                <w:widowControl w:val="0"/>
                <w:tabs>
                  <w:tab w:val="left" w:pos="9072"/>
                </w:tabs>
                <w:ind w:right="-143"/>
                <w:jc w:val="center"/>
                <w:rPr>
                  <w:rFonts w:eastAsia="Calibri"/>
                  <w:b/>
                  <w:szCs w:val="24"/>
                  <w:lang w:eastAsia="lt-LT"/>
                </w:rPr>
              </w:pPr>
              <w:sdt>
                <w:sdtPr>
                  <w:alias w:val="Pavadinimas"/>
                  <w:tag w:val="title_746d6ea5ce6841228b33b075c69593ce"/>
                  <w:lock w:val="sdtLocked"/>
                  <w:richText/>
                </w:sdtPr>
                <w:sdtContent>
                  <w:r>
                    <w:rPr>
                      <w:rFonts w:eastAsia="Calibri"/>
                      <w:b/>
                      <w:szCs w:val="24"/>
                      <w:lang w:eastAsia="lt-LT"/>
                    </w:rPr>
                    <w:t>ILGALAIKIO PACIENTŲ SVEIKATOS BŪKLĖS STEBĖJIMO ORGANIZAVIMO TVARKA</w:t>
                  </w:r>
                </w:sdtContent>
              </w:sdt>
            </w:p>
            <w:p>
              <w:pPr>
                <w:widowControl w:val="0"/>
                <w:tabs>
                  <w:tab w:val="left" w:pos="9072"/>
                </w:tabs>
                <w:ind w:right="-143" w:firstLine="720"/>
                <w:rPr>
                  <w:rFonts w:eastAsia="Calibri"/>
                  <w:szCs w:val="24"/>
                  <w:lang w:eastAsia="lt-LT"/>
                </w:rPr>
              </w:pPr>
            </w:p>
            <w:sdt>
              <w:sdtPr>
                <w:alias w:val="5 p."/>
                <w:tag w:val="part_29456d8425a94630a9f00250f4e5849c"/>
                <w:lock w:val="sdtLocked"/>
                <w:richText/>
              </w:sdtPr>
              <w:sdtContent>
                <w:p>
                  <w:pPr>
                    <w:tabs>
                      <w:tab w:val="left" w:pos="1134"/>
                    </w:tabs>
                    <w:suppressAutoHyphens/>
                    <w:ind w:firstLine="720"/>
                    <w:jc w:val="both"/>
                    <w:textAlignment w:val="baseline"/>
                    <w:rPr>
                      <w:rFonts w:eastAsia="Calibri"/>
                      <w:szCs w:val="24"/>
                      <w:lang w:eastAsia="lt-LT"/>
                    </w:rPr>
                  </w:pPr>
                  <w:sdt>
                    <w:sdtPr>
                      <w:alias w:val="Numeris"/>
                      <w:tag w:val="nr_29456d8425a94630a9f00250f4e5849c"/>
                      <w:lock w:val="sdtLocked"/>
                      <w:richText/>
                    </w:sdtPr>
                    <w:sdtContent>
                      <w:r>
                        <w:rPr>
                          <w:szCs w:val="24"/>
                        </w:rPr>
                        <w:t>5</w:t>
                      </w:r>
                    </w:sdtContent>
                  </w:sdt>
                  <w:r>
                    <w:rPr>
                      <w:szCs w:val="24"/>
                    </w:rPr>
                    <w:t>. Ilgalaikio sveikatos būklės stebėjimo poreikį pacientui, kuriam baigtas aktyvusis lėtinės ligos gydymas, nustato gydytojas specialistas, įvertinęs, kad pacientui nustatyta diagnozė ir kitos sąlygos atitinka Aprašo 1–26 ir 28 prieduose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704204e75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2024-07-30,
paskelbta TAR 2024-07-30, i. k. 2024-13930            </w:t>
                  </w:r>
                </w:p>
                <w:p/>
              </w:sdtContent>
            </w:sdt>
            <w:sdt>
              <w:sdtPr>
                <w:alias w:val="6 p."/>
                <w:tag w:val="part_fca277fc9a3e4caa98abe6a5acd46bea"/>
                <w:lock w:val="sdtLocked"/>
                <w:richText/>
              </w:sdtPr>
              <w:sdtContent>
                <w:p>
                  <w:pPr>
                    <w:widowControl w:val="0"/>
                    <w:tabs>
                      <w:tab w:val="left" w:pos="9072"/>
                    </w:tabs>
                    <w:ind w:right="-143" w:firstLine="720"/>
                    <w:jc w:val="both"/>
                    <w:rPr>
                      <w:rFonts w:eastAsia="Calibri"/>
                      <w:szCs w:val="24"/>
                      <w:lang w:eastAsia="lt-LT"/>
                    </w:rPr>
                  </w:pPr>
                  <w:sdt>
                    <w:sdtPr>
                      <w:alias w:val="Numeris"/>
                      <w:tag w:val="nr_fca277fc9a3e4caa98abe6a5acd46bea"/>
                      <w:lock w:val="sdtLocked"/>
                      <w:richText/>
                    </w:sdtPr>
                    <w:sdtContent>
                      <w:r>
                        <w:rPr>
                          <w:rFonts w:eastAsia="Calibri"/>
                          <w:szCs w:val="24"/>
                          <w:lang w:eastAsia="lt-LT"/>
                        </w:rPr>
                        <w:t>6</w:t>
                      </w:r>
                    </w:sdtContent>
                  </w:sdt>
                  <w:r>
                    <w:rPr>
                      <w:rFonts w:eastAsia="Calibri"/>
                      <w:szCs w:val="24"/>
                      <w:lang w:eastAsia="lt-LT"/>
                    </w:rPr>
                    <w:t>. Gydytojas specialistas:</w:t>
                  </w:r>
                </w:p>
                <w:sdt>
                  <w:sdtPr>
                    <w:alias w:val="6.1 pp."/>
                    <w:tag w:val="part_aafc8e2ff41c456eb5803009856479f8"/>
                    <w:lock w:val="sdtLocked"/>
                    <w:richText/>
                  </w:sdtPr>
                  <w:sdtContent>
                    <w:p>
                      <w:pPr>
                        <w:widowControl w:val="0"/>
                        <w:tabs>
                          <w:tab w:val="left" w:pos="9072"/>
                        </w:tabs>
                        <w:ind w:right="-143" w:firstLine="720"/>
                        <w:jc w:val="both"/>
                        <w:rPr>
                          <w:color w:val="000000"/>
                          <w:szCs w:val="24"/>
                          <w:lang w:eastAsia="lt-LT"/>
                        </w:rPr>
                      </w:pPr>
                      <w:sdt>
                        <w:sdtPr>
                          <w:alias w:val="Numeris"/>
                          <w:tag w:val="nr_aafc8e2ff41c456eb5803009856479f8"/>
                          <w:lock w:val="sdtLocked"/>
                          <w:richText/>
                        </w:sdtPr>
                        <w:sdtContent>
                          <w:r>
                            <w:rPr>
                              <w:rFonts w:eastAsia="Calibri"/>
                              <w:szCs w:val="24"/>
                              <w:lang w:eastAsia="lt-LT"/>
                            </w:rPr>
                            <w:t>6.1</w:t>
                          </w:r>
                        </w:sdtContent>
                      </w:sdt>
                      <w:r>
                        <w:rPr>
                          <w:rFonts w:eastAsia="Calibri"/>
                          <w:szCs w:val="24"/>
                          <w:lang w:eastAsia="lt-LT"/>
                        </w:rPr>
                        <w:t xml:space="preserve">. priima sprendimą, </w:t>
                      </w:r>
                      <w:r>
                        <w:rPr>
                          <w:color w:val="000000"/>
                          <w:szCs w:val="24"/>
                          <w:lang w:eastAsia="lt-LT"/>
                        </w:rPr>
                        <w:t xml:space="preserve">kad </w:t>
                      </w:r>
                      <w:r>
                        <w:rPr>
                          <w:rFonts w:eastAsia="Calibri"/>
                          <w:szCs w:val="24"/>
                          <w:lang w:eastAsia="lt-LT"/>
                        </w:rPr>
                        <w:t xml:space="preserve">pacientui nustatytas ilgalaikio sveikatos būklės stebėjimo poreikis; </w:t>
                      </w:r>
                    </w:p>
                  </w:sdtContent>
                </w:sdt>
                <w:sdt>
                  <w:sdtPr>
                    <w:alias w:val="6.2 pp."/>
                    <w:tag w:val="part_c8ecc6df03d4413399f24de62c46ec5a"/>
                    <w:lock w:val="sdtLocked"/>
                    <w:richText/>
                  </w:sdtPr>
                  <w:sdtContent>
                    <w:p>
                      <w:pPr>
                        <w:widowControl w:val="0"/>
                        <w:tabs>
                          <w:tab w:val="left" w:pos="9072"/>
                        </w:tabs>
                        <w:ind w:right="-143" w:firstLine="720"/>
                        <w:jc w:val="both"/>
                        <w:rPr>
                          <w:color w:val="000000"/>
                          <w:szCs w:val="24"/>
                          <w:lang w:eastAsia="lt-LT"/>
                        </w:rPr>
                      </w:pPr>
                      <w:sdt>
                        <w:sdtPr>
                          <w:alias w:val="Numeris"/>
                          <w:tag w:val="nr_c8ecc6df03d4413399f24de62c46ec5a"/>
                          <w:lock w:val="sdtLocked"/>
                          <w:richText/>
                        </w:sdtPr>
                        <w:sdtContent>
                          <w:r>
                            <w:rPr>
                              <w:color w:val="000000"/>
                              <w:szCs w:val="24"/>
                              <w:lang w:eastAsia="lt-LT"/>
                            </w:rPr>
                            <w:t>6.2</w:t>
                          </w:r>
                        </w:sdtContent>
                      </w:sdt>
                      <w:r>
                        <w:rPr>
                          <w:color w:val="000000"/>
                          <w:szCs w:val="24"/>
                          <w:lang w:eastAsia="lt-LT"/>
                        </w:rPr>
                        <w:t>. sudaro einamųjų metų paciento ilgalaikio sveikatos būklės stebėjimo veiksmų (gydytojo specialisto konsultacijų periodiškumo, diagnostinių tyrimų ir (ar) procedūrų, ir (ar) gydymo, ir (ar) kitų veiksmų) planą (toliau – Planas);</w:t>
                      </w:r>
                    </w:p>
                  </w:sdtContent>
                </w:sdt>
                <w:sdt>
                  <w:sdtPr>
                    <w:alias w:val="6.3 pp."/>
                    <w:tag w:val="part_fdea965ba9674f90a97c9beccdb820ea"/>
                    <w:lock w:val="sdtLocked"/>
                    <w:richText/>
                  </w:sdtPr>
                  <w:sdtContent>
                    <w:p>
                      <w:pPr>
                        <w:ind w:right="-143" w:firstLine="720"/>
                        <w:jc w:val="both"/>
                        <w:rPr>
                          <w:color w:val="000000"/>
                          <w:lang w:eastAsia="lt-LT"/>
                        </w:rPr>
                      </w:pPr>
                      <w:sdt>
                        <w:sdtPr>
                          <w:alias w:val="Numeris"/>
                          <w:tag w:val="nr_fdea965ba9674f90a97c9beccdb820ea"/>
                          <w:lock w:val="sdtLocked"/>
                          <w:richText/>
                        </w:sdtPr>
                        <w:sdtContent>
                          <w:r>
                            <w:rPr>
                              <w:color w:val="000000"/>
                            </w:rPr>
                            <w:t>6.3</w:t>
                          </w:r>
                        </w:sdtContent>
                      </w:sdt>
                      <w:r>
                        <w:rPr>
                          <w:color w:val="000000"/>
                        </w:rPr>
                        <w:t>. nustato gydytojo specialisto konsultacijos datą, iki jos atliktinus diagnostinius tyrimus ir (ar) procedūras ir, jeigu aktualu, jų galiojimo terminą, t. y. prieš kiek laiko iki konsultacijos turi būti atlikti tyrimai;</w:t>
                      </w:r>
                    </w:p>
                  </w:sdtContent>
                </w:sdt>
                <w:sdt>
                  <w:sdtPr>
                    <w:alias w:val="6.4 pp."/>
                    <w:tag w:val="part_e8bab18115cc46109058ed82f454cac2"/>
                    <w:lock w:val="sdtLocked"/>
                    <w:richText/>
                  </w:sdtPr>
                  <w:sdtContent>
                    <w:p>
                      <w:pPr>
                        <w:widowControl w:val="0"/>
                        <w:tabs>
                          <w:tab w:val="left" w:pos="9072"/>
                        </w:tabs>
                        <w:ind w:right="-143" w:firstLine="720"/>
                        <w:jc w:val="both"/>
                        <w:rPr>
                          <w:rFonts w:eastAsia="Calibri"/>
                          <w:szCs w:val="24"/>
                          <w:lang w:eastAsia="lt-LT"/>
                        </w:rPr>
                      </w:pPr>
                      <w:sdt>
                        <w:sdtPr>
                          <w:alias w:val="Numeris"/>
                          <w:tag w:val="nr_e8bab18115cc46109058ed82f454cac2"/>
                          <w:lock w:val="sdtLocked"/>
                          <w:richText/>
                        </w:sdtPr>
                        <w:sdtContent>
                          <w:r>
                            <w:rPr>
                              <w:rFonts w:eastAsia="Calibri"/>
                              <w:szCs w:val="24"/>
                              <w:lang w:eastAsia="lt-LT"/>
                            </w:rPr>
                            <w:t>6.4</w:t>
                          </w:r>
                        </w:sdtContent>
                      </w:sdt>
                      <w:r>
                        <w:rPr>
                          <w:rFonts w:eastAsia="Calibri"/>
                          <w:szCs w:val="24"/>
                          <w:lang w:eastAsia="lt-LT"/>
                        </w:rPr>
                        <w:t>. Aprašo 6.1</w:t>
                      </w:r>
                      <w:r>
                        <w:rPr>
                          <w:szCs w:val="24"/>
                        </w:rPr>
                        <w:t>–</w:t>
                      </w:r>
                      <w:r>
                        <w:rPr>
                          <w:rFonts w:eastAsia="Calibri"/>
                          <w:szCs w:val="24"/>
                          <w:lang w:eastAsia="lt-LT"/>
                        </w:rPr>
                        <w:t xml:space="preserve">6.3 papunkčiuose nurodytą informaciją įrašo </w:t>
                      </w:r>
                      <w:r>
                        <w:rPr>
                          <w:color w:val="000000"/>
                          <w:szCs w:val="24"/>
                          <w:lang w:eastAsia="lt-LT"/>
                        </w:rPr>
                        <w:t xml:space="preserve">elektroniniame medicinos dokumente E025 </w:t>
                      </w:r>
                      <w:r>
                        <w:rPr>
                          <w:color w:val="000000"/>
                          <w:szCs w:val="24"/>
                        </w:rPr>
                        <w:t xml:space="preserve">„Ambulatorinio apsilankymo aprašymas“ </w:t>
                      </w:r>
                      <w:r>
                        <w:rPr>
                          <w:szCs w:val="24"/>
                        </w:rPr>
                        <w:t xml:space="preserve">(toliau – </w:t>
                      </w:r>
                      <w:r>
                        <w:rPr>
                          <w:color w:val="000000"/>
                          <w:szCs w:val="24"/>
                          <w:lang w:eastAsia="lt-LT"/>
                        </w:rPr>
                        <w:t>forma E025)</w:t>
                      </w:r>
                      <w:r>
                        <w:rPr>
                          <w:color w:val="000000"/>
                          <w:szCs w:val="24"/>
                        </w:rPr>
                        <w:t xml:space="preserve"> arba E003 „</w:t>
                      </w:r>
                      <w:r>
                        <w:rPr>
                          <w:szCs w:val="24"/>
                        </w:rPr>
                        <w:t>Stacionaro epikrizė“,</w:t>
                      </w:r>
                      <w:r>
                        <w:rPr>
                          <w:szCs w:val="24"/>
                          <w:shd w:val="clear" w:color="auto" w:fill="FFFFFF"/>
                        </w:rPr>
                        <w:t xml:space="preserve"> nurodytuose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w:t>
                      </w:r>
                      <w:r>
                        <w:rPr>
                          <w:szCs w:val="24"/>
                        </w:rPr>
                        <w:t xml:space="preserve"> (toliau – įsakymas Nr. V-657), priede. Šiame papunktyje nurodyti dokumentai</w:t>
                      </w:r>
                      <w:r>
                        <w:rPr>
                          <w:color w:val="000000"/>
                          <w:szCs w:val="24"/>
                          <w:lang w:eastAsia="lt-LT"/>
                        </w:rPr>
                        <w:t xml:space="preserve"> pasirašomi elektroniniu būdu ir pateikiami į </w:t>
                      </w:r>
                      <w:r>
                        <w:rPr>
                          <w:szCs w:val="24"/>
                        </w:rPr>
                        <w:t xml:space="preserve">Elektroninės sveikatos paslaugų ir bendradarbiavimo infrastruktūros informacinę sistemą (toliau – </w:t>
                      </w:r>
                      <w:r>
                        <w:rPr>
                          <w:color w:val="000000"/>
                          <w:szCs w:val="24"/>
                          <w:lang w:eastAsia="lt-LT"/>
                        </w:rPr>
                        <w:t xml:space="preserve">ESPBI IS); </w:t>
                      </w:r>
                    </w:p>
                  </w:sdtContent>
                </w:sdt>
                <w:sdt>
                  <w:sdtPr>
                    <w:alias w:val="6.5 pp."/>
                    <w:tag w:val="part_2be48baa6fbe4e7e95a775b7454ead0d"/>
                    <w:lock w:val="sdtLocked"/>
                    <w:richText/>
                  </w:sdtPr>
                  <w:sdtContent>
                    <w:p>
                      <w:pPr>
                        <w:widowControl w:val="0"/>
                        <w:tabs>
                          <w:tab w:val="left" w:pos="9072"/>
                        </w:tabs>
                        <w:ind w:right="-143" w:firstLine="720"/>
                        <w:jc w:val="both"/>
                        <w:rPr>
                          <w:rFonts w:eastAsia="Calibri"/>
                          <w:szCs w:val="24"/>
                          <w:lang w:eastAsia="lt-LT"/>
                        </w:rPr>
                      </w:pPr>
                      <w:sdt>
                        <w:sdtPr>
                          <w:alias w:val="Numeris"/>
                          <w:tag w:val="nr_2be48baa6fbe4e7e95a775b7454ead0d"/>
                          <w:lock w:val="sdtLocked"/>
                          <w:richText/>
                        </w:sdtPr>
                        <w:sdtContent>
                          <w:r>
                            <w:rPr>
                              <w:rFonts w:eastAsia="Calibri"/>
                              <w:szCs w:val="24"/>
                              <w:lang w:eastAsia="lt-LT"/>
                            </w:rPr>
                            <w:t>6.5</w:t>
                          </w:r>
                        </w:sdtContent>
                      </w:sdt>
                      <w:r>
                        <w:rPr>
                          <w:rFonts w:eastAsia="Calibri"/>
                          <w:szCs w:val="24"/>
                          <w:lang w:eastAsia="lt-LT"/>
                        </w:rPr>
                        <w:t>. pasiūlo pacientui</w:t>
                      </w:r>
                      <w:r>
                        <w:rPr>
                          <w:color w:val="000000"/>
                          <w:szCs w:val="24"/>
                        </w:rPr>
                        <w:t xml:space="preserve"> ilgalaikį sveikatos būklės stebėjimą vykdyti prie gyvenamosios vietos artimiausioje asmens sveikatos priežiūros įstaigoje, o jeigu reikalingos </w:t>
                      </w:r>
                      <w:r>
                        <w:rPr>
                          <w:rFonts w:eastAsia="Calibri"/>
                          <w:szCs w:val="24"/>
                          <w:lang w:eastAsia="lt-LT"/>
                        </w:rPr>
                        <w:t>specializuotos ambulatorinės asmens sveikatos priežiūros</w:t>
                      </w:r>
                      <w:r>
                        <w:rPr>
                          <w:color w:val="000000"/>
                          <w:szCs w:val="24"/>
                        </w:rPr>
                        <w:t xml:space="preserve"> paslaugos joje neteikiamos arba pacientas nesutinka, pacientas </w:t>
                      </w:r>
                      <w:r>
                        <w:rPr>
                          <w:rFonts w:eastAsia="Calibri"/>
                          <w:szCs w:val="24"/>
                          <w:lang w:eastAsia="lt-LT"/>
                        </w:rPr>
                        <w:t>informuojamas apie ne mažiau kaip dvi kitas asmens sveikatos priežiūros įstaigas, kuriose teikiamos pacientui reikalingos specializuotos ambulatorinės asmens sveikatos priežiūros paslaugos. Ilgalaikis sveikatos būklės stebėjimas dėl Aprašo 7 priede nurodytų ligų rekomenduojamas vykdyti</w:t>
                      </w:r>
                      <w:r>
                        <w:rPr>
                          <w:color w:val="000000"/>
                          <w:szCs w:val="24"/>
                        </w:rPr>
                        <w:t xml:space="preserve"> specializuotą onkologinę pagalbą teikiančiose asmens sveikatos priežiūros įstaigose, nurodytose  Onkologinėmis ligomis sergančių pacientų srautų valdymo ir paslaugų organizavimo reikalavimų apraše, patvirtintame </w:t>
                      </w:r>
                      <w:r>
                        <w:rPr>
                          <w:szCs w:val="24"/>
                        </w:rPr>
                        <w:t>Lietuvos Respublikos sveikatos apsaugos ministro 20</w:t>
                      </w:r>
                      <w:r>
                        <w:rPr>
                          <w:color w:val="000000"/>
                          <w:szCs w:val="24"/>
                          <w:lang w:eastAsia="lt-LT"/>
                        </w:rPr>
                        <w:t xml:space="preserve">17 m. vasario 17 d. įsakymu Nr. V-156 „Dėl </w:t>
                      </w:r>
                      <w:r>
                        <w:rPr>
                          <w:color w:val="000000"/>
                          <w:szCs w:val="24"/>
                        </w:rPr>
                        <w:t>Onkologinėmis ligomis sergančių pacientų srautų valdymo ir paslaugų organizavimo reikalavimų aprašo patvirtinimo“. Ilgalaikis</w:t>
                      </w:r>
                      <w:r>
                        <w:rPr>
                          <w:rFonts w:eastAsia="Calibri"/>
                          <w:szCs w:val="24"/>
                          <w:lang w:eastAsia="lt-LT"/>
                        </w:rPr>
                        <w:t xml:space="preserve"> stebėjimas dėl Aprašo 25 priede nurodytų ligų vykdomas tik VšĮ Vilniaus universiteto ligoninėje Santaros klinikose ir Lietuvos sveikatos mokslų universiteto ligoninėje Kauno klinikose;</w:t>
                      </w:r>
                    </w:p>
                  </w:sdtContent>
                </w:sdt>
                <w:sdt>
                  <w:sdtPr>
                    <w:alias w:val="6.6 pp."/>
                    <w:tag w:val="part_059ad39dfd3644ae93d70247e5da13db"/>
                    <w:lock w:val="sdtLocked"/>
                    <w:richText/>
                  </w:sdtPr>
                  <w:sdtContent>
                    <w:p>
                      <w:pPr>
                        <w:widowControl w:val="0"/>
                        <w:tabs>
                          <w:tab w:val="left" w:pos="9072"/>
                        </w:tabs>
                        <w:ind w:right="-143" w:firstLine="720"/>
                        <w:jc w:val="both"/>
                        <w:rPr>
                          <w:rFonts w:eastAsia="Calibri"/>
                          <w:szCs w:val="24"/>
                          <w:lang w:eastAsia="lt-LT"/>
                        </w:rPr>
                      </w:pPr>
                      <w:sdt>
                        <w:sdtPr>
                          <w:alias w:val="Numeris"/>
                          <w:tag w:val="nr_059ad39dfd3644ae93d70247e5da13db"/>
                          <w:lock w:val="sdtLocked"/>
                          <w:richText/>
                        </w:sdtPr>
                        <w:sdtContent>
                          <w:r>
                            <w:rPr>
                              <w:rFonts w:eastAsia="Calibri"/>
                              <w:szCs w:val="24"/>
                              <w:lang w:eastAsia="lt-LT"/>
                            </w:rPr>
                            <w:t>6.6</w:t>
                          </w:r>
                        </w:sdtContent>
                      </w:sdt>
                      <w:r>
                        <w:rPr>
                          <w:rFonts w:eastAsia="Calibri"/>
                          <w:szCs w:val="24"/>
                          <w:lang w:eastAsia="lt-LT"/>
                        </w:rPr>
                        <w:t>. jeigu pacientas pasirenka ilgalaikį sveikatos būklės stebėjimą vykdyti kitoje asmens sveikatos priežiūros įstaigoje, nei ta, kurioje buvo vykdomas aktyvusis lėtinės ligos gydymas ir kurios gydytojas specialistas nustatė pacientui ilgalaikio sveikatos būklės stebėjimo poreikį, užp</w:t>
                      </w:r>
                      <w:r>
                        <w:t>ildo</w:t>
                      </w:r>
                      <w:r>
                        <w:rPr>
                          <w:lang w:eastAsia="lt-LT"/>
                        </w:rPr>
                        <w:t xml:space="preserve"> ir </w:t>
                      </w:r>
                      <w:r>
                        <w:rPr>
                          <w:color w:val="000000"/>
                          <w:szCs w:val="24"/>
                          <w:lang w:eastAsia="lt-LT"/>
                        </w:rPr>
                        <w:t xml:space="preserve">į ESPBI IS pateikia elektroniniu būdu pasirašytą </w:t>
                      </w:r>
                      <w:r>
                        <w:rPr>
                          <w:color w:val="000000"/>
                          <w:spacing w:val="-1"/>
                          <w:szCs w:val="24"/>
                          <w:lang w:eastAsia="lt-LT"/>
                        </w:rPr>
                        <w:t xml:space="preserve">elektroninį medicinos dokumentą </w:t>
                      </w:r>
                      <w:r>
                        <w:rPr>
                          <w:color w:val="000000"/>
                          <w:szCs w:val="24"/>
                          <w:lang w:eastAsia="lt-LT"/>
                        </w:rPr>
                        <w:t>E027 „</w:t>
                      </w:r>
                      <w:r>
                        <w:rPr>
                          <w:color w:val="000000"/>
                          <w:spacing w:val="-1"/>
                          <w:szCs w:val="24"/>
                          <w:lang w:eastAsia="lt-LT"/>
                        </w:rPr>
                        <w:t>Siuntimas konsultacijai, tyrimams, </w:t>
                      </w:r>
                      <w:r>
                        <w:rPr>
                          <w:color w:val="000000"/>
                          <w:szCs w:val="24"/>
                          <w:lang w:eastAsia="lt-LT"/>
                        </w:rPr>
                        <w:t>gydymui</w:t>
                      </w:r>
                      <w:r>
                        <w:rPr>
                          <w:color w:val="000000"/>
                          <w:spacing w:val="-1"/>
                          <w:szCs w:val="24"/>
                          <w:lang w:eastAsia="lt-LT"/>
                        </w:rPr>
                        <w:t xml:space="preserve">“ (toliau – forma E027), nurodytą </w:t>
                      </w:r>
                      <w:r>
                        <w:rPr>
                          <w:szCs w:val="24"/>
                        </w:rPr>
                        <w:t>įsakymo Nr. V-657 priede</w:t>
                      </w:r>
                      <w:r>
                        <w:rPr>
                          <w:color w:val="000000"/>
                          <w:spacing w:val="-1"/>
                          <w:szCs w:val="24"/>
                          <w:lang w:eastAsia="lt-LT"/>
                        </w:rPr>
                        <w:t>.</w:t>
                      </w:r>
                    </w:p>
                  </w:sdtContent>
                </w:sdt>
              </w:sdtContent>
            </w:sdt>
            <w:sdt>
              <w:sdtPr>
                <w:alias w:val="7 p."/>
                <w:tag w:val="part_5c93a8491ac34d8da8129cffc5cfa7ab"/>
                <w:lock w:val="sdtLocked"/>
                <w:richText/>
              </w:sdtPr>
              <w:sdtContent>
                <w:p>
                  <w:pPr>
                    <w:widowControl w:val="0"/>
                    <w:tabs>
                      <w:tab w:val="left" w:pos="9072"/>
                    </w:tabs>
                    <w:ind w:right="-143" w:firstLine="720"/>
                    <w:jc w:val="both"/>
                    <w:rPr>
                      <w:rFonts w:eastAsia="Calibri"/>
                      <w:szCs w:val="24"/>
                      <w:lang w:eastAsia="lt-LT"/>
                    </w:rPr>
                  </w:pPr>
                  <w:sdt>
                    <w:sdtPr>
                      <w:alias w:val="Numeris"/>
                      <w:tag w:val="nr_5c93a8491ac34d8da8129cffc5cfa7ab"/>
                      <w:lock w:val="sdtLocked"/>
                      <w:richText/>
                    </w:sdtPr>
                    <w:sdtContent>
                      <w:r>
                        <w:rPr>
                          <w:rFonts w:eastAsia="Calibri"/>
                          <w:szCs w:val="24"/>
                          <w:lang w:eastAsia="lt-LT"/>
                        </w:rPr>
                        <w:t>7</w:t>
                      </w:r>
                    </w:sdtContent>
                  </w:sdt>
                  <w:r>
                    <w:rPr>
                      <w:rFonts w:eastAsia="Calibri"/>
                      <w:szCs w:val="24"/>
                      <w:lang w:eastAsia="lt-LT"/>
                    </w:rPr>
                    <w:t>. Pacientas pasirenka asmens sveikatos priežiūros įstaigą, kurioje bus vykdomas ilgalaikis jo sveikatos būklės stebėjimas (toliau – paslaugą teikianti ASPĮ):</w:t>
                  </w:r>
                </w:p>
                <w:sdt>
                  <w:sdtPr>
                    <w:alias w:val="7.1 pp."/>
                    <w:tag w:val="part_ff617350748d4aa98120f827e29680ff"/>
                    <w:lock w:val="sdtLocked"/>
                    <w:richText/>
                  </w:sdtPr>
                  <w:sdtContent>
                    <w:p>
                      <w:pPr>
                        <w:widowControl w:val="0"/>
                        <w:tabs>
                          <w:tab w:val="left" w:pos="9072"/>
                        </w:tabs>
                        <w:ind w:right="-143" w:firstLine="720"/>
                        <w:jc w:val="both"/>
                        <w:rPr>
                          <w:rFonts w:eastAsia="Calibri"/>
                          <w:szCs w:val="24"/>
                          <w:lang w:eastAsia="lt-LT"/>
                        </w:rPr>
                      </w:pPr>
                      <w:sdt>
                        <w:sdtPr>
                          <w:alias w:val="Numeris"/>
                          <w:tag w:val="nr_ff617350748d4aa98120f827e29680ff"/>
                          <w:lock w:val="sdtLocked"/>
                          <w:richText/>
                        </w:sdtPr>
                        <w:sdtContent>
                          <w:r>
                            <w:rPr>
                              <w:rFonts w:eastAsia="Calibri"/>
                              <w:szCs w:val="24"/>
                              <w:lang w:eastAsia="lt-LT"/>
                            </w:rPr>
                            <w:t>7.1</w:t>
                          </w:r>
                        </w:sdtContent>
                      </w:sdt>
                      <w:r>
                        <w:rPr>
                          <w:rFonts w:eastAsia="Calibri"/>
                          <w:szCs w:val="24"/>
                          <w:lang w:eastAsia="lt-LT"/>
                        </w:rPr>
                        <w:t>. jeigu pacientas pasirenka ilgalaikį sveikatos būklės stebėjimą vykdyti toje pačioje asmens sveikatos priežiūros įstaigoje, kurioje dirbantis gydytojas specialistas nustatė ilgalaikio sveikatos būklės stebėjimo poreikį, įstaigos vadovo nustatyta tvarka pacientas iš karto registruojamas į gydytojo specialisto paskirtą konsultaciją;</w:t>
                      </w:r>
                    </w:p>
                  </w:sdtContent>
                </w:sdt>
                <w:sdt>
                  <w:sdtPr>
                    <w:alias w:val="7.2 pp."/>
                    <w:tag w:val="part_7e991589bcab4b739011487258f77d5a"/>
                    <w:lock w:val="sdtLocked"/>
                    <w:richText/>
                  </w:sdtPr>
                  <w:sdtContent>
                    <w:p>
                      <w:pPr>
                        <w:widowControl w:val="0"/>
                        <w:tabs>
                          <w:tab w:val="left" w:pos="9072"/>
                        </w:tabs>
                        <w:ind w:right="-143" w:firstLine="720"/>
                        <w:jc w:val="both"/>
                        <w:rPr>
                          <w:rFonts w:eastAsia="Calibri"/>
                          <w:szCs w:val="24"/>
                          <w:lang w:eastAsia="lt-LT"/>
                        </w:rPr>
                      </w:pPr>
                      <w:sdt>
                        <w:sdtPr>
                          <w:alias w:val="Numeris"/>
                          <w:tag w:val="nr_7e991589bcab4b739011487258f77d5a"/>
                          <w:lock w:val="sdtLocked"/>
                          <w:richText/>
                        </w:sdtPr>
                        <w:sdtContent>
                          <w:r>
                            <w:rPr>
                              <w:rFonts w:eastAsia="Calibri"/>
                              <w:szCs w:val="24"/>
                              <w:lang w:eastAsia="lt-LT"/>
                            </w:rPr>
                            <w:t>7.2</w:t>
                          </w:r>
                        </w:sdtContent>
                      </w:sdt>
                      <w:r>
                        <w:rPr>
                          <w:rFonts w:eastAsia="Calibri"/>
                          <w:szCs w:val="24"/>
                          <w:lang w:eastAsia="lt-LT"/>
                        </w:rPr>
                        <w:t>. jeigu pacientas pasirenka ilgalaikį sveikatos būklės stebėjimą vykdyti kitoje asmens sveikatos priežiūros įstaigoje, pacientas registruojasi į gydytojo specialisto paskirtą konsultaciją pasirinktoje paslaugą teikiančioje ASPĮ.</w:t>
                      </w:r>
                    </w:p>
                  </w:sdtContent>
                </w:sdt>
              </w:sdtContent>
            </w:sdt>
            <w:sdt>
              <w:sdtPr>
                <w:alias w:val="8 p."/>
                <w:tag w:val="part_bce6446be44a4cd2b20ff83f5d02d47a"/>
                <w:lock w:val="sdtLocked"/>
                <w:richText/>
              </w:sdtPr>
              <w:sdtContent>
                <w:p>
                  <w:pPr>
                    <w:widowControl w:val="0"/>
                    <w:tabs>
                      <w:tab w:val="left" w:pos="9072"/>
                    </w:tabs>
                    <w:ind w:right="-143" w:firstLine="720"/>
                    <w:jc w:val="both"/>
                    <w:rPr>
                      <w:rFonts w:eastAsia="Calibri"/>
                      <w:szCs w:val="24"/>
                      <w:lang w:eastAsia="lt-LT"/>
                    </w:rPr>
                  </w:pPr>
                  <w:sdt>
                    <w:sdtPr>
                      <w:alias w:val="Numeris"/>
                      <w:tag w:val="nr_bce6446be44a4cd2b20ff83f5d02d47a"/>
                      <w:lock w:val="sdtLocked"/>
                      <w:richText/>
                    </w:sdtPr>
                    <w:sdtContent>
                      <w:r>
                        <w:rPr>
                          <w:szCs w:val="24"/>
                        </w:rPr>
                        <w:t>8</w:t>
                      </w:r>
                    </w:sdtContent>
                  </w:sdt>
                  <w:r>
                    <w:rPr>
                      <w:szCs w:val="24"/>
                    </w:rPr>
                    <w:t xml:space="preserve">. Gydytojui specialistui nustačius pacientui ilgalaikio paciento sveikatos būklės stebėjimo poreikį, </w:t>
                  </w:r>
                  <w:r>
                    <w:rPr>
                      <w:color w:val="000000"/>
                      <w:szCs w:val="24"/>
                      <w:lang w:eastAsia="lt-LT"/>
                    </w:rPr>
                    <w:t xml:space="preserve">PAASP paslaugas teikiantis </w:t>
                  </w:r>
                  <w:r>
                    <w:rPr>
                      <w:szCs w:val="24"/>
                    </w:rPr>
                    <w:t>gydytojas iki paskirtos gydytojo specialisto konsultacijos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sdt>
                  <w:sdtPr>
                    <w:alias w:val="8.1 pp."/>
                    <w:tag w:val="part_dc6cf02f6ed149c1938eb67a62c6a3ec"/>
                    <w:lock w:val="sdtLocked"/>
                    <w:richText/>
                  </w:sdtPr>
                  <w:sdtContent>
                    <w:p>
                      <w:pPr>
                        <w:ind w:firstLine="851"/>
                        <w:jc w:val="both"/>
                        <w:rPr>
                          <w:szCs w:val="24"/>
                        </w:rPr>
                      </w:pPr>
                      <w:sdt>
                        <w:sdtPr>
                          <w:alias w:val="Numeris"/>
                          <w:tag w:val="nr_dc6cf02f6ed149c1938eb67a62c6a3ec"/>
                          <w:lock w:val="sdtLocked"/>
                          <w:richText/>
                        </w:sdtPr>
                        <w:sdtContent>
                          <w:r>
                            <w:rPr>
                              <w:szCs w:val="24"/>
                            </w:rPr>
                            <w:t>8.1</w:t>
                          </w:r>
                        </w:sdtContent>
                      </w:sdt>
                      <w:r>
                        <w:rPr>
                          <w:szCs w:val="24"/>
                        </w:rPr>
                        <w:t xml:space="preserve">. pagal šeimos gydytojo medicinos normoje nustatytą kompetenciją ar kitos profesinės kvalifikacijos </w:t>
                      </w:r>
                      <w:r>
                        <w:rPr>
                          <w:color w:val="000000"/>
                          <w:szCs w:val="24"/>
                          <w:lang w:eastAsia="lt-LT"/>
                        </w:rPr>
                        <w:t>PAASP paslaugas teikiančio gydytojo specialisto kompetenciją</w:t>
                      </w:r>
                      <w:r>
                        <w:rPr>
                          <w:color w:val="000000"/>
                          <w:szCs w:val="24"/>
                        </w:rPr>
                        <w:t xml:space="preserve"> </w:t>
                      </w:r>
                      <w:r>
                        <w:rPr>
                          <w:szCs w:val="24"/>
                        </w:rPr>
                        <w:t>pacientui atlieka vadovaujantis Aprašo 6.3 papunkčiu paskirtus diagnostinius tyrimus ir (ar) procedūras ir (ar) organizuoja jų atlikimą, o prieš pirmąją gydytojo specialisto konsultaciją – ir atitinkamame Aprašo priede nurodytus (jeigu nurodyti) diagnostinius tyrimus.</w:t>
                      </w:r>
                    </w:p>
                    <w:p>
                      <w:pPr>
                        <w:ind w:firstLine="851"/>
                        <w:jc w:val="both"/>
                        <w:rPr>
                          <w:rFonts w:eastAsia="Calibri"/>
                          <w:szCs w:val="24"/>
                          <w:lang w:eastAsia="lt-LT"/>
                        </w:rPr>
                      </w:pPr>
                      <w:r>
                        <w:rPr>
                          <w:szCs w:val="24"/>
                        </w:rPr>
                        <w:t xml:space="preserve">Šeimos gydytojas ar kitos profesinės kvalifikacijos </w:t>
                      </w:r>
                      <w:r>
                        <w:rPr>
                          <w:color w:val="000000"/>
                          <w:szCs w:val="24"/>
                          <w:lang w:eastAsia="lt-LT"/>
                        </w:rPr>
                        <w:t>PAASP paslaugas teikiantis gydytojas specialistas</w:t>
                      </w:r>
                      <w:r>
                        <w:rPr>
                          <w:szCs w:val="24"/>
                        </w:rPr>
                        <w:t xml:space="preserve"> prireikus savo sprendimu gali pacientui atlikti ir kitus diagnostinius tyrimus ir (ar) procedūras pagal Šeimos gydytojo medicinos normoje nustatytą kompetenciją ir (ar) siųsti pacientą atlikti tyrimų ir (ar) procedūrų, nenurodytų Šeimos gydytojo medicinos normoje, atsižvelgdamas į pacientui nustatytą ligos diagnozę, dėl kurios bus vykdomas ilgalaikis paciento sveikatos būklės stebėjimas;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p/>
                  </w:sdtContent>
                </w:sdt>
                <w:sdt>
                  <w:sdtPr>
                    <w:alias w:val="8.2 pp."/>
                    <w:tag w:val="part_a62ed2d1436b41538a1ee857a1ab42af"/>
                    <w:lock w:val="sdtLocked"/>
                    <w:richText/>
                  </w:sdtPr>
                  <w:sdtContent>
                    <w:p>
                      <w:pPr>
                        <w:widowControl w:val="0"/>
                        <w:tabs>
                          <w:tab w:val="left" w:pos="9072"/>
                        </w:tabs>
                        <w:ind w:right="-143" w:firstLine="720"/>
                        <w:jc w:val="both"/>
                        <w:rPr>
                          <w:color w:val="000000"/>
                          <w:spacing w:val="-1"/>
                          <w:szCs w:val="24"/>
                          <w:lang w:eastAsia="lt-LT"/>
                        </w:rPr>
                      </w:pPr>
                      <w:sdt>
                        <w:sdtPr>
                          <w:alias w:val="Numeris"/>
                          <w:tag w:val="nr_a62ed2d1436b41538a1ee857a1ab42af"/>
                          <w:lock w:val="sdtLocked"/>
                          <w:richText/>
                        </w:sdtPr>
                        <w:sdtContent>
                          <w:r>
                            <w:rPr>
                              <w:color w:val="000000"/>
                              <w:spacing w:val="-1"/>
                              <w:szCs w:val="24"/>
                              <w:lang w:eastAsia="lt-LT"/>
                            </w:rPr>
                            <w:t>8.2</w:t>
                          </w:r>
                        </w:sdtContent>
                      </w:sdt>
                      <w:r>
                        <w:rPr>
                          <w:color w:val="000000"/>
                          <w:spacing w:val="-1"/>
                          <w:szCs w:val="24"/>
                          <w:lang w:eastAsia="lt-LT"/>
                        </w:rPr>
                        <w:t>. e</w:t>
                      </w:r>
                      <w:r>
                        <w:rPr>
                          <w:color w:val="000000"/>
                          <w:szCs w:val="24"/>
                          <w:lang w:eastAsia="lt-LT"/>
                        </w:rPr>
                        <w:t>lektroniniu būdu pasirašo ir į ESPBI IS pateikia formą E025, kurioje nurodo:</w:t>
                      </w:r>
                    </w:p>
                    <w:sdt>
                      <w:sdtPr>
                        <w:alias w:val="8.2.1 pp."/>
                        <w:tag w:val="part_a90c6261a3fa40e3ba3ab0f6608c44a5"/>
                        <w:lock w:val="sdtLocked"/>
                        <w:richText/>
                      </w:sdtPr>
                      <w:sdtContent>
                        <w:p>
                          <w:pPr>
                            <w:widowControl w:val="0"/>
                            <w:tabs>
                              <w:tab w:val="left" w:pos="9072"/>
                            </w:tabs>
                            <w:ind w:right="-143" w:firstLine="720"/>
                            <w:jc w:val="both"/>
                            <w:rPr>
                              <w:color w:val="000000"/>
                              <w:spacing w:val="-1"/>
                              <w:szCs w:val="24"/>
                              <w:lang w:eastAsia="lt-LT"/>
                            </w:rPr>
                          </w:pPr>
                          <w:sdt>
                            <w:sdtPr>
                              <w:alias w:val="Numeris"/>
                              <w:tag w:val="nr_a90c6261a3fa40e3ba3ab0f6608c44a5"/>
                              <w:lock w:val="sdtLocked"/>
                              <w:richText/>
                            </w:sdtPr>
                            <w:sdtContent>
                              <w:r>
                                <w:rPr>
                                  <w:color w:val="000000"/>
                                  <w:spacing w:val="-1"/>
                                  <w:szCs w:val="24"/>
                                  <w:lang w:eastAsia="lt-LT"/>
                                </w:rPr>
                                <w:t>8.2.1</w:t>
                              </w:r>
                            </w:sdtContent>
                          </w:sdt>
                          <w:r>
                            <w:rPr>
                              <w:color w:val="000000"/>
                              <w:spacing w:val="-1"/>
                              <w:szCs w:val="24"/>
                              <w:lang w:eastAsia="lt-LT"/>
                            </w:rPr>
                            <w:t>. asmens sveikatos priežiūros paslaugų teikimo priežastis „Ilgalaikis stebėjimas“;</w:t>
                          </w:r>
                        </w:p>
                      </w:sdtContent>
                    </w:sdt>
                    <w:sdt>
                      <w:sdtPr>
                        <w:alias w:val="8.2.2 pp."/>
                        <w:tag w:val="part_4319954f56944875aa4e6909ef8f126b"/>
                        <w:lock w:val="sdtLocked"/>
                        <w:richText/>
                      </w:sdtPr>
                      <w:sdtContent>
                        <w:p>
                          <w:pPr>
                            <w:tabs>
                              <w:tab w:val="left" w:pos="709"/>
                              <w:tab w:val="left" w:pos="8505"/>
                              <w:tab w:val="left" w:pos="9072"/>
                            </w:tabs>
                            <w:ind w:right="-143" w:firstLine="720"/>
                            <w:jc w:val="both"/>
                            <w:rPr>
                              <w:color w:val="000000"/>
                              <w:szCs w:val="24"/>
                            </w:rPr>
                          </w:pPr>
                          <w:sdt>
                            <w:sdtPr>
                              <w:alias w:val="Numeris"/>
                              <w:tag w:val="nr_4319954f56944875aa4e6909ef8f126b"/>
                              <w:lock w:val="sdtLocked"/>
                              <w:richText/>
                            </w:sdtPr>
                            <w:sdtContent>
                              <w:r>
                                <w:rPr>
                                  <w:color w:val="000000"/>
                                  <w:szCs w:val="24"/>
                                </w:rPr>
                                <w:t>8.2.2</w:t>
                              </w:r>
                            </w:sdtContent>
                          </w:sdt>
                          <w:r>
                            <w:rPr>
                              <w:color w:val="000000"/>
                              <w:szCs w:val="24"/>
                            </w:rPr>
                            <w:t xml:space="preserve">. ligos, dėl kurios pacientui nustatytas ilgalaikio sveikatos būklės stebėjimo poreikis, kodas pagal Tarptautinės statistinės ligų ir sveikatos sutrikimų klasifikacijos dešimtąjį pataisytą ir papildytą leidimą „Sisteminis ligų sąrašas“ (Australijos modifikacija, TLK-10-AM), </w:t>
                          </w:r>
                          <w:r>
                            <w:rPr>
                              <w:szCs w:val="24"/>
                            </w:rPr>
                            <w:t>į</w:t>
                          </w:r>
                          <w:r>
                            <w:rPr>
                              <w:szCs w:val="24"/>
                              <w:shd w:val="clear" w:color="auto" w:fill="FFFFFF"/>
                            </w:rPr>
                            <w:t xml:space="preserve">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 </w:t>
                          </w:r>
                          <w:r>
                            <w:rPr>
                              <w:color w:val="000000"/>
                              <w:szCs w:val="24"/>
                            </w:rPr>
                            <w:t>(toliau – TLK-10-AM);</w:t>
                          </w:r>
                        </w:p>
                      </w:sdtContent>
                    </w:sdt>
                    <w:sdt>
                      <w:sdtPr>
                        <w:alias w:val="8.2.3 pp."/>
                        <w:tag w:val="part_49d0502fa7e14bdebd22aabbfbaa176c"/>
                        <w:lock w:val="sdtLocked"/>
                        <w:richText/>
                      </w:sdtPr>
                      <w:sdtContent>
                        <w:p>
                          <w:pPr>
                            <w:tabs>
                              <w:tab w:val="left" w:pos="709"/>
                              <w:tab w:val="left" w:pos="8505"/>
                              <w:tab w:val="left" w:pos="9072"/>
                            </w:tabs>
                            <w:ind w:right="-143" w:firstLine="720"/>
                            <w:jc w:val="both"/>
                            <w:rPr>
                              <w:color w:val="000000"/>
                              <w:szCs w:val="24"/>
                            </w:rPr>
                          </w:pPr>
                          <w:sdt>
                            <w:sdtPr>
                              <w:alias w:val="Numeris"/>
                              <w:tag w:val="nr_49d0502fa7e14bdebd22aabbfbaa176c"/>
                              <w:lock w:val="sdtLocked"/>
                              <w:richText/>
                            </w:sdtPr>
                            <w:sdtContent>
                              <w:r>
                                <w:rPr>
                                  <w:color w:val="000000"/>
                                  <w:szCs w:val="24"/>
                                </w:rPr>
                                <w:t>8.2.3</w:t>
                              </w:r>
                            </w:sdtContent>
                          </w:sdt>
                          <w:r>
                            <w:rPr>
                              <w:color w:val="000000"/>
                              <w:szCs w:val="24"/>
                            </w:rPr>
                            <w:t>. gydytojo specialisto, kuris vykdys ilgalaikį sveikatos būklės stebėjimą, profesinė kvalifikacija ir paskirtas gydytojo specialisto konsultacijos laikas;</w:t>
                          </w:r>
                        </w:p>
                      </w:sdtContent>
                    </w:sdt>
                    <w:sdt>
                      <w:sdtPr>
                        <w:alias w:val="8.2.4 pp."/>
                        <w:tag w:val="part_7188ec8bdf2c45e5b2b003f2c85a6971"/>
                        <w:lock w:val="sdtLocked"/>
                        <w:richText/>
                      </w:sdtPr>
                      <w:sdtContent>
                        <w:p>
                          <w:pPr>
                            <w:tabs>
                              <w:tab w:val="left" w:pos="709"/>
                              <w:tab w:val="left" w:pos="8505"/>
                              <w:tab w:val="left" w:pos="9072"/>
                            </w:tabs>
                            <w:ind w:right="-143" w:firstLine="720"/>
                            <w:jc w:val="both"/>
                            <w:rPr>
                              <w:color w:val="000000"/>
                              <w:szCs w:val="24"/>
                            </w:rPr>
                          </w:pPr>
                          <w:sdt>
                            <w:sdtPr>
                              <w:alias w:val="Numeris"/>
                              <w:tag w:val="nr_7188ec8bdf2c45e5b2b003f2c85a6971"/>
                              <w:lock w:val="sdtLocked"/>
                              <w:richText/>
                            </w:sdtPr>
                            <w:sdtContent>
                              <w:r>
                                <w:rPr>
                                  <w:color w:val="000000"/>
                                  <w:szCs w:val="24"/>
                                </w:rPr>
                                <w:t>8.2.4</w:t>
                              </w:r>
                            </w:sdtContent>
                          </w:sdt>
                          <w:r>
                            <w:rPr>
                              <w:color w:val="000000"/>
                              <w:szCs w:val="24"/>
                            </w:rPr>
                            <w:t>. Aprašo 8.1 papunktyje nurodytų atliktų diagnostinių tyrimų ir (ar) procedūrų rezultatai.</w:t>
                          </w:r>
                        </w:p>
                      </w:sdtContent>
                    </w:sdt>
                  </w:sdtContent>
                </w:sdt>
              </w:sdtContent>
            </w:sdt>
            <w:sdt>
              <w:sdtPr>
                <w:alias w:val="9 p."/>
                <w:tag w:val="part_999cd755c13a43cc963d9fe2a1e60abc"/>
                <w:lock w:val="sdtLocked"/>
                <w:richText/>
              </w:sdtPr>
              <w:sdtContent>
                <w:p>
                  <w:pPr>
                    <w:widowControl w:val="0"/>
                    <w:tabs>
                      <w:tab w:val="left" w:pos="9072"/>
                    </w:tabs>
                    <w:ind w:right="-143" w:firstLine="720"/>
                    <w:jc w:val="both"/>
                    <w:rPr>
                      <w:rFonts w:eastAsia="Calibri"/>
                      <w:szCs w:val="24"/>
                      <w:lang w:eastAsia="lt-LT"/>
                    </w:rPr>
                  </w:pPr>
                  <w:sdt>
                    <w:sdtPr>
                      <w:alias w:val="Numeris"/>
                      <w:tag w:val="nr_999cd755c13a43cc963d9fe2a1e60abc"/>
                      <w:lock w:val="sdtLocked"/>
                      <w:richText/>
                    </w:sdtPr>
                    <w:sdtContent>
                      <w:r>
                        <w:rPr>
                          <w:rFonts w:eastAsia="Calibri"/>
                          <w:szCs w:val="24"/>
                          <w:lang w:eastAsia="lt-LT"/>
                        </w:rPr>
                        <w:t>9</w:t>
                      </w:r>
                    </w:sdtContent>
                  </w:sdt>
                  <w:r>
                    <w:rPr>
                      <w:rFonts w:eastAsia="Calibri"/>
                      <w:szCs w:val="24"/>
                      <w:lang w:eastAsia="lt-LT"/>
                    </w:rPr>
                    <w:t xml:space="preserve">. Gydytojas specialistas, į kurį pacientas kreipėsi dėl </w:t>
                  </w:r>
                  <w:r>
                    <w:rPr>
                      <w:color w:val="000000"/>
                      <w:szCs w:val="24"/>
                    </w:rPr>
                    <w:t>ilgalaikio sveikatos būklės stebėjimo,</w:t>
                  </w:r>
                  <w:r>
                    <w:rPr>
                      <w:rFonts w:eastAsia="Calibri"/>
                      <w:szCs w:val="24"/>
                      <w:lang w:eastAsia="lt-LT"/>
                    </w:rPr>
                    <w:t xml:space="preserve"> konsultacijos metu:</w:t>
                  </w:r>
                </w:p>
                <w:sdt>
                  <w:sdtPr>
                    <w:alias w:val="9.1 pp."/>
                    <w:tag w:val="part_386ad581a5d04e579ae674933159d701"/>
                    <w:lock w:val="sdtLocked"/>
                    <w:richText/>
                  </w:sdtPr>
                  <w:sdtContent>
                    <w:p>
                      <w:pPr>
                        <w:widowControl w:val="0"/>
                        <w:tabs>
                          <w:tab w:val="left" w:pos="9072"/>
                        </w:tabs>
                        <w:ind w:right="-143" w:firstLine="720"/>
                        <w:jc w:val="both"/>
                        <w:rPr>
                          <w:rFonts w:eastAsia="Calibri"/>
                          <w:szCs w:val="24"/>
                          <w:lang w:eastAsia="lt-LT"/>
                        </w:rPr>
                      </w:pPr>
                      <w:sdt>
                        <w:sdtPr>
                          <w:alias w:val="Numeris"/>
                          <w:tag w:val="nr_386ad581a5d04e579ae674933159d701"/>
                          <w:lock w:val="sdtLocked"/>
                          <w:richText/>
                        </w:sdtPr>
                        <w:sdtContent>
                          <w:r>
                            <w:rPr>
                              <w:rFonts w:eastAsia="Calibri"/>
                              <w:szCs w:val="24"/>
                              <w:lang w:eastAsia="lt-LT"/>
                            </w:rPr>
                            <w:t>9.1</w:t>
                          </w:r>
                        </w:sdtContent>
                      </w:sdt>
                      <w:r>
                        <w:rPr>
                          <w:rFonts w:eastAsia="Calibri"/>
                          <w:szCs w:val="24"/>
                          <w:lang w:eastAsia="lt-LT"/>
                        </w:rPr>
                        <w:t>. įvertina paciento sveikatos būklę;</w:t>
                      </w:r>
                    </w:p>
                  </w:sdtContent>
                </w:sdt>
                <w:sdt>
                  <w:sdtPr>
                    <w:alias w:val="9.2 pp."/>
                    <w:tag w:val="part_578bede0b42a4310a9bfa49220ddc1b8"/>
                    <w:lock w:val="sdtLocked"/>
                    <w:richText/>
                  </w:sdtPr>
                  <w:sdtContent>
                    <w:p>
                      <w:pPr>
                        <w:widowControl w:val="0"/>
                        <w:tabs>
                          <w:tab w:val="left" w:pos="9072"/>
                        </w:tabs>
                        <w:ind w:right="-143" w:firstLine="720"/>
                        <w:jc w:val="both"/>
                        <w:rPr>
                          <w:rFonts w:eastAsia="Calibri"/>
                          <w:szCs w:val="24"/>
                          <w:lang w:eastAsia="lt-LT"/>
                        </w:rPr>
                      </w:pPr>
                      <w:sdt>
                        <w:sdtPr>
                          <w:alias w:val="Numeris"/>
                          <w:tag w:val="nr_578bede0b42a4310a9bfa49220ddc1b8"/>
                          <w:lock w:val="sdtLocked"/>
                          <w:richText/>
                        </w:sdtPr>
                        <w:sdtContent>
                          <w:r>
                            <w:rPr>
                              <w:rFonts w:eastAsia="Calibri"/>
                              <w:szCs w:val="24"/>
                              <w:lang w:eastAsia="lt-LT"/>
                            </w:rPr>
                            <w:t>9.2</w:t>
                          </w:r>
                        </w:sdtContent>
                      </w:sdt>
                      <w:r>
                        <w:rPr>
                          <w:rFonts w:eastAsia="Calibri"/>
                          <w:szCs w:val="24"/>
                          <w:lang w:eastAsia="lt-LT"/>
                        </w:rPr>
                        <w:t>. įvertina Aprašo 8.1 papunktyje (Aprašo 10 punkte nurodytu atveju – 9.8 papunktyje) nurodytų atliktų diagnostinių tyrimų ir (ar) procedūrų rezultatus, aptaria juos su pacientu;</w:t>
                      </w:r>
                    </w:p>
                  </w:sdtContent>
                </w:sdt>
                <w:sdt>
                  <w:sdtPr>
                    <w:alias w:val="9.3 pp."/>
                    <w:tag w:val="part_78528cfcfd464d43b0b32acedb66299a"/>
                    <w:lock w:val="sdtLocked"/>
                    <w:richText/>
                  </w:sdtPr>
                  <w:sdtContent>
                    <w:p>
                      <w:pPr>
                        <w:widowControl w:val="0"/>
                        <w:tabs>
                          <w:tab w:val="left" w:pos="9072"/>
                        </w:tabs>
                        <w:ind w:right="-143" w:firstLine="720"/>
                        <w:jc w:val="both"/>
                        <w:rPr>
                          <w:rFonts w:eastAsia="Calibri"/>
                          <w:szCs w:val="24"/>
                          <w:lang w:eastAsia="lt-LT"/>
                        </w:rPr>
                      </w:pPr>
                      <w:sdt>
                        <w:sdtPr>
                          <w:alias w:val="Numeris"/>
                          <w:tag w:val="nr_78528cfcfd464d43b0b32acedb66299a"/>
                          <w:lock w:val="sdtLocked"/>
                          <w:richText/>
                        </w:sdtPr>
                        <w:sdtContent>
                          <w:r>
                            <w:rPr>
                              <w:rFonts w:eastAsia="Calibri"/>
                              <w:szCs w:val="24"/>
                              <w:lang w:eastAsia="lt-LT"/>
                            </w:rPr>
                            <w:t>9.3</w:t>
                          </w:r>
                        </w:sdtContent>
                      </w:sdt>
                      <w:r>
                        <w:rPr>
                          <w:rFonts w:eastAsia="Calibri"/>
                          <w:szCs w:val="24"/>
                          <w:lang w:eastAsia="lt-LT"/>
                        </w:rPr>
                        <w:t>. prireikus paskiria kitus pacientui reikalingus diagnostinius tyrimus ir (ar) procedūras pagal savo kompetenciją, nurodytą medicinos normoje, ir organizuoja jų atlikimą paslaugą teikiančioje ASPĮ;</w:t>
                      </w:r>
                    </w:p>
                  </w:sdtContent>
                </w:sdt>
                <w:sdt>
                  <w:sdtPr>
                    <w:alias w:val="9.4 pp."/>
                    <w:tag w:val="part_545f288086a04130a33ebbbcb8cba510"/>
                    <w:lock w:val="sdtLocked"/>
                    <w:richText/>
                  </w:sdtPr>
                  <w:sdtContent>
                    <w:p>
                      <w:pPr>
                        <w:widowControl w:val="0"/>
                        <w:tabs>
                          <w:tab w:val="left" w:pos="9072"/>
                        </w:tabs>
                        <w:ind w:right="-143" w:firstLine="720"/>
                        <w:jc w:val="both"/>
                        <w:rPr>
                          <w:rFonts w:eastAsia="Calibri"/>
                          <w:szCs w:val="24"/>
                          <w:lang w:eastAsia="lt-LT"/>
                        </w:rPr>
                      </w:pPr>
                      <w:sdt>
                        <w:sdtPr>
                          <w:alias w:val="Numeris"/>
                          <w:tag w:val="nr_545f288086a04130a33ebbbcb8cba510"/>
                          <w:lock w:val="sdtLocked"/>
                          <w:richText/>
                        </w:sdtPr>
                        <w:sdtContent>
                          <w:r>
                            <w:rPr>
                              <w:rFonts w:eastAsia="Calibri"/>
                              <w:szCs w:val="24"/>
                              <w:lang w:eastAsia="lt-LT"/>
                            </w:rPr>
                            <w:t>9.4</w:t>
                          </w:r>
                        </w:sdtContent>
                      </w:sdt>
                      <w:r>
                        <w:rPr>
                          <w:rFonts w:eastAsia="Calibri"/>
                          <w:szCs w:val="24"/>
                          <w:lang w:eastAsia="lt-LT"/>
                        </w:rPr>
                        <w:t>. prireikus paskiria (pratęsia) gydymą ir (ar) išrašo reikiamus vaistinius preparatus ir (ar) medicinos pagalbos priemones;</w:t>
                      </w:r>
                    </w:p>
                  </w:sdtContent>
                </w:sdt>
                <w:sdt>
                  <w:sdtPr>
                    <w:alias w:val="9.5 pp."/>
                    <w:tag w:val="part_79365ab86d964d64afed29e02d82ba10"/>
                    <w:lock w:val="sdtLocked"/>
                    <w:richText/>
                  </w:sdtPr>
                  <w:sdtContent>
                    <w:p>
                      <w:pPr>
                        <w:ind w:firstLine="709"/>
                        <w:jc w:val="both"/>
                        <w:rPr>
                          <w:color w:val="000000"/>
                          <w:szCs w:val="24"/>
                          <w:lang w:eastAsia="lt-LT"/>
                        </w:rPr>
                      </w:pPr>
                      <w:sdt>
                        <w:sdtPr>
                          <w:alias w:val="Numeris"/>
                          <w:tag w:val="nr_79365ab86d964d64afed29e02d82ba10"/>
                          <w:lock w:val="sdtLocked"/>
                          <w:richText/>
                        </w:sdtPr>
                        <w:sdtContent>
                          <w:r>
                            <w:rPr>
                              <w:rFonts w:eastAsia="Calibri"/>
                              <w:szCs w:val="24"/>
                              <w:lang w:eastAsia="lt-LT"/>
                            </w:rPr>
                            <w:t>9.5</w:t>
                          </w:r>
                        </w:sdtContent>
                      </w:sdt>
                      <w:r>
                        <w:rPr>
                          <w:rFonts w:eastAsia="Calibri"/>
                          <w:szCs w:val="24"/>
                          <w:lang w:eastAsia="lt-LT"/>
                        </w:rPr>
                        <w:t xml:space="preserve">. prireikus išduoda siuntimą į kito gydytojo specialisto konsultaciją, </w:t>
                      </w:r>
                      <w:r>
                        <w:rPr>
                          <w:color w:val="000000"/>
                          <w:szCs w:val="24"/>
                          <w:lang w:eastAsia="lt-LT"/>
                        </w:rPr>
                        <w:t xml:space="preserve">į ESPBI IS pateikdamas elektroniniu būdu pasirašytą </w:t>
                      </w:r>
                      <w:r>
                        <w:rPr>
                          <w:color w:val="000000"/>
                          <w:spacing w:val="-1"/>
                          <w:szCs w:val="24"/>
                          <w:lang w:eastAsia="lt-LT"/>
                        </w:rPr>
                        <w:t xml:space="preserve">formą </w:t>
                      </w:r>
                      <w:r>
                        <w:rPr>
                          <w:color w:val="000000"/>
                          <w:szCs w:val="24"/>
                          <w:lang w:eastAsia="lt-LT"/>
                        </w:rPr>
                        <w:t>E027;</w:t>
                      </w:r>
                    </w:p>
                  </w:sdtContent>
                </w:sdt>
                <w:sdt>
                  <w:sdtPr>
                    <w:alias w:val="9.6 pp."/>
                    <w:tag w:val="part_0af87677f19d40c3a3e22bd0dfe146ff"/>
                    <w:lock w:val="sdtLocked"/>
                    <w:richText/>
                  </w:sdtPr>
                  <w:sdtContent>
                    <w:p>
                      <w:pPr>
                        <w:ind w:firstLine="709"/>
                        <w:jc w:val="both"/>
                        <w:rPr>
                          <w:color w:val="000000"/>
                          <w:szCs w:val="24"/>
                          <w:lang w:eastAsia="lt-LT"/>
                        </w:rPr>
                      </w:pPr>
                      <w:sdt>
                        <w:sdtPr>
                          <w:alias w:val="Numeris"/>
                          <w:tag w:val="nr_0af87677f19d40c3a3e22bd0dfe146ff"/>
                          <w:lock w:val="sdtLocked"/>
                          <w:richText/>
                        </w:sdtPr>
                        <w:sdtContent>
                          <w:r>
                            <w:rPr>
                              <w:color w:val="000000"/>
                              <w:szCs w:val="24"/>
                              <w:lang w:eastAsia="lt-LT"/>
                            </w:rPr>
                            <w:t>9.6</w:t>
                          </w:r>
                        </w:sdtContent>
                      </w:sdt>
                      <w:r>
                        <w:rPr>
                          <w:color w:val="000000"/>
                          <w:szCs w:val="24"/>
                          <w:lang w:eastAsia="lt-LT"/>
                        </w:rPr>
                        <w:t>. konsultuoja pacientą;</w:t>
                      </w:r>
                    </w:p>
                  </w:sdtContent>
                </w:sdt>
                <w:sdt>
                  <w:sdtPr>
                    <w:alias w:val="9.7 pp."/>
                    <w:tag w:val="part_ea259597e5f142fcbde4f05adbc64575"/>
                    <w:lock w:val="sdtLocked"/>
                    <w:richText/>
                  </w:sdtPr>
                  <w:sdtContent>
                    <w:p>
                      <w:pPr>
                        <w:ind w:firstLine="709"/>
                        <w:jc w:val="both"/>
                        <w:rPr>
                          <w:color w:val="000000"/>
                          <w:szCs w:val="24"/>
                          <w:lang w:eastAsia="lt-LT"/>
                        </w:rPr>
                      </w:pPr>
                      <w:sdt>
                        <w:sdtPr>
                          <w:alias w:val="Numeris"/>
                          <w:tag w:val="nr_ea259597e5f142fcbde4f05adbc64575"/>
                          <w:lock w:val="sdtLocked"/>
                          <w:richText/>
                        </w:sdtPr>
                        <w:sdtContent>
                          <w:r>
                            <w:rPr>
                              <w:rFonts w:eastAsia="Calibri"/>
                              <w:szCs w:val="24"/>
                              <w:lang w:eastAsia="lt-LT"/>
                            </w:rPr>
                            <w:t>9.7</w:t>
                          </w:r>
                        </w:sdtContent>
                      </w:sdt>
                      <w:r>
                        <w:rPr>
                          <w:rFonts w:eastAsia="Calibri"/>
                          <w:szCs w:val="24"/>
                          <w:lang w:eastAsia="lt-LT"/>
                        </w:rPr>
                        <w:t>. paskiria pacientui kitą gydytojo specialisto konsultacijos datą ir rezervuoja konsultacijos laiką paslaugą teikiančioje ASPĮ jos vadovo nustatyta tvarka. Vietoj kitos gydytojo specialisto konsultacijos pacientui gydytojas specialistas gali paskirti nuotolinę gydytojo konsultaciją gydytojui ir rezervuoti nuotolinės konsultacijos laiką paslaugą teikiančios ASPĮ nustatyta tvarka. Ne mažiau kaip pusė gydytojo specialisto per kalendorinius metus pacientui teikiamų paslaugų turi būti suteiktos pacientui tiesioginio kontakto būdu;</w:t>
                      </w:r>
                    </w:p>
                  </w:sdtContent>
                </w:sdt>
                <w:sdt>
                  <w:sdtPr>
                    <w:alias w:val="9.8 pp."/>
                    <w:tag w:val="part_9e0699da124147229d72e25e20253011"/>
                    <w:lock w:val="sdtLocked"/>
                    <w:richText/>
                  </w:sdtPr>
                  <w:sdtContent>
                    <w:p>
                      <w:pPr>
                        <w:ind w:firstLine="709"/>
                        <w:jc w:val="both"/>
                        <w:rPr>
                          <w:color w:val="000000"/>
                          <w:szCs w:val="24"/>
                          <w:lang w:eastAsia="lt-LT"/>
                        </w:rPr>
                      </w:pPr>
                      <w:sdt>
                        <w:sdtPr>
                          <w:alias w:val="Numeris"/>
                          <w:tag w:val="nr_9e0699da124147229d72e25e20253011"/>
                          <w:lock w:val="sdtLocked"/>
                          <w:richText/>
                        </w:sdtPr>
                        <w:sdtContent>
                          <w:r>
                            <w:rPr>
                              <w:color w:val="000000"/>
                              <w:szCs w:val="24"/>
                              <w:lang w:eastAsia="lt-LT"/>
                            </w:rPr>
                            <w:t>9.8</w:t>
                          </w:r>
                        </w:sdtContent>
                      </w:sdt>
                      <w:r>
                        <w:rPr>
                          <w:color w:val="000000"/>
                          <w:szCs w:val="24"/>
                          <w:lang w:eastAsia="lt-LT"/>
                        </w:rPr>
                        <w:t xml:space="preserve">. pateikia išvadas ir rekomendacijas, pateikdamas į ESPBI IS ir elektroniniu būdu pasirašydamas formą E025 ir elektroninį medicinos dokumentą E027-a „Atsakymas į </w:t>
                      </w:r>
                      <w:r>
                        <w:rPr>
                          <w:color w:val="000000"/>
                          <w:spacing w:val="-1"/>
                          <w:szCs w:val="24"/>
                          <w:lang w:eastAsia="lt-LT"/>
                        </w:rPr>
                        <w:t>siuntimą konsultacijai, tyrimams, </w:t>
                      </w:r>
                      <w:r>
                        <w:rPr>
                          <w:color w:val="000000"/>
                          <w:szCs w:val="24"/>
                          <w:lang w:eastAsia="lt-LT"/>
                        </w:rPr>
                        <w:t>gydymui</w:t>
                      </w:r>
                      <w:r>
                        <w:rPr>
                          <w:color w:val="000000"/>
                          <w:spacing w:val="-1"/>
                          <w:szCs w:val="24"/>
                          <w:lang w:eastAsia="lt-LT"/>
                        </w:rPr>
                        <w:t xml:space="preserve">“, nurodytą </w:t>
                      </w:r>
                      <w:r>
                        <w:rPr>
                          <w:szCs w:val="24"/>
                        </w:rPr>
                        <w:t>įsakymo Nr. V-657 priede</w:t>
                      </w:r>
                      <w:r>
                        <w:rPr>
                          <w:color w:val="000000"/>
                          <w:spacing w:val="-1"/>
                          <w:szCs w:val="24"/>
                          <w:lang w:eastAsia="lt-LT"/>
                        </w:rPr>
                        <w:t>.</w:t>
                      </w:r>
                    </w:p>
                    <w:p>
                      <w:pPr>
                        <w:ind w:firstLine="709"/>
                        <w:jc w:val="both"/>
                        <w:rPr>
                          <w:color w:val="000000"/>
                          <w:szCs w:val="24"/>
                          <w:lang w:eastAsia="lt-LT"/>
                        </w:rPr>
                      </w:pPr>
                      <w:r>
                        <w:rPr>
                          <w:color w:val="000000"/>
                          <w:szCs w:val="24"/>
                          <w:lang w:eastAsia="lt-LT"/>
                        </w:rPr>
                        <w:t>Rekomendacijose šeimos gydytojui (jo komandos nariui) pagal poreikį nurodoma pacientui reikalinga Šeimos gydytojo medicinos normoje nustatytos kompetencijos apimtį atitinkanti sveikatos priežiūra, kitos konsultacijos vykdant ilgalaikį paciento sveikatos būklės stebėjimą data ir diagnostinių tyrimų ir (ar) procedūrų, kuriuos būtina atlikti (arba organizuoti jų atlikimą) iki kitos konsultacijos, sąrašas.</w:t>
                      </w:r>
                    </w:p>
                    <w:p>
                      <w:pPr>
                        <w:ind w:firstLine="771"/>
                        <w:jc w:val="both"/>
                        <w:rPr>
                          <w:color w:val="000000"/>
                          <w:szCs w:val="24"/>
                          <w:lang w:eastAsia="lt-LT"/>
                        </w:rPr>
                      </w:pPr>
                      <w:r>
                        <w:rPr>
                          <w:color w:val="000000"/>
                          <w:szCs w:val="24"/>
                          <w:lang w:eastAsia="lt-LT"/>
                        </w:rPr>
                        <w:t>Jeigu šeimos gydytojui (jo komandos nariui) buvo pateiktos rekomendacijos, informacija apie rekomendacijų įvykdymą (arba neįvykdymą, nurodant priežastis) pateikiama į ESPBI IS elektroniniu būdu pasirašant formą E025 iki pacientui paskirtos kitos gydytojo specialisto konsultacijos datos;</w:t>
                      </w:r>
                    </w:p>
                  </w:sdtContent>
                </w:sdt>
                <w:sdt>
                  <w:sdtPr>
                    <w:alias w:val="9.9 pp."/>
                    <w:tag w:val="part_920fc78ed14b42fea53784edf2f12535"/>
                    <w:lock w:val="sdtLocked"/>
                    <w:richText/>
                  </w:sdtPr>
                  <w:sdtContent>
                    <w:p>
                      <w:pPr>
                        <w:ind w:firstLine="709"/>
                        <w:jc w:val="both"/>
                        <w:rPr>
                          <w:color w:val="000000"/>
                          <w:szCs w:val="24"/>
                          <w:lang w:eastAsia="lt-LT"/>
                        </w:rPr>
                      </w:pPr>
                      <w:sdt>
                        <w:sdtPr>
                          <w:alias w:val="Numeris"/>
                          <w:tag w:val="nr_920fc78ed14b42fea53784edf2f12535"/>
                          <w:lock w:val="sdtLocked"/>
                          <w:richText/>
                        </w:sdtPr>
                        <w:sdtContent>
                          <w:r>
                            <w:rPr>
                              <w:color w:val="000000"/>
                              <w:szCs w:val="24"/>
                              <w:lang w:eastAsia="lt-LT"/>
                            </w:rPr>
                            <w:t>9.9</w:t>
                          </w:r>
                        </w:sdtContent>
                      </w:sdt>
                      <w:r>
                        <w:rPr>
                          <w:color w:val="000000"/>
                          <w:szCs w:val="24"/>
                          <w:lang w:eastAsia="lt-LT"/>
                        </w:rPr>
                        <w:t xml:space="preserve">. pateikia rekomendacijas pacientui ir, jeigu paskiria, informuoja apie iki kitos konsultacijos atliktinus diagnostinius tyrimus ir (ar) procedūras, paskirtą gydymą; </w:t>
                      </w:r>
                    </w:p>
                  </w:sdtContent>
                </w:sdt>
                <w:sdt>
                  <w:sdtPr>
                    <w:alias w:val="9.10 pp."/>
                    <w:tag w:val="part_3648143225c3467da11f14ed2ada7aaf"/>
                    <w:lock w:val="sdtLocked"/>
                    <w:richText/>
                  </w:sdtPr>
                  <w:sdtContent>
                    <w:p>
                      <w:pPr>
                        <w:ind w:firstLine="709"/>
                        <w:jc w:val="both"/>
                        <w:rPr>
                          <w:color w:val="000000"/>
                          <w:szCs w:val="24"/>
                          <w:lang w:eastAsia="lt-LT"/>
                        </w:rPr>
                      </w:pPr>
                      <w:sdt>
                        <w:sdtPr>
                          <w:alias w:val="Numeris"/>
                          <w:tag w:val="nr_3648143225c3467da11f14ed2ada7aaf"/>
                          <w:lock w:val="sdtLocked"/>
                          <w:richText/>
                        </w:sdtPr>
                        <w:sdtContent>
                          <w:r>
                            <w:rPr>
                              <w:color w:val="000000"/>
                              <w:szCs w:val="24"/>
                              <w:lang w:eastAsia="lt-LT"/>
                            </w:rPr>
                            <w:t>9.10</w:t>
                          </w:r>
                        </w:sdtContent>
                      </w:sdt>
                      <w:r>
                        <w:rPr>
                          <w:color w:val="000000"/>
                          <w:szCs w:val="24"/>
                          <w:lang w:eastAsia="lt-LT"/>
                        </w:rPr>
                        <w:t>. atlieka kitus reikiamus veiksmus.</w:t>
                      </w:r>
                    </w:p>
                  </w:sdtContent>
                </w:sdt>
              </w:sdtContent>
            </w:sdt>
            <w:sdt>
              <w:sdtPr>
                <w:alias w:val="10 p."/>
                <w:tag w:val="part_25d831a7334a41b98d83a40f275a5273"/>
                <w:lock w:val="sdtLocked"/>
                <w:richText/>
              </w:sdtPr>
              <w:sdtContent>
                <w:p>
                  <w:pPr>
                    <w:ind w:firstLine="709"/>
                    <w:jc w:val="both"/>
                    <w:rPr>
                      <w:color w:val="000000"/>
                      <w:szCs w:val="24"/>
                      <w:lang w:eastAsia="lt-LT"/>
                    </w:rPr>
                  </w:pPr>
                  <w:sdt>
                    <w:sdtPr>
                      <w:alias w:val="Numeris"/>
                      <w:tag w:val="nr_25d831a7334a41b98d83a40f275a5273"/>
                      <w:lock w:val="sdtLocked"/>
                      <w:richText/>
                    </w:sdtPr>
                    <w:sdtContent>
                      <w:r>
                        <w:rPr>
                          <w:color w:val="000000"/>
                          <w:szCs w:val="24"/>
                          <w:lang w:eastAsia="lt-LT"/>
                        </w:rPr>
                        <w:t>10</w:t>
                      </w:r>
                    </w:sdtContent>
                  </w:sdt>
                  <w:r>
                    <w:rPr>
                      <w:color w:val="000000"/>
                      <w:szCs w:val="24"/>
                      <w:lang w:eastAsia="lt-LT"/>
                    </w:rPr>
                    <w:t>. Paskyrus kitą ilgalaikiam paciento sveikatos būklės stebėjimui reikalingą gydytojo specialisto konsultaciją:</w:t>
                  </w:r>
                </w:p>
                <w:sdt>
                  <w:sdtPr>
                    <w:alias w:val="10.1 pp."/>
                    <w:tag w:val="part_e8df0646161a4400a649dc1108972155"/>
                    <w:lock w:val="sdtLocked"/>
                    <w:richText/>
                  </w:sdtPr>
                  <w:sdtContent>
                    <w:p>
                      <w:pPr>
                        <w:ind w:firstLine="709"/>
                        <w:jc w:val="both"/>
                        <w:rPr>
                          <w:color w:val="000000"/>
                          <w:szCs w:val="24"/>
                          <w:lang w:eastAsia="lt-LT"/>
                        </w:rPr>
                      </w:pPr>
                      <w:sdt>
                        <w:sdtPr>
                          <w:alias w:val="Numeris"/>
                          <w:tag w:val="nr_e8df0646161a4400a649dc1108972155"/>
                          <w:lock w:val="sdtLocked"/>
                          <w:richText/>
                        </w:sdtPr>
                        <w:sdtContent>
                          <w:r>
                            <w:rPr>
                              <w:color w:val="000000"/>
                              <w:szCs w:val="24"/>
                              <w:lang w:eastAsia="lt-LT"/>
                            </w:rPr>
                            <w:t>10.1</w:t>
                          </w:r>
                        </w:sdtContent>
                      </w:sdt>
                      <w:r>
                        <w:rPr>
                          <w:color w:val="000000"/>
                          <w:szCs w:val="24"/>
                          <w:lang w:eastAsia="lt-LT"/>
                        </w:rPr>
                        <w:t>. pacientas atvyksta pas gydytoją specialistą be šeimos gydytojo siuntimo;</w:t>
                      </w:r>
                    </w:p>
                  </w:sdtContent>
                </w:sdt>
                <w:sdt>
                  <w:sdtPr>
                    <w:alias w:val="10.2 pp."/>
                    <w:tag w:val="part_4cf332c8ad4842a8aa6fdfa73b9f1982"/>
                    <w:lock w:val="sdtLocked"/>
                    <w:richText/>
                  </w:sdtPr>
                  <w:sdtContent>
                    <w:p>
                      <w:pPr>
                        <w:ind w:firstLine="709"/>
                        <w:jc w:val="both"/>
                        <w:rPr>
                          <w:color w:val="000000"/>
                          <w:szCs w:val="24"/>
                          <w:lang w:eastAsia="lt-LT"/>
                        </w:rPr>
                      </w:pPr>
                      <w:sdt>
                        <w:sdtPr>
                          <w:alias w:val="Numeris"/>
                          <w:tag w:val="nr_4cf332c8ad4842a8aa6fdfa73b9f1982"/>
                          <w:lock w:val="sdtLocked"/>
                          <w:richText/>
                        </w:sdtPr>
                        <w:sdtContent>
                          <w:r>
                            <w:rPr>
                              <w:color w:val="000000"/>
                              <w:szCs w:val="24"/>
                              <w:lang w:eastAsia="lt-LT"/>
                            </w:rPr>
                            <w:t>10.2</w:t>
                          </w:r>
                        </w:sdtContent>
                      </w:sdt>
                      <w:r>
                        <w:rPr>
                          <w:color w:val="000000"/>
                          <w:szCs w:val="24"/>
                          <w:lang w:eastAsia="lt-LT"/>
                        </w:rPr>
                        <w:t>. gydytojas specialistas įvertina Aprašo 9.8 papunktyje nurodytų rekomendacijų įvykdymo rezultatus (arba neįvykdymo priežastis), šeimos gydytojo pateiktus į ESPBI IS, ir atlieka Aprašo 9 punkte nurodytus veiksmus.</w:t>
                      </w:r>
                    </w:p>
                  </w:sdtContent>
                </w:sdt>
              </w:sdtContent>
            </w:sdt>
            <w:sdt>
              <w:sdtPr>
                <w:alias w:val="11 p."/>
                <w:tag w:val="part_a01bf41917ba48c687366105b95c8dbf"/>
                <w:lock w:val="sdtLocked"/>
                <w:richText/>
              </w:sdtPr>
              <w:sdtContent>
                <w:p>
                  <w:pPr>
                    <w:widowControl w:val="0"/>
                    <w:tabs>
                      <w:tab w:val="left" w:pos="9072"/>
                    </w:tabs>
                    <w:ind w:right="-1" w:firstLine="720"/>
                    <w:jc w:val="both"/>
                    <w:rPr>
                      <w:bCs/>
                      <w:szCs w:val="24"/>
                    </w:rPr>
                  </w:pPr>
                  <w:sdt>
                    <w:sdtPr>
                      <w:alias w:val="Numeris"/>
                      <w:tag w:val="nr_a01bf41917ba48c687366105b95c8dbf"/>
                      <w:lock w:val="sdtLocked"/>
                      <w:richText/>
                    </w:sdtPr>
                    <w:sdtContent>
                      <w:r>
                        <w:rPr>
                          <w:bCs/>
                          <w:szCs w:val="24"/>
                        </w:rPr>
                        <w:t>11</w:t>
                      </w:r>
                    </w:sdtContent>
                  </w:sdt>
                  <w:r>
                    <w:rPr>
                      <w:bCs/>
                      <w:szCs w:val="24"/>
                    </w:rPr>
                    <w:t xml:space="preserve">. </w:t>
                  </w:r>
                  <w:r>
                    <w:rPr>
                      <w:rFonts w:eastAsia="Calibri"/>
                      <w:bCs/>
                      <w:szCs w:val="24"/>
                      <w:lang w:eastAsia="lt-LT"/>
                    </w:rPr>
                    <w:t xml:space="preserve">Ilgalaikio paciento sveikatos būklės stebėjimo organizavimo schema pateikta </w:t>
                  </w:r>
                  <w:r>
                    <w:rPr>
                      <w:bCs/>
                      <w:szCs w:val="24"/>
                    </w:rPr>
                    <w:t>Aprašo 27 priede „Ilgalaikio pacientų, sergančių lėtinėmis ligomis, sveikatos būklės stebėjimo organizavimo schema“.</w:t>
                  </w:r>
                </w:p>
              </w:sdtContent>
            </w:sdt>
            <w:sdt>
              <w:sdtPr>
                <w:alias w:val="12 p."/>
                <w:tag w:val="part_ceac68b736b4475698398c05d4858151"/>
                <w:lock w:val="sdtLocked"/>
                <w:richText/>
              </w:sdtPr>
              <w:sdtContent>
                <w:p>
                  <w:pPr>
                    <w:ind w:firstLine="709"/>
                    <w:jc w:val="both"/>
                    <w:rPr>
                      <w:rFonts w:eastAsia="Calibri"/>
                      <w:szCs w:val="24"/>
                      <w:lang w:eastAsia="lt-LT"/>
                    </w:rPr>
                  </w:pPr>
                  <w:sdt>
                    <w:sdtPr>
                      <w:alias w:val="Numeris"/>
                      <w:tag w:val="nr_ceac68b736b4475698398c05d4858151"/>
                      <w:lock w:val="sdtLocked"/>
                      <w:richText/>
                    </w:sdtPr>
                    <w:sdtContent>
                      <w:r>
                        <w:rPr>
                          <w:color w:val="000000"/>
                          <w:szCs w:val="24"/>
                          <w:lang w:eastAsia="lt-LT"/>
                        </w:rPr>
                        <w:t>12</w:t>
                      </w:r>
                    </w:sdtContent>
                  </w:sdt>
                  <w:r>
                    <w:rPr>
                      <w:color w:val="000000"/>
                      <w:szCs w:val="24"/>
                      <w:lang w:eastAsia="lt-LT"/>
                    </w:rPr>
                    <w:t xml:space="preserve">. </w:t>
                  </w:r>
                  <w:r>
                    <w:rPr>
                      <w:color w:val="000000"/>
                      <w:szCs w:val="24"/>
                    </w:rPr>
                    <w:t xml:space="preserve">Ilgalaikis paciento sveikatos būklės stebėjimas dėl atitinkamos ligos vykdomas atsižvelgiant į Aprašo prieduose nurodytą trukmę arba trumpiau </w:t>
                  </w:r>
                  <w:r>
                    <w:rPr>
                      <w:rFonts w:eastAsia="Calibri"/>
                      <w:szCs w:val="24"/>
                      <w:lang w:eastAsia="lt-LT"/>
                    </w:rPr>
                    <w:t>paslaugas teikiančios ASPĮ gydytojo specialisto sprendimu.</w:t>
                  </w:r>
                  <w:r>
                    <w:rPr>
                      <w:color w:val="000000"/>
                      <w:szCs w:val="24"/>
                      <w:lang w:eastAsia="lt-LT"/>
                    </w:rPr>
                    <w:t xml:space="preserve"> Dėl p</w:t>
                  </w:r>
                  <w:r>
                    <w:rPr>
                      <w:rFonts w:eastAsia="Calibri"/>
                      <w:szCs w:val="24"/>
                      <w:lang w:eastAsia="lt-LT"/>
                    </w:rPr>
                    <w:t>aciento konsultacijų poreikio, skaičiaus ir periodiškumo einamaisiais metais sprendžia paslaugas teikiančios ASPĮ gydytojas specialistas.</w:t>
                  </w:r>
                </w:p>
              </w:sdtContent>
            </w:sdt>
            <w:sdt>
              <w:sdtPr>
                <w:alias w:val="13 p."/>
                <w:tag w:val="part_72b65d45117b46c78bb57f10d3e7a2c3"/>
                <w:lock w:val="sdtLocked"/>
                <w:richText/>
              </w:sdtPr>
              <w:sdtContent>
                <w:p>
                  <w:pPr>
                    <w:ind w:firstLine="709"/>
                    <w:jc w:val="both"/>
                    <w:rPr>
                      <w:bCs/>
                      <w:szCs w:val="24"/>
                    </w:rPr>
                  </w:pPr>
                  <w:sdt>
                    <w:sdtPr>
                      <w:alias w:val="Numeris"/>
                      <w:tag w:val="nr_72b65d45117b46c78bb57f10d3e7a2c3"/>
                      <w:lock w:val="sdtLocked"/>
                      <w:richText/>
                    </w:sdtPr>
                    <w:sdtContent>
                      <w:r>
                        <w:rPr>
                          <w:color w:val="000000"/>
                          <w:lang w:eastAsia="lt-LT"/>
                        </w:rPr>
                        <w:t>13</w:t>
                      </w:r>
                    </w:sdtContent>
                  </w:sdt>
                  <w:r>
                    <w:rPr>
                      <w:color w:val="000000"/>
                      <w:lang w:eastAsia="lt-LT"/>
                    </w:rPr>
                    <w:t xml:space="preserve">. Gydytojas specialistas, konsultacijos metu nustatęs lėtinės ligos, dėl kurios pacientui vykdomas ilgalaikis sveikatos būklės stebėjimas, paūmėjimą, </w:t>
                  </w:r>
                  <w:r>
                    <w:t xml:space="preserve">ilgalaikį paciento stebėjimą nutraukia ir </w:t>
                  </w:r>
                  <w:r>
                    <w:rPr>
                      <w:color w:val="000000"/>
                      <w:lang w:eastAsia="lt-LT"/>
                    </w:rPr>
                    <w:t>organizuoja pacientui</w:t>
                  </w:r>
                  <w:r>
                    <w:t xml:space="preserve"> aktyvųjį lėtinės ligos gydymą. </w:t>
                  </w:r>
                </w:p>
              </w:sdtContent>
            </w:sdt>
            <w:sdt>
              <w:sdtPr>
                <w:alias w:val="14 p."/>
                <w:tag w:val="part_12cb7750e5304863ba9b1c191063f488"/>
                <w:lock w:val="sdtLocked"/>
                <w:richText/>
              </w:sdtPr>
              <w:sdtContent>
                <w:p>
                  <w:pPr>
                    <w:ind w:firstLine="709"/>
                    <w:jc w:val="both"/>
                    <w:rPr>
                      <w:color w:val="000000"/>
                      <w:szCs w:val="24"/>
                    </w:rPr>
                  </w:pPr>
                  <w:sdt>
                    <w:sdtPr>
                      <w:alias w:val="Numeris"/>
                      <w:tag w:val="nr_12cb7750e5304863ba9b1c191063f488"/>
                      <w:lock w:val="sdtLocked"/>
                      <w:richText/>
                    </w:sdtPr>
                    <w:sdtContent>
                      <w:r>
                        <w:rPr>
                          <w:color w:val="000000"/>
                          <w:szCs w:val="24"/>
                          <w:lang w:eastAsia="lt-LT"/>
                        </w:rPr>
                        <w:t>14</w:t>
                      </w:r>
                    </w:sdtContent>
                  </w:sdt>
                  <w:r>
                    <w:rPr>
                      <w:color w:val="000000"/>
                      <w:szCs w:val="24"/>
                      <w:lang w:eastAsia="lt-LT"/>
                    </w:rPr>
                    <w:t xml:space="preserve">. </w:t>
                  </w:r>
                  <w:r>
                    <w:rPr>
                      <w:color w:val="000000"/>
                      <w:szCs w:val="24"/>
                    </w:rPr>
                    <w:t>Ilgalaikis pacientų sveikatos būklės stebėjimas paslaugas teikiančioje ASPĮ organizuojamas jos vadovo nustatyta tvarka.</w:t>
                  </w:r>
                </w:p>
                <w:p>
                  <w:pPr>
                    <w:tabs>
                      <w:tab w:val="left" w:pos="426"/>
                      <w:tab w:val="left" w:pos="1134"/>
                      <w:tab w:val="left" w:pos="1418"/>
                      <w:tab w:val="left" w:pos="1560"/>
                    </w:tabs>
                    <w:ind w:right="-143" w:firstLine="488"/>
                    <w:jc w:val="both"/>
                    <w:rPr>
                      <w:b/>
                      <w:bCs/>
                      <w:color w:val="000000"/>
                      <w:szCs w:val="24"/>
                    </w:rPr>
                  </w:pPr>
                </w:p>
              </w:sdtContent>
            </w:sdt>
          </w:sdtContent>
        </w:sdt>
        <w:sdt>
          <w:sdtPr>
            <w:alias w:val="skyrius"/>
            <w:tag w:val="part_a699ed6107084837acb8fefcc94f3134"/>
            <w:lock w:val="sdtLocked"/>
            <w:richText/>
          </w:sdtPr>
          <w:sdtContent>
            <w:p>
              <w:pPr>
                <w:tabs>
                  <w:tab w:val="left" w:pos="426"/>
                  <w:tab w:val="left" w:pos="1134"/>
                  <w:tab w:val="left" w:pos="1418"/>
                  <w:tab w:val="left" w:pos="1560"/>
                </w:tabs>
                <w:ind w:right="-143"/>
                <w:jc w:val="center"/>
                <w:rPr>
                  <w:b/>
                  <w:bCs/>
                  <w:color w:val="000000"/>
                  <w:szCs w:val="24"/>
                </w:rPr>
              </w:pPr>
              <w:sdt>
                <w:sdtPr>
                  <w:alias w:val="Numeris"/>
                  <w:tag w:val="nr_a699ed6107084837acb8fefcc94f3134"/>
                  <w:lock w:val="sdtLocked"/>
                  <w:richText/>
                </w:sdtPr>
                <w:sdtContent>
                  <w:r>
                    <w:rPr>
                      <w:b/>
                      <w:bCs/>
                      <w:color w:val="000000"/>
                      <w:szCs w:val="24"/>
                    </w:rPr>
                    <w:t>IV</w:t>
                  </w:r>
                </w:sdtContent>
              </w:sdt>
              <w:r>
                <w:rPr>
                  <w:b/>
                  <w:bCs/>
                  <w:color w:val="000000"/>
                  <w:szCs w:val="24"/>
                </w:rPr>
                <w:t xml:space="preserve"> SKYRIUS</w:t>
              </w:r>
            </w:p>
            <w:p>
              <w:pPr>
                <w:tabs>
                  <w:tab w:val="left" w:pos="426"/>
                  <w:tab w:val="left" w:pos="1134"/>
                  <w:tab w:val="left" w:pos="1418"/>
                  <w:tab w:val="left" w:pos="1560"/>
                </w:tabs>
                <w:ind w:right="-143"/>
                <w:jc w:val="center"/>
                <w:rPr>
                  <w:b/>
                  <w:bCs/>
                  <w:color w:val="000000"/>
                  <w:szCs w:val="24"/>
                </w:rPr>
              </w:pPr>
              <w:sdt>
                <w:sdtPr>
                  <w:alias w:val="Pavadinimas"/>
                  <w:tag w:val="title_a699ed6107084837acb8fefcc94f3134"/>
                  <w:lock w:val="sdtLocked"/>
                  <w:richText/>
                </w:sdtPr>
                <w:sdtContent>
                  <w:r>
                    <w:rPr>
                      <w:b/>
                      <w:bCs/>
                      <w:color w:val="000000"/>
                      <w:szCs w:val="24"/>
                    </w:rPr>
                    <w:t>ASMENS SVEIKATOS PRIEŽIŪROS PASLAUGŲ, VYKDANT ILGALAIKĮ PACIENTŲ SVEIKATOS BŪKLĖS STEBĖJIMĄ, APMOKĖJIMO PRIVALOMOJO SVEIKATOS DRAUDIMO FONDO BIUDŽETO LĖŠOMIS TVARKA</w:t>
                  </w:r>
                </w:sdtContent>
              </w:sdt>
            </w:p>
            <w:p>
              <w:pPr>
                <w:tabs>
                  <w:tab w:val="left" w:pos="426"/>
                  <w:tab w:val="left" w:pos="1134"/>
                  <w:tab w:val="left" w:pos="1418"/>
                  <w:tab w:val="left" w:pos="1560"/>
                </w:tabs>
                <w:ind w:right="-143" w:firstLine="550"/>
                <w:jc w:val="both"/>
                <w:rPr>
                  <w:color w:val="000000"/>
                  <w:szCs w:val="24"/>
                </w:rPr>
              </w:pPr>
            </w:p>
            <w:sdt>
              <w:sdtPr>
                <w:alias w:val="15 p."/>
                <w:tag w:val="part_0577ab90ce3348a49bbe0c1b5dd31da8"/>
                <w:lock w:val="sdtLocked"/>
                <w:richText/>
              </w:sdtPr>
              <w:sdtContent>
                <w:p>
                  <w:pPr>
                    <w:ind w:right="-1" w:firstLine="709"/>
                    <w:jc w:val="both"/>
                    <w:rPr>
                      <w:color w:val="000000"/>
                      <w:szCs w:val="24"/>
                    </w:rPr>
                  </w:pPr>
                  <w:sdt>
                    <w:sdtPr>
                      <w:alias w:val="Numeris"/>
                      <w:tag w:val="nr_0577ab90ce3348a49bbe0c1b5dd31da8"/>
                      <w:lock w:val="sdtLocked"/>
                      <w:richText/>
                    </w:sdtPr>
                    <w:sdtContent>
                      <w:r>
                        <w:rPr>
                          <w:color w:val="000000"/>
                          <w:szCs w:val="24"/>
                        </w:rPr>
                        <w:t>15</w:t>
                      </w:r>
                    </w:sdtContent>
                  </w:sdt>
                  <w:r>
                    <w:rPr>
                      <w:color w:val="000000"/>
                      <w:szCs w:val="24"/>
                    </w:rPr>
                    <w:t xml:space="preserve">.  Gydytojų specialistų konsultacijos, suteiktos vykdant ilgalaikį pacientų sveikatos būklės stebėjimą, apmokamos Lietuvos Respublikos sveikatos apsaugos ministro 1998 m. birželio 18 d. įsakyme Nr. 329 „Dėl Gydytojų specialistų teikiamų ambulatorinių asmens sveikatos priežiūros paslaugų ir stacionarinių asmens sveikatos priežiūros paslaugų organizavimo tvarkos aprašo patvirtinimo“ nustatyta tvarka. </w:t>
                  </w:r>
                </w:p>
              </w:sdtContent>
            </w:sdt>
            <w:sdt>
              <w:sdtPr>
                <w:alias w:val="16 p."/>
                <w:tag w:val="part_658e485c5fef48e0860c65bb11de45af"/>
                <w:lock w:val="sdtLocked"/>
                <w:richText/>
              </w:sdtPr>
              <w:sdtContent>
                <w:p>
                  <w:pPr>
                    <w:ind w:right="-1" w:firstLine="709"/>
                    <w:jc w:val="both"/>
                    <w:rPr>
                      <w:color w:val="000000"/>
                      <w:szCs w:val="24"/>
                    </w:rPr>
                  </w:pPr>
                  <w:sdt>
                    <w:sdtPr>
                      <w:alias w:val="Numeris"/>
                      <w:tag w:val="nr_658e485c5fef48e0860c65bb11de45af"/>
                      <w:lock w:val="sdtLocked"/>
                      <w:richText/>
                    </w:sdtPr>
                    <w:sdtContent>
                      <w:r>
                        <w:rPr>
                          <w:color w:val="000000"/>
                          <w:szCs w:val="24"/>
                          <w:lang w:eastAsia="lt-LT"/>
                        </w:rPr>
                        <w:t>16</w:t>
                      </w:r>
                    </w:sdtContent>
                  </w:sdt>
                  <w:r>
                    <w:rPr>
                      <w:color w:val="000000"/>
                      <w:szCs w:val="24"/>
                      <w:lang w:eastAsia="lt-LT"/>
                    </w:rPr>
                    <w:t>. Paciento konsultacijos informacija pateikiama formoje Nr. 025/a-LK „Asmens ambulatorinio gydymo statistinė kortelė“, patvirtintoje Lietuvos Respublikos sveikatos apsaugos ministro 1998 m. lapkričio 26 d. įsakymu Nr. 687 „Dėl medicininės apskaitos dokumentų formų tvirtinimo“.</w:t>
                  </w:r>
                </w:p>
                <w:p>
                  <w:pPr>
                    <w:tabs>
                      <w:tab w:val="left" w:pos="426"/>
                      <w:tab w:val="left" w:pos="1134"/>
                      <w:tab w:val="left" w:pos="1418"/>
                      <w:tab w:val="left" w:pos="1560"/>
                    </w:tabs>
                    <w:ind w:right="-143"/>
                    <w:jc w:val="both"/>
                    <w:rPr>
                      <w:b/>
                      <w:bCs/>
                      <w:color w:val="000000"/>
                      <w:szCs w:val="24"/>
                    </w:rPr>
                  </w:pPr>
                </w:p>
              </w:sdtContent>
            </w:sdt>
          </w:sdtContent>
        </w:sdt>
        <w:sdt>
          <w:sdtPr>
            <w:alias w:val="skyrius"/>
            <w:tag w:val="part_f2a0ec826f6d4a849d142fe212fb7d69"/>
            <w:lock w:val="sdtLocked"/>
            <w:richText/>
          </w:sdtPr>
          <w:sdtContent>
            <w:p>
              <w:pPr>
                <w:tabs>
                  <w:tab w:val="left" w:pos="426"/>
                  <w:tab w:val="left" w:pos="1134"/>
                  <w:tab w:val="left" w:pos="1418"/>
                  <w:tab w:val="left" w:pos="1560"/>
                </w:tabs>
                <w:ind w:right="-143"/>
                <w:jc w:val="center"/>
                <w:rPr>
                  <w:b/>
                  <w:bCs/>
                  <w:color w:val="000000"/>
                  <w:szCs w:val="24"/>
                </w:rPr>
              </w:pPr>
              <w:sdt>
                <w:sdtPr>
                  <w:alias w:val="Numeris"/>
                  <w:tag w:val="nr_f2a0ec826f6d4a849d142fe212fb7d69"/>
                  <w:lock w:val="sdtLocked"/>
                  <w:richText/>
                </w:sdtPr>
                <w:sdtContent>
                  <w:r>
                    <w:rPr>
                      <w:b/>
                      <w:bCs/>
                      <w:color w:val="000000"/>
                      <w:szCs w:val="24"/>
                    </w:rPr>
                    <w:t>V</w:t>
                  </w:r>
                </w:sdtContent>
              </w:sdt>
              <w:r>
                <w:rPr>
                  <w:b/>
                  <w:bCs/>
                  <w:color w:val="000000"/>
                  <w:szCs w:val="24"/>
                </w:rPr>
                <w:t xml:space="preserve"> SKYRIUS</w:t>
              </w:r>
            </w:p>
            <w:p>
              <w:pPr>
                <w:tabs>
                  <w:tab w:val="left" w:pos="426"/>
                  <w:tab w:val="left" w:pos="1134"/>
                  <w:tab w:val="left" w:pos="1418"/>
                  <w:tab w:val="left" w:pos="1560"/>
                </w:tabs>
                <w:ind w:right="-143"/>
                <w:jc w:val="center"/>
                <w:rPr>
                  <w:b/>
                  <w:bCs/>
                  <w:color w:val="000000"/>
                  <w:szCs w:val="24"/>
                </w:rPr>
              </w:pPr>
              <w:sdt>
                <w:sdtPr>
                  <w:alias w:val="Pavadinimas"/>
                  <w:tag w:val="title_f2a0ec826f6d4a849d142fe212fb7d69"/>
                  <w:lock w:val="sdtLocked"/>
                  <w:richText/>
                </w:sdtPr>
                <w:sdtContent>
                  <w:r>
                    <w:rPr>
                      <w:b/>
                      <w:bCs/>
                      <w:color w:val="000000"/>
                      <w:szCs w:val="24"/>
                    </w:rPr>
                    <w:t>BAIGIAMOSIOS NUOSTATOS</w:t>
                  </w:r>
                </w:sdtContent>
              </w:sdt>
            </w:p>
            <w:p>
              <w:pPr>
                <w:widowControl w:val="0"/>
                <w:tabs>
                  <w:tab w:val="left" w:pos="9072"/>
                </w:tabs>
                <w:ind w:right="-143"/>
                <w:jc w:val="both"/>
                <w:rPr>
                  <w:rFonts w:eastAsia="Calibri"/>
                  <w:szCs w:val="24"/>
                  <w:lang w:eastAsia="lt-LT"/>
                </w:rPr>
              </w:pPr>
            </w:p>
            <w:sdt>
              <w:sdtPr>
                <w:alias w:val="17 p."/>
                <w:tag w:val="part_3d4eb13b7e5e45fb966167970bfb2fe4"/>
                <w:lock w:val="sdtLocked"/>
                <w:richText/>
              </w:sdtPr>
              <w:sdtContent>
                <w:p>
                  <w:pPr>
                    <w:tabs>
                      <w:tab w:val="left" w:pos="9072"/>
                    </w:tabs>
                    <w:ind w:right="-1" w:firstLine="709"/>
                    <w:jc w:val="both"/>
                    <w:rPr>
                      <w:rFonts w:eastAsia="Calibri"/>
                      <w:szCs w:val="24"/>
                      <w:lang w:eastAsia="lt-LT"/>
                    </w:rPr>
                  </w:pPr>
                  <w:sdt>
                    <w:sdtPr>
                      <w:alias w:val="Numeris"/>
                      <w:tag w:val="nr_3d4eb13b7e5e45fb966167970bfb2fe4"/>
                      <w:lock w:val="sdtLocked"/>
                      <w:richText/>
                    </w:sdtPr>
                    <w:sdtContent>
                      <w:r>
                        <w:rPr>
                          <w:rFonts w:eastAsia="Calibri"/>
                          <w:szCs w:val="24"/>
                          <w:lang w:eastAsia="lt-LT"/>
                        </w:rPr>
                        <w:t>17</w:t>
                      </w:r>
                    </w:sdtContent>
                  </w:sdt>
                  <w:r>
                    <w:rPr>
                      <w:rFonts w:eastAsia="Calibri"/>
                      <w:szCs w:val="24"/>
                      <w:lang w:eastAsia="lt-LT"/>
                    </w:rPr>
                    <w:t xml:space="preserve">. Pacientas turi teisę pakeisti paslaugą teikiančią ASPĮ. Tokiu atveju ilgalaikis paciento </w:t>
                  </w:r>
                  <w:r>
                    <w:rPr>
                      <w:color w:val="000000"/>
                      <w:szCs w:val="24"/>
                    </w:rPr>
                    <w:t>sveikatos būklės stebėjimas vykdomas kitoje paciento pasirinktoje paslaugą teikiančioje ASPĮ Aprašo 7 punkte nustatyta tvarka.</w:t>
                  </w:r>
                </w:p>
              </w:sdtContent>
            </w:sdt>
            <w:sdt>
              <w:sdtPr>
                <w:alias w:val="18 p."/>
                <w:tag w:val="part_b5015ab90130412d931ec6312f92a4eb"/>
                <w:lock w:val="sdtLocked"/>
                <w:richText/>
              </w:sdtPr>
              <w:sdtContent>
                <w:p>
                  <w:pPr>
                    <w:ind w:firstLine="709"/>
                    <w:jc w:val="both"/>
                    <w:rPr>
                      <w:color w:val="000000"/>
                      <w:szCs w:val="24"/>
                    </w:rPr>
                  </w:pPr>
                  <w:sdt>
                    <w:sdtPr>
                      <w:alias w:val="Numeris"/>
                      <w:tag w:val="nr_b5015ab90130412d931ec6312f92a4eb"/>
                      <w:lock w:val="sdtLocked"/>
                      <w:richText/>
                    </w:sdtPr>
                    <w:sdtContent>
                      <w:r>
                        <w:rPr>
                          <w:color w:val="000000"/>
                          <w:szCs w:val="24"/>
                        </w:rPr>
                        <w:t>18</w:t>
                      </w:r>
                    </w:sdtContent>
                  </w:sdt>
                  <w:r>
                    <w:rPr>
                      <w:color w:val="000000"/>
                      <w:szCs w:val="24"/>
                    </w:rPr>
                    <w:t xml:space="preserve">. </w:t>
                  </w:r>
                  <w:r>
                    <w:rPr>
                      <w:rFonts w:eastAsia="Calibri"/>
                      <w:szCs w:val="24"/>
                      <w:lang w:eastAsia="lt-LT"/>
                    </w:rPr>
                    <w:t xml:space="preserve">Pacientas turi teisę </w:t>
                  </w:r>
                  <w:r>
                    <w:rPr>
                      <w:color w:val="000000"/>
                      <w:szCs w:val="24"/>
                    </w:rPr>
                    <w:t>netęsti pradėto</w:t>
                  </w:r>
                  <w:r>
                    <w:rPr>
                      <w:rFonts w:eastAsia="Calibri"/>
                      <w:szCs w:val="24"/>
                      <w:lang w:eastAsia="lt-LT"/>
                    </w:rPr>
                    <w:t xml:space="preserve"> ilgalaikio </w:t>
                  </w:r>
                  <w:r>
                    <w:rPr>
                      <w:color w:val="000000"/>
                      <w:szCs w:val="24"/>
                    </w:rPr>
                    <w:t>sveikatos būklės stebėjimo arba jo</w:t>
                  </w:r>
                  <w:r>
                    <w:rPr>
                      <w:rFonts w:eastAsia="Calibri"/>
                      <w:szCs w:val="24"/>
                      <w:lang w:eastAsia="lt-LT"/>
                    </w:rPr>
                    <w:t xml:space="preserve"> atsisakyti</w:t>
                  </w:r>
                  <w:r>
                    <w:rPr>
                      <w:color w:val="000000"/>
                      <w:szCs w:val="24"/>
                    </w:rPr>
                    <w:t xml:space="preserve">. Jeigu pacientas nusprendžia netęsti pradėto </w:t>
                  </w:r>
                  <w:r>
                    <w:rPr>
                      <w:rFonts w:eastAsia="Calibri"/>
                      <w:szCs w:val="24"/>
                      <w:lang w:eastAsia="lt-LT"/>
                    </w:rPr>
                    <w:t xml:space="preserve">ilgalaikio </w:t>
                  </w:r>
                  <w:r>
                    <w:rPr>
                      <w:color w:val="000000"/>
                      <w:szCs w:val="24"/>
                    </w:rPr>
                    <w:t>sveikatos būklės stebėjimo ir paslaugą teikiančioje ASPĮ jau yra rezervuota kitos gydytojo specialisto konsultacijos data ir laikas, pacientas privalo atšaukti vizitą.</w:t>
                  </w:r>
                </w:p>
              </w:sdtContent>
            </w:sdt>
            <w:sdt>
              <w:sdtPr>
                <w:alias w:val="19 p."/>
                <w:tag w:val="part_08b33fb8a1784f14bfb6f3d92776e0e3"/>
                <w:lock w:val="sdtLocked"/>
                <w:richText/>
              </w:sdtPr>
              <w:sdtContent>
                <w:p>
                  <w:pPr>
                    <w:ind w:firstLine="709"/>
                    <w:jc w:val="both"/>
                    <w:rPr>
                      <w:bCs/>
                      <w:szCs w:val="24"/>
                    </w:rPr>
                  </w:pPr>
                  <w:sdt>
                    <w:sdtPr>
                      <w:alias w:val="Numeris"/>
                      <w:tag w:val="nr_08b33fb8a1784f14bfb6f3d92776e0e3"/>
                      <w:lock w:val="sdtLocked"/>
                      <w:richText/>
                    </w:sdtPr>
                    <w:sdtContent>
                      <w:r>
                        <w:rPr>
                          <w:color w:val="000000"/>
                          <w:szCs w:val="24"/>
                        </w:rPr>
                        <w:t>19</w:t>
                      </w:r>
                    </w:sdtContent>
                  </w:sdt>
                  <w:r>
                    <w:rPr>
                      <w:color w:val="000000"/>
                      <w:szCs w:val="24"/>
                    </w:rPr>
                    <w:t>. Visi paciento asmens duomenys ir medicinos dokumentai, susiję su Apraše nurodytų paslaugų teikimu, t</w:t>
                  </w:r>
                  <w:r>
                    <w:rPr>
                      <w:bCs/>
                      <w:szCs w:val="24"/>
                    </w:rPr>
                    <w:t xml:space="preserve">varkomi Elektroninės sveikatos paslaugų ir bendradarbiavimo infrastruktūros informacinės sistemos naudojimo tvarkos apraše, patvirtintame įsakymu Nr.  V-657, nustatyta tvarka. </w:t>
                  </w:r>
                </w:p>
              </w:sdtContent>
            </w:sdt>
          </w:sdtContent>
        </w:sdt>
        <w:sdt>
          <w:sdtPr>
            <w:alias w:val="pabaiga"/>
            <w:tag w:val="part_f407ff27c3a0425a999292807fbeb2df"/>
            <w:lock w:val="sdtLocked"/>
            <w:richText/>
          </w:sdtPr>
          <w:sdtContent>
            <w:p>
              <w:pPr>
                <w:ind w:right="-143"/>
                <w:jc w:val="center"/>
                <w:rPr>
                  <w:rFonts w:eastAsia="Calibri"/>
                  <w:szCs w:val="24"/>
                  <w:lang w:eastAsia="lt-LT"/>
                </w:rPr>
              </w:pPr>
              <w:r>
                <w:rPr>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 3 priedas (V-1203)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ce9f0fa2411e4b733cba410730a6c">
            <w:r w:rsidRPr="00532B9F">
              <w:rPr>
                <w:rFonts w:ascii="Times New Roman" w:eastAsia="MS Mincho" w:hAnsi="Times New Roman"/>
                <w:sz w:val="20"/>
                <w:i/>
                <w:iCs/>
                <w:color w:val="0000FF" w:themeColor="hyperlink"/>
                <w:u w:val="single"/>
              </w:rPr>
              <w:t>V-578</w:t>
            </w:r>
          </w:fldSimple>
          <w:r>
            <w:rPr>
              <w:rFonts w:ascii="Times New Roman" w:eastAsia="MS Mincho" w:hAnsi="Times New Roman"/>
              <w:sz w:val="20"/>
              <w:i/>
              <w:iCs/>
            </w:rPr>
            <w:t>,
2015-05-04,
paskelbta TAR 2015-05-14, i. k. 2015-07333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0a2206a3511eca9ac839120d251c4">
            <w:r w:rsidRPr="00532B9F">
              <w:rPr>
                <w:rFonts w:ascii="Times New Roman" w:eastAsia="MS Mincho" w:hAnsi="Times New Roman"/>
                <w:sz w:val="20"/>
                <w:i/>
                <w:iCs/>
                <w:color w:val="0000FF" w:themeColor="hyperlink"/>
                <w:u w:val="single"/>
              </w:rPr>
              <w:t>V-3017</w:t>
            </w:r>
          </w:fldSimple>
          <w:r>
            <w:rPr>
              <w:rFonts w:ascii="Times New Roman" w:eastAsia="MS Mincho" w:hAnsi="Times New Roman"/>
              <w:sz w:val="20"/>
              <w:i/>
              <w:iCs/>
            </w:rPr>
            <w:t>,
2021-12-31,
paskelbta TAR 2021-12-31, i. k. 2021-27933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0e9104ffa11efbdaea558de59136c">
            <w:r w:rsidRPr="00532B9F">
              <w:rPr>
                <w:rFonts w:ascii="Times New Roman" w:eastAsia="MS Mincho" w:hAnsi="Times New Roman"/>
                <w:sz w:val="20"/>
                <w:i/>
                <w:iCs/>
                <w:color w:val="0000FF" w:themeColor="hyperlink"/>
                <w:u w:val="single"/>
              </w:rPr>
              <w:t>V-790</w:t>
            </w:r>
          </w:fldSimple>
          <w:r>
            <w:rPr>
              <w:rFonts w:ascii="Times New Roman" w:eastAsia="MS Mincho" w:hAnsi="Times New Roman"/>
              <w:sz w:val="20"/>
              <w:i/>
              <w:iCs/>
            </w:rPr>
            <w:t>,
2024-08-01,
paskelbta TAR 2024-08-01, i. k. 2024-14029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p/>
        <w:p>
          <w:pPr>
            <w:pStyle w:val="PlainText"/>
            <w:rPr>
              <w:rFonts w:ascii="Times New Roman" w:eastAsia="MS Mincho" w:hAnsi="Times New Roman"/>
              <w:sz w:val="20"/>
              <w:iCs/>
            </w:rPr>
          </w:pPr>
          <w:r>
            <w:rPr>
              <w:rFonts w:ascii="Times New Roman" w:eastAsia="MS Mincho" w:hAnsi="Times New Roman"/>
              <w:sz w:val="20"/>
              <w:iCs/>
            </w:rPr>
            <w:t>4 priedas (V-1203)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0a2206a3511eca9ac839120d251c4">
            <w:r w:rsidRPr="00532B9F">
              <w:rPr>
                <w:rFonts w:ascii="Times New Roman" w:eastAsia="MS Mincho" w:hAnsi="Times New Roman"/>
                <w:sz w:val="20"/>
                <w:i/>
                <w:iCs/>
                <w:color w:val="0000FF" w:themeColor="hyperlink"/>
                <w:u w:val="single"/>
              </w:rPr>
              <w:t>V-3017</w:t>
            </w:r>
          </w:fldSimple>
          <w:r>
            <w:rPr>
              <w:rFonts w:ascii="Times New Roman" w:eastAsia="MS Mincho" w:hAnsi="Times New Roman"/>
              <w:sz w:val="20"/>
              <w:i/>
              <w:iCs/>
            </w:rPr>
            <w:t>,
2021-12-31,
paskelbta TAR 2021-12-31, i. k. 2021-27933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0e9104ffa11efbdaea558de59136c">
            <w:r w:rsidRPr="00532B9F">
              <w:rPr>
                <w:rFonts w:ascii="Times New Roman" w:eastAsia="MS Mincho" w:hAnsi="Times New Roman"/>
                <w:sz w:val="20"/>
                <w:i/>
                <w:iCs/>
                <w:color w:val="0000FF" w:themeColor="hyperlink"/>
                <w:u w:val="single"/>
              </w:rPr>
              <w:t>V-790</w:t>
            </w:r>
          </w:fldSimple>
          <w:r>
            <w:rPr>
              <w:rFonts w:ascii="Times New Roman" w:eastAsia="MS Mincho" w:hAnsi="Times New Roman"/>
              <w:sz w:val="20"/>
              <w:i/>
              <w:iCs/>
            </w:rPr>
            <w:t>,
2024-08-01,
paskelbta TAR 2024-08-01, i. k. 2024-14029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p/>
        <w:p>
          <w:pPr>
            <w:pStyle w:val="PlainText"/>
            <w:rPr>
              <w:rFonts w:ascii="Times New Roman" w:eastAsia="MS Mincho" w:hAnsi="Times New Roman"/>
              <w:sz w:val="20"/>
              <w:iCs/>
            </w:rPr>
          </w:pPr>
          <w:r>
            <w:rPr>
              <w:rFonts w:ascii="Times New Roman" w:eastAsia="MS Mincho" w:hAnsi="Times New Roman"/>
              <w:sz w:val="20"/>
              <w:iCs/>
            </w:rPr>
            <w:t>5 priedas (V-126)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3d2a41066d11f1b465ab875bcad79f">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2026-02-10,
paskelbta TAR 2026-02-10, i. k. 2026-02067        </w:t>
          </w:r>
        </w:p>
        <w:p/>
        <w:p>
          <w:pPr>
            <w:pStyle w:val="PlainText"/>
            <w:rPr>
              <w:rFonts w:ascii="Times New Roman" w:eastAsia="MS Mincho" w:hAnsi="Times New Roman"/>
              <w:sz w:val="20"/>
              <w:iCs/>
            </w:rPr>
          </w:pPr>
          <w:r>
            <w:rPr>
              <w:rFonts w:ascii="Times New Roman" w:eastAsia="MS Mincho" w:hAnsi="Times New Roman"/>
              <w:sz w:val="20"/>
              <w:iCs/>
            </w:rPr>
            <w:t>6 priedas (V-126)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3d2a41066d11f1b465ab875bcad79f">
            <w:r w:rsidRPr="00532B9F">
              <w:rPr>
                <w:rFonts w:ascii="Times New Roman" w:eastAsia="MS Mincho" w:hAnsi="Times New Roman"/>
                <w:sz w:val="20"/>
                <w:i/>
                <w:iCs/>
                <w:color w:val="0000FF" w:themeColor="hyperlink"/>
                <w:u w:val="single"/>
              </w:rPr>
              <w:t>V-126</w:t>
            </w:r>
          </w:fldSimple>
          <w:r>
            <w:rPr>
              <w:rFonts w:ascii="Times New Roman" w:eastAsia="MS Mincho" w:hAnsi="Times New Roman"/>
              <w:sz w:val="20"/>
              <w:i/>
              <w:iCs/>
            </w:rPr>
            <w:t>,
2026-02-10,
paskelbta TAR 2026-02-10, i. k. 2026-02067        </w:t>
          </w:r>
        </w:p>
        <w:p/>
        <w:p>
          <w:pPr>
            <w:pStyle w:val="PlainText"/>
            <w:rPr>
              <w:rFonts w:ascii="Times New Roman" w:eastAsia="MS Mincho" w:hAnsi="Times New Roman"/>
              <w:sz w:val="20"/>
              <w:iCs/>
            </w:rPr>
          </w:pPr>
          <w:r>
            <w:rPr>
              <w:rFonts w:ascii="Times New Roman" w:eastAsia="MS Mincho" w:hAnsi="Times New Roman"/>
              <w:sz w:val="20"/>
              <w:iCs/>
            </w:rPr>
            <w:t>7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ce9f0fa2411e4b733cba410730a6c">
            <w:r w:rsidRPr="00532B9F">
              <w:rPr>
                <w:rFonts w:ascii="Times New Roman" w:eastAsia="MS Mincho" w:hAnsi="Times New Roman"/>
                <w:sz w:val="20"/>
                <w:i/>
                <w:iCs/>
                <w:color w:val="0000FF" w:themeColor="hyperlink"/>
                <w:u w:val="single"/>
              </w:rPr>
              <w:t>V-578</w:t>
            </w:r>
          </w:fldSimple>
          <w:r>
            <w:rPr>
              <w:rFonts w:ascii="Times New Roman" w:eastAsia="MS Mincho" w:hAnsi="Times New Roman"/>
              <w:sz w:val="20"/>
              <w:i/>
              <w:iCs/>
            </w:rPr>
            <w:t>,
2015-05-04,
paskelbta TAR 2015-05-14, i. k. 2015-07333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3406a5011e8ac27abd8fa093003">
            <w:r w:rsidRPr="00532B9F">
              <w:rPr>
                <w:rFonts w:ascii="Times New Roman" w:eastAsia="MS Mincho" w:hAnsi="Times New Roman"/>
                <w:sz w:val="20"/>
                <w:i/>
                <w:iCs/>
                <w:color w:val="0000FF" w:themeColor="hyperlink"/>
                <w:u w:val="single"/>
              </w:rPr>
              <w:t>V-660</w:t>
            </w:r>
          </w:fldSimple>
          <w:r>
            <w:rPr>
              <w:rFonts w:ascii="Times New Roman" w:eastAsia="MS Mincho" w:hAnsi="Times New Roman"/>
              <w:sz w:val="20"/>
              <w:i/>
              <w:iCs/>
            </w:rPr>
            <w:t>,
2018-06-06,
paskelbta TAR 2018-06-08, i. k. 2018-09577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8 priedas (V-788)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5296f0eb0411eb9f09e7df20500045">
            <w:r w:rsidRPr="00532B9F">
              <w:rPr>
                <w:rFonts w:ascii="Times New Roman" w:eastAsia="MS Mincho" w:hAnsi="Times New Roman"/>
                <w:sz w:val="20"/>
                <w:i/>
                <w:iCs/>
                <w:color w:val="0000FF" w:themeColor="hyperlink"/>
                <w:u w:val="single"/>
              </w:rPr>
              <w:t>V-1709</w:t>
            </w:r>
          </w:fldSimple>
          <w:r>
            <w:rPr>
              <w:rFonts w:ascii="Times New Roman" w:eastAsia="MS Mincho" w:hAnsi="Times New Roman"/>
              <w:sz w:val="20"/>
              <w:i/>
              <w:iCs/>
            </w:rPr>
            <w:t>,
2021-07-22,
paskelbta TAR 2021-07-23, i. k. 2021-16362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d59e488d411f0a8bbd1e98310677d">
            <w:r w:rsidRPr="00532B9F">
              <w:rPr>
                <w:rFonts w:ascii="Times New Roman" w:eastAsia="MS Mincho" w:hAnsi="Times New Roman"/>
                <w:sz w:val="20"/>
                <w:i/>
                <w:iCs/>
                <w:color w:val="0000FF" w:themeColor="hyperlink"/>
                <w:u w:val="single"/>
              </w:rPr>
              <w:t>V-788</w:t>
            </w:r>
          </w:fldSimple>
          <w:r>
            <w:rPr>
              <w:rFonts w:ascii="Times New Roman" w:eastAsia="MS Mincho" w:hAnsi="Times New Roman"/>
              <w:sz w:val="20"/>
              <w:i/>
              <w:iCs/>
            </w:rPr>
            <w:t>,
2025-09-03,
paskelbta TAR 2025-09-03, i. k. 2025-14939        </w:t>
          </w:r>
        </w:p>
        <w:p/>
        <w:p>
          <w:pPr>
            <w:pStyle w:val="PlainText"/>
            <w:rPr>
              <w:rFonts w:ascii="Times New Roman" w:eastAsia="MS Mincho" w:hAnsi="Times New Roman"/>
              <w:sz w:val="20"/>
              <w:iCs/>
            </w:rPr>
          </w:pPr>
          <w:r>
            <w:rPr>
              <w:rFonts w:ascii="Times New Roman" w:eastAsia="MS Mincho" w:hAnsi="Times New Roman"/>
              <w:sz w:val="20"/>
              <w:iCs/>
            </w:rPr>
            <w:t>9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10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11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12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13 priedas (V-339)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14 priedas (V-1203)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ce9f0fa2411e4b733cba410730a6c">
            <w:r w:rsidRPr="00532B9F">
              <w:rPr>
                <w:rFonts w:ascii="Times New Roman" w:eastAsia="MS Mincho" w:hAnsi="Times New Roman"/>
                <w:sz w:val="20"/>
                <w:i/>
                <w:iCs/>
                <w:color w:val="0000FF" w:themeColor="hyperlink"/>
                <w:u w:val="single"/>
              </w:rPr>
              <w:t>V-578</w:t>
            </w:r>
          </w:fldSimple>
          <w:r>
            <w:rPr>
              <w:rFonts w:ascii="Times New Roman" w:eastAsia="MS Mincho" w:hAnsi="Times New Roman"/>
              <w:sz w:val="20"/>
              <w:i/>
              <w:iCs/>
            </w:rPr>
            <w:t>,
2015-05-04,
paskelbta TAR 2015-05-14, i. k. 2015-07333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p/>
        <w:p>
          <w:pPr>
            <w:pStyle w:val="PlainText"/>
            <w:rPr>
              <w:rFonts w:ascii="Times New Roman" w:eastAsia="MS Mincho" w:hAnsi="Times New Roman"/>
              <w:sz w:val="20"/>
              <w:iCs/>
            </w:rPr>
          </w:pPr>
          <w:r>
            <w:rPr>
              <w:rFonts w:ascii="Times New Roman" w:eastAsia="MS Mincho" w:hAnsi="Times New Roman"/>
              <w:sz w:val="20"/>
              <w:iCs/>
            </w:rPr>
            <w:t>15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2c6c01e5511e69446a4bedc730fe6">
            <w:r w:rsidRPr="00532B9F">
              <w:rPr>
                <w:rFonts w:ascii="Times New Roman" w:eastAsia="MS Mincho" w:hAnsi="Times New Roman"/>
                <w:sz w:val="20"/>
                <w:i/>
                <w:iCs/>
                <w:color w:val="0000FF" w:themeColor="hyperlink"/>
                <w:u w:val="single"/>
              </w:rPr>
              <w:t>V-653</w:t>
            </w:r>
          </w:fldSimple>
          <w:r>
            <w:rPr>
              <w:rFonts w:ascii="Times New Roman" w:eastAsia="MS Mincho" w:hAnsi="Times New Roman"/>
              <w:sz w:val="20"/>
              <w:i/>
              <w:iCs/>
            </w:rPr>
            <w:t>,
2016-05-19,
paskelbta TAR 2016-05-20, i. k. 2016-13717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16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2c6c01e5511e69446a4bedc730fe6">
            <w:r w:rsidRPr="00532B9F">
              <w:rPr>
                <w:rFonts w:ascii="Times New Roman" w:eastAsia="MS Mincho" w:hAnsi="Times New Roman"/>
                <w:sz w:val="20"/>
                <w:i/>
                <w:iCs/>
                <w:color w:val="0000FF" w:themeColor="hyperlink"/>
                <w:u w:val="single"/>
              </w:rPr>
              <w:t>V-653</w:t>
            </w:r>
          </w:fldSimple>
          <w:r>
            <w:rPr>
              <w:rFonts w:ascii="Times New Roman" w:eastAsia="MS Mincho" w:hAnsi="Times New Roman"/>
              <w:sz w:val="20"/>
              <w:i/>
              <w:iCs/>
            </w:rPr>
            <w:t>,
2016-05-19,
paskelbta TAR 2016-05-20, i. k. 2016-13717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17 priedas (V-1203)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2c6c01e5511e69446a4bedc730fe6">
            <w:r w:rsidRPr="00532B9F">
              <w:rPr>
                <w:rFonts w:ascii="Times New Roman" w:eastAsia="MS Mincho" w:hAnsi="Times New Roman"/>
                <w:sz w:val="20"/>
                <w:i/>
                <w:iCs/>
                <w:color w:val="0000FF" w:themeColor="hyperlink"/>
                <w:u w:val="single"/>
              </w:rPr>
              <w:t>V-653</w:t>
            </w:r>
          </w:fldSimple>
          <w:r>
            <w:rPr>
              <w:rFonts w:ascii="Times New Roman" w:eastAsia="MS Mincho" w:hAnsi="Times New Roman"/>
              <w:sz w:val="20"/>
              <w:i/>
              <w:iCs/>
            </w:rPr>
            <w:t>,
2016-05-19,
paskelbta TAR 2016-05-20, i. k. 2016-13717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9a6904e47c11f08918e1adc7c5b1ec">
            <w:r w:rsidRPr="00532B9F">
              <w:rPr>
                <w:rFonts w:ascii="Times New Roman" w:eastAsia="MS Mincho" w:hAnsi="Times New Roman"/>
                <w:sz w:val="20"/>
                <w:i/>
                <w:iCs/>
                <w:color w:val="0000FF" w:themeColor="hyperlink"/>
                <w:u w:val="single"/>
              </w:rPr>
              <w:t>V-1203</w:t>
            </w:r>
          </w:fldSimple>
          <w:r>
            <w:rPr>
              <w:rFonts w:ascii="Times New Roman" w:eastAsia="MS Mincho" w:hAnsi="Times New Roman"/>
              <w:sz w:val="20"/>
              <w:i/>
              <w:iCs/>
            </w:rPr>
            <w:t>,
2025-12-29,
paskelbta TAR 2025-12-29, i. k. 2025-22761        </w:t>
          </w:r>
        </w:p>
        <w:p/>
        <w:p>
          <w:pPr>
            <w:pStyle w:val="PlainText"/>
            <w:rPr>
              <w:rFonts w:ascii="Times New Roman" w:eastAsia="MS Mincho" w:hAnsi="Times New Roman"/>
              <w:sz w:val="20"/>
              <w:iCs/>
            </w:rPr>
          </w:pPr>
          <w:r>
            <w:rPr>
              <w:rFonts w:ascii="Times New Roman" w:eastAsia="MS Mincho" w:hAnsi="Times New Roman"/>
              <w:sz w:val="20"/>
              <w:iCs/>
            </w:rPr>
            <w:t>18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e20c6021a511eabe008ea93139d588">
            <w:r w:rsidRPr="00532B9F">
              <w:rPr>
                <w:rFonts w:ascii="Times New Roman" w:eastAsia="MS Mincho" w:hAnsi="Times New Roman"/>
                <w:sz w:val="20"/>
                <w:i/>
                <w:iCs/>
                <w:color w:val="0000FF" w:themeColor="hyperlink"/>
                <w:u w:val="single"/>
              </w:rPr>
              <w:t>V-1475</w:t>
            </w:r>
          </w:fldSimple>
          <w:r>
            <w:rPr>
              <w:rFonts w:ascii="Times New Roman" w:eastAsia="MS Mincho" w:hAnsi="Times New Roman"/>
              <w:sz w:val="20"/>
              <w:i/>
              <w:iCs/>
            </w:rPr>
            <w:t>,
2019-12-18,
paskelbta TAR 2019-12-18, i. k. 2019-20487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19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5296f0eb0411eb9f09e7df20500045">
            <w:r w:rsidRPr="00532B9F">
              <w:rPr>
                <w:rFonts w:ascii="Times New Roman" w:eastAsia="MS Mincho" w:hAnsi="Times New Roman"/>
                <w:sz w:val="20"/>
                <w:i/>
                <w:iCs/>
                <w:color w:val="0000FF" w:themeColor="hyperlink"/>
                <w:u w:val="single"/>
              </w:rPr>
              <w:t>V-1709</w:t>
            </w:r>
          </w:fldSimple>
          <w:r>
            <w:rPr>
              <w:rFonts w:ascii="Times New Roman" w:eastAsia="MS Mincho" w:hAnsi="Times New Roman"/>
              <w:sz w:val="20"/>
              <w:i/>
              <w:iCs/>
            </w:rPr>
            <w:t>,
2021-07-22,
paskelbta TAR 2021-07-23, i. k. 2021-16362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20 priedas (pak.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a8700487c11edbc04912defe897d1">
            <w:r w:rsidRPr="00532B9F">
              <w:rPr>
                <w:rFonts w:ascii="Times New Roman" w:eastAsia="MS Mincho" w:hAnsi="Times New Roman"/>
                <w:sz w:val="20"/>
                <w:i/>
                <w:iCs/>
                <w:color w:val="0000FF" w:themeColor="hyperlink"/>
                <w:u w:val="single"/>
              </w:rPr>
              <w:t>V-1539</w:t>
            </w:r>
          </w:fldSimple>
          <w:r>
            <w:rPr>
              <w:rFonts w:ascii="Times New Roman" w:eastAsia="MS Mincho" w:hAnsi="Times New Roman"/>
              <w:sz w:val="20"/>
              <w:i/>
              <w:iCs/>
            </w:rPr>
            <w:t>,
2022-10-10,
paskelbta TAR 2022-10-10, i. k. 2022-20628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21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22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23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24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25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26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ba30107a4d11eea5a28c81c82193a8">
            <w:r w:rsidRPr="00532B9F">
              <w:rPr>
                <w:rFonts w:ascii="Times New Roman" w:eastAsia="MS Mincho" w:hAnsi="Times New Roman"/>
                <w:sz w:val="20"/>
                <w:i/>
                <w:iCs/>
                <w:color w:val="0000FF" w:themeColor="hyperlink"/>
                <w:u w:val="single"/>
              </w:rPr>
              <w:t>V-1143</w:t>
            </w:r>
          </w:fldSimple>
          <w:r>
            <w:rPr>
              <w:rFonts w:ascii="Times New Roman" w:eastAsia="MS Mincho" w:hAnsi="Times New Roman"/>
              <w:sz w:val="20"/>
              <w:i/>
              <w:iCs/>
            </w:rPr>
            <w:t>,
2023-11-03,
paskelbta TAR 2023-11-03, i. k. 2023-21526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27 priedas (V-339)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6c7890e52c11eea5aeb6ee8214b4a6">
            <w:r w:rsidRPr="00532B9F">
              <w:rPr>
                <w:rFonts w:ascii="Times New Roman" w:eastAsia="MS Mincho" w:hAnsi="Times New Roman"/>
                <w:sz w:val="20"/>
                <w:i/>
                <w:iCs/>
                <w:color w:val="0000FF" w:themeColor="hyperlink"/>
                <w:u w:val="single"/>
              </w:rPr>
              <w:t>V-339</w:t>
            </w:r>
          </w:fldSimple>
          <w:r>
            <w:rPr>
              <w:rFonts w:ascii="Times New Roman" w:eastAsia="MS Mincho" w:hAnsi="Times New Roman"/>
              <w:sz w:val="20"/>
              <w:i/>
              <w:iCs/>
            </w:rPr>
            <w:t>,
2024-03-18,
paskelbta TAR 2024-03-18, i. k. 2024-04893        </w:t>
          </w:r>
        </w:p>
        <w:p/>
        <w:p>
          <w:pPr>
            <w:pStyle w:val="PlainText"/>
            <w:rPr>
              <w:rFonts w:ascii="Times New Roman" w:eastAsia="MS Mincho" w:hAnsi="Times New Roman"/>
              <w:sz w:val="20"/>
              <w:iCs/>
            </w:rPr>
          </w:pPr>
          <w:r>
            <w:rPr>
              <w:rFonts w:ascii="Times New Roman" w:eastAsia="MS Mincho" w:hAnsi="Times New Roman"/>
              <w:sz w:val="20"/>
              <w:iCs/>
            </w:rPr>
            <w:t>28 priedas (V-777)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704204e75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2024-07-30,
paskelbta TAR 2024-07-30, i. k. 2024-13930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cce9f0fa2411e4b733cba410730a6c">
            <w:r w:rsidRPr="00532B9F">
              <w:rPr>
                <w:rFonts w:ascii="Times New Roman" w:eastAsia="MS Mincho" w:hAnsi="Times New Roman"/>
                <w:sz w:val="20"/>
                <w:iCs/>
                <w:color w:val="0000FF" w:themeColor="hyperlink"/>
                <w:u w:val="single"/>
              </w:rPr>
              <w:t>V-578</w:t>
            </w:r>
          </w:fldSimple>
          <w:r>
            <w:rPr>
              <w:rFonts w:ascii="Times New Roman" w:eastAsia="MS Mincho" w:hAnsi="Times New Roman"/>
              <w:sz w:val="20"/>
              <w:iCs/>
            </w:rPr>
            <w:t>,
2015-05-04,
paskelbta TAR 2015-05-14, i. k. 2015-07333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2c6c01e5511e69446a4bedc730fe6">
            <w:r w:rsidRPr="00532B9F">
              <w:rPr>
                <w:rFonts w:ascii="Times New Roman" w:eastAsia="MS Mincho" w:hAnsi="Times New Roman"/>
                <w:sz w:val="20"/>
                <w:iCs/>
                <w:color w:val="0000FF" w:themeColor="hyperlink"/>
                <w:u w:val="single"/>
              </w:rPr>
              <w:t>V-653</w:t>
            </w:r>
          </w:fldSimple>
          <w:r>
            <w:rPr>
              <w:rFonts w:ascii="Times New Roman" w:eastAsia="MS Mincho" w:hAnsi="Times New Roman"/>
              <w:sz w:val="20"/>
              <w:iCs/>
            </w:rPr>
            <w:t>,
2016-05-19,
paskelbta TAR 2016-05-20, i. k. 2016-13717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0bf3406a5011e8ac27abd8fa093003">
            <w:r w:rsidRPr="00532B9F">
              <w:rPr>
                <w:rFonts w:ascii="Times New Roman" w:eastAsia="MS Mincho" w:hAnsi="Times New Roman"/>
                <w:sz w:val="20"/>
                <w:iCs/>
                <w:color w:val="0000FF" w:themeColor="hyperlink"/>
                <w:u w:val="single"/>
              </w:rPr>
              <w:t>V-660</w:t>
            </w:r>
          </w:fldSimple>
          <w:r>
            <w:rPr>
              <w:rFonts w:ascii="Times New Roman" w:eastAsia="MS Mincho" w:hAnsi="Times New Roman"/>
              <w:sz w:val="20"/>
              <w:iCs/>
            </w:rPr>
            <w:t>,
2018-06-06,
paskelbta TAR 2018-06-08, i. k. 2018-09577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e20c6021a511eabe008ea93139d588">
            <w:r w:rsidRPr="00532B9F">
              <w:rPr>
                <w:rFonts w:ascii="Times New Roman" w:eastAsia="MS Mincho" w:hAnsi="Times New Roman"/>
                <w:sz w:val="20"/>
                <w:iCs/>
                <w:color w:val="0000FF" w:themeColor="hyperlink"/>
                <w:u w:val="single"/>
              </w:rPr>
              <w:t>V-1475</w:t>
            </w:r>
          </w:fldSimple>
          <w:r>
            <w:rPr>
              <w:rFonts w:ascii="Times New Roman" w:eastAsia="MS Mincho" w:hAnsi="Times New Roman"/>
              <w:sz w:val="20"/>
              <w:iCs/>
            </w:rPr>
            <w:t>,
2019-12-18,
paskelbta TAR 2019-12-18, i. k. 2019-20487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5296f0eb0411eb9f09e7df20500045">
            <w:r w:rsidRPr="00532B9F">
              <w:rPr>
                <w:rFonts w:ascii="Times New Roman" w:eastAsia="MS Mincho" w:hAnsi="Times New Roman"/>
                <w:sz w:val="20"/>
                <w:iCs/>
                <w:color w:val="0000FF" w:themeColor="hyperlink"/>
                <w:u w:val="single"/>
              </w:rPr>
              <w:t>V-1709</w:t>
            </w:r>
          </w:fldSimple>
          <w:r>
            <w:rPr>
              <w:rFonts w:ascii="Times New Roman" w:eastAsia="MS Mincho" w:hAnsi="Times New Roman"/>
              <w:sz w:val="20"/>
              <w:iCs/>
            </w:rPr>
            <w:t>,
2021-07-22,
paskelbta TAR 2021-07-23, i. k. 2021-16362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b0a2206a3511eca9ac839120d251c4">
            <w:r w:rsidRPr="00532B9F">
              <w:rPr>
                <w:rFonts w:ascii="Times New Roman" w:eastAsia="MS Mincho" w:hAnsi="Times New Roman"/>
                <w:sz w:val="20"/>
                <w:iCs/>
                <w:color w:val="0000FF" w:themeColor="hyperlink"/>
                <w:u w:val="single"/>
              </w:rPr>
              <w:t>V-3017</w:t>
            </w:r>
          </w:fldSimple>
          <w:r>
            <w:rPr>
              <w:rFonts w:ascii="Times New Roman" w:eastAsia="MS Mincho" w:hAnsi="Times New Roman"/>
              <w:sz w:val="20"/>
              <w:iCs/>
            </w:rPr>
            <w:t>,
2021-12-31,
paskelbta TAR 2021-12-31, i. k. 2021-27933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a8700487c11edbc04912defe897d1">
            <w:r w:rsidRPr="00532B9F">
              <w:rPr>
                <w:rFonts w:ascii="Times New Roman" w:eastAsia="MS Mincho" w:hAnsi="Times New Roman"/>
                <w:sz w:val="20"/>
                <w:iCs/>
                <w:color w:val="0000FF" w:themeColor="hyperlink"/>
                <w:u w:val="single"/>
              </w:rPr>
              <w:t>V-1539</w:t>
            </w:r>
          </w:fldSimple>
          <w:r>
            <w:rPr>
              <w:rFonts w:ascii="Times New Roman" w:eastAsia="MS Mincho" w:hAnsi="Times New Roman"/>
              <w:sz w:val="20"/>
              <w:iCs/>
            </w:rPr>
            <w:t>,
2022-10-10,
paskelbta TAR 2022-10-10, i. k. 2022-20628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ba30107a4d11eea5a28c81c82193a8">
            <w:r w:rsidRPr="00532B9F">
              <w:rPr>
                <w:rFonts w:ascii="Times New Roman" w:eastAsia="MS Mincho" w:hAnsi="Times New Roman"/>
                <w:sz w:val="20"/>
                <w:iCs/>
                <w:color w:val="0000FF" w:themeColor="hyperlink"/>
                <w:u w:val="single"/>
              </w:rPr>
              <w:t>V-1143</w:t>
            </w:r>
          </w:fldSimple>
          <w:r>
            <w:rPr>
              <w:rFonts w:ascii="Times New Roman" w:eastAsia="MS Mincho" w:hAnsi="Times New Roman"/>
              <w:sz w:val="20"/>
              <w:iCs/>
            </w:rPr>
            <w:t>,
2023-11-03,
paskelbta TAR 2023-11-03, i. k. 2023-21526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6c7890e52c11eea5aeb6ee8214b4a6">
            <w:r w:rsidRPr="00532B9F">
              <w:rPr>
                <w:rFonts w:ascii="Times New Roman" w:eastAsia="MS Mincho" w:hAnsi="Times New Roman"/>
                <w:sz w:val="20"/>
                <w:iCs/>
                <w:color w:val="0000FF" w:themeColor="hyperlink"/>
                <w:u w:val="single"/>
              </w:rPr>
              <w:t>V-339</w:t>
            </w:r>
          </w:fldSimple>
          <w:r>
            <w:rPr>
              <w:rFonts w:ascii="Times New Roman" w:eastAsia="MS Mincho" w:hAnsi="Times New Roman"/>
              <w:sz w:val="20"/>
              <w:iCs/>
            </w:rPr>
            <w:t>,
2024-03-18,
paskelbta TAR 2024-03-18, i. k. 2024-04893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c704204e75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2024-07-30,
paskelbta TAR 2024-07-30, i. k. 2024-13930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b0e9104ffa11efbdaea558de59136c">
            <w:r w:rsidRPr="00532B9F">
              <w:rPr>
                <w:rFonts w:ascii="Times New Roman" w:eastAsia="MS Mincho" w:hAnsi="Times New Roman"/>
                <w:sz w:val="20"/>
                <w:iCs/>
                <w:color w:val="0000FF" w:themeColor="hyperlink"/>
                <w:u w:val="single"/>
              </w:rPr>
              <w:t>V-790</w:t>
            </w:r>
          </w:fldSimple>
          <w:r>
            <w:rPr>
              <w:rFonts w:ascii="Times New Roman" w:eastAsia="MS Mincho" w:hAnsi="Times New Roman"/>
              <w:sz w:val="20"/>
              <w:iCs/>
            </w:rPr>
            <w:t>,
2024-08-01,
paskelbta TAR 2024-08-01, i. k. 2024-14029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d59e488d411f0a8bbd1e98310677d">
            <w:r w:rsidRPr="00532B9F">
              <w:rPr>
                <w:rFonts w:ascii="Times New Roman" w:eastAsia="MS Mincho" w:hAnsi="Times New Roman"/>
                <w:sz w:val="20"/>
                <w:iCs/>
                <w:color w:val="0000FF" w:themeColor="hyperlink"/>
                <w:u w:val="single"/>
              </w:rPr>
              <w:t>V-788</w:t>
            </w:r>
          </w:fldSimple>
          <w:r>
            <w:rPr>
              <w:rFonts w:ascii="Times New Roman" w:eastAsia="MS Mincho" w:hAnsi="Times New Roman"/>
              <w:sz w:val="20"/>
              <w:iCs/>
            </w:rPr>
            <w:t>,
2025-09-03,
paskelbta TAR 2025-09-03, i. k. 2025-14939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9a6904e47c11f08918e1adc7c5b1ec">
            <w:r w:rsidRPr="00532B9F">
              <w:rPr>
                <w:rFonts w:ascii="Times New Roman" w:eastAsia="MS Mincho" w:hAnsi="Times New Roman"/>
                <w:sz w:val="20"/>
                <w:iCs/>
                <w:color w:val="0000FF" w:themeColor="hyperlink"/>
                <w:u w:val="single"/>
              </w:rPr>
              <w:t>V-1203</w:t>
            </w:r>
          </w:fldSimple>
          <w:r>
            <w:rPr>
              <w:rFonts w:ascii="Times New Roman" w:eastAsia="MS Mincho" w:hAnsi="Times New Roman"/>
              <w:sz w:val="20"/>
              <w:iCs/>
            </w:rPr>
            <w:t>,
2025-12-29,
paskelbta TAR 2025-12-29, i. k. 2025-22761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3d2a41066d11f1b465ab875bcad79f">
            <w:r w:rsidRPr="00532B9F">
              <w:rPr>
                <w:rFonts w:ascii="Times New Roman" w:eastAsia="MS Mincho" w:hAnsi="Times New Roman"/>
                <w:sz w:val="20"/>
                <w:iCs/>
                <w:color w:val="0000FF" w:themeColor="hyperlink"/>
                <w:u w:val="single"/>
              </w:rPr>
              <w:t>V-126</w:t>
            </w:r>
          </w:fldSimple>
          <w:r>
            <w:rPr>
              <w:rFonts w:ascii="Times New Roman" w:eastAsia="MS Mincho" w:hAnsi="Times New Roman"/>
              <w:sz w:val="20"/>
              <w:iCs/>
            </w:rPr>
            <w:t>,
2026-02-10,
paskelbta TAR 2026-02-10, i. k. 2026-02067                </w:t>
          </w:r>
        </w:p>
        <w:p>
          <w:pPr>
            <w:jc w:val="both"/>
            <w:rPr>
              <w:rFonts w:ascii="Times New Roman" w:hAnsi="Times New Roman"/>
            </w:rPr>
          </w:pPr>
          <w:r>
            <w:rPr>
              <w:rFonts w:ascii="Times New Roman" w:hAnsi="Times New Roman"/>
              <w:sz w:val="20"/>
            </w:rPr>
            <w:t>Dėl Lietuvos Respublikos sveikatos apsaugos ministro 2014 m. vasario 28 d. įsakymo Nr. V-288 "Dėl Ilgalaikio pacientų, sergančių lėtinėmis ligomis, sveikatos būklės stebėjimo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851"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eastAsia="Calibri" w:hAnsi="Arial" w:cs="Arial"/>
          <w:sz w:val="20"/>
          <w:szCs w:val="24"/>
          <w:lang w:eastAsia="lt-LT"/>
        </w:rPr>
      </w:pPr>
      <w:r>
        <w:rPr>
          <w:rFonts w:ascii="Arial" w:eastAsia="Calibri" w:hAnsi="Arial" w:cs="Arial"/>
          <w:sz w:val="20"/>
          <w:szCs w:val="24"/>
          <w:lang w:eastAsia="lt-LT"/>
        </w:rPr>
        <w:separator/>
      </w:r>
    </w:p>
  </w:endnote>
  <w:endnote w:type="continuationSeparator" w:id="0">
    <w:p>
      <w:pPr>
        <w:widowControl w:val="0"/>
        <w:ind w:firstLine="720"/>
        <w:rPr>
          <w:rFonts w:ascii="Arial" w:eastAsia="Calibri" w:hAnsi="Arial" w:cs="Arial"/>
          <w:sz w:val="20"/>
          <w:szCs w:val="24"/>
          <w:lang w:eastAsia="lt-LT"/>
        </w:rPr>
      </w:pPr>
      <w:r>
        <w:rPr>
          <w:rFonts w:ascii="Arial" w:eastAsia="Calibri"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eastAsia="Calibri"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eastAsia="Calibri"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eastAsia="Calibri"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eastAsia="Calibri" w:hAnsi="Arial" w:cs="Arial"/>
          <w:sz w:val="20"/>
          <w:szCs w:val="24"/>
          <w:lang w:eastAsia="lt-LT"/>
        </w:rPr>
      </w:pPr>
      <w:r>
        <w:rPr>
          <w:rFonts w:ascii="Arial" w:eastAsia="Calibri" w:hAnsi="Arial" w:cs="Arial"/>
          <w:sz w:val="20"/>
          <w:szCs w:val="24"/>
          <w:lang w:eastAsia="lt-LT"/>
        </w:rPr>
        <w:separator/>
      </w:r>
    </w:p>
  </w:footnote>
  <w:footnote w:type="continuationSeparator" w:id="0">
    <w:p>
      <w:pPr>
        <w:widowControl w:val="0"/>
        <w:ind w:firstLine="720"/>
        <w:rPr>
          <w:rFonts w:ascii="Arial" w:eastAsia="Calibri" w:hAnsi="Arial" w:cs="Arial"/>
          <w:sz w:val="20"/>
          <w:szCs w:val="24"/>
          <w:lang w:eastAsia="lt-LT"/>
        </w:rPr>
      </w:pPr>
      <w:r>
        <w:rPr>
          <w:rFonts w:ascii="Arial" w:eastAsia="Calibri"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eastAsia="Calibri" w:hAnsi="Arial" w:cs="Arial"/>
        <w:sz w:val="20"/>
        <w:szCs w:val="24"/>
        <w:lang w:val="x-none" w:eastAsia="lt-LT"/>
      </w:rPr>
    </w:pPr>
    <w:r>
      <w:rPr>
        <w:rFonts w:ascii="Arial" w:eastAsia="Calibri" w:hAnsi="Arial" w:cs="Arial"/>
        <w:sz w:val="20"/>
        <w:szCs w:val="24"/>
        <w:lang w:val="x-none" w:eastAsia="lt-LT"/>
      </w:rPr>
      <w:t>2</w:t>
    </w:r>
  </w:p>
  <w:p>
    <w:pPr>
      <w:widowControl w:val="0"/>
      <w:tabs>
        <w:tab w:val="center" w:pos="4819"/>
        <w:tab w:val="right" w:pos="9638"/>
      </w:tabs>
      <w:ind w:firstLine="720"/>
      <w:rPr>
        <w:rFonts w:ascii="Arial" w:eastAsia="Calibri" w:hAnsi="Arial" w:cs="Arial"/>
        <w:sz w:val="20"/>
        <w:szCs w:val="24"/>
        <w:lang w:val="x-none"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widowControl w:val="0"/>
      <w:tabs>
        <w:tab w:val="center" w:pos="4819"/>
        <w:tab w:val="right" w:pos="9638"/>
      </w:tabs>
      <w:rPr>
        <w:rFonts w:ascii="Arial" w:eastAsia="Calibri" w:hAnsi="Arial" w:cs="Arial"/>
        <w:sz w:val="20"/>
        <w:szCs w:val="24"/>
        <w:lang w:val="x-none"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val="x-none"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5</w:t>
    </w:r>
    <w:r>
      <w:fldChar w:fldCharType="end"/>
    </w:r>
  </w:p>
  <w:p>
    <w:pPr>
      <w:tabs>
        <w:tab w:val="center" w:pos="4513"/>
        <w:tab w:val="right" w:pos="9026"/>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5</w:t>
    </w:r>
    <w:r>
      <w:fldChar w:fldCharType="end"/>
    </w:r>
  </w:p>
  <w:p>
    <w:pPr>
      <w:tabs>
        <w:tab w:val="center" w:pos="4513"/>
        <w:tab w:val="right" w:pos="9026"/>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4</w:t>
    </w:r>
    <w:r>
      <w:fldChar w:fldCharType="end"/>
    </w:r>
  </w:p>
  <w:p>
    <w:pPr>
      <w:tabs>
        <w:tab w:val="center" w:pos="4513"/>
        <w:tab w:val="right" w:pos="9026"/>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5</w:t>
    </w:r>
    <w:r>
      <w:fldChar w:fldCharType="end"/>
    </w:r>
  </w:p>
  <w:p>
    <w:pPr>
      <w:tabs>
        <w:tab w:val="center" w:pos="4513"/>
        <w:tab w:val="right" w:pos="9026"/>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5</w:t>
    </w:r>
    <w:r>
      <w:fldChar w:fldCharType="end"/>
    </w:r>
  </w:p>
  <w:p>
    <w:pPr>
      <w:tabs>
        <w:tab w:val="center" w:pos="4513"/>
        <w:tab w:val="right" w:pos="902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eastAsia="Calibri" w:hAnsi="Arial" w:cs="Arial"/>
        <w:sz w:val="20"/>
        <w:szCs w:val="24"/>
        <w:lang w:val="x-none" w:eastAsia="lt-LT"/>
      </w:rPr>
    </w:pPr>
    <w:r>
      <w:rPr>
        <w:rFonts w:ascii="Arial" w:eastAsia="Calibri" w:hAnsi="Arial" w:cs="Arial"/>
        <w:sz w:val="20"/>
        <w:szCs w:val="24"/>
        <w:lang w:val="x-none" w:eastAsia="lt-LT"/>
      </w:rPr>
      <w:t>2</w:t>
    </w:r>
  </w:p>
  <w:p>
    <w:pPr>
      <w:widowControl w:val="0"/>
      <w:tabs>
        <w:tab w:val="center" w:pos="4819"/>
        <w:tab w:val="right" w:pos="9638"/>
      </w:tabs>
      <w:ind w:firstLine="720"/>
      <w:rPr>
        <w:rFonts w:ascii="Arial" w:eastAsia="Calibri" w:hAnsi="Arial" w:cs="Arial"/>
        <w:sz w:val="20"/>
        <w:szCs w:val="24"/>
        <w:lang w:val="x-none"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widowControl w:val="0"/>
      <w:tabs>
        <w:tab w:val="center" w:pos="4819"/>
        <w:tab w:val="right" w:pos="9638"/>
      </w:tabs>
      <w:rPr>
        <w:rFonts w:ascii="Arial" w:eastAsia="Calibri" w:hAnsi="Arial" w:cs="Arial"/>
        <w:sz w:val="20"/>
        <w:szCs w:val="24"/>
        <w:lang w:val="x-none"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eastAsia="Calibri" w:hAnsi="Arial" w:cs="Arial"/>
        <w:sz w:val="20"/>
        <w:szCs w:val="24"/>
        <w:lang w:val="x-none"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eastAsia="Calibri" w:hAnsi="Arial" w:cs="Arial"/>
        <w:sz w:val="20"/>
        <w:szCs w:val="24"/>
        <w:lang w:val="x-none" w:eastAsia="lt-LT"/>
      </w:rPr>
    </w:pPr>
    <w:r>
      <w:rPr>
        <w:rFonts w:ascii="Arial" w:eastAsia="Calibri" w:hAnsi="Arial" w:cs="Arial"/>
        <w:sz w:val="20"/>
        <w:szCs w:val="24"/>
        <w:lang w:val="x-none" w:eastAsia="lt-LT"/>
      </w:rPr>
      <w:t>2</w:t>
    </w:r>
  </w:p>
  <w:p>
    <w:pPr>
      <w:widowControl w:val="0"/>
      <w:tabs>
        <w:tab w:val="center" w:pos="4819"/>
        <w:tab w:val="right" w:pos="9638"/>
      </w:tabs>
      <w:ind w:firstLine="720"/>
      <w:rPr>
        <w:rFonts w:ascii="Arial" w:eastAsia="Calibri" w:hAnsi="Arial" w:cs="Arial"/>
        <w:sz w:val="20"/>
        <w:szCs w:val="24"/>
        <w:lang w:val="x-none"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widowControl w:val="0"/>
      <w:tabs>
        <w:tab w:val="center" w:pos="4819"/>
        <w:tab w:val="right" w:pos="9638"/>
      </w:tabs>
      <w:rPr>
        <w:rFonts w:ascii="Arial" w:eastAsia="Calibri" w:hAnsi="Arial" w:cs="Arial"/>
        <w:sz w:val="20"/>
        <w:szCs w:val="24"/>
        <w:lang w:val="x-none"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eastAsia="Calibri" w:hAnsi="Arial" w:cs="Arial"/>
        <w:sz w:val="20"/>
        <w:szCs w:val="24"/>
        <w:lang w:val="x-none"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C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5:docId w15:val="{5A67F30D-E534-4BA4-A5C8-5323C97100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2351738">
      <w:bodyDiv w:val="1"/>
      <w:marLeft w:val="0"/>
      <w:marRight w:val="0"/>
      <w:marTop w:val="0"/>
      <w:marBottom w:val="150"/>
      <w:divBdr>
        <w:top w:val="none" w:sz="0" w:space="0" w:color="auto"/>
        <w:left w:val="none" w:sz="0" w:space="0" w:color="auto"/>
        <w:bottom w:val="none" w:sz="0" w:space="0" w:color="auto"/>
        <w:right w:val="none" w:sz="0" w:space="0" w:color="auto"/>
      </w:divBdr>
      <w:divsChild>
        <w:div w:id="1117143309">
          <w:marLeft w:val="600"/>
          <w:marRight w:val="0"/>
          <w:marTop w:val="0"/>
          <w:marBottom w:val="0"/>
          <w:divBdr>
            <w:top w:val="none" w:sz="0" w:space="0" w:color="auto"/>
            <w:left w:val="none" w:sz="0" w:space="0" w:color="auto"/>
            <w:bottom w:val="none" w:sz="0" w:space="0" w:color="auto"/>
            <w:right w:val="none" w:sz="0" w:space="0" w:color="auto"/>
          </w:divBdr>
          <w:divsChild>
            <w:div w:id="168901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459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12.bin"/>
  <Relationship Id="rId11" Type="http://schemas.openxmlformats.org/officeDocument/2006/relationships/header" Target="header31.xml"/>
  <Relationship Id="rId12" Type="http://schemas.openxmlformats.org/officeDocument/2006/relationships/header" Target="header32.xml"/>
  <Relationship Id="rId13" Type="http://schemas.openxmlformats.org/officeDocument/2006/relationships/footer" Target="footer31.xml"/>
  <Relationship Id="rId14" Type="http://schemas.openxmlformats.org/officeDocument/2006/relationships/footer" Target="footer32.xml"/>
  <Relationship Id="rId15" Type="http://schemas.openxmlformats.org/officeDocument/2006/relationships/header" Target="header33.xml"/>
  <Relationship Id="rId16" Type="http://schemas.openxmlformats.org/officeDocument/2006/relationships/footer" Target="footer3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e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ffafd8400144a858e3bcacea647e306" PartId="233e85d9f2ed46478f98487168ffc898">
    <Part Type="preambule" DocPartId="e92ca53b461b4c2b88423d1a8dbcd586" PartId="68b2eebe54c8483385b67f2110f7ce3a"/>
    <Part Type="punktas" Nr="1" Abbr="1 p." DocPartId="a9efff3737144ccc92b483538fa041c1" PartId="f1fb70c237ab4bc597a8646f973049fa"/>
    <Part Type="punktas" Nr="2" Abbr="2 p." DocPartId="10618223dc054538983202093855467d" PartId="17684663520949dc96bfb19e33ae135d"/>
    <Part Type="punktas" Nr="3" Abbr="3 p." DocPartId="45862a15c0cb472bab83be2d85f0b6a3" PartId="942c0c9657ac42649decd2024670fe43"/>
    <Part Type="signatura" DocPartId="04ab76b0d7354089b9cab128fcadf19f" PartId="b40090e7dabc425a9d58e92c4c482700"/>
  </Part>
  <Part Type="patvirtinta" Title="ILGALAIKIO PACIENTŲ, SERGANČIŲ LĖTINĖMIS LIGOMIS, SVEIKATOS BŪKLĖS STEBĖJIMO TVARKOS APRAŠAS" DocPartId="765275c50e9d49a8b89ac131db909f17" PartId="7a9a79fae16b4871af7bb842e393f6e3">
    <Part Type="skyrius" Nr="1" Title="BENDROSIOS NUOSTATOS" DocPartId="b89aed5efbbb4710b45b0856b6204058" PartId="5931dd0cddf74b4dba85c6970d66c2fa">
      <Part Type="punktas" Nr="1" Abbr="1 p." DocPartId="fee8ace4a7fd4d658569358e24989a26" PartId="24133012c8db418bb46ab5379bdcf45d">
        <Part Type="papunktis" Nr="1.1" Abbr="1.1 pp." DocPartId="90b06c35ff3d4fb4803545c3958ba777" PartId="67606d9c8c804e17836dda530c36b1c7"/>
        <Part Type="papunktis" Nr="1.2" Abbr="1.2 pp." DocPartId="547d148d3e42444d9fe8c123ca635e72" PartId="7899afcd6c954672907e88625d0fe7cb"/>
        <Part Type="papunktis" Nr="1.3" Abbr="1.3 pp." DocPartId="941fe73a473149028eb5d96098b57021" PartId="d5f5d674fc9d4cc8863ab2fabbc117ac"/>
        <Part Type="papunktis" Nr="1.4" Abbr="1.4 pp." DocPartId="f0390c97f7d74bcd9952a8a850121d62" PartId="cef5e27eae8f4a75b0101e49c19adeed"/>
        <Part Type="papunktis" Nr="1.5" Abbr="1.5 pp." DocPartId="6434e48fd75841e0a9601e76701cb2c8" PartId="87ecc6229701477ea3fe9bc4f9d25061"/>
        <Part Type="papunktis" Nr="1.6" Abbr="1.6 pp." DocPartId="54ecd610f1ea43f99bd70ac7117154a7" PartId="6c8227dc7ff643928c68d2ab18d8018d"/>
        <Part Type="papunktis" Nr="1.7" Abbr="1.7 pp." DocPartId="79fc01bb711a4c739f8a662e9125ca2d" PartId="de3b5b6ad53e4ba58bbb4513419c9757"/>
        <Part Type="papunktis" Nr="1.8" Abbr="1.8 pp." DocPartId="216022c18a0d4475ad635ad8c172763c" PartId="30c070550272488fb58eb884e7c7dd48"/>
        <Part Type="papunktis" Nr="1.9" Abbr="1.9 pp." DocPartId="3b9295f4b5954408a1e3a0ce7b9d53fc" PartId="31ecf2494b0941abb01d3418ddd2c0af"/>
        <Part Type="papunktis" Nr="1.10" Abbr="1.10 pp." DocPartId="c516dedd19e4449c864d0ab3e5a3863c" PartId="18d1eb42831e4c038f2c41bff7f2f9dc"/>
        <Part Type="papunktis" Nr="1.11" Abbr="1.11 pp." DocPartId="33c7cec2f4a749a2b6c1b917fc8664c3" PartId="a26369c116c94fdb9d1adc5737ca3c32"/>
        <Part Type="papunktis" Nr="1.12" Abbr="1.12 pp." DocPartId="0ee5b1b02b134f0ab6e95d18c82d68f5" PartId="30683fa1a8cd44da8121e2d65c4c487a"/>
        <Part Type="papunktis" Nr="1.13" Abbr="1.13 pp." DocPartId="2ec55d4fdcb4415eb8e73c58673c2f6b" PartId="18d5fb6da1094b0fa251dedc86cc3e8f"/>
        <Part Type="papunktis" Nr="1.14" Abbr="1.14 pp." DocPartId="357ad75420d1448abb5e2e607890424d" PartId="82128e50fa9c4dcfa4da2f2c3f852597"/>
        <Part Type="papunktis" Nr="1.15" Abbr="1.15 pp." DocPartId="624a6b90488b44f19fd9dba3e9a0b333" PartId="c619ec0496124d0dbcdb34e836d0a610"/>
        <Part Type="papunktis" Nr="1.16" Abbr="1.16 pp." DocPartId="6686f5c2597e4ff188b39fa0110e1b2d" PartId="2ac2e61caced4e23842df0b282452a43"/>
        <Part Type="papunktis" Nr="1.17" Abbr="1.17 pp." DocPartId="bbf3b97de0ad4efeba8414a8b0adc430" PartId="40d2c93f416d48a08e85e8c3ef077cea"/>
        <Part Type="papunktis" Nr="1.18" Abbr="1.18 pp." DocPartId="3c27245a7a5c4d00831e302f6acc5504" PartId="a9a1446a8063473aa0bf03ccc96b8119"/>
        <Part Type="papunktis" Nr="1.19" Abbr="1.19 pp." DocPartId="e5a40745f42143fa817351d361de1f8e" PartId="2a69e06f400e4dd698d7e5cac3f8d81e"/>
        <Part Type="papunktis" Nr="1.20" Abbr="1.20 pp." DocPartId="3abc22e18d224641b0d5d65bca47bc6a" PartId="5666e495b5d04f22b49aab57bfb4556b"/>
        <Part Type="papunktis" Nr="1.21" Abbr="1.21 pp." DocPartId="a96e83a551834ede85b2811a014750e9" PartId="57d45f6448954fbbb62132df4b8d83e1"/>
        <Part Type="papunktis" Nr="1.22" Abbr="1.22 pp." DocPartId="ba4f0ead988d474c96c884cff2b72a70" PartId="f5f865a9cbfb4e3b8c030bfd4d7342ad"/>
        <Part Type="papunktis" Nr="1.23" Abbr="1.23 pp." DocPartId="fca21281951643e282d672820c68285f" PartId="24fa45239987493dbc1379d72e95936f"/>
        <Part Type="papunktis" Nr="1.24" Abbr="1.24 pp." DocPartId="8efc95cfae674560aa6ebe58b6fb4137" PartId="6ee647282c894764a50f714c3ef28fba"/>
        <Part Type="papunktis" Nr="1.25" Abbr="1.25 pp." DocPartId="cd75b914d8b942299799b74a34ee19cd" PartId="5889d1ae9de241f39f9bb20f8b1721e8"/>
        <Part Type="papunktis" Nr="1.26" Abbr="1.26 pp." DocPartId="37375f3102924459acfeeed1297e16b5" PartId="096d3aedc997414dad0afd4aa788a0e9"/>
        <Part Type="papunktis" Nr="1.27" Abbr="1.27 pp." DocPartId="a7845bbabaee4d5484eaef0aab54f7c9" PartId="cc2d6dc067cb4d3b9643433114a6faef"/>
      </Part>
      <Part Type="punktas" Nr="2" Abbr="2 p." DocPartId="6b1af78acdd64711b71cc6a048a866f8" PartId="b204a22e99e24dea934774970c86fe65">
        <Part Type="papunktis" Nr="2.1" Abbr="2.1 pp." DocPartId="672530d76ecd4a8d83de3d3305d668ca" PartId="673247bff2cc4138bc51f29fc05a6590"/>
        <Part Type="papunktis" Nr="2.2" Abbr="2.2 pp." DocPartId="9fb0bf2a99e64934860e33b6e57ff35a" PartId="ae4aa73c0c4d4b619072212aa57fc313"/>
        <Part Type="papunktis" Nr="2.3" Abbr="2.3 pp." DocPartId="bbd1f0ac3d924ab6b0d76b2f99ac41db" PartId="2e31e76516a6451085ae04d57f5f2036"/>
      </Part>
    </Part>
    <Part Type="skyrius" Nr="2" Title="REIKALAVIMAI ILGALAIKĮ PACIENTO SVEIKATOS BŪKLĖS STEBĖJIMĄ VYKDANČIOMS ASMENS SVEIKATOS PRIEŽIŪROS ĮSTAIGOMS IR SVEIKATOS PRIEŽIŪROS SPECIALISTAMS" DocPartId="d3de96e7adbf4882886a90ee7c55aa38" PartId="bbc04b31a43d40ce8c2b1157344bf013">
      <Part Type="punktas" Nr="3" Abbr="3 p." DocPartId="6e9afe549495402497c170a10a3f6cd9" PartId="de5b5d0b339c49c38b7c2fce72f217d2"/>
      <Part Type="punktas" Nr="4" Abbr="4 p." DocPartId="3b2d6418f1374cbaa2f6eb5bc34a2261" PartId="5d98d93165224334a14e903e21fe7e78"/>
    </Part>
    <Part Type="skyrius" Nr="3" Title="ILGALAIKIO PACIENTŲ SVEIKATOS BŪKLĖS STEBĖJIMO ORGANIZAVIMO TVARKA" DocPartId="84ddfd6a78154d9ba1665bdfe0e4f6a8" PartId="746d6ea5ce6841228b33b075c69593ce">
      <Part Type="punktas" Nr="5" Abbr="5 p." DocPartId="828c83760bc046828377c4014842b844" PartId="29456d8425a94630a9f00250f4e5849c"/>
      <Part Type="punktas" Nr="6" Abbr="6 p." DocPartId="7cc62d7dd3ed48fe88225d669b49c02a" PartId="fca277fc9a3e4caa98abe6a5acd46bea">
        <Part Type="papunktis" Nr="6.1" Abbr="6.1 pp." DocPartId="8ae18a6336e341659018d9c13a92bc96" PartId="aafc8e2ff41c456eb5803009856479f8"/>
        <Part Type="papunktis" Nr="6.2" Abbr="6.2 pp." DocPartId="5cf67ea1856b4d48a50c030923f15a71" PartId="c8ecc6df03d4413399f24de62c46ec5a"/>
        <Part Type="papunktis" Nr="6.3" Abbr="6.3 pp." DocPartId="9fc7e5b9aa2941dcbe907ac6423f56ea" PartId="fdea965ba9674f90a97c9beccdb820ea"/>
        <Part Type="papunktis" Nr="6.4" Abbr="6.4 pp." DocPartId="e4e92b729e6e43ef8f81c15ae4e958ed" PartId="e8bab18115cc46109058ed82f454cac2"/>
        <Part Type="papunktis" Nr="6.5" Abbr="6.5 pp." DocPartId="390345c02cb840d2b78ec64eeb413139" PartId="2be48baa6fbe4e7e95a775b7454ead0d"/>
        <Part Type="papunktis" Nr="6.6" Abbr="6.6 pp." DocPartId="81753b193b5b4355b8bc7efc198f3109" PartId="059ad39dfd3644ae93d70247e5da13db"/>
      </Part>
      <Part Type="punktas" Nr="7" Abbr="7 p." DocPartId="cb04fcb56f15440d88d2c3867b6252ea" PartId="5c93a8491ac34d8da8129cffc5cfa7ab">
        <Part Type="papunktis" Nr="7.1" Abbr="7.1 pp." DocPartId="bdb80d45dd394734b82c2a6be5b00129" PartId="ff617350748d4aa98120f827e29680ff"/>
        <Part Type="papunktis" Nr="7.2" Abbr="7.2 pp." DocPartId="ddcb1ef3cde14cffb882723beeae7754" PartId="7e991589bcab4b739011487258f77d5a"/>
      </Part>
      <Part Type="punktas" Nr="8" Abbr="8 p." DocPartId="73c6954708054441a9b47c108e00b428" PartId="bce6446be44a4cd2b20ff83f5d02d47a">
        <Part Type="papunktis" Nr="8.1" Abbr="8.1 pp." DocPartId="0dd0b73947e84368a648d14c6f9551d6" PartId="dc6cf02f6ed149c1938eb67a62c6a3ec"/>
        <Part Type="papunktis" Nr="8.2" Abbr="8.2 pp." DocPartId="081a5839eb0c43f9bb06fefaeaba9dba" PartId="a62ed2d1436b41538a1ee857a1ab42af">
          <Part Type="papunktis" Nr="8.2.1" Abbr="8.2.1 pp." DocPartId="15e0cb2890924e389fc3aa67fd56d8bf" PartId="a90c6261a3fa40e3ba3ab0f6608c44a5"/>
          <Part Type="papunktis" Nr="8.2.2" Abbr="8.2.2 pp." DocPartId="006f8ba39f3d42b682e08cd5dd6a781e" PartId="4319954f56944875aa4e6909ef8f126b"/>
          <Part Type="papunktis" Nr="8.2.3" Abbr="8.2.3 pp." DocPartId="be0c2a9ac14b4d8a8d90c0779cd340e1" PartId="49d0502fa7e14bdebd22aabbfbaa176c"/>
          <Part Type="papunktis" Nr="8.2.4" Abbr="8.2.4 pp." DocPartId="2559e7582aae437883b65212a557112c" PartId="7188ec8bdf2c45e5b2b003f2c85a6971"/>
        </Part>
      </Part>
      <Part Type="punktas" Nr="9" Abbr="9 p." DocPartId="b6942146706149e6b43941b920428e03" PartId="999cd755c13a43cc963d9fe2a1e60abc">
        <Part Type="papunktis" Nr="9.1" Abbr="9.1 pp." DocPartId="db2d1f70a58240bfb110f8589b178d73" PartId="386ad581a5d04e579ae674933159d701"/>
        <Part Type="papunktis" Nr="9.2" Abbr="9.2 pp." DocPartId="7b48a9b6d8434ad288f8cd288efd4b48" PartId="578bede0b42a4310a9bfa49220ddc1b8"/>
        <Part Type="papunktis" Nr="9.3" Abbr="9.3 pp." DocPartId="fe5e82d20ca945939694201a49741f0f" PartId="78528cfcfd464d43b0b32acedb66299a"/>
        <Part Type="papunktis" Nr="9.4" Abbr="9.4 pp." DocPartId="e478a862b8174996a4d0ceff67ba76c3" PartId="545f288086a04130a33ebbbcb8cba510"/>
        <Part Type="papunktis" Nr="9.5" Abbr="9.5 pp." DocPartId="b3f95f3768e5468298ba2f9dfc628727" PartId="79365ab86d964d64afed29e02d82ba10"/>
        <Part Type="papunktis" Nr="9.6" Abbr="9.6 pp." DocPartId="8ee2dfc97ed74f5f910285448ab45585" PartId="0af87677f19d40c3a3e22bd0dfe146ff"/>
        <Part Type="papunktis" Nr="9.7" Abbr="9.7 pp." DocPartId="91c7c1f3589a4a9dad5ae8ebe7f69cba" PartId="ea259597e5f142fcbde4f05adbc64575"/>
        <Part Type="papunktis" Nr="9.8" Abbr="9.8 pp." DocPartId="69cfea52dbf24a51a369915d2cdf7fe9" PartId="9e0699da124147229d72e25e20253011"/>
        <Part Type="papunktis" Nr="9.9" Abbr="9.9 pp." DocPartId="0321984529d3444bbfdc86c0bdb9d498" PartId="920fc78ed14b42fea53784edf2f12535"/>
        <Part Type="papunktis" Nr="9.10" Abbr="9.10 pp." DocPartId="05a1e4fb2cc64ec68f3b705466271a10" PartId="3648143225c3467da11f14ed2ada7aaf"/>
      </Part>
      <Part Type="punktas" Nr="10" Abbr="10 p." DocPartId="7ffe9fd6fc2c44c7b0f3a1b00c33713a" PartId="25d831a7334a41b98d83a40f275a5273">
        <Part Type="papunktis" Nr="10.1" Abbr="10.1 pp." DocPartId="d7eb9b91691f43c6b2d2cc1378f7cf5a" PartId="e8df0646161a4400a649dc1108972155"/>
        <Part Type="papunktis" Nr="10.2" Abbr="10.2 pp." DocPartId="3ff3073d93ba4b4d9e83d13db23be51b" PartId="4cf332c8ad4842a8aa6fdfa73b9f1982"/>
      </Part>
      <Part Type="punktas" Nr="11" Abbr="11 p." DocPartId="615d2f4f4c9d42158273bc0042315dff" PartId="a01bf41917ba48c687366105b95c8dbf"/>
      <Part Type="punktas" Nr="12" Abbr="12 p." DocPartId="91cde5410b3249c8842a0c91586fdff8" PartId="ceac68b736b4475698398c05d4858151"/>
      <Part Type="punktas" Nr="13" Abbr="13 p." DocPartId="5c5ab3122d6d4000be391fabc8d22b5a" PartId="72b65d45117b46c78bb57f10d3e7a2c3"/>
      <Part Type="punktas" Nr="14" Abbr="14 p." DocPartId="43f8041e6a8946bdb7dbf2efd435a64f" PartId="12cb7750e5304863ba9b1c191063f488"/>
    </Part>
    <Part Type="skyrius" Nr="4" Title="ASMENS SVEIKATOS PRIEŽIŪROS PASLAUGŲ, VYKDANT ILGALAIKĮ PACIENTŲ SVEIKATOS BŪKLĖS STEBĖJIMĄ, APMOKĖJIMO PRIVALOMOJO SVEIKATOS DRAUDIMO FONDO BIUDŽETO LĖŠOMIS TVARKA" DocPartId="17ab62b547774c778fa99339eeb19838" PartId="a699ed6107084837acb8fefcc94f3134">
      <Part Type="punktas" Nr="15" Abbr="15 p." DocPartId="4b6f8144c13e49f99e710215b7ad655f" PartId="0577ab90ce3348a49bbe0c1b5dd31da8"/>
      <Part Type="punktas" Nr="16" Abbr="16 p." DocPartId="5d629bb09080428ea46a5ff4e0d26756" PartId="658e485c5fef48e0860c65bb11de45af"/>
    </Part>
    <Part Type="skyrius" Nr="5" Title="BAIGIAMOSIOS NUOSTATOS" DocPartId="db170dfa81374ae5b94b122188d4f22e" PartId="f2a0ec826f6d4a849d142fe212fb7d69">
      <Part Type="punktas" Nr="17" Abbr="17 p." DocPartId="3651321496eb46c3b730d705d0a42f77" PartId="3d4eb13b7e5e45fb966167970bfb2fe4"/>
      <Part Type="punktas" Nr="18" Abbr="18 p." DocPartId="8efc14b0aa414bb489b3c9cf6809b777" PartId="b5015ab90130412d931ec6312f92a4eb"/>
      <Part Type="punktas" Nr="19" Abbr="19 p." DocPartId="089cd6d967a544258afef0d475dc825a" PartId="08b33fb8a1784f14bfb6f3d92776e0e3"/>
    </Part>
    <Part Type="pabaiga" DocPartId="f8ccbbecb7df45088e2a21f8b987a7d7" PartId="f407ff27c3a0425a999292807fbeb2d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2B20C7A-6EEE-4F0C-A561-71A78DC88325}">
  <ds:schemaRefs>
    <ds:schemaRef ds:uri="http://lrs.lt/TAIS/DocParts"/>
  </ds:schemaRefs>
</ds:datastoreItem>
</file>

<file path=customXml/itemProps2.xml><?xml version="1.0" encoding="utf-8"?>
<ds:datastoreItem xmlns:ds="http://schemas.openxmlformats.org/officeDocument/2006/customXml" ds:itemID="{DD48EAEC-1630-4B57-8FEE-954AAA6598F6}">
  <ds:schemaRefs>
    <ds:schemaRef ds:uri="http://schemas.openxmlformats.org/officeDocument/2006/bibliography"/>
  </ds:schemaRefs>
</ds:datastoreItem>
</file>

<file path=customXml/itemProps3.xml><?xml version="1.0" encoding="utf-8"?>
<ds:datastoreItem xmlns:ds="http://schemas.openxmlformats.org/officeDocument/2006/customXml" ds:itemID="{F3EF5BCF-F0CA-48AC-823A-1DB6786CEE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7</Pages>
  <Words>2386</Words>
  <Characters>17836</Characters>
  <Application>Microsoft Office Word</Application>
  <DocSecurity>0</DocSecurity>
  <Lines>148</Lines>
  <Paragraphs>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MINISTRAS</vt:lpstr>
    </vt:vector>
  </TitlesOfParts>
  <Company>SAM</Company>
  <LinksUpToDate>false</LinksUpToDate>
  <CharactersWithSpaces>20182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2014-05-16T12:25:00Z</dcterms:created>
  <dc:creator>ciceniene</dc:creator>
  <lastModifiedBy>TAMALIŪNIENĖ Vilija</lastModifiedBy>
  <lastPrinted>2013-12-16T14:31:00Z</lastPrinted>
  <dcterms:modified xsi:type="dcterms:W3CDTF">2026-02-12T11:35:00Z</dcterms:modified>
  <revision>20</revision>
  <dc:title>LIETUVOS RESPUBLIKOS SVEIKATOS APSAUGOS MINISTRAS</dc:title>
</coreProperties>
</file>