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Times New Roman" w:hAnsi="Times New Roman"/>
            </w:rPr>
          </w:pPr>
          <w:r>
            <w:rPr>
              <w:rFonts w:ascii="Times New Roman" w:hAnsi="Times New Roman"/>
              <w:b/>
              <w:i/>
            </w:rPr>
            <w:t>Suvestinė redakcija nuo 2026-06-19 iki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C6C5599DD9A1">
            <w:r w:rsidRPr="00532B9F">
              <w:rPr>
                <w:rFonts w:ascii="Times New Roman" w:eastAsia="MS Mincho" w:hAnsi="Times New Roman"/>
                <w:sz w:val="20"/>
                <w:i/>
                <w:iCs/>
                <w:color w:val="0000FF" w:themeColor="hyperlink"/>
                <w:u w:val="single"/>
              </w:rPr>
              <w:t>97-2775</w:t>
            </w:r>
          </w:fldSimple>
          <w:r>
            <w:rPr>
              <w:rFonts w:ascii="Times New Roman" w:eastAsia="MS Mincho" w:hAnsi="Times New Roman"/>
              <w:sz w:val="20"/>
              <w:i/>
              <w:iCs/>
            </w:rPr>
            <w:t>, i. k. 0991010ISTAIII-1370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rPr>
              <w:rFonts w:ascii="Times New Roman" w:hAnsi="Times New Roman"/>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66629f6e87cb400593925050650bf50f"/>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44ce86ed4b64d09b95c05173f5c7e5e"/>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8 d."/>
                    <w:tag w:val="part_9127d96053e74766913c9bfcb6c722ef"/>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3168a3178d574c3f84d642e4657f5312"/>
                    <w:lock w:val="sdtLocked"/>
                    <w:richText/>
                  </w:sdtPr>
                  <w:sdtContent>
                    <w:p>
                      <w:pPr>
                        <w:suppressAutoHyphens/>
                        <w:spacing w:line="360" w:lineRule="auto"/>
                        <w:ind w:firstLine="720"/>
                        <w:jc w:val="both"/>
                        <w:rPr>
                          <w:rFonts w:eastAsia="Calibri"/>
                          <w:color w:val="000000"/>
                          <w:szCs w:val="24"/>
                          <w:lang w:eastAsia="lt-LT"/>
                        </w:rPr>
                      </w:pPr>
                      <w:sdt>
                        <w:sdtPr>
                          <w:alias w:val="Numeris"/>
                          <w:tag w:val="nr_3168a3178d574c3f84d642e4657f5312"/>
                          <w:lock w:val="sdtLocked"/>
                          <w:richText/>
                        </w:sdtPr>
                        <w:sdtContent>
                          <w:r>
                            <w:rPr>
                              <w:bCs/>
                              <w:color w:val="000000"/>
                              <w:szCs w:val="24"/>
                              <w:lang w:eastAsia="zh-CN"/>
                            </w:rPr>
                            <w:t>12</w:t>
                          </w:r>
                        </w:sdtContent>
                      </w:sdt>
                      <w:r>
                        <w:rPr>
                          <w:bCs/>
                          <w:color w:val="000000"/>
                          <w:szCs w:val="24"/>
                          <w:lang w:eastAsia="zh-CN"/>
                        </w:rPr>
                        <w:t xml:space="preserve">. </w:t>
                      </w:r>
                      <w:r>
                        <w:rPr>
                          <w:b/>
                          <w:color w:val="000000"/>
                          <w:szCs w:val="24"/>
                          <w:lang w:eastAsia="zh-CN"/>
                        </w:rPr>
                        <w:t>Įmonių grupė</w:t>
                      </w:r>
                      <w:r>
                        <w:rPr>
                          <w:bCs/>
                          <w:color w:val="000000"/>
                          <w:szCs w:val="24"/>
                          <w:lang w:eastAsia="zh-CN"/>
                        </w:rPr>
                        <w:t xml:space="preserve"> – Lietuvos Respublikos įmonių ir</w:t>
                      </w:r>
                      <w:r>
                        <w:rPr>
                          <w:color w:val="000000"/>
                          <w:szCs w:val="24"/>
                          <w:lang w:eastAsia="zh-CN"/>
                        </w:rPr>
                        <w:t xml:space="preserve"> </w:t>
                      </w:r>
                      <w:r>
                        <w:rPr>
                          <w:bCs/>
                          <w:color w:val="000000"/>
                          <w:szCs w:val="24"/>
                          <w:lang w:eastAsia="zh-CN"/>
                        </w:rPr>
                        <w:t xml:space="preserve">įmonių grupių atskaitomybės įstatyme apibrėžta grupė, taip pat 2014 m. sausio 7 d. Komisijos deleguotojo reglamento </w:t>
                      </w:r>
                      <w:hyperlink r:id="rId14" w:tgtFrame="_blank" w:history="1">
                        <w:r>
                          <w:rPr>
                            <w:bCs/>
                            <w:color w:val="0000FF" w:themeColor="hyperlink"/>
                            <w:szCs w:val="24"/>
                            <w:u w:val="single"/>
                            <w:lang w:eastAsia="zh-CN"/>
                          </w:rPr>
                          <w:t>(ES) Nr. 241/2014</w:t>
                        </w:r>
                      </w:hyperlink>
                      <w:r>
                        <w:rPr>
                          <w:bCs/>
                          <w:color w:val="000000"/>
                          <w:szCs w:val="24"/>
                          <w:lang w:eastAsia="zh-CN"/>
                        </w:rPr>
                        <w:t xml:space="preserve">, kuriuo papildomos Europos Parlamento ir Tarybos reglamento </w:t>
                      </w:r>
                      <w:hyperlink r:id="rId15" w:tgtFrame="_blank" w:history="1">
                        <w:r>
                          <w:rPr>
                            <w:bCs/>
                            <w:color w:val="0000FF" w:themeColor="hyperlink"/>
                            <w:szCs w:val="24"/>
                            <w:u w:val="single"/>
                            <w:lang w:eastAsia="zh-CN"/>
                          </w:rPr>
                          <w:t>(ES) Nr. 575/2013</w:t>
                        </w:r>
                      </w:hyperlink>
                      <w:r>
                        <w:rPr>
                          <w:bCs/>
                          <w:color w:val="000000"/>
                          <w:szCs w:val="24"/>
                          <w:lang w:eastAsia="zh-CN"/>
                        </w:rPr>
                        <w:t xml:space="preserve"> nuostatos, susijusios su įstaigų nuosavų lėšų reikalavimų techniniais reguliavimo standartais, su visais pakeitimais, 4, 5, 6 ir 7 straipsniuose nurodytos įmonės, kurios viena su kita susijusios 2013 m. birželio 26 d. Europos Parlamento ir Tarybos reglamento </w:t>
                      </w:r>
                      <w:hyperlink r:id="rId16" w:tgtFrame="_blank" w:history="1">
                        <w:r>
                          <w:rPr>
                            <w:bCs/>
                            <w:color w:val="0000FF" w:themeColor="hyperlink"/>
                            <w:szCs w:val="24"/>
                            <w:u w:val="single"/>
                            <w:lang w:eastAsia="zh-CN"/>
                          </w:rPr>
                          <w:t>(ES) Nr. 575/2013</w:t>
                        </w:r>
                      </w:hyperlink>
                      <w:r>
                        <w:rPr>
                          <w:bCs/>
                          <w:color w:val="000000"/>
                          <w:szCs w:val="24"/>
                          <w:lang w:eastAsia="zh-CN"/>
                        </w:rPr>
                        <w:t xml:space="preserve"> dėl prudencinių reikalavimų kredito įstaigoms ir investicinėms įmonėms ir kuriuo iš dalies keičiamas Reglamentas </w:t>
                      </w:r>
                      <w:hyperlink r:id="rId17" w:tgtFrame="_blank" w:history="1">
                        <w:r>
                          <w:rPr>
                            <w:bCs/>
                            <w:color w:val="0000FF" w:themeColor="hyperlink"/>
                            <w:szCs w:val="24"/>
                            <w:u w:val="single"/>
                            <w:lang w:eastAsia="zh-CN"/>
                          </w:rPr>
                          <w:t>(ES) Nr. 648/2012</w:t>
                        </w:r>
                      </w:hyperlink>
                      <w:r>
                        <w:rPr>
                          <w:bCs/>
                          <w:color w:val="000000"/>
                          <w:szCs w:val="24"/>
                          <w:lang w:eastAsia="zh-CN"/>
                        </w:rPr>
                        <w:t xml:space="preserve"> su visais pakeitimais 10 straipsnio 1 dalyje ar 113 straipsnio 6 ar 7 dalyje nurodytais santykiais.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f2fab3165432463c94b4dc2130ad00e7"/>
                    <w:lock w:val="sdtLocked"/>
                    <w:richText/>
                  </w:sdtPr>
                  <w:sdtContent>
                    <w:p>
                      <w:pPr>
                        <w:pStyle w:val="PlainText"/>
                        <w:ind w:firstLine="567"/>
                        <w:jc w:val="both"/>
                        <w:rPr>
                          <w:rFonts w:ascii="Times New Roman" w:hAnsi="Times New Roman"/>
                          <w:b/>
                          <w:bCs/>
                          <w:sz w:val="22"/>
                        </w:rPr>
                      </w:pPr>
                      <w:r>
                        <w:rPr>
                          <w:rFonts w:ascii="Times New Roman" w:hAnsi="Times New Roman"/>
                          <w:sz w:val="22"/>
                        </w:rPr>
                        <w:t>38</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40-1 d."/>
                    <w:tag w:val="part_a0b867b7124b4168a89f137c5d3c559c"/>
                    <w:lock w:val="sdtLocked"/>
                    <w:richText/>
                  </w:sdtPr>
                  <w:sdtContent>
                    <w:p>
                      <w:pPr>
                        <w:widowControl w:val="0"/>
                        <w:spacing w:line="360" w:lineRule="auto"/>
                        <w:ind w:firstLine="720"/>
                        <w:jc w:val="both"/>
                        <w:rPr>
                          <w:szCs w:val="24"/>
                        </w:rPr>
                      </w:pPr>
                      <w:sdt>
                        <w:sdtPr>
                          <w:alias w:val="Numeris"/>
                          <w:tag w:val="nr_a0b867b7124b4168a89f137c5d3c559c"/>
                          <w:lock w:val="sdtLocked"/>
                          <w:richText/>
                        </w:sdtPr>
                        <w:sdtContent>
                          <w:r>
                            <w:rPr>
                              <w:szCs w:val="24"/>
                            </w:rPr>
                            <w:t>40</w:t>
                          </w:r>
                          <w:r>
                            <w:rPr>
                              <w:szCs w:val="24"/>
                              <w:vertAlign w:val="superscript"/>
                            </w:rPr>
                            <w:t>1</w:t>
                          </w:r>
                        </w:sdtContent>
                      </w:sdt>
                      <w:r>
                        <w:rPr>
                          <w:szCs w:val="24"/>
                        </w:rPr>
                        <w:t xml:space="preserve">. </w:t>
                      </w:r>
                      <w:r>
                        <w:rPr>
                          <w:b/>
                          <w:bCs/>
                          <w:szCs w:val="24"/>
                        </w:rPr>
                        <w:t>Momentinis kredito pervedimas</w:t>
                      </w:r>
                      <w:r>
                        <w:rPr>
                          <w:szCs w:val="24"/>
                        </w:rPr>
                        <w:t xml:space="preserve"> – kredito pervedimas, kuris bet kurią dieną ir bet kuriuo paros metu įvykdomas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333dd10687a444aca774b296bd20814e"/>
                    <w:lock w:val="sdtLocked"/>
                    <w:richText/>
                  </w:sdtPr>
                  <w:sdtContent>
                    <w:p>
                      <w:pPr>
                        <w:pStyle w:val="PlainText"/>
                        <w:ind w:firstLine="567"/>
                        <w:jc w:val="both"/>
                        <w:rPr>
                          <w:rFonts w:ascii="Times New Roman" w:hAnsi="Times New Roman"/>
                          <w:b/>
                          <w:bCs/>
                          <w:sz w:val="22"/>
                        </w:rPr>
                      </w:pPr>
                      <w:r>
                        <w:rPr>
                          <w:rFonts w:ascii="Times New Roman" w:hAnsi="Times New Roman"/>
                          <w:sz w:val="22"/>
                        </w:rPr>
                        <w:t>55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85b293868f9b4c809bb7df1ab7e11ec5"/>
                    <w:lock w:val="sdtLocked"/>
                    <w:richText/>
                  </w:sdtPr>
                  <w:sdtContent>
                    <w:p>
                      <w:pPr>
                        <w:spacing w:line="360" w:lineRule="auto"/>
                        <w:ind w:firstLine="720"/>
                        <w:jc w:val="both"/>
                      </w:pPr>
                      <w:sdt>
                        <w:sdtPr>
                          <w:alias w:val="Numeris"/>
                          <w:tag w:val="nr_85b293868f9b4c809bb7df1ab7e11ec5"/>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sdtContent>
                </w:sdt>
                <w:sdt>
                  <w:sdtPr>
                    <w:alias w:val="65 d."/>
                    <w:tag w:val="part_155cb586157f4750bbf2b28c4fc35f71"/>
                    <w:lock w:val="sdtLocked"/>
                    <w:richText/>
                  </w:sdtPr>
                  <w:sdtContent>
                    <w:p>
                      <w:pPr>
                        <w:suppressAutoHyphens/>
                        <w:spacing w:line="360" w:lineRule="auto"/>
                        <w:ind w:firstLine="720"/>
                        <w:jc w:val="both"/>
                        <w:rPr>
                          <w:rFonts w:eastAsia="Calibri"/>
                          <w:color w:val="000000"/>
                          <w:szCs w:val="24"/>
                        </w:rPr>
                      </w:pPr>
                      <w:sdt>
                        <w:sdtPr>
                          <w:alias w:val="Numeris"/>
                          <w:tag w:val="nr_155cb586157f4750bbf2b28c4fc35f71"/>
                          <w:lock w:val="sdtLocked"/>
                          <w:richText/>
                        </w:sdtPr>
                        <w:sdtContent>
                          <w:r>
                            <w:rPr>
                              <w:color w:val="000000"/>
                              <w:szCs w:val="24"/>
                              <w:lang w:eastAsia="zh-CN"/>
                            </w:rPr>
                            <w:t>65</w:t>
                          </w:r>
                        </w:sdtContent>
                      </w:sdt>
                      <w:r>
                        <w:rPr>
                          <w:color w:val="000000"/>
                          <w:szCs w:val="24"/>
                          <w:lang w:eastAsia="zh-CN"/>
                        </w:rPr>
                        <w:t xml:space="preserve">. Kitos šiame įstatyme vartojamos sąvokos suprantamos taip, kaip apibrėžiamos Lietuvos Respublikos elektroninių pinigų ir elektroninių pinigų įstaigų įstatyme, Lietuvos Respublikos elektroninių ryšių įstatyme, Lietuvos Respublikos vartojimo kredito įstatyme ir Reglamente </w:t>
                      </w:r>
                      <w:hyperlink r:id="rId40" w:tgtFrame="_blank" w:history="1">
                        <w:r>
                          <w:rPr>
                            <w:color w:val="0000FF" w:themeColor="hyperlink"/>
                            <w:szCs w:val="24"/>
                            <w:u w:val="single"/>
                            <w:lang w:eastAsia="zh-CN"/>
                          </w:rPr>
                          <w:t>(ES) 260/2012</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65 d."/>
                    <w:tag w:val="part_f206c90e9d0b4a74ba9b26307fea0093"/>
                    <w:lock w:val="sdtLocked"/>
                    <w:richText/>
                  </w:sdtPr>
                  <w:sdtContent>
                    <w:p>
                      <w:pPr>
                        <w:spacing w:line="360" w:lineRule="auto"/>
                        <w:ind w:firstLine="720"/>
                        <w:jc w:val="both"/>
                        <w:textAlignment w:val="baseline"/>
                        <w:rPr>
                          <w:rFonts w:eastAsia="Calibri"/>
                          <w:color w:val="000000"/>
                          <w:szCs w:val="24"/>
                        </w:rPr>
                      </w:pPr>
                      <w:sdt>
                        <w:sdtPr>
                          <w:alias w:val="Numeris"/>
                          <w:tag w:val="nr_f206c90e9d0b4a74ba9b26307fea0093"/>
                          <w:lock w:val="sdtLocked"/>
                          <w:richText/>
                        </w:sdtPr>
                        <w:sdtContent>
                          <w:r>
                            <w:rPr>
                              <w:bCs/>
                              <w:szCs w:val="24"/>
                              <w:lang w:eastAsia="lt-LT"/>
                            </w:rPr>
                            <w:t>65</w:t>
                          </w:r>
                        </w:sdtContent>
                      </w:sdt>
                      <w:r>
                        <w:rPr>
                          <w:bCs/>
                          <w:szCs w:val="24"/>
                          <w:lang w:eastAsia="lt-LT"/>
                        </w:rPr>
                        <w:t>. Kitos šiame įstatyme vartojamos sąvokos suprantamos taip, kaip apibrėžiamos Lietuvos Respublikos mobilizacijos ir priimančiosios šalies paramos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bfc964b8f388491b8ca1fdae17816a5f"/>
                        <w:lock w:val="sdtLocked"/>
                        <w:richText/>
                      </w:sdtPr>
                      <w:sdtContent>
                        <w:p>
                          <w:pPr>
                            <w:suppressAutoHyphens/>
                            <w:spacing w:line="360" w:lineRule="auto"/>
                            <w:ind w:firstLine="720"/>
                            <w:jc w:val="both"/>
                            <w:rPr>
                              <w:rFonts w:eastAsia="Calibri"/>
                              <w:color w:val="000000"/>
                              <w:szCs w:val="24"/>
                              <w:lang w:eastAsia="lt-LT"/>
                            </w:rPr>
                          </w:pPr>
                          <w:sdt>
                            <w:sdtPr>
                              <w:alias w:val="Numeris"/>
                              <w:tag w:val="nr_bfc964b8f388491b8ca1fdae17816a5f"/>
                              <w:lock w:val="sdtLocked"/>
                              <w:richText/>
                            </w:sdtPr>
                            <w:sdtContent>
                              <w:r>
                                <w:rPr>
                                  <w:color w:val="000000"/>
                                  <w:szCs w:val="24"/>
                                  <w:lang w:eastAsia="zh-CN"/>
                                </w:rPr>
                                <w:t>10</w:t>
                              </w:r>
                            </w:sdtContent>
                          </w:sdt>
                          <w:r>
                            <w:rPr>
                              <w:color w:val="000000"/>
                              <w:szCs w:val="24"/>
                              <w:lang w:eastAsia="zh-CN"/>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ir ryšių</w:t>
                          </w:r>
                          <w:r>
                            <w:rPr>
                              <w:bCs/>
                              <w:color w:val="000000"/>
                              <w:szCs w:val="24"/>
                              <w:lang w:eastAsia="zh-CN"/>
                            </w:rPr>
                            <w:t xml:space="preserve"> </w:t>
                          </w:r>
                          <w:r>
                            <w:rPr>
                              <w:color w:val="000000"/>
                              <w:szCs w:val="24"/>
                              <w:lang w:eastAsia="zh-CN"/>
                            </w:rPr>
                            <w:t>technologijų ir elektroninių ryšių tinklo suteikimą, taip pat mokėjimo paslaugoms teikti naudojamų terminalų, prietaisų suteikimą ir techninę jų priežiūrą, išskyrus mokėjimo inicijavimo paslaugas ir sąskaitos informacijos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sdtContent>
                </w:sdt>
                <w:sdt>
                  <w:sdtPr>
                    <w:alias w:val="3 str. 14 d."/>
                    <w:tag w:val="part_c02307981f7145d1834ebb8107ccb18a"/>
                    <w:lock w:val="sdtLocked"/>
                    <w:richText/>
                  </w:sdtPr>
                  <w:sdtContent>
                    <w:p>
                      <w:pPr>
                        <w:spacing w:line="360" w:lineRule="auto"/>
                        <w:ind w:firstLine="720"/>
                        <w:jc w:val="both"/>
                        <w:rPr>
                          <w:rFonts w:eastAsia="Calibri"/>
                          <w:color w:val="000000"/>
                          <w:szCs w:val="24"/>
                          <w:lang w:eastAsia="lt-LT"/>
                        </w:rPr>
                      </w:pPr>
                      <w:sdt>
                        <w:sdtPr>
                          <w:alias w:val="Numeris"/>
                          <w:tag w:val="nr_c02307981f7145d1834ebb8107ccb18a"/>
                          <w:lock w:val="sdtLocked"/>
                          <w:richText/>
                        </w:sdtPr>
                        <w:sdtContent>
                          <w:r>
                            <w:rPr>
                              <w:szCs w:val="24"/>
                            </w:rPr>
                            <w:t>14</w:t>
                          </w:r>
                        </w:sdtContent>
                      </w:sdt>
                      <w:r>
                        <w:rPr>
                          <w:szCs w:val="24"/>
                        </w:rPr>
                        <w:t>. Tais atvejais, kai mokėjimo paslaugos teikiamos pagal sutartis, sudarytas naudojant nuotolinio ryšio priemones, ir taikomas Lietuvos Respublikos vartotojų teisių apsaugos įstatymas, vietoj Vartotojų teisių apsaugos įstatymo 37</w:t>
                      </w:r>
                      <w:r>
                        <w:rPr>
                          <w:szCs w:val="24"/>
                          <w:vertAlign w:val="superscript"/>
                        </w:rPr>
                        <w:t xml:space="preserve"> </w:t>
                      </w:r>
                      <w:r>
                        <w:rPr>
                          <w:szCs w:val="24"/>
                        </w:rPr>
                        <w:t>straipsnio 1 dalyje, išskyrus jos 10–14, 16, 19 ir 23 punktus, nustatytų informacijos reikalavimų taikomos šio įstatymo 13 ir 20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9619124cde11f0b070ee7f1ceefc75">
                        <w:r w:rsidRPr="00532B9F">
                          <w:rPr>
                            <w:rFonts w:ascii="Times New Roman" w:eastAsia="MS Mincho" w:hAnsi="Times New Roman"/>
                            <w:sz w:val="20"/>
                            <w:i/>
                            <w:iCs/>
                            <w:color w:val="0000FF" w:themeColor="hyperlink"/>
                            <w:u w:val="single"/>
                          </w:rPr>
                          <w:t>XV-270</w:t>
                        </w:r>
                      </w:fldSimple>
                      <w:r>
                        <w:rPr>
                          <w:rFonts w:ascii="Times New Roman" w:eastAsia="MS Mincho" w:hAnsi="Times New Roman"/>
                          <w:sz w:val="20"/>
                          <w:i/>
                          <w:iCs/>
                        </w:rPr>
                        <w:t>,
2025-06-12,
paskelbta TAR 2025-06-19, i. k. 2025-11119            </w:t>
                      </w:r>
                    </w:p>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df4f8d27f2424ec6af1a6c74e50e8879"/>
                    <w:lock w:val="sdtLocked"/>
                    <w:richText/>
                  </w:sdtPr>
                  <w:sdtContent>
                    <w:p>
                      <w:pPr>
                        <w:tabs>
                          <w:tab w:val="left" w:pos="533"/>
                        </w:tabs>
                        <w:spacing w:line="360" w:lineRule="auto"/>
                        <w:ind w:firstLine="720"/>
                        <w:jc w:val="both"/>
                        <w:rPr>
                          <w:rFonts w:eastAsia="Calibri"/>
                          <w:color w:val="000000"/>
                          <w:szCs w:val="24"/>
                        </w:rPr>
                      </w:pPr>
                      <w:sdt>
                        <w:sdtPr>
                          <w:alias w:val="Numeris"/>
                          <w:tag w:val="nr_df4f8d27f2424ec6af1a6c74e50e8879"/>
                          <w:lock w:val="sdtLocked"/>
                          <w:richText/>
                        </w:sdtPr>
                        <w:sdtContent>
                          <w:r>
                            <w:rPr>
                              <w:rFonts w:eastAsia="Calibri"/>
                              <w:szCs w:val="24"/>
                            </w:rPr>
                            <w:t>4</w:t>
                          </w:r>
                        </w:sdtContent>
                      </w:sdt>
                      <w:r>
                        <w:rPr>
                          <w:rFonts w:eastAsia="Calibri"/>
                          <w:szCs w:val="24"/>
                        </w:rPr>
                        <w:t>. Šio straipsnio 1, 2 ir 3 dalys netaikomos mokėjimo sistemoms, kuriose dalyvauja tik mokėjimo paslaugų teikėjai, priklausantys įmonių grupei. Šio straipsnio 3 dalis netaikoma Lietuvos Respublikos atsiskaitymų baigtinumo mokėjimo ir vertybinių popierių atsiskaitymo sistemose įstatyme (toliau – Atsiskaitymų baigtinumo įstatymas) nustatytoms mokėjimo sistemoms.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9 str. 5 d."/>
                    <w:tag w:val="part_a804f46834524e90a80f80c1eeb0cb45"/>
                    <w:lock w:val="sdtLocked"/>
                    <w:richText/>
                  </w:sdtPr>
                  <w:sdtContent>
                    <w:p>
                      <w:pPr>
                        <w:tabs>
                          <w:tab w:val="left" w:pos="533"/>
                        </w:tabs>
                        <w:spacing w:line="360" w:lineRule="auto"/>
                        <w:ind w:firstLine="720"/>
                        <w:jc w:val="both"/>
                      </w:pPr>
                      <w:sdt>
                        <w:sdtPr>
                          <w:alias w:val="Numeris"/>
                          <w:tag w:val="nr_a804f46834524e90a80f80c1eeb0cb45"/>
                          <w:lock w:val="sdtLocked"/>
                          <w:richText/>
                        </w:sdt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Content>
            </w:sdt>
            <w:sdt>
              <w:sdtPr>
                <w:alias w:val="9-1 str."/>
                <w:tag w:val="part_90551782ec8d4c1e9c7d9b84b2a5034c"/>
                <w:lock w:val="sdtLocked"/>
                <w:richText/>
              </w:sdtPr>
              <w:sdtContent>
                <w:p>
                  <w:pPr>
                    <w:spacing w:line="360" w:lineRule="auto"/>
                    <w:ind w:firstLine="720"/>
                    <w:jc w:val="both"/>
                    <w:rPr>
                      <w:b/>
                      <w:color w:val="000000"/>
                    </w:rPr>
                  </w:pPr>
                  <w:sdt>
                    <w:sdtPr>
                      <w:alias w:val="Numeris"/>
                      <w:tag w:val="nr_90551782ec8d4c1e9c7d9b84b2a5034c"/>
                      <w:lock w:val="sdtLocked"/>
                      <w:richText/>
                    </w:sdtPr>
                    <w:sdtContent>
                      <w:r>
                        <w:rPr>
                          <w:b/>
                          <w:color w:val="000000"/>
                        </w:rPr>
                        <w:t>9</w:t>
                      </w:r>
                      <w:r>
                        <w:rPr>
                          <w:b/>
                          <w:color w:val="000000"/>
                          <w:vertAlign w:val="superscript"/>
                        </w:rPr>
                        <w:t>1</w:t>
                      </w:r>
                    </w:sdtContent>
                  </w:sdt>
                  <w:r>
                    <w:rPr>
                      <w:b/>
                      <w:color w:val="000000"/>
                    </w:rPr>
                    <w:t xml:space="preserve"> straipsnis. Dalyvavimo nustatytose mokėjimo sistemose sąlygos</w:t>
                  </w:r>
                </w:p>
                <w:sdt>
                  <w:sdtPr>
                    <w:alias w:val="9-1 str. 1 d."/>
                    <w:tag w:val="part_04245304d0034a429f6c5af070cdd43e"/>
                    <w:lock w:val="sdtLocked"/>
                    <w:richText/>
                  </w:sdtPr>
                  <w:sdtContent>
                    <w:p>
                      <w:pPr>
                        <w:spacing w:line="360" w:lineRule="auto"/>
                        <w:ind w:firstLine="720"/>
                        <w:jc w:val="both"/>
                        <w:rPr>
                          <w:color w:val="000000"/>
                        </w:rPr>
                      </w:pPr>
                      <w:sdt>
                        <w:sdtPr>
                          <w:alias w:val="Numeris"/>
                          <w:tag w:val="nr_04245304d0034a429f6c5af070cdd43e"/>
                          <w:lock w:val="sdtLocked"/>
                          <w:richText/>
                        </w:sdtPr>
                        <w:sdtContent>
                          <w:r>
                            <w:rPr>
                              <w:color w:val="000000"/>
                            </w:rPr>
                            <w:t>1</w:t>
                          </w:r>
                        </w:sdtContent>
                      </w:sdt>
                      <w:r>
                        <w:rPr>
                          <w:color w:val="000000"/>
                        </w:rPr>
                        <w:t>. Siekiant apsaugoti mokėjimo sistemų stabilumą ir vientisumą, mokėjimo įstaiga arba elektroninių pinigų įstaiga, prašanti dalyvauti ir (arba) dalyvaujanti pagal Atsiskaitymų baigtinumo įstatymą nustatytoje mokėjimo sistemoje, turi turėti:</w:t>
                      </w:r>
                    </w:p>
                    <w:sdt>
                      <w:sdtPr>
                        <w:alias w:val="9-1 str. 1 d. 1 p."/>
                        <w:tag w:val="part_c921ea7f5eec4c0fa40ed2c19d0f93cb"/>
                        <w:lock w:val="sdtLocked"/>
                        <w:richText/>
                      </w:sdtPr>
                      <w:sdtContent>
                        <w:p>
                          <w:pPr>
                            <w:spacing w:line="360" w:lineRule="auto"/>
                            <w:ind w:firstLine="720"/>
                            <w:jc w:val="both"/>
                            <w:rPr>
                              <w:color w:val="000000"/>
                            </w:rPr>
                          </w:pPr>
                          <w:sdt>
                            <w:sdtPr>
                              <w:alias w:val="Numeris"/>
                              <w:tag w:val="nr_c921ea7f5eec4c0fa40ed2c19d0f93cb"/>
                              <w:lock w:val="sdtLocked"/>
                              <w:richText/>
                            </w:sdtPr>
                            <w:sdtContent>
                              <w:r>
                                <w:rPr>
                                  <w:color w:val="000000"/>
                                </w:rPr>
                                <w:t>1</w:t>
                              </w:r>
                            </w:sdtContent>
                          </w:sdt>
                          <w:r>
                            <w:rPr>
                              <w:color w:val="000000"/>
                            </w:rPr>
                            <w:t>) priemonių, kurių imasi siekdama apsaugoti mokėjimo paslaugų vartotojų lėšas, aprašymą;</w:t>
                          </w:r>
                        </w:p>
                      </w:sdtContent>
                    </w:sdt>
                    <w:sdt>
                      <w:sdtPr>
                        <w:alias w:val="9-1 str. 1 d. 2 p."/>
                        <w:tag w:val="part_d1d7facf8f374a11aa52c470c13ae921"/>
                        <w:lock w:val="sdtLocked"/>
                        <w:richText/>
                      </w:sdtPr>
                      <w:sdtContent>
                        <w:p>
                          <w:pPr>
                            <w:spacing w:line="360" w:lineRule="auto"/>
                            <w:ind w:firstLine="720"/>
                            <w:jc w:val="both"/>
                            <w:rPr>
                              <w:color w:val="000000"/>
                            </w:rPr>
                          </w:pPr>
                          <w:sdt>
                            <w:sdtPr>
                              <w:alias w:val="Numeris"/>
                              <w:tag w:val="nr_d1d7facf8f374a11aa52c470c13ae921"/>
                              <w:lock w:val="sdtLocked"/>
                              <w:richText/>
                            </w:sdtPr>
                            <w:sdtContent>
                              <w:r>
                                <w:rPr>
                                  <w:color w:val="000000"/>
                                </w:rPr>
                                <w:t>2</w:t>
                              </w:r>
                            </w:sdtContent>
                          </w:sdt>
                          <w:r>
                            <w:rPr>
                              <w:color w:val="000000"/>
                            </w:rPr>
                            <w:t>) mokėjimo paslaugų teikimo ir (arba) elektroninių pinigų leidimo veiklos valdymo tvarkos ir vidaus kontrolės sistemos, įskaitant administracines, rizikos valdymo ir apskaitos sistemas, aprašymą, taip pat naudojimosi informacinių ir ryšių technologijų paslaugomis tvarkos, atitinkančios 2022 m. gruodžio 14 d. Europos Parlamento ir Tarybos reglamento (ES) 2022/2554 dėl skaitmeninės veiklos atsparumo finansų sektoriuje, kuriuo iš dalies keičiami reglamentai (EB) Nr. 1060/2009, (ES) Nr. 648/2012, (ES) Nr. 600/2014, (ES) Nr. 909/2014 ir (ES) 2016/1011, 6 ir 7 straipsniuose nustatytus reikalavimus, aprašymą;</w:t>
                          </w:r>
                        </w:p>
                      </w:sdtContent>
                    </w:sdt>
                    <w:sdt>
                      <w:sdtPr>
                        <w:alias w:val="9-1 str. 1 d. 3 p."/>
                        <w:tag w:val="part_1290f587d8d945ab8dd7342d048d2a8c"/>
                        <w:lock w:val="sdtLocked"/>
                        <w:richText/>
                      </w:sdtPr>
                      <w:sdtContent>
                        <w:p>
                          <w:pPr>
                            <w:spacing w:line="360" w:lineRule="auto"/>
                            <w:ind w:firstLine="720"/>
                            <w:jc w:val="both"/>
                            <w:rPr>
                              <w:color w:val="000000"/>
                            </w:rPr>
                          </w:pPr>
                          <w:sdt>
                            <w:sdtPr>
                              <w:alias w:val="Numeris"/>
                              <w:tag w:val="nr_1290f587d8d945ab8dd7342d048d2a8c"/>
                              <w:lock w:val="sdtLocked"/>
                              <w:richText/>
                            </w:sdtPr>
                            <w:sdtContent>
                              <w:r>
                                <w:rPr>
                                  <w:color w:val="000000"/>
                                </w:rPr>
                                <w:t>3</w:t>
                              </w:r>
                            </w:sdtContent>
                          </w:sdt>
                          <w:r>
                            <w:rPr>
                              <w:color w:val="000000"/>
                            </w:rPr>
                            <w:t>) mokėjimo paslaugų teikimo veiklos nutraukimo planą ir (arba) elektroninių pinigų leidimo veiklos nutraukimo planą.</w:t>
                          </w:r>
                        </w:p>
                      </w:sdtContent>
                    </w:sdt>
                  </w:sdtContent>
                </w:sdt>
                <w:sdt>
                  <w:sdtPr>
                    <w:alias w:val="9-1 str. 2 d."/>
                    <w:tag w:val="part_7941fb5a03b24640b018046f35d977c4"/>
                    <w:lock w:val="sdtLocked"/>
                    <w:richText/>
                  </w:sdtPr>
                  <w:sdtContent>
                    <w:p>
                      <w:pPr>
                        <w:spacing w:line="360" w:lineRule="auto"/>
                        <w:ind w:firstLine="720"/>
                        <w:jc w:val="both"/>
                        <w:rPr>
                          <w:color w:val="000000"/>
                        </w:rPr>
                      </w:pPr>
                      <w:sdt>
                        <w:sdtPr>
                          <w:alias w:val="Numeris"/>
                          <w:tag w:val="nr_7941fb5a03b24640b018046f35d977c4"/>
                          <w:lock w:val="sdtLocked"/>
                          <w:richText/>
                        </w:sdtPr>
                        <w:sdtContent>
                          <w:r>
                            <w:rPr>
                              <w:color w:val="000000"/>
                            </w:rPr>
                            <w:t>2</w:t>
                          </w:r>
                        </w:sdtContent>
                      </w:sdt>
                      <w:r>
                        <w:rPr>
                          <w:color w:val="000000"/>
                        </w:rPr>
                        <w:t>. Priežiūros institucija detalizuoja šio straipsnio 1 dalyje nurodytus reikalavimus.</w:t>
                      </w:r>
                    </w:p>
                  </w:sdtContent>
                </w:sdt>
                <w:sdt>
                  <w:sdtPr>
                    <w:alias w:val="9-1 str. 3 d."/>
                    <w:tag w:val="part_bb3861a0821e4b2ab18d16cc0d7c0a54"/>
                    <w:lock w:val="sdtLocked"/>
                    <w:richText/>
                  </w:sdtPr>
                  <w:sdtContent>
                    <w:p>
                      <w:pPr>
                        <w:spacing w:line="360" w:lineRule="auto"/>
                        <w:ind w:firstLine="720"/>
                        <w:jc w:val="both"/>
                        <w:rPr>
                          <w:color w:val="000000"/>
                        </w:rPr>
                      </w:pPr>
                      <w:sdt>
                        <w:sdtPr>
                          <w:alias w:val="Numeris"/>
                          <w:tag w:val="nr_bb3861a0821e4b2ab18d16cc0d7c0a54"/>
                          <w:lock w:val="sdtLocked"/>
                          <w:richText/>
                        </w:sdtPr>
                        <w:sdtContent>
                          <w:r>
                            <w:rPr>
                              <w:color w:val="000000"/>
                            </w:rPr>
                            <w:t>3</w:t>
                          </w:r>
                        </w:sdtContent>
                      </w:sdt>
                      <w:r>
                        <w:rPr>
                          <w:color w:val="000000"/>
                        </w:rPr>
                        <w:t>. Siekiant įsitikinti, kad Lietuvos Respublikoje licencijuota mokėjimo įstaiga arba Lietuvos Respublikoje licencijuota elektroninių pinigų įstaiga laikosi šio straipsnio 1 dalyje nustatytų ir pagal šio straipsnio 2 dalį detalizuotų reikalavimų, ji mokėjimo sistemos operatoriui, kaip jis suprantamas pagal Atsiskaitymų baigtinumo įstatymą, (toliau šiame straipsnyje – mokėjimo sistemos operatorius) jo nustatyta tvarka turi pateikti šio straipsnio 1 dalyje nustatytų ir pagal šio straipsnio 2 dalį detalizuotų reikalavimų laikymosi ataskaitą.</w:t>
                      </w:r>
                    </w:p>
                  </w:sdtContent>
                </w:sdt>
                <w:sdt>
                  <w:sdtPr>
                    <w:alias w:val="9-1 str. 4 d."/>
                    <w:tag w:val="part_f5f0af587c8a4c3c954796cff0055a42"/>
                    <w:lock w:val="sdtLocked"/>
                    <w:richText/>
                  </w:sdtPr>
                  <w:sdtContent>
                    <w:p>
                      <w:pPr>
                        <w:spacing w:line="360" w:lineRule="auto"/>
                        <w:ind w:firstLine="720"/>
                        <w:jc w:val="both"/>
                        <w:rPr>
                          <w:bCs/>
                          <w:color w:val="000000"/>
                        </w:rPr>
                      </w:pPr>
                      <w:sdt>
                        <w:sdtPr>
                          <w:alias w:val="Numeris"/>
                          <w:tag w:val="nr_f5f0af587c8a4c3c954796cff0055a42"/>
                          <w:lock w:val="sdtLocked"/>
                          <w:richText/>
                        </w:sdtPr>
                        <w:sdtContent>
                          <w:r>
                            <w:rPr>
                              <w:bCs/>
                              <w:color w:val="000000"/>
                            </w:rPr>
                            <w:t>4</w:t>
                          </w:r>
                        </w:sdtContent>
                      </w:sdt>
                      <w:r>
                        <w:rPr>
                          <w:bCs/>
                          <w:color w:val="000000"/>
                        </w:rPr>
                        <w:t>. Mokėjimo sistemos operatoriui pareikalavus, Lietuvos Respublikoje licencijuota mokėjimo įstaiga arba Lietuvos Respublikoje licencijuota elektroninių pinigų įstaiga mokėjimo sistemos operatoriaus nustatyta tvarka privalo pateikti valstybėje narėje reziduojančios organizacijos, fizinio asmens ar asmenų grupės (toliau kartu šioje dalyje – subjektas), kuris (-i) yra nepriklausomas (-a) ir turi patirties tikrinant mokėjimo paslaugų teikimo ir (arba) elektroninių pinigų leidimo veiklos valdymo tvarką ir vidaus kontrolės sistemas dėl jų atitikties teisės aktams, reglamentuojantiems mokėjimo įstaigų ir elektroninių pinigų įstaigų veiklą, išvadą dėl šio straipsnio 1 dalyje nustatytų ir pagal šio straipsnio 2 dalį detalizuotų reikalavimų arba dalies jų laikymosi (toliau šioje dalyje – Išvada). Mokėjimo sistemos operatorius turi teisę nustatyti, kokios apimties ir dėl kurių šio straipsnio 1 dalyje nustatytų ir pagal šio straipsnio 2 dalį detalizuotų reikalavimų reikalauja Išvados. Subjektas laikomas nepriklausomu, kai su Išvadą užsakiusia Lietuvos Respublikoje licencijuota mokėjimo įstaiga ar Lietuvos Respublikoje licencijuota elektroninių pinigų įstaiga jo nesieja santykiai, kurie galėtų pakenkti subjekto objektyvumui ar galimybei nustatyti ir atskleisti šio straipsnio 1 dalyje nustatytų ir pagal šio straipsnio 2 dalį detalizuotų reikalavimų laikymosi pažeidimus ir trūkumus.</w:t>
                      </w:r>
                    </w:p>
                  </w:sdtContent>
                </w:sdt>
                <w:sdt>
                  <w:sdtPr>
                    <w:alias w:val="9-1 str. 5 d."/>
                    <w:tag w:val="part_1a6e61cb2e2b4d93885d1025fd794cb4"/>
                    <w:lock w:val="sdtLocked"/>
                    <w:richText/>
                  </w:sdtPr>
                  <w:sdtContent>
                    <w:p>
                      <w:pPr>
                        <w:spacing w:line="360" w:lineRule="auto"/>
                        <w:ind w:firstLine="720"/>
                        <w:jc w:val="both"/>
                        <w:rPr>
                          <w:color w:val="000000"/>
                        </w:rPr>
                      </w:pPr>
                      <w:sdt>
                        <w:sdtPr>
                          <w:alias w:val="Numeris"/>
                          <w:tag w:val="nr_1a6e61cb2e2b4d93885d1025fd794cb4"/>
                          <w:lock w:val="sdtLocked"/>
                          <w:richText/>
                        </w:sdtPr>
                        <w:sdtContent>
                          <w:r>
                            <w:rPr>
                              <w:bCs/>
                              <w:color w:val="000000"/>
                            </w:rPr>
                            <w:t>5</w:t>
                          </w:r>
                        </w:sdtContent>
                      </w:sdt>
                      <w:r>
                        <w:rPr>
                          <w:bCs/>
                          <w:color w:val="000000"/>
                        </w:rPr>
                        <w:t xml:space="preserve">. </w:t>
                      </w:r>
                      <w:r>
                        <w:rPr>
                          <w:color w:val="000000"/>
                        </w:rPr>
                        <w:t>Kitoje valstybėje narėje licencijuota mokėjimo įstaiga arba kitoje valstybėje narėje licencijuota elektroninių pinigų įstaiga mokėjimo sistemos operatoriui turi pateikti tos valstybės narės nustatyta tvarka parengtą patvirtinimą, kad ši įstaiga atitinka Direktyvos (ES) Nr. 2015/2366 35a straipsnio 1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474520fc811f08e9f87c0d053bf09">
                    <w:r w:rsidRPr="00532B9F">
                      <w:rPr>
                        <w:rFonts w:ascii="Times New Roman" w:eastAsia="MS Mincho" w:hAnsi="Times New Roman"/>
                        <w:sz w:val="20"/>
                        <w:i/>
                        <w:iCs/>
                        <w:color w:val="0000FF" w:themeColor="hyperlink"/>
                        <w:u w:val="single"/>
                      </w:rPr>
                      <w:t>XV-137</w:t>
                    </w:r>
                  </w:fldSimple>
                  <w:r>
                    <w:rPr>
                      <w:rFonts w:ascii="Times New Roman" w:eastAsia="MS Mincho" w:hAnsi="Times New Roman"/>
                      <w:sz w:val="20"/>
                      <w:i/>
                      <w:iCs/>
                    </w:rPr>
                    <w:t>,
2025-03-27,
paskelbta TAR 2025-04-02, i. k. 2025-05779            </w:t>
                  </w:r>
                </w:p>
                <w:p/>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1 d."/>
                        <w:tag w:val="part_db673fd6d7e24852a04564119ad25ea6"/>
                        <w:lock w:val="sdtLocked"/>
                        <w:richText/>
                      </w:sdtPr>
                      <w:sdtContent>
                        <w:p>
                          <w:pPr>
                            <w:widowControl w:val="0"/>
                            <w:spacing w:line="360" w:lineRule="auto"/>
                            <w:ind w:firstLine="720"/>
                            <w:jc w:val="both"/>
                            <w:rPr>
                              <w:szCs w:val="24"/>
                            </w:rPr>
                          </w:pPr>
                          <w:sdt>
                            <w:sdtPr>
                              <w:alias w:val="Numeris"/>
                              <w:tag w:val="nr_db673fd6d7e24852a04564119ad25ea6"/>
                              <w:lock w:val="sdtLocked"/>
                              <w:richText/>
                            </w:sdtPr>
                            <w:sdtContent>
                              <w:r>
                                <w:rPr>
                                  <w:szCs w:val="24"/>
                                </w:rPr>
                                <w:t>1</w:t>
                              </w:r>
                              <w:r>
                                <w:rPr>
                                  <w:szCs w:val="24"/>
                                  <w:vertAlign w:val="superscript"/>
                                </w:rPr>
                                <w:t>1</w:t>
                              </w:r>
                            </w:sdtContent>
                          </w:sdt>
                          <w:r>
                            <w:rPr>
                              <w:szCs w:val="24"/>
                            </w:rPr>
                            <w:t>. Mokėjimo paslaugų teikėjas, keisdamas vartotojams teikiamų su mokėjimo sąskaita susijusių paslaugų komisinių atlyginimų dydžius, vartotojui kartu su pateikiama informacija apie pakeitimus, kaip nurodyta šio straipsnio 1 dalyje, taip pat turi pateikti informaciją apie galimybę taikomą mokėjimo paslaugų kainodaros būdą pakeisti į kitą mokėjimo paslaugų teikėjo siūlomą būdą, o kai mokėjimo paslaugų teikėjas yra Lietuvos Respublikos teritorijoje veikianti kredito įstaiga, kuri teikia pagrindinės mokėjimo sąskaitos paslaugą, kaip nurodyta šio įstatymo 71 straipsnio 2 dalyje, papildomai lengvai suprantamais žodžiais, aiškia ir suprantama forma informuoja apie galimybę pasinaudoti pagrindinės mokėjimo sąskaitos paslauga.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68cf049a111efbdaea558de59136c">
                        <w:r w:rsidRPr="00532B9F">
                          <w:rPr>
                            <w:rFonts w:ascii="Times New Roman" w:eastAsia="MS Mincho" w:hAnsi="Times New Roman"/>
                            <w:sz w:val="20"/>
                            <w:i/>
                            <w:iCs/>
                            <w:color w:val="0000FF" w:themeColor="hyperlink"/>
                            <w:u w:val="single"/>
                          </w:rPr>
                          <w:t>XIV-2891</w:t>
                        </w:r>
                      </w:fldSimple>
                      <w:r>
                        <w:rPr>
                          <w:rFonts w:ascii="Times New Roman" w:eastAsia="MS Mincho" w:hAnsi="Times New Roman"/>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
                  <w:sdtPr>
                    <w:alias w:val="28-1 str."/>
                    <w:tag w:val="part_96002042b8ca47a4af3183e6869e69a3"/>
                    <w:lock w:val="sdtLocked"/>
                    <w:richText/>
                  </w:sdtPr>
                  <w:sdtContent>
                    <w:p>
                      <w:pPr>
                        <w:widowControl w:val="0"/>
                        <w:spacing w:line="360" w:lineRule="auto"/>
                        <w:ind w:left="2410" w:hanging="1690"/>
                        <w:jc w:val="both"/>
                        <w:rPr>
                          <w:szCs w:val="24"/>
                          <w:lang w:eastAsia="lt-LT"/>
                        </w:rPr>
                      </w:pPr>
                      <w:sdt>
                        <w:sdtPr>
                          <w:alias w:val="Numeris"/>
                          <w:tag w:val="nr_96002042b8ca47a4af3183e6869e69a3"/>
                          <w:lock w:val="sdtLocked"/>
                          <w:richText/>
                        </w:sdtPr>
                        <w:sdtContent>
                          <w:r>
                            <w:rPr>
                              <w:b/>
                              <w:bCs/>
                              <w:szCs w:val="24"/>
                              <w:lang w:eastAsia="lt-LT"/>
                            </w:rPr>
                            <w:t>28</w:t>
                          </w:r>
                          <w:r>
                            <w:rPr>
                              <w:b/>
                              <w:bCs/>
                              <w:szCs w:val="24"/>
                              <w:vertAlign w:val="superscript"/>
                              <w:lang w:eastAsia="lt-LT"/>
                            </w:rPr>
                            <w:t>1</w:t>
                          </w:r>
                        </w:sdtContent>
                      </w:sdt>
                      <w:r>
                        <w:rPr>
                          <w:b/>
                          <w:bCs/>
                          <w:szCs w:val="24"/>
                          <w:lang w:eastAsia="lt-LT"/>
                        </w:rPr>
                        <w:t xml:space="preserve"> straipsnis. </w:t>
                      </w:r>
                      <w:sdt>
                        <w:sdtPr>
                          <w:alias w:val="Pavadinimas"/>
                          <w:tag w:val="title_96002042b8ca47a4af3183e6869e69a3"/>
                          <w:lock w:val="sdtLocked"/>
                          <w:richText/>
                        </w:sdtPr>
                        <w:sdtContent>
                          <w:r>
                            <w:rPr>
                              <w:b/>
                              <w:bCs/>
                              <w:szCs w:val="24"/>
                              <w:lang w:eastAsia="lt-LT"/>
                            </w:rPr>
                            <w:t xml:space="preserve">Lyginamoji interneto svetainė, skirta mažoms ir labai mažoms įmonėms </w:t>
                          </w:r>
                        </w:sdtContent>
                      </w:sdt>
                    </w:p>
                    <w:sdt>
                      <w:sdtPr>
                        <w:alias w:val="28-1 str. 1 d."/>
                        <w:tag w:val="part_5803c4e87a3445c4904c4e6242cf9897"/>
                        <w:lock w:val="sdtLocked"/>
                        <w:richText/>
                      </w:sdtPr>
                      <w:sdtContent>
                        <w:p>
                          <w:pPr>
                            <w:widowControl w:val="0"/>
                            <w:spacing w:line="360" w:lineRule="auto"/>
                            <w:ind w:firstLine="720"/>
                            <w:jc w:val="both"/>
                            <w:rPr>
                              <w:szCs w:val="24"/>
                              <w:lang w:eastAsia="lt-LT"/>
                            </w:rPr>
                          </w:pPr>
                          <w:sdt>
                            <w:sdtPr>
                              <w:alias w:val="Numeris"/>
                              <w:tag w:val="nr_5803c4e87a3445c4904c4e6242cf9897"/>
                              <w:lock w:val="sdtLocked"/>
                              <w:richText/>
                            </w:sdtPr>
                            <w:sdtContent>
                              <w:r>
                                <w:rPr>
                                  <w:szCs w:val="24"/>
                                  <w:lang w:eastAsia="lt-LT"/>
                                </w:rPr>
                                <w:t>1</w:t>
                              </w:r>
                            </w:sdtContent>
                          </w:sdt>
                          <w:r>
                            <w:rPr>
                              <w:szCs w:val="24"/>
                              <w:lang w:eastAsia="lt-LT"/>
                            </w:rPr>
                            <w:t>. Priežiūros institucija administruoja mažoms ir labai mažoms įmonėms, kaip jos suprantamos pagal Lietuvos Respublikos smulkiojo ir vidutinio verslo plėtros įstatymo 3 straipsnio 2 ir 3 dalis, (toliau – mažos ir labai mažos įmonės) skirtą lyginamąją interneto svetainę, kuria galima naudotis nemokamai ir kurioje skelbiama vieša informacija apie komisinius atlyginimus, kuriuos mokėjimo paslaugų teikėjai taiko už mokėjimo paslaugas, aktualias mažoms ir labai mažoms įmonėms, ir kita su mokėjimo paslaugomis susijusi informacija, (toliau šiame straipsnyje – lyginamoji svetainė).</w:t>
                          </w:r>
                        </w:p>
                      </w:sdtContent>
                    </w:sdt>
                    <w:sdt>
                      <w:sdtPr>
                        <w:alias w:val="28-1 str. 2 d."/>
                        <w:tag w:val="part_f79a6f42965947f7944bedcebf67a786"/>
                        <w:lock w:val="sdtLocked"/>
                        <w:richText/>
                      </w:sdtPr>
                      <w:sdtContent>
                        <w:p>
                          <w:pPr>
                            <w:widowControl w:val="0"/>
                            <w:spacing w:line="360" w:lineRule="auto"/>
                            <w:ind w:firstLine="720"/>
                            <w:jc w:val="both"/>
                            <w:rPr>
                              <w:szCs w:val="24"/>
                              <w:lang w:eastAsia="lt-LT"/>
                            </w:rPr>
                          </w:pPr>
                          <w:sdt>
                            <w:sdtPr>
                              <w:alias w:val="Numeris"/>
                              <w:tag w:val="nr_f79a6f42965947f7944bedcebf67a786"/>
                              <w:lock w:val="sdtLocked"/>
                              <w:richText/>
                            </w:sdtPr>
                            <w:sdtContent>
                              <w:r>
                                <w:rPr>
                                  <w:szCs w:val="24"/>
                                  <w:lang w:eastAsia="lt-LT"/>
                                </w:rPr>
                                <w:t>2</w:t>
                              </w:r>
                            </w:sdtContent>
                          </w:sdt>
                          <w:r>
                            <w:rPr>
                              <w:szCs w:val="24"/>
                              <w:lang w:eastAsia="lt-LT"/>
                            </w:rPr>
                            <w:t>. Lyginamojoje svetainėje mokėjimo paslaugų teikėjai neturi būti diskriminuojami dėl paieškos rezultatų ir šioje svetainėje privalo būti:</w:t>
                          </w:r>
                        </w:p>
                        <w:sdt>
                          <w:sdtPr>
                            <w:alias w:val="28-1 str. 2 d. 1 p."/>
                            <w:tag w:val="part_fbed735d203843bcbecd0cfa99a4ff20"/>
                            <w:lock w:val="sdtLocked"/>
                            <w:richText/>
                          </w:sdtPr>
                          <w:sdtContent>
                            <w:p>
                              <w:pPr>
                                <w:widowControl w:val="0"/>
                                <w:spacing w:line="360" w:lineRule="auto"/>
                                <w:ind w:firstLine="720"/>
                                <w:jc w:val="both"/>
                                <w:rPr>
                                  <w:szCs w:val="24"/>
                                  <w:lang w:eastAsia="lt-LT"/>
                                </w:rPr>
                              </w:pPr>
                              <w:sdt>
                                <w:sdtPr>
                                  <w:alias w:val="Numeris"/>
                                  <w:tag w:val="nr_fbed735d203843bcbecd0cfa99a4ff20"/>
                                  <w:lock w:val="sdtLocked"/>
                                  <w:richText/>
                                </w:sdtPr>
                                <w:sdtContent>
                                  <w:r>
                                    <w:rPr>
                                      <w:szCs w:val="24"/>
                                      <w:lang w:eastAsia="lt-LT"/>
                                    </w:rPr>
                                    <w:t>1</w:t>
                                  </w:r>
                                </w:sdtContent>
                              </w:sdt>
                              <w:r>
                                <w:rPr>
                                  <w:szCs w:val="24"/>
                                  <w:lang w:eastAsia="lt-LT"/>
                                </w:rPr>
                                <w:t>) nurodytas lyginamosios svetainės savininkas;</w:t>
                              </w:r>
                            </w:p>
                          </w:sdtContent>
                        </w:sdt>
                        <w:sdt>
                          <w:sdtPr>
                            <w:alias w:val="28-1 str. 2 d. 2 p."/>
                            <w:tag w:val="part_b2f3af057a1c410c9c8f424b76a3b555"/>
                            <w:lock w:val="sdtLocked"/>
                            <w:richText/>
                          </w:sdtPr>
                          <w:sdtContent>
                            <w:p>
                              <w:pPr>
                                <w:widowControl w:val="0"/>
                                <w:spacing w:line="360" w:lineRule="auto"/>
                                <w:ind w:firstLine="720"/>
                                <w:jc w:val="both"/>
                                <w:rPr>
                                  <w:szCs w:val="24"/>
                                  <w:lang w:eastAsia="lt-LT"/>
                                </w:rPr>
                              </w:pPr>
                              <w:sdt>
                                <w:sdtPr>
                                  <w:alias w:val="Numeris"/>
                                  <w:tag w:val="nr_b2f3af057a1c410c9c8f424b76a3b555"/>
                                  <w:lock w:val="sdtLocked"/>
                                  <w:richText/>
                                </w:sdtPr>
                                <w:sdtContent>
                                  <w:r>
                                    <w:rPr>
                                      <w:szCs w:val="24"/>
                                      <w:lang w:eastAsia="lt-LT"/>
                                    </w:rPr>
                                    <w:t>2</w:t>
                                  </w:r>
                                </w:sdtContent>
                              </w:sdt>
                              <w:r>
                                <w:rPr>
                                  <w:szCs w:val="24"/>
                                  <w:lang w:eastAsia="lt-LT"/>
                                </w:rPr>
                                <w:t>) nurodyti objektyvūs ir aiškūs kriterijai, kuriais remiantis bus lyginamas komisinis atlyginimas;</w:t>
                              </w:r>
                            </w:p>
                          </w:sdtContent>
                        </w:sdt>
                        <w:sdt>
                          <w:sdtPr>
                            <w:alias w:val="28-1 str. 2 d. 3 p."/>
                            <w:tag w:val="part_4ef1647ea1624cb39a8ae1f56514279f"/>
                            <w:lock w:val="sdtLocked"/>
                            <w:richText/>
                          </w:sdtPr>
                          <w:sdtContent>
                            <w:p>
                              <w:pPr>
                                <w:widowControl w:val="0"/>
                                <w:spacing w:line="360" w:lineRule="auto"/>
                                <w:ind w:firstLine="720"/>
                                <w:jc w:val="both"/>
                                <w:rPr>
                                  <w:szCs w:val="24"/>
                                  <w:lang w:eastAsia="lt-LT"/>
                                </w:rPr>
                              </w:pPr>
                              <w:sdt>
                                <w:sdtPr>
                                  <w:alias w:val="Numeris"/>
                                  <w:tag w:val="nr_4ef1647ea1624cb39a8ae1f56514279f"/>
                                  <w:lock w:val="sdtLocked"/>
                                  <w:richText/>
                                </w:sdtPr>
                                <w:sdtContent>
                                  <w:r>
                                    <w:rPr>
                                      <w:szCs w:val="24"/>
                                      <w:lang w:eastAsia="lt-LT"/>
                                    </w:rPr>
                                    <w:t>3</w:t>
                                  </w:r>
                                </w:sdtContent>
                              </w:sdt>
                              <w:r>
                                <w:rPr>
                                  <w:szCs w:val="24"/>
                                  <w:lang w:eastAsia="lt-LT"/>
                                </w:rPr>
                                <w:t>) pateikta informacija paprasta ir nedviprasmiška kalba;</w:t>
                              </w:r>
                            </w:p>
                          </w:sdtContent>
                        </w:sdt>
                        <w:sdt>
                          <w:sdtPr>
                            <w:alias w:val="28-1 str. 2 d. 4 p."/>
                            <w:tag w:val="part_27c9bf5a896c4df1af9743d6e949caa5"/>
                            <w:lock w:val="sdtLocked"/>
                            <w:richText/>
                          </w:sdtPr>
                          <w:sdtContent>
                            <w:p>
                              <w:pPr>
                                <w:widowControl w:val="0"/>
                                <w:spacing w:line="360" w:lineRule="auto"/>
                                <w:ind w:firstLine="720"/>
                                <w:jc w:val="both"/>
                                <w:rPr>
                                  <w:szCs w:val="24"/>
                                  <w:lang w:eastAsia="lt-LT"/>
                                </w:rPr>
                              </w:pPr>
                              <w:sdt>
                                <w:sdtPr>
                                  <w:alias w:val="Numeris"/>
                                  <w:tag w:val="nr_27c9bf5a896c4df1af9743d6e949caa5"/>
                                  <w:lock w:val="sdtLocked"/>
                                  <w:richText/>
                                </w:sdtPr>
                                <w:sdtContent>
                                  <w:r>
                                    <w:rPr>
                                      <w:szCs w:val="24"/>
                                      <w:lang w:eastAsia="lt-LT"/>
                                    </w:rPr>
                                    <w:t>4</w:t>
                                  </w:r>
                                </w:sdtContent>
                              </w:sdt>
                              <w:r>
                                <w:rPr>
                                  <w:szCs w:val="24"/>
                                  <w:lang w:eastAsia="lt-LT"/>
                                </w:rPr>
                                <w:t>) pateikta tiksli ir naujausia informacija ir nurodyta, kada lyginamoji svetainė paskutinį kartą atnaujinta;</w:t>
                              </w:r>
                            </w:p>
                          </w:sdtContent>
                        </w:sdt>
                        <w:sdt>
                          <w:sdtPr>
                            <w:alias w:val="28-1 str. 2 d. 5 p."/>
                            <w:tag w:val="part_58f9e84513de4165b55e02f9317e6b9b"/>
                            <w:lock w:val="sdtLocked"/>
                            <w:richText/>
                          </w:sdtPr>
                          <w:sdtContent>
                            <w:p>
                              <w:pPr>
                                <w:widowControl w:val="0"/>
                                <w:spacing w:line="360" w:lineRule="auto"/>
                                <w:ind w:firstLine="720"/>
                                <w:jc w:val="both"/>
                                <w:rPr>
                                  <w:szCs w:val="24"/>
                                  <w:lang w:eastAsia="lt-LT"/>
                                </w:rPr>
                              </w:pPr>
                              <w:sdt>
                                <w:sdtPr>
                                  <w:alias w:val="Numeris"/>
                                  <w:tag w:val="nr_58f9e84513de4165b55e02f9317e6b9b"/>
                                  <w:lock w:val="sdtLocked"/>
                                  <w:richText/>
                                </w:sdtPr>
                                <w:sdtContent>
                                  <w:r>
                                    <w:rPr>
                                      <w:szCs w:val="24"/>
                                      <w:lang w:eastAsia="lt-LT"/>
                                    </w:rPr>
                                    <w:t>5</w:t>
                                  </w:r>
                                </w:sdtContent>
                              </w:sdt>
                              <w:r>
                                <w:rPr>
                                  <w:szCs w:val="24"/>
                                  <w:lang w:eastAsia="lt-LT"/>
                                </w:rPr>
                                <w:t xml:space="preserve">) pateikta informacija apie siūlomas mokėjimo paslaugas, siekiant apimti didelę rinkos dalį. Kai pateikiama informacija ne apie visų mokėjimo paslaugų teikėjų teikiamas mokėjimo paslaugas, tai turi būti nurodoma prieš ją pateikiant; </w:t>
                              </w:r>
                            </w:p>
                          </w:sdtContent>
                        </w:sdt>
                        <w:sdt>
                          <w:sdtPr>
                            <w:alias w:val="28-1 str. 2 d. 6 p."/>
                            <w:tag w:val="part_93bcc566c825412d8dbec8c3b54ca906"/>
                            <w:lock w:val="sdtLocked"/>
                            <w:richText/>
                          </w:sdtPr>
                          <w:sdtContent>
                            <w:p>
                              <w:pPr>
                                <w:widowControl w:val="0"/>
                                <w:spacing w:line="360" w:lineRule="auto"/>
                                <w:ind w:firstLine="720"/>
                                <w:jc w:val="both"/>
                                <w:rPr>
                                  <w:szCs w:val="24"/>
                                  <w:lang w:eastAsia="lt-LT"/>
                                </w:rPr>
                              </w:pPr>
                              <w:sdt>
                                <w:sdtPr>
                                  <w:alias w:val="Numeris"/>
                                  <w:tag w:val="nr_93bcc566c825412d8dbec8c3b54ca906"/>
                                  <w:lock w:val="sdtLocked"/>
                                  <w:richText/>
                                </w:sdtPr>
                                <w:sdtContent>
                                  <w:r>
                                    <w:rPr>
                                      <w:szCs w:val="24"/>
                                      <w:lang w:eastAsia="lt-LT"/>
                                    </w:rPr>
                                    <w:t>6</w:t>
                                  </w:r>
                                </w:sdtContent>
                              </w:sdt>
                              <w:r>
                                <w:rPr>
                                  <w:szCs w:val="24"/>
                                  <w:lang w:eastAsia="lt-LT"/>
                                </w:rPr>
                                <w:t>) suteikta galimybė mokėjimo paslaugų teikėjams pranešti apie paskelbtą neteisingą informaciją.</w:t>
                              </w:r>
                            </w:p>
                          </w:sdtContent>
                        </w:sdt>
                      </w:sdtContent>
                    </w:sdt>
                    <w:sdt>
                      <w:sdtPr>
                        <w:alias w:val="28-1 str. 3 d."/>
                        <w:tag w:val="part_92f17fe25efd4d1da6f2ffdb0dbc9016"/>
                        <w:lock w:val="sdtLocked"/>
                        <w:richText/>
                      </w:sdtPr>
                      <w:sdtContent>
                        <w:p>
                          <w:pPr>
                            <w:widowControl w:val="0"/>
                            <w:spacing w:line="360" w:lineRule="auto"/>
                            <w:ind w:firstLine="720"/>
                            <w:jc w:val="both"/>
                            <w:rPr>
                              <w:szCs w:val="24"/>
                              <w:lang w:eastAsia="lt-LT"/>
                            </w:rPr>
                          </w:pPr>
                          <w:sdt>
                            <w:sdtPr>
                              <w:alias w:val="Numeris"/>
                              <w:tag w:val="nr_92f17fe25efd4d1da6f2ffdb0dbc9016"/>
                              <w:lock w:val="sdtLocked"/>
                              <w:richText/>
                            </w:sdtPr>
                            <w:sdtContent>
                              <w:r>
                                <w:rPr>
                                  <w:szCs w:val="24"/>
                                  <w:lang w:eastAsia="lt-LT"/>
                                </w:rPr>
                                <w:t>3</w:t>
                              </w:r>
                            </w:sdtContent>
                          </w:sdt>
                          <w:r>
                            <w:rPr>
                              <w:szCs w:val="24"/>
                              <w:lang w:eastAsia="lt-LT"/>
                            </w:rPr>
                            <w:t>. Mokėjimo paslaugų teikėjai privalo priežiūros institucijai pateikti informaciją apie taikomus komisinius atlyginimus už savo teikiamas mokėjimo paslaugas, aktualias mažoms ir labai mažoms įmonėms.</w:t>
                          </w:r>
                        </w:p>
                      </w:sdtContent>
                    </w:sdt>
                    <w:sdt>
                      <w:sdtPr>
                        <w:alias w:val="28-1 str. 4 d."/>
                        <w:tag w:val="part_6d6e7cb8e14f42a3a06f48981a597232"/>
                        <w:lock w:val="sdtLocked"/>
                        <w:richText/>
                      </w:sdtPr>
                      <w:sdtContent>
                        <w:p>
                          <w:pPr>
                            <w:widowControl w:val="0"/>
                            <w:spacing w:line="360" w:lineRule="auto"/>
                            <w:ind w:firstLine="720"/>
                            <w:jc w:val="both"/>
                            <w:rPr>
                              <w:szCs w:val="24"/>
                              <w:lang w:eastAsia="lt-LT"/>
                            </w:rPr>
                          </w:pPr>
                          <w:sdt>
                            <w:sdtPr>
                              <w:alias w:val="Numeris"/>
                              <w:tag w:val="nr_6d6e7cb8e14f42a3a06f48981a597232"/>
                              <w:lock w:val="sdtLocked"/>
                              <w:richText/>
                            </w:sdtPr>
                            <w:sdtContent>
                              <w:r>
                                <w:rPr>
                                  <w:szCs w:val="24"/>
                                  <w:lang w:eastAsia="lt-LT"/>
                                </w:rPr>
                                <w:t>4</w:t>
                              </w:r>
                            </w:sdtContent>
                          </w:sdt>
                          <w:r>
                            <w:rPr>
                              <w:szCs w:val="24"/>
                              <w:lang w:eastAsia="lt-LT"/>
                            </w:rPr>
                            <w:t>. Priežiūros institucija nustato mažoms ir labai mažoms įmonėms aktualių mokėjimo paslaugų sąrašą, detalius informacijos skelbimo lyginamojoje svetainėje reikalavimus ir mokėjimo paslaugų teikėjams taikomus detalius reikalavimus dėl informacijos teikimo priežiūros institucijai.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9f2ef0fa5311e99681cd81dcdca52c">
                        <w:r w:rsidRPr="00532B9F">
                          <w:rPr>
                            <w:rFonts w:ascii="Times New Roman" w:eastAsia="MS Mincho" w:hAnsi="Times New Roman"/>
                            <w:sz w:val="20"/>
                            <w:i/>
                            <w:iCs/>
                            <w:color w:val="0000FF" w:themeColor="hyperlink"/>
                            <w:u w:val="single"/>
                          </w:rPr>
                          <w:t>XIII-2488</w:t>
                        </w:r>
                      </w:fldSimple>
                      <w:r>
                        <w:rPr>
                          <w:rFonts w:ascii="Times New Roman" w:eastAsia="MS Mincho" w:hAnsi="Times New Roman"/>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
              <w:sdtPr>
                <w:alias w:val="55-1 str."/>
                <w:tag w:val="part_c3ca6db648f8470f957a62a11dc3d95a"/>
                <w:lock w:val="sdtLocked"/>
                <w:richText/>
              </w:sdtPr>
              <w:sdtContent>
                <w:p>
                  <w:pPr>
                    <w:spacing w:line="360" w:lineRule="auto"/>
                    <w:ind w:left="2268" w:hanging="1548"/>
                    <w:jc w:val="both"/>
                    <w:rPr>
                      <w:szCs w:val="24"/>
                    </w:rPr>
                  </w:pPr>
                  <w:sdt>
                    <w:sdtPr>
                      <w:alias w:val="Numeris"/>
                      <w:tag w:val="nr_c3ca6db648f8470f957a62a11dc3d95a"/>
                      <w:lock w:val="sdtLocked"/>
                      <w:richText/>
                    </w:sdtPr>
                    <w:sdtContent>
                      <w:r>
                        <w:rPr>
                          <w:b/>
                          <w:bCs/>
                          <w:szCs w:val="24"/>
                        </w:rPr>
                        <w:t>55</w:t>
                      </w:r>
                      <w:r>
                        <w:rPr>
                          <w:b/>
                          <w:bCs/>
                          <w:szCs w:val="24"/>
                          <w:vertAlign w:val="superscript"/>
                        </w:rPr>
                        <w:t>1</w:t>
                      </w:r>
                    </w:sdtContent>
                  </w:sdt>
                  <w:r>
                    <w:rPr>
                      <w:b/>
                      <w:bCs/>
                      <w:szCs w:val="24"/>
                    </w:rPr>
                    <w:t xml:space="preserve"> straipsnis. </w:t>
                  </w:r>
                  <w:sdt>
                    <w:sdtPr>
                      <w:alias w:val="Pavadinimas"/>
                      <w:tag w:val="title_c3ca6db648f8470f957a62a11dc3d95a"/>
                      <w:lock w:val="sdtLocked"/>
                      <w:richText/>
                    </w:sdtPr>
                    <w:sdtContent>
                      <w:r>
                        <w:rPr>
                          <w:b/>
                          <w:bCs/>
                          <w:szCs w:val="24"/>
                        </w:rPr>
                        <w:t xml:space="preserve">Mokėjimai visuotinės ar dalinės mobilizacijos Lietuvos Respublikoje metu ir mokėjimo operacijų naudojantis mokėjimo kortele vykdymas nesant ryšio </w:t>
                      </w:r>
                    </w:sdtContent>
                  </w:sdt>
                </w:p>
                <w:sdt>
                  <w:sdtPr>
                    <w:alias w:val="55-1 str. 1 d."/>
                    <w:tag w:val="part_15a10ba242e14bfbb88c62e460bf6bc4"/>
                    <w:lock w:val="sdtLocked"/>
                    <w:richText/>
                  </w:sdtPr>
                  <w:sdtContent>
                    <w:p>
                      <w:pPr>
                        <w:tabs>
                          <w:tab w:val="left" w:pos="1134"/>
                        </w:tabs>
                        <w:spacing w:line="360" w:lineRule="auto"/>
                        <w:ind w:firstLine="720"/>
                        <w:jc w:val="both"/>
                        <w:rPr>
                          <w:szCs w:val="24"/>
                        </w:rPr>
                      </w:pPr>
                      <w:sdt>
                        <w:sdtPr>
                          <w:alias w:val="Numeris"/>
                          <w:tag w:val="nr_15a10ba242e14bfbb88c62e460bf6bc4"/>
                          <w:lock w:val="sdtLocked"/>
                          <w:richText/>
                        </w:sdtPr>
                        <w:sdtContent>
                          <w:r>
                            <w:rPr>
                              <w:szCs w:val="24"/>
                            </w:rPr>
                            <w:t>1</w:t>
                          </w:r>
                        </w:sdtContent>
                      </w:sdt>
                      <w:r>
                        <w:rPr>
                          <w:szCs w:val="24"/>
                        </w:rPr>
                        <w:t xml:space="preserve">. Mokėjimo operacijos visuotinės ar dalinės mobilizacijos Lietuvos Respublikoje metu vykdomos vadovaujantis šio įstatymo ir kitų mokėjimus reglamentuojančių teisės aktų nuostatomis, išskyrus šiame straipsnyje numatytas išimtis. </w:t>
                      </w:r>
                    </w:p>
                  </w:sdtContent>
                </w:sdt>
                <w:sdt>
                  <w:sdtPr>
                    <w:alias w:val="55-1 str. 2 d."/>
                    <w:tag w:val="part_50fba59f8d9e496bad0c5dbbbfd01d9e"/>
                    <w:lock w:val="sdtLocked"/>
                    <w:richText/>
                  </w:sdtPr>
                  <w:sdtContent>
                    <w:p>
                      <w:pPr>
                        <w:tabs>
                          <w:tab w:val="left" w:pos="1134"/>
                        </w:tabs>
                        <w:spacing w:line="360" w:lineRule="auto"/>
                        <w:ind w:firstLine="720"/>
                        <w:jc w:val="both"/>
                        <w:rPr>
                          <w:szCs w:val="24"/>
                        </w:rPr>
                      </w:pPr>
                      <w:sdt>
                        <w:sdtPr>
                          <w:alias w:val="Numeris"/>
                          <w:tag w:val="nr_50fba59f8d9e496bad0c5dbbbfd01d9e"/>
                          <w:lock w:val="sdtLocked"/>
                          <w:richText/>
                        </w:sdtPr>
                        <w:sdtContent>
                          <w:r>
                            <w:rPr>
                              <w:szCs w:val="24"/>
                            </w:rPr>
                            <w:t>2</w:t>
                          </w:r>
                        </w:sdtContent>
                      </w:sdt>
                      <w:r>
                        <w:rPr>
                          <w:szCs w:val="24"/>
                        </w:rPr>
                        <w:t xml:space="preserve">. Visuotinės ar dalinės mobilizacijos Lietuvos Respublikoje metu mokėjimo paslaugų teikėjas, su kuriuo Mobilizacijos ir priimančiosios šalies paramos įstatymo nustatyta tvarka sudaryta mobilizacinio užsakymo sutartis, sudaro galimybę vartotojui vykdyti mokėjimo operacijas naudojantis mokėjimo kortele nesant ryšio iš mokėjimo sąskaitos. Mokėjimo operacijų vykdymo naudojantis mokėjimo kortele nesant ryšio sąlygas nustato priežiūros institucija. </w:t>
                      </w:r>
                    </w:p>
                  </w:sdtContent>
                </w:sdt>
                <w:sdt>
                  <w:sdtPr>
                    <w:alias w:val="55-1 str. 3 d."/>
                    <w:tag w:val="part_9dea9fb2c3fb4c61b32c3cc8d9e6f2dd"/>
                    <w:lock w:val="sdtLocked"/>
                    <w:richText/>
                  </w:sdtPr>
                  <w:sdtContent>
                    <w:p>
                      <w:pPr>
                        <w:tabs>
                          <w:tab w:val="left" w:pos="1134"/>
                        </w:tabs>
                        <w:spacing w:line="360" w:lineRule="auto"/>
                        <w:ind w:firstLine="720"/>
                        <w:jc w:val="both"/>
                        <w:rPr>
                          <w:szCs w:val="24"/>
                        </w:rPr>
                      </w:pPr>
                      <w:sdt>
                        <w:sdtPr>
                          <w:alias w:val="Numeris"/>
                          <w:tag w:val="nr_9dea9fb2c3fb4c61b32c3cc8d9e6f2dd"/>
                          <w:lock w:val="sdtLocked"/>
                          <w:richText/>
                        </w:sdtPr>
                        <w:sdtContent>
                          <w:r>
                            <w:rPr>
                              <w:szCs w:val="24"/>
                            </w:rPr>
                            <w:t>3</w:t>
                          </w:r>
                        </w:sdtContent>
                      </w:sdt>
                      <w:r>
                        <w:rPr>
                          <w:szCs w:val="24"/>
                        </w:rPr>
                        <w:t xml:space="preserve">. Šio straipsnio 2 dalyje nurodytais atvejais, kai dėl įvykdytų mokėjimo operacijų naudojantis mokėjimo kortele nesant ryšio iš mokėjimo sąskaitos viršijamas esamas mokėjimo sąskaitos likutis arba kredito limitas mokėjimo sąskaitoje, Vartojimo kredito įstatymo nuostatos nėra taikomos. </w:t>
                      </w:r>
                    </w:p>
                  </w:sdtContent>
                </w:sdt>
                <w:sdt>
                  <w:sdtPr>
                    <w:alias w:val="55-1 str. 4 d."/>
                    <w:tag w:val="part_7840cc1857d1445ab6d4bb440209b393"/>
                    <w:lock w:val="sdtLocked"/>
                    <w:richText/>
                  </w:sdtPr>
                  <w:sdtContent>
                    <w:p>
                      <w:pPr>
                        <w:tabs>
                          <w:tab w:val="left" w:pos="1134"/>
                        </w:tabs>
                        <w:spacing w:line="360" w:lineRule="auto"/>
                        <w:ind w:firstLine="720"/>
                        <w:jc w:val="both"/>
                        <w:rPr>
                          <w:szCs w:val="24"/>
                          <w:lang w:val="en-US"/>
                        </w:rPr>
                      </w:pPr>
                      <w:sdt>
                        <w:sdtPr>
                          <w:alias w:val="Numeris"/>
                          <w:tag w:val="nr_7840cc1857d1445ab6d4bb440209b393"/>
                          <w:lock w:val="sdtLocked"/>
                          <w:richText/>
                        </w:sdtPr>
                        <w:sdtContent>
                          <w:r>
                            <w:rPr>
                              <w:szCs w:val="24"/>
                              <w:lang w:val="en-US"/>
                            </w:rPr>
                            <w:t>4</w:t>
                          </w:r>
                        </w:sdtContent>
                      </w:sdt>
                      <w:r>
                        <w:rPr>
                          <w:szCs w:val="24"/>
                          <w:lang w:val="en-US"/>
                        </w:rPr>
                        <w:t>. Šio straipsnio 2 dalyje nurodytais atvejais, kai įvykdoma mokėjimo operacija naudojantis mokėjimo kortele nesant ryšio iš mokėjimo sąskaitos, kurioje esančioms piniginėms lėšoms yra nustatytas areštas, laikinas nuosavybės teisių ar bet koks kitas disponavimo piniginėmis lėšomis apribojimas, teisės aktų, reglamentuojančių turto arešto arba lėšų, kurioms nustatytas laikinas nuosavybės teisių ar bet koks kitas disponavimo apribojimas, panaudojimo tvarką, nuostatos nėra taikomos.</w:t>
                      </w:r>
                    </w:p>
                  </w:sdtContent>
                </w:sdt>
                <w:sdt>
                  <w:sdtPr>
                    <w:alias w:val="55-1 str. 5 d."/>
                    <w:tag w:val="part_02f7aaae2ae74db8a2c6f613c889c869"/>
                    <w:lock w:val="sdtLocked"/>
                    <w:richText/>
                  </w:sdtPr>
                  <w:sdtContent>
                    <w:p>
                      <w:pPr>
                        <w:tabs>
                          <w:tab w:val="left" w:pos="1134"/>
                        </w:tabs>
                        <w:spacing w:line="360" w:lineRule="auto"/>
                        <w:ind w:firstLine="720"/>
                        <w:jc w:val="both"/>
                        <w:rPr>
                          <w:szCs w:val="24"/>
                        </w:rPr>
                      </w:pPr>
                      <w:sdt>
                        <w:sdtPr>
                          <w:alias w:val="Numeris"/>
                          <w:tag w:val="nr_02f7aaae2ae74db8a2c6f613c889c869"/>
                          <w:lock w:val="sdtLocked"/>
                          <w:richText/>
                        </w:sdtPr>
                        <w:sdtContent>
                          <w:r>
                            <w:rPr>
                              <w:szCs w:val="24"/>
                            </w:rPr>
                            <w:t>5</w:t>
                          </w:r>
                        </w:sdtContent>
                      </w:sdt>
                      <w:r>
                        <w:rPr>
                          <w:szCs w:val="24"/>
                        </w:rPr>
                        <w:t xml:space="preserve">. Prekių ir fizinių prekybos vietų, kuriose visuotinės ar dalinės mobilizacijos Lietuvos Respublikoje metu sudaroma galimybė vykdyti mokėjimo operacijas naudojantis mokėjimo kortele nesant ryšio iš mokėjimo sąskaitos, sąrašas nustatomas įgyvendinant Mobilizacijos ir priimančiosios šalies paramos įstatymu skirtas valstybines mobilizacines užduotis. </w:t>
                      </w:r>
                    </w:p>
                  </w:sdtContent>
                </w:sdt>
                <w:sdt>
                  <w:sdtPr>
                    <w:alias w:val="55-1 str. 6 d."/>
                    <w:tag w:val="part_7b6656943a2947999e277e4e8c643a5b"/>
                    <w:lock w:val="sdtLocked"/>
                    <w:richText/>
                  </w:sdtPr>
                  <w:sdtContent>
                    <w:p>
                      <w:pPr>
                        <w:tabs>
                          <w:tab w:val="left" w:pos="1134"/>
                        </w:tabs>
                        <w:spacing w:line="360" w:lineRule="auto"/>
                        <w:ind w:firstLine="720"/>
                        <w:jc w:val="both"/>
                        <w:rPr>
                          <w:szCs w:val="24"/>
                        </w:rPr>
                      </w:pPr>
                      <w:sdt>
                        <w:sdtPr>
                          <w:alias w:val="Numeris"/>
                          <w:tag w:val="nr_7b6656943a2947999e277e4e8c643a5b"/>
                          <w:lock w:val="sdtLocked"/>
                          <w:richText/>
                        </w:sdtPr>
                        <w:sdtContent>
                          <w:r>
                            <w:rPr>
                              <w:szCs w:val="24"/>
                            </w:rPr>
                            <w:t>6</w:t>
                          </w:r>
                        </w:sdtContent>
                      </w:sdt>
                      <w:r>
                        <w:rPr>
                          <w:szCs w:val="24"/>
                        </w:rPr>
                        <w:t>. Už mokėjimo operacijas naudojantis mokėjimo kortele nesant ryšio iš mokėjimo sąskaitos, kurioje esančioms piniginėms lėšoms yra nustatytas areštas, laikinas nuosavybės teisių ar bet koks kitas disponavimo piniginėmis lėšomis apribojimas, taip pat viršijant sąskaitos likutį arba kredito limitą, atliktas ne visuotinės ar dalinės mobilizacijos Lietuvos Respublikoje metu, atsako gavėjas, kuris sudaro galimybę vykdyti mokėjimo operacijas naudojantis mokėjimo kortele nesant ryšio iš mokėjimo sąskaitos.</w:t>
                      </w:r>
                    </w:p>
                  </w:sdtContent>
                </w:sdt>
                <w:sdt>
                  <w:sdtPr>
                    <w:alias w:val="55-1 str. 7 d."/>
                    <w:tag w:val="part_22a2ae68cddb4e01b0dfdcdec18674fa"/>
                    <w:lock w:val="sdtLocked"/>
                    <w:richText/>
                  </w:sdtPr>
                  <w:sdtContent>
                    <w:p>
                      <w:pPr>
                        <w:tabs>
                          <w:tab w:val="left" w:pos="1134"/>
                        </w:tabs>
                        <w:spacing w:line="360" w:lineRule="auto"/>
                        <w:ind w:firstLine="720"/>
                        <w:jc w:val="both"/>
                        <w:rPr>
                          <w:rFonts w:eastAsia="Calibri"/>
                          <w:color w:val="000000"/>
                          <w:szCs w:val="24"/>
                          <w:lang w:eastAsia="lt-LT"/>
                        </w:rPr>
                      </w:pPr>
                      <w:sdt>
                        <w:sdtPr>
                          <w:alias w:val="Numeris"/>
                          <w:tag w:val="nr_22a2ae68cddb4e01b0dfdcdec18674fa"/>
                          <w:lock w:val="sdtLocked"/>
                          <w:richText/>
                        </w:sdtPr>
                        <w:sdtContent>
                          <w:r>
                            <w:rPr>
                              <w:szCs w:val="24"/>
                            </w:rPr>
                            <w:t>7</w:t>
                          </w:r>
                        </w:sdtContent>
                      </w:sdt>
                      <w:r>
                        <w:rPr>
                          <w:szCs w:val="24"/>
                        </w:rPr>
                        <w:t>. Šiame straipsnyje nurodytos mokėjimo operacijos naudojantis mokėjimo kortele nesant ryšio iš mokėjimo sąskaitos neapima lėšų įmokėjimo ar išėmimo iš mokėjimo sąskaitos naudojantis mokėjimo kortele.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5c42255c511f0b070ee7f1ceefc75">
                    <w:r w:rsidRPr="00532B9F">
                      <w:rPr>
                        <w:rFonts w:ascii="Times New Roman" w:eastAsia="MS Mincho" w:hAnsi="Times New Roman"/>
                        <w:sz w:val="20"/>
                        <w:i/>
                        <w:iCs/>
                        <w:color w:val="0000FF" w:themeColor="hyperlink"/>
                        <w:u w:val="single"/>
                      </w:rPr>
                      <w:t>XV-325</w:t>
                    </w:r>
                  </w:fldSimple>
                  <w:r>
                    <w:rPr>
                      <w:rFonts w:ascii="Times New Roman" w:eastAsia="MS Mincho" w:hAnsi="Times New Roman"/>
                      <w:sz w:val="20"/>
                      <w:i/>
                      <w:iCs/>
                    </w:rPr>
                    <w:t>,
2025-06-25,
paskelbta TAR 2025-06-30, i. k. 2025-11986        </w:t>
                  </w:r>
                </w:p>
                <w:p/>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ae70dae2caa340f1ba8902e38bf70b85"/>
                    <w:lock w:val="sdtLocked"/>
                    <w:richText/>
                  </w:sdtPr>
                  <w:sdtContent>
                    <w:p>
                      <w:pPr>
                        <w:tabs>
                          <w:tab w:val="left" w:pos="5832"/>
                        </w:tabs>
                        <w:suppressAutoHyphens/>
                        <w:spacing w:line="360" w:lineRule="auto"/>
                        <w:ind w:firstLine="720"/>
                        <w:jc w:val="both"/>
                        <w:rPr>
                          <w:rFonts w:eastAsia="Calibri"/>
                          <w:color w:val="000000"/>
                          <w:szCs w:val="24"/>
                          <w:lang w:eastAsia="lt-LT"/>
                        </w:rPr>
                      </w:pPr>
                      <w:sdt>
                        <w:sdtPr>
                          <w:alias w:val="Numeris"/>
                          <w:tag w:val="nr_ae70dae2caa340f1ba8902e38bf70b85"/>
                          <w:lock w:val="sdtLocked"/>
                          <w:richText/>
                        </w:sdtPr>
                        <w:sdtContent>
                          <w:r>
                            <w:rPr>
                              <w:color w:val="000000"/>
                              <w:szCs w:val="24"/>
                              <w:lang w:eastAsia="zh-CN"/>
                            </w:rPr>
                            <w:t>1</w:t>
                          </w:r>
                        </w:sdtContent>
                      </w:sdt>
                      <w:r>
                        <w:rPr>
                          <w:color w:val="000000"/>
                          <w:szCs w:val="24"/>
                          <w:lang w:eastAsia="zh-CN"/>
                        </w:rPr>
                        <w:t xml:space="preserve">.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 Įgyvendinant šioje dalyje nustatytus reikalavimus, šio įstatymo 6 straipsnio 1–3 punktuose nurodyti subjektai taip pat turi vadovautis Reglamento </w:t>
                      </w:r>
                      <w:hyperlink r:id="rId18" w:tgtFrame="_blank" w:history="1">
                        <w:r>
                          <w:rPr>
                            <w:color w:val="0000FF" w:themeColor="hyperlink"/>
                            <w:szCs w:val="24"/>
                            <w:u w:val="single"/>
                            <w:lang w:eastAsia="zh-CN"/>
                          </w:rPr>
                          <w:t>(ES) 2022/2554</w:t>
                        </w:r>
                      </w:hyperlink>
                      <w:r>
                        <w:rPr>
                          <w:color w:val="000000"/>
                          <w:szCs w:val="24"/>
                          <w:lang w:eastAsia="zh-CN"/>
                        </w:rPr>
                        <w:t xml:space="preserve"> II skyriuje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53a58c477d4d4f45a4f2d3f0fdf53cf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9212b33c9e0142129cb7faea7be9e34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7 str. 6 d."/>
                    <w:tag w:val="part_eb4e70e41da043d287b311bd9226ab25"/>
                    <w:lock w:val="sdtLocked"/>
                    <w:richText/>
                  </w:sdtPr>
                  <w:sdtContent>
                    <w:p>
                      <w:pPr>
                        <w:spacing w:line="360" w:lineRule="auto"/>
                        <w:ind w:firstLine="720"/>
                        <w:jc w:val="both"/>
                      </w:pPr>
                      <w:sdt>
                        <w:sdtPr>
                          <w:alias w:val="Numeris"/>
                          <w:tag w:val="nr_eb4e70e41da043d287b311bd9226ab25"/>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sdtContent>
                </w:sdt>
                <w:sdt>
                  <w:sdtPr>
                    <w:alias w:val="7 d."/>
                    <w:tag w:val="part_c015d550e38b4ec0a32bde3f5edd3b2e"/>
                    <w:lock w:val="sdtLocked"/>
                    <w:richText/>
                  </w:sdtPr>
                  <w:sdtContent>
                    <w:p>
                      <w:pPr>
                        <w:suppressAutoHyphens/>
                        <w:spacing w:line="360" w:lineRule="auto"/>
                        <w:ind w:firstLine="720"/>
                        <w:jc w:val="both"/>
                        <w:rPr>
                          <w:rFonts w:eastAsia="Calibri"/>
                          <w:color w:val="000000"/>
                          <w:szCs w:val="24"/>
                          <w:lang w:eastAsia="lt-LT"/>
                        </w:rPr>
                      </w:pPr>
                      <w:sdt>
                        <w:sdtPr>
                          <w:alias w:val="Numeris"/>
                          <w:tag w:val="nr_c015d550e38b4ec0a32bde3f5edd3b2e"/>
                          <w:lock w:val="sdtLocked"/>
                          <w:richText/>
                        </w:sdtPr>
                        <w:sdtContent>
                          <w:r>
                            <w:rPr>
                              <w:color w:val="000000"/>
                              <w:szCs w:val="24"/>
                              <w:lang w:eastAsia="zh-CN"/>
                            </w:rPr>
                            <w:t>7</w:t>
                          </w:r>
                        </w:sdtContent>
                      </w:sdt>
                      <w:r>
                        <w:rPr>
                          <w:color w:val="000000"/>
                          <w:szCs w:val="24"/>
                          <w:lang w:eastAsia="zh-CN"/>
                        </w:rPr>
                        <w:t>. Šio straipsnio 1–4 dalys netaikomos šio įstatymo 6 straipsnio 1–3 punktuose nurodytiems subjektams.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118cc048f28c4e1ca7cd0790b6fe5425"/>
                        <w:lock w:val="sdtLocked"/>
                        <w:richText/>
                      </w:sdtPr>
                      <w:sdtContent>
                        <w:p>
                          <w:pPr>
                            <w:widowControl w:val="0"/>
                            <w:spacing w:line="360" w:lineRule="auto"/>
                            <w:ind w:firstLine="720"/>
                            <w:jc w:val="both"/>
                            <w:rPr>
                              <w:rFonts w:eastAsia="Calibri"/>
                              <w:color w:val="000000"/>
                              <w:szCs w:val="24"/>
                              <w:lang w:eastAsia="lt-LT"/>
                            </w:rPr>
                          </w:pPr>
                          <w:sdt>
                            <w:sdtPr>
                              <w:alias w:val="Numeris"/>
                              <w:tag w:val="nr_118cc048f28c4e1ca7cd0790b6fe5425"/>
                              <w:lock w:val="sdtLocked"/>
                              <w:richText/>
                            </w:sdtPr>
                            <w:sdtContent>
                              <w:r>
                                <w:rPr>
                                  <w:szCs w:val="24"/>
                                  <w:lang w:eastAsia="lt-LT"/>
                                </w:rPr>
                                <w:t>6</w:t>
                              </w:r>
                            </w:sdtContent>
                          </w:sdt>
                          <w:r>
                            <w:rPr>
                              <w:szCs w:val="24"/>
                              <w:lang w:eastAsia="lt-LT"/>
                            </w:rPr>
                            <w:t xml:space="preserve">) pateikiama informacija apie siūlomą platų mokėjimo sąskaitų pasirinkimą, siekiant apimti didelę rinkos dalį. Kai pateikiama informacija ne apie visų mokėjimo paslaugų teikėjų teikiamas mokėjimo paslaugas, tai yra aiškiai nurodoma prieš ją pateikiant;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64 str. 2 d. 7 p."/>
                        <w:tag w:val="part_499010fddfc54fed821a949627762c5a"/>
                        <w:lock w:val="sdtLocked"/>
                        <w:richText/>
                      </w:sdtPr>
                      <w:sdtContent>
                        <w:p>
                          <w:pPr>
                            <w:widowControl w:val="0"/>
                            <w:spacing w:line="360" w:lineRule="auto"/>
                            <w:ind w:firstLine="720"/>
                            <w:jc w:val="both"/>
                            <w:rPr>
                              <w:szCs w:val="24"/>
                              <w:lang w:eastAsia="lt-LT"/>
                            </w:rPr>
                          </w:pPr>
                          <w:sdt>
                            <w:sdtPr>
                              <w:alias w:val="Numeris"/>
                              <w:tag w:val="nr_499010fddfc54fed821a949627762c5a"/>
                              <w:lock w:val="sdtLocked"/>
                              <w:richText/>
                            </w:sdtPr>
                            <w:sdtContent>
                              <w:r>
                                <w:rPr>
                                  <w:szCs w:val="24"/>
                                  <w:lang w:eastAsia="lt-LT"/>
                                </w:rPr>
                                <w:t>7</w:t>
                              </w:r>
                            </w:sdtContent>
                          </w:sdt>
                          <w:r>
                            <w:rPr>
                              <w:szCs w:val="24"/>
                              <w:lang w:eastAsia="lt-LT"/>
                            </w:rPr>
                            <w:t>) suteikiama galimybė mokėjimo paslaugų teikėjams pranešti apie paskelbtą neteisingą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a9e6049e211e8ade598b2394a491d">
                    <w:r w:rsidRPr="00532B9F">
                      <w:rPr>
                        <w:rFonts w:ascii="Times New Roman" w:eastAsia="MS Mincho" w:hAnsi="Times New Roman"/>
                        <w:sz w:val="20"/>
                        <w:i/>
                        <w:iCs/>
                        <w:color w:val="0000FF" w:themeColor="hyperlink"/>
                        <w:u w:val="single"/>
                      </w:rPr>
                      <w:t>XIII-1092</w:t>
                    </w:r>
                  </w:fldSimple>
                  <w:r>
                    <w:rPr>
                      <w:rFonts w:ascii="Times New Roman" w:eastAsia="MS Mincho" w:hAnsi="Times New Roman"/>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7fa73573ba3c4ea288b010dfec3a1692"/>
                    <w:lock w:val="sdtLocked"/>
                    <w:richText/>
                  </w:sdtPr>
                  <w:sdtContent>
                    <w:p>
                      <w:pPr>
                        <w:widowControl w:val="0"/>
                        <w:spacing w:line="360" w:lineRule="auto"/>
                        <w:ind w:firstLine="720"/>
                        <w:jc w:val="both"/>
                        <w:rPr>
                          <w:rFonts w:eastAsia="Calibri"/>
                          <w:color w:val="000000"/>
                          <w:szCs w:val="24"/>
                          <w:lang w:eastAsia="lt-LT"/>
                        </w:rPr>
                      </w:pPr>
                      <w:sdt>
                        <w:sdtPr>
                          <w:alias w:val="Numeris"/>
                          <w:tag w:val="nr_7fa73573ba3c4ea288b010dfec3a1692"/>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visas šio įstatymo 72 straipsnio 1 dalies 1, 2 ir 4–7 punktuose nurodytas paslaugas vartotojams. Priežiūros institucija sudaro ir tvarko įstaigų, teikiančių pagrindinės mokėjimo sąskaitos paslaugą, sąrašą ir jį skelbia savo interneto svetainėje. Įstaigos įrašomos į pagrindinės mokėjimo sąskaitos paslaugos teikėjų sąrašą, išbraukiamos iš šio sąrašo ir šis sąrašas tvarkomas priežiūros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d19cd8ef66404b2cb75ed2988700f2f0"/>
                        <w:lock w:val="sdtLocked"/>
                        <w:richText/>
                      </w:sdtPr>
                      <w:sdtContent>
                        <w:p>
                          <w:pPr>
                            <w:widowControl w:val="0"/>
                            <w:spacing w:line="360" w:lineRule="auto"/>
                            <w:ind w:firstLine="720"/>
                            <w:jc w:val="both"/>
                            <w:rPr>
                              <w:rFonts w:eastAsia="Calibri"/>
                              <w:szCs w:val="24"/>
                              <w:lang w:eastAsia="lt-LT"/>
                            </w:rPr>
                          </w:pPr>
                          <w:sdt>
                            <w:sdtPr>
                              <w:alias w:val="Numeris"/>
                              <w:tag w:val="nr_d19cd8ef66404b2cb75ed2988700f2f0"/>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Įstaiga turi teisę remtis vartotojo pasirašytu patvirtinimo dokumentu arba vartotojo sutikimu ir nepagrįstai neapsunkindama vartotojo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šio įstatymo 72 straipsnio 1 dalyje nurodytomis paslaugomis;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67db41b222424def90b662108f8e36b7"/>
                <w:lock w:val="sdtLocked"/>
                <w:richText/>
              </w:sdtPr>
              <w:sdtContent>
                <w:p>
                  <w:pPr>
                    <w:widowControl w:val="0"/>
                    <w:spacing w:line="360" w:lineRule="auto"/>
                    <w:ind w:firstLine="720"/>
                    <w:jc w:val="both"/>
                    <w:rPr>
                      <w:rFonts w:eastAsia="Calibri"/>
                      <w:bCs/>
                      <w:szCs w:val="24"/>
                      <w:lang w:eastAsia="lt-LT"/>
                    </w:rPr>
                  </w:pPr>
                  <w:sdt>
                    <w:sdtPr>
                      <w:alias w:val="Numeris"/>
                      <w:tag w:val="nr_67db41b222424def90b662108f8e36b7"/>
                      <w:lock w:val="sdtLocked"/>
                      <w:richText/>
                    </w:sdtPr>
                    <w:sdtContent>
                      <w:r>
                        <w:rPr>
                          <w:rFonts w:eastAsia="Calibri"/>
                          <w:b/>
                          <w:bCs/>
                          <w:szCs w:val="24"/>
                          <w:lang w:eastAsia="lt-LT"/>
                        </w:rPr>
                        <w:t>72</w:t>
                      </w:r>
                    </w:sdtContent>
                  </w:sdt>
                  <w:r>
                    <w:rPr>
                      <w:rFonts w:eastAsia="Calibri"/>
                      <w:b/>
                      <w:bCs/>
                      <w:szCs w:val="24"/>
                      <w:lang w:eastAsia="lt-LT"/>
                    </w:rPr>
                    <w:t xml:space="preserve"> straipsnis. </w:t>
                  </w:r>
                  <w:sdt>
                    <w:sdtPr>
                      <w:alias w:val="Pavadinimas"/>
                      <w:tag w:val="title_67db41b222424def90b662108f8e36b7"/>
                      <w:lock w:val="sdtLocked"/>
                      <w:richText/>
                    </w:sdtPr>
                    <w:sdtContent>
                      <w:r>
                        <w:rPr>
                          <w:rFonts w:eastAsia="Calibri"/>
                          <w:b/>
                          <w:bCs/>
                          <w:szCs w:val="24"/>
                          <w:lang w:eastAsia="lt-LT"/>
                        </w:rPr>
                        <w:t>Pagrindinės mokėjimo sąskaitos ypatybės</w:t>
                      </w:r>
                    </w:sdtContent>
                  </w:sdt>
                </w:p>
                <w:sdt>
                  <w:sdtPr>
                    <w:alias w:val="72 str. 1 d."/>
                    <w:tag w:val="part_26304cbc47554843b345ce4dd7997071"/>
                    <w:lock w:val="sdtLocked"/>
                    <w:richText/>
                  </w:sdtPr>
                  <w:sdtContent>
                    <w:p>
                      <w:pPr>
                        <w:widowControl w:val="0"/>
                        <w:spacing w:line="360" w:lineRule="auto"/>
                        <w:ind w:firstLine="720"/>
                        <w:jc w:val="both"/>
                        <w:rPr>
                          <w:rFonts w:eastAsia="Calibri"/>
                          <w:szCs w:val="24"/>
                          <w:lang w:eastAsia="lt-LT"/>
                        </w:rPr>
                      </w:pPr>
                      <w:sdt>
                        <w:sdtPr>
                          <w:alias w:val="Numeris"/>
                          <w:tag w:val="nr_26304cbc47554843b345ce4dd7997071"/>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72 str. 1 d. 1 p."/>
                        <w:tag w:val="part_e784f304781744d98d7fc436baa8288e"/>
                        <w:lock w:val="sdtLocked"/>
                        <w:richText/>
                      </w:sdtPr>
                      <w:sdtContent>
                        <w:p>
                          <w:pPr>
                            <w:widowControl w:val="0"/>
                            <w:spacing w:line="360" w:lineRule="auto"/>
                            <w:ind w:firstLine="720"/>
                            <w:jc w:val="both"/>
                            <w:rPr>
                              <w:rFonts w:eastAsia="Calibri"/>
                              <w:szCs w:val="24"/>
                              <w:lang w:eastAsia="lt-LT"/>
                            </w:rPr>
                          </w:pPr>
                          <w:sdt>
                            <w:sdtPr>
                              <w:alias w:val="Numeris"/>
                              <w:tag w:val="nr_e784f304781744d98d7fc436baa8288e"/>
                              <w:lock w:val="sdtLocked"/>
                              <w:richText/>
                            </w:sdtPr>
                            <w:sdtContent>
                              <w:r>
                                <w:rPr>
                                  <w:rFonts w:eastAsia="Calibri"/>
                                  <w:szCs w:val="24"/>
                                  <w:lang w:eastAsia="lt-LT"/>
                                </w:rPr>
                                <w:t>1</w:t>
                              </w:r>
                            </w:sdtContent>
                          </w:sdt>
                          <w:r>
                            <w:rPr>
                              <w:rFonts w:eastAsia="Calibri"/>
                              <w:szCs w:val="24"/>
                              <w:lang w:eastAsia="lt-LT"/>
                            </w:rPr>
                            <w:t>) mokėjimo sąskaitos atidarymas, tvarkymas ir uždarymas, taip pat šiems veiksmams</w:t>
                          </w:r>
                          <w:r>
                            <w:rPr>
                              <w:rFonts w:eastAsia="Calibri"/>
                              <w:strike/>
                              <w:szCs w:val="24"/>
                              <w:lang w:eastAsia="lt-LT"/>
                            </w:rPr>
                            <w:t xml:space="preserve"> </w:t>
                          </w:r>
                          <w:r>
                            <w:rPr>
                              <w:rFonts w:eastAsia="Calibri"/>
                              <w:szCs w:val="24"/>
                              <w:lang w:eastAsia="lt-LT"/>
                            </w:rPr>
                            <w:t xml:space="preserve">vykdyti reikalingos paslaugos; </w:t>
                          </w:r>
                        </w:p>
                      </w:sdtContent>
                    </w:sdt>
                    <w:sdt>
                      <w:sdtPr>
                        <w:alias w:val="72 str. 1 d. 2 p."/>
                        <w:tag w:val="part_476c488fb4c04bc7a342a850658318fb"/>
                        <w:lock w:val="sdtLocked"/>
                        <w:richText/>
                      </w:sdtPr>
                      <w:sdtContent>
                        <w:p>
                          <w:pPr>
                            <w:widowControl w:val="0"/>
                            <w:spacing w:line="360" w:lineRule="auto"/>
                            <w:ind w:firstLine="720"/>
                            <w:jc w:val="both"/>
                            <w:rPr>
                              <w:rFonts w:eastAsia="Calibri"/>
                              <w:szCs w:val="24"/>
                              <w:lang w:eastAsia="lt-LT"/>
                            </w:rPr>
                          </w:pPr>
                          <w:sdt>
                            <w:sdtPr>
                              <w:alias w:val="Numeris"/>
                              <w:tag w:val="nr_476c488fb4c04bc7a342a850658318fb"/>
                              <w:lock w:val="sdtLocked"/>
                              <w:richText/>
                            </w:sdtPr>
                            <w:sdtContent>
                              <w:r>
                                <w:rPr>
                                  <w:rFonts w:eastAsia="Calibri"/>
                                  <w:szCs w:val="24"/>
                                  <w:lang w:eastAsia="lt-LT"/>
                                </w:rPr>
                                <w:t>2</w:t>
                              </w:r>
                            </w:sdtContent>
                          </w:sdt>
                          <w:r>
                            <w:rPr>
                              <w:rFonts w:eastAsia="Calibri"/>
                              <w:szCs w:val="24"/>
                              <w:lang w:eastAsia="lt-LT"/>
                            </w:rPr>
                            <w:t xml:space="preserve">) gaunamų mokėjimų įskaitymas į mokėjimo sąskaitą; </w:t>
                          </w:r>
                        </w:p>
                      </w:sdtContent>
                    </w:sdt>
                    <w:sdt>
                      <w:sdtPr>
                        <w:alias w:val="72 str. 1 d. 3 p."/>
                        <w:tag w:val="part_6bcf028639f742faad82a54153930e56"/>
                        <w:lock w:val="sdtLocked"/>
                        <w:richText/>
                      </w:sdtPr>
                      <w:sdtContent>
                        <w:p>
                          <w:pPr>
                            <w:widowControl w:val="0"/>
                            <w:spacing w:line="360" w:lineRule="auto"/>
                            <w:ind w:firstLine="720"/>
                            <w:jc w:val="both"/>
                            <w:rPr>
                              <w:rFonts w:eastAsia="Calibri"/>
                              <w:szCs w:val="24"/>
                              <w:lang w:eastAsia="lt-LT"/>
                            </w:rPr>
                          </w:pPr>
                          <w:sdt>
                            <w:sdtPr>
                              <w:alias w:val="Numeris"/>
                              <w:tag w:val="nr_6bcf028639f742faad82a54153930e56"/>
                              <w:lock w:val="sdtLocked"/>
                              <w:richText/>
                            </w:sdtPr>
                            <w:sdtContent>
                              <w:r>
                                <w:rPr>
                                  <w:rFonts w:eastAsia="Calibri"/>
                                  <w:szCs w:val="24"/>
                                  <w:lang w:eastAsia="lt-LT"/>
                                </w:rPr>
                                <w:t>3</w:t>
                              </w:r>
                            </w:sdtContent>
                          </w:sdt>
                          <w:r>
                            <w:rPr>
                              <w:rFonts w:eastAsia="Calibri"/>
                              <w:szCs w:val="24"/>
                              <w:lang w:eastAsia="lt-LT"/>
                            </w:rPr>
                            <w:t>) grynųjų pinigų įmokėjimas į mokėjimo sąskaitą valstybėse narėse klientų aptarnavimo vietose įstaigos darbo laiku arba į bankomatus įstaigos darbo ir ne darbo laiku;</w:t>
                          </w:r>
                        </w:p>
                      </w:sdtContent>
                    </w:sdt>
                    <w:sdt>
                      <w:sdtPr>
                        <w:alias w:val="72 str. 1 d. 4 p."/>
                        <w:tag w:val="part_4c45113a2a06407c87642bc139e0ee82"/>
                        <w:lock w:val="sdtLocked"/>
                        <w:richText/>
                      </w:sdtPr>
                      <w:sdtContent>
                        <w:p>
                          <w:pPr>
                            <w:widowControl w:val="0"/>
                            <w:spacing w:line="360" w:lineRule="auto"/>
                            <w:ind w:firstLine="720"/>
                            <w:jc w:val="both"/>
                            <w:rPr>
                              <w:rFonts w:eastAsia="Calibri"/>
                              <w:szCs w:val="24"/>
                              <w:lang w:eastAsia="lt-LT"/>
                            </w:rPr>
                          </w:pPr>
                          <w:sdt>
                            <w:sdtPr>
                              <w:alias w:val="Numeris"/>
                              <w:tag w:val="nr_4c45113a2a06407c87642bc139e0ee82"/>
                              <w:lock w:val="sdtLocked"/>
                              <w:richText/>
                            </w:sdtPr>
                            <w:sdtContent>
                              <w:r>
                                <w:rPr>
                                  <w:rFonts w:eastAsia="Calibri"/>
                                  <w:szCs w:val="24"/>
                                  <w:lang w:eastAsia="lt-LT"/>
                                </w:rPr>
                                <w:t>4</w:t>
                              </w:r>
                            </w:sdtContent>
                          </w:sdt>
                          <w:r>
                            <w:rPr>
                              <w:rFonts w:eastAsia="Calibri"/>
                              <w:szCs w:val="24"/>
                              <w:lang w:eastAsia="lt-LT"/>
                            </w:rPr>
                            <w:t xml:space="preserve">) grynųjų pinigų išėmimas iš mokėjimo sąskaitos valstybėse narėse klientų aptarnavimo vietose įstaigos darbo laiku arba iš bankomatų įstaigos darbo ir ne darbo laiku; </w:t>
                          </w:r>
                        </w:p>
                      </w:sdtContent>
                    </w:sdt>
                    <w:sdt>
                      <w:sdtPr>
                        <w:alias w:val="72 str. 1 d. 5 p."/>
                        <w:tag w:val="part_f7f6e2b846cf43e7b27c004250ba4e27"/>
                        <w:lock w:val="sdtLocked"/>
                        <w:richText/>
                      </w:sdtPr>
                      <w:sdtContent>
                        <w:p>
                          <w:pPr>
                            <w:widowControl w:val="0"/>
                            <w:spacing w:line="360" w:lineRule="auto"/>
                            <w:ind w:firstLine="720"/>
                            <w:jc w:val="both"/>
                            <w:rPr>
                              <w:rFonts w:eastAsia="Calibri"/>
                              <w:szCs w:val="24"/>
                              <w:lang w:eastAsia="lt-LT"/>
                            </w:rPr>
                          </w:pPr>
                          <w:sdt>
                            <w:sdtPr>
                              <w:alias w:val="Numeris"/>
                              <w:tag w:val="nr_f7f6e2b846cf43e7b27c004250ba4e27"/>
                              <w:lock w:val="sdtLocked"/>
                              <w:richText/>
                            </w:sdtPr>
                            <w:sdtContent>
                              <w:r>
                                <w:rPr>
                                  <w:rFonts w:eastAsia="Calibri"/>
                                  <w:szCs w:val="24"/>
                                  <w:lang w:eastAsia="lt-LT"/>
                                </w:rPr>
                                <w:t>5</w:t>
                              </w:r>
                            </w:sdtContent>
                          </w:sdt>
                          <w:r>
                            <w:rPr>
                              <w:rFonts w:eastAsia="Calibri"/>
                              <w:szCs w:val="24"/>
                              <w:lang w:eastAsia="lt-LT"/>
                            </w:rPr>
                            <w:t>) mokėjimo priemonių – mokėjimo kortelės arba kitos mokėjimo priemonės, sudarančios galimybę atsiskaityti fizinėse prekybos ir (arba) paslaugų teikimo vietose, – išdavimas;</w:t>
                          </w:r>
                        </w:p>
                      </w:sdtContent>
                    </w:sdt>
                    <w:sdt>
                      <w:sdtPr>
                        <w:alias w:val="72 str. 1 d. 6 p."/>
                        <w:tag w:val="part_2126ff9c6d2c41f686ac1d1e970fcb80"/>
                        <w:lock w:val="sdtLocked"/>
                        <w:richText/>
                      </w:sdtPr>
                      <w:sdtContent>
                        <w:p>
                          <w:pPr>
                            <w:widowControl w:val="0"/>
                            <w:spacing w:line="360" w:lineRule="auto"/>
                            <w:ind w:firstLine="720"/>
                            <w:jc w:val="both"/>
                            <w:rPr>
                              <w:rFonts w:eastAsia="Calibri"/>
                              <w:szCs w:val="24"/>
                              <w:lang w:eastAsia="lt-LT"/>
                            </w:rPr>
                          </w:pPr>
                          <w:sdt>
                            <w:sdtPr>
                              <w:alias w:val="Numeris"/>
                              <w:tag w:val="nr_2126ff9c6d2c41f686ac1d1e970fcb80"/>
                              <w:lock w:val="sdtLocked"/>
                              <w:richText/>
                            </w:sdtPr>
                            <w:sdtContent>
                              <w:r>
                                <w:rPr>
                                  <w:rFonts w:eastAsia="Calibri"/>
                                  <w:szCs w:val="24"/>
                                  <w:lang w:eastAsia="lt-LT"/>
                                </w:rPr>
                                <w:t>6</w:t>
                              </w:r>
                            </w:sdtContent>
                          </w:sdt>
                          <w:r>
                            <w:rPr>
                              <w:rFonts w:eastAsia="Calibri"/>
                              <w:szCs w:val="24"/>
                              <w:lang w:eastAsia="lt-LT"/>
                            </w:rPr>
                            <w:t>) mokėjimo operacijos, įskaitant mokėjimus internetu, naudojant šios dalies 5 punkte nurodytas mokėjimo priemones;</w:t>
                          </w:r>
                        </w:p>
                      </w:sdtContent>
                    </w:sdt>
                    <w:sdt>
                      <w:sdtPr>
                        <w:alias w:val="72 str. 1 d. 7 p."/>
                        <w:tag w:val="part_a2dabe965be147dfb3c1d3cac05abdda"/>
                        <w:lock w:val="sdtLocked"/>
                        <w:richText/>
                      </w:sdtPr>
                      <w:sdtContent>
                        <w:p>
                          <w:pPr>
                            <w:widowControl w:val="0"/>
                            <w:spacing w:line="360" w:lineRule="auto"/>
                            <w:ind w:firstLine="720"/>
                            <w:jc w:val="both"/>
                            <w:rPr>
                              <w:rFonts w:eastAsia="Calibri"/>
                              <w:szCs w:val="24"/>
                              <w:lang w:eastAsia="lt-LT"/>
                            </w:rPr>
                          </w:pPr>
                          <w:sdt>
                            <w:sdtPr>
                              <w:alias w:val="Numeris"/>
                              <w:tag w:val="nr_a2dabe965be147dfb3c1d3cac05abdda"/>
                              <w:lock w:val="sdtLocked"/>
                              <w:richText/>
                            </w:sdtPr>
                            <w:sdtContent>
                              <w:r>
                                <w:rPr>
                                  <w:rFonts w:eastAsia="Calibri"/>
                                  <w:szCs w:val="24"/>
                                  <w:lang w:eastAsia="lt-LT"/>
                                </w:rPr>
                                <w:t>7</w:t>
                              </w:r>
                            </w:sdtContent>
                          </w:sdt>
                          <w:r>
                            <w:rPr>
                              <w:rFonts w:eastAsia="Calibri"/>
                              <w:szCs w:val="24"/>
                              <w:lang w:eastAsia="lt-LT"/>
                            </w:rPr>
                            <w:t>) klientų aptarnavimo vietose ir (arba) elektroninėmis priemonėmis atliekamų kredito pervedimų, įskaitant periodinio pervedimo nurodymus ir momentinius kredito pervedimus, vykdymas valstybėse narėse;</w:t>
                          </w:r>
                        </w:p>
                      </w:sdtContent>
                    </w:sdt>
                    <w:sdt>
                      <w:sdtPr>
                        <w:alias w:val="72 str. 1 d. 8 p."/>
                        <w:tag w:val="part_de6460d87a6c46848629e1c8c3ec1ec1"/>
                        <w:lock w:val="sdtLocked"/>
                        <w:richText/>
                      </w:sdtPr>
                      <w:sdtContent>
                        <w:p>
                          <w:pPr>
                            <w:widowControl w:val="0"/>
                            <w:spacing w:line="360" w:lineRule="auto"/>
                            <w:ind w:firstLine="720"/>
                            <w:jc w:val="both"/>
                            <w:rPr>
                              <w:rFonts w:eastAsia="Calibri"/>
                              <w:szCs w:val="24"/>
                              <w:lang w:eastAsia="lt-LT"/>
                            </w:rPr>
                          </w:pPr>
                          <w:sdt>
                            <w:sdtPr>
                              <w:alias w:val="Numeris"/>
                              <w:tag w:val="nr_de6460d87a6c46848629e1c8c3ec1ec1"/>
                              <w:lock w:val="sdtLocked"/>
                              <w:richText/>
                            </w:sdtPr>
                            <w:sdtContent>
                              <w:r>
                                <w:rPr>
                                  <w:rFonts w:eastAsia="Calibri"/>
                                  <w:szCs w:val="24"/>
                                  <w:lang w:eastAsia="lt-LT"/>
                                </w:rPr>
                                <w:t>8</w:t>
                              </w:r>
                            </w:sdtContent>
                          </w:sdt>
                          <w:r>
                            <w:rPr>
                              <w:rFonts w:eastAsia="Calibri"/>
                              <w:szCs w:val="24"/>
                              <w:lang w:eastAsia="lt-LT"/>
                            </w:rPr>
                            <w:t>) tiesioginio debeto operacijos.</w:t>
                          </w:r>
                        </w:p>
                      </w:sdtContent>
                    </w:sdt>
                  </w:sdtContent>
                </w:sdt>
                <w:sdt>
                  <w:sdtPr>
                    <w:alias w:val="72 str. 2 d."/>
                    <w:tag w:val="part_01bec1b5524343898ba2bc06363672d9"/>
                    <w:lock w:val="sdtLocked"/>
                    <w:richText/>
                  </w:sdtPr>
                  <w:sdtContent>
                    <w:p>
                      <w:pPr>
                        <w:widowControl w:val="0"/>
                        <w:spacing w:line="360" w:lineRule="auto"/>
                        <w:ind w:firstLine="720"/>
                        <w:jc w:val="both"/>
                        <w:rPr>
                          <w:rFonts w:eastAsia="Calibri"/>
                          <w:szCs w:val="24"/>
                          <w:lang w:eastAsia="lt-LT"/>
                        </w:rPr>
                      </w:pPr>
                      <w:sdt>
                        <w:sdtPr>
                          <w:alias w:val="Numeris"/>
                          <w:tag w:val="nr_01bec1b5524343898ba2bc06363672d9"/>
                          <w:lock w:val="sdtLocked"/>
                          <w:richText/>
                        </w:sdtPr>
                        <w:sdtContent>
                          <w:r>
                            <w:rPr>
                              <w:rFonts w:eastAsia="Calibri"/>
                              <w:szCs w:val="24"/>
                              <w:lang w:eastAsia="lt-LT"/>
                            </w:rPr>
                            <w:t>2</w:t>
                          </w:r>
                        </w:sdtContent>
                      </w:sdt>
                      <w:r>
                        <w:rPr>
                          <w:rFonts w:eastAsia="Calibri"/>
                          <w:szCs w:val="24"/>
                          <w:lang w:eastAsia="lt-LT"/>
                        </w:rPr>
                        <w:t>. Įstaiga pagrindinę mokėjimo sąskaitą atidaro eurais.</w:t>
                      </w:r>
                    </w:p>
                  </w:sdtContent>
                </w:sdt>
                <w:sdt>
                  <w:sdtPr>
                    <w:alias w:val="72 str. 3 d."/>
                    <w:tag w:val="part_5940edf850bb4db39c0f6aeb0d97fd7e"/>
                    <w:lock w:val="sdtLocked"/>
                    <w:richText/>
                  </w:sdtPr>
                  <w:sdtContent>
                    <w:p>
                      <w:pPr>
                        <w:widowControl w:val="0"/>
                        <w:spacing w:line="360" w:lineRule="auto"/>
                        <w:ind w:firstLine="720"/>
                        <w:jc w:val="both"/>
                        <w:rPr>
                          <w:rFonts w:eastAsia="Calibri"/>
                          <w:szCs w:val="24"/>
                          <w:lang w:eastAsia="lt-LT"/>
                        </w:rPr>
                      </w:pPr>
                      <w:sdt>
                        <w:sdtPr>
                          <w:alias w:val="Numeris"/>
                          <w:tag w:val="nr_5940edf850bb4db39c0f6aeb0d97fd7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9bbd65d894934f2c969c0b770faca3a1"/>
                    <w:lock w:val="sdtLocked"/>
                    <w:richText/>
                  </w:sdtPr>
                  <w:sdtContent>
                    <w:p>
                      <w:pPr>
                        <w:widowControl w:val="0"/>
                        <w:spacing w:line="360" w:lineRule="auto"/>
                        <w:ind w:firstLine="720"/>
                        <w:jc w:val="both"/>
                        <w:rPr>
                          <w:rFonts w:eastAsia="Calibri"/>
                          <w:bCs/>
                          <w:szCs w:val="24"/>
                          <w:lang w:eastAsia="lt-LT"/>
                        </w:rPr>
                      </w:pPr>
                      <w:sdt>
                        <w:sdtPr>
                          <w:alias w:val="Numeris"/>
                          <w:tag w:val="nr_9bbd65d894934f2c969c0b770faca3a1"/>
                          <w:lock w:val="sdtLocked"/>
                          <w:richText/>
                        </w:sdtPr>
                        <w:sdtContent>
                          <w:r>
                            <w:rPr>
                              <w:rFonts w:eastAsia="Calibri"/>
                              <w:bCs/>
                              <w:szCs w:val="24"/>
                              <w:lang w:eastAsia="lt-LT"/>
                            </w:rPr>
                            <w:t>4</w:t>
                          </w:r>
                        </w:sdtContent>
                      </w:sdt>
                      <w:r>
                        <w:rPr>
                          <w:rFonts w:eastAsia="Calibri"/>
                          <w:bCs/>
                          <w:szCs w:val="24"/>
                          <w:lang w:eastAsia="lt-LT"/>
                        </w:rPr>
                        <w:t>. Priežiūros institucija nustato pagrindinės mokėjimo sąskaitos paslaugą sudarančių mokėjimo paslaugų ir mokėjimo operacijų, už kurias įstaiga gali imti ne didesnį negu pagal šio įstatymo 73 straipsnį nustatytą komisinį atlyginimą, sąrašą</w:t>
                      </w:r>
                      <w:r>
                        <w:rPr>
                          <w:szCs w:val="24"/>
                        </w:rPr>
                        <w:t xml:space="preserve"> </w:t>
                      </w:r>
                      <w:r>
                        <w:rPr>
                          <w:rFonts w:eastAsia="Calibri"/>
                          <w:bCs/>
                          <w:szCs w:val="24"/>
                          <w:lang w:eastAsia="lt-LT"/>
                        </w:rPr>
                        <w:t>taip, kad būtų tenkinamos šios sąlygos:</w:t>
                      </w:r>
                    </w:p>
                    <w:sdt>
                      <w:sdtPr>
                        <w:alias w:val="72 str. 4 d. 1 p."/>
                        <w:tag w:val="part_3e1385f4779f408bad2c24d647989686"/>
                        <w:lock w:val="sdtLocked"/>
                        <w:richText/>
                      </w:sdtPr>
                      <w:sdtContent>
                        <w:p>
                          <w:pPr>
                            <w:widowControl w:val="0"/>
                            <w:spacing w:line="360" w:lineRule="auto"/>
                            <w:ind w:firstLine="720"/>
                            <w:jc w:val="both"/>
                            <w:rPr>
                              <w:rFonts w:eastAsia="Calibri"/>
                              <w:bCs/>
                              <w:szCs w:val="24"/>
                              <w:lang w:eastAsia="lt-LT"/>
                            </w:rPr>
                          </w:pPr>
                          <w:sdt>
                            <w:sdtPr>
                              <w:alias w:val="Numeris"/>
                              <w:tag w:val="nr_3e1385f4779f408bad2c24d647989686"/>
                              <w:lock w:val="sdtLocked"/>
                              <w:richText/>
                            </w:sdtPr>
                            <w:sdtContent>
                              <w:r>
                                <w:rPr>
                                  <w:rFonts w:eastAsia="Calibri"/>
                                  <w:bCs/>
                                  <w:szCs w:val="24"/>
                                  <w:lang w:eastAsia="lt-LT"/>
                                </w:rPr>
                                <w:t>1</w:t>
                              </w:r>
                            </w:sdtContent>
                          </w:sdt>
                          <w:r>
                            <w:rPr>
                              <w:rFonts w:eastAsia="Calibri"/>
                              <w:bCs/>
                              <w:szCs w:val="24"/>
                              <w:lang w:eastAsia="lt-LT"/>
                            </w:rPr>
                            <w:t xml:space="preserve">) įstaiga sudaro galimybę naudotis bent viena mokėjimo sąskaita; </w:t>
                          </w:r>
                        </w:p>
                      </w:sdtContent>
                    </w:sdt>
                    <w:sdt>
                      <w:sdtPr>
                        <w:alias w:val="72 str. 4 d. 2 p."/>
                        <w:tag w:val="part_a2d007bbbcd5451795b8af4922a8f9c5"/>
                        <w:lock w:val="sdtLocked"/>
                        <w:richText/>
                      </w:sdtPr>
                      <w:sdtContent>
                        <w:p>
                          <w:pPr>
                            <w:widowControl w:val="0"/>
                            <w:spacing w:line="360" w:lineRule="auto"/>
                            <w:ind w:firstLine="720"/>
                            <w:jc w:val="both"/>
                            <w:rPr>
                              <w:rFonts w:eastAsia="Calibri"/>
                              <w:bCs/>
                              <w:szCs w:val="24"/>
                              <w:lang w:eastAsia="lt-LT"/>
                            </w:rPr>
                          </w:pPr>
                          <w:sdt>
                            <w:sdtPr>
                              <w:alias w:val="Numeris"/>
                              <w:tag w:val="nr_a2d007bbbcd5451795b8af4922a8f9c5"/>
                              <w:lock w:val="sdtLocked"/>
                              <w:richText/>
                            </w:sdtPr>
                            <w:sdtContent>
                              <w:r>
                                <w:rPr>
                                  <w:rFonts w:eastAsia="Calibri"/>
                                  <w:bCs/>
                                  <w:szCs w:val="24"/>
                                  <w:lang w:eastAsia="lt-LT"/>
                                </w:rPr>
                                <w:t>2</w:t>
                              </w:r>
                            </w:sdtContent>
                          </w:sdt>
                          <w:r>
                            <w:rPr>
                              <w:rFonts w:eastAsia="Calibri"/>
                              <w:bCs/>
                              <w:szCs w:val="24"/>
                              <w:lang w:eastAsia="lt-LT"/>
                            </w:rPr>
                            <w:t>) šio straipsnio 1 dalies 2, 3, 4 ir 6 punktuose nurodytų mokėjimo operacijų skaičius turi būti neribotas;</w:t>
                          </w:r>
                        </w:p>
                      </w:sdtContent>
                    </w:sdt>
                    <w:sdt>
                      <w:sdtPr>
                        <w:alias w:val="72 str. 4 d. 3 p."/>
                        <w:tag w:val="part_c7790d47764247b391f6bb03492baa07"/>
                        <w:lock w:val="sdtLocked"/>
                        <w:richText/>
                      </w:sdtPr>
                      <w:sdtContent>
                        <w:p>
                          <w:pPr>
                            <w:widowControl w:val="0"/>
                            <w:spacing w:line="360" w:lineRule="auto"/>
                            <w:ind w:firstLine="720"/>
                            <w:jc w:val="both"/>
                            <w:rPr>
                              <w:rFonts w:eastAsia="Calibri"/>
                              <w:bCs/>
                              <w:szCs w:val="24"/>
                              <w:lang w:eastAsia="lt-LT"/>
                            </w:rPr>
                          </w:pPr>
                          <w:sdt>
                            <w:sdtPr>
                              <w:alias w:val="Numeris"/>
                              <w:tag w:val="nr_c7790d47764247b391f6bb03492baa07"/>
                              <w:lock w:val="sdtLocked"/>
                              <w:richText/>
                            </w:sdtPr>
                            <w:sdtContent>
                              <w:r>
                                <w:rPr>
                                  <w:rFonts w:eastAsia="Calibri"/>
                                  <w:bCs/>
                                  <w:szCs w:val="24"/>
                                  <w:lang w:eastAsia="lt-LT"/>
                                </w:rPr>
                                <w:t>3</w:t>
                              </w:r>
                            </w:sdtContent>
                          </w:sdt>
                          <w:r>
                            <w:rPr>
                              <w:rFonts w:eastAsia="Calibri"/>
                              <w:bCs/>
                              <w:szCs w:val="24"/>
                              <w:lang w:eastAsia="lt-LT"/>
                            </w:rPr>
                            <w:t>) šio straipsnio 1 dalies 2, 3, 6, 7 ir 8 punktuose nurodytų mokėjimo operacijų vertė turi būti neribota;</w:t>
                          </w:r>
                        </w:p>
                      </w:sdtContent>
                    </w:sdt>
                    <w:sdt>
                      <w:sdtPr>
                        <w:alias w:val="72 str. 4 d. 4 p."/>
                        <w:tag w:val="part_5e2faa84c7d547ffa8008562368d94bb"/>
                        <w:lock w:val="sdtLocked"/>
                        <w:richText/>
                      </w:sdtPr>
                      <w:sdtContent>
                        <w:p>
                          <w:pPr>
                            <w:widowControl w:val="0"/>
                            <w:spacing w:line="360" w:lineRule="auto"/>
                            <w:ind w:firstLine="720"/>
                            <w:jc w:val="both"/>
                            <w:rPr>
                              <w:rFonts w:eastAsia="Calibri"/>
                              <w:bCs/>
                              <w:szCs w:val="24"/>
                              <w:lang w:eastAsia="lt-LT"/>
                            </w:rPr>
                          </w:pPr>
                          <w:sdt>
                            <w:sdtPr>
                              <w:alias w:val="Numeris"/>
                              <w:tag w:val="nr_5e2faa84c7d547ffa8008562368d94bb"/>
                              <w:lock w:val="sdtLocked"/>
                              <w:richText/>
                            </w:sdtPr>
                            <w:sdtContent>
                              <w:r>
                                <w:rPr>
                                  <w:rFonts w:eastAsia="Calibri"/>
                                  <w:bCs/>
                                  <w:szCs w:val="24"/>
                                  <w:lang w:eastAsia="lt-LT"/>
                                </w:rPr>
                                <w:t>4</w:t>
                              </w:r>
                            </w:sdtContent>
                          </w:sdt>
                          <w:r>
                            <w:rPr>
                              <w:rFonts w:eastAsia="Calibri"/>
                              <w:bCs/>
                              <w:szCs w:val="24"/>
                              <w:lang w:eastAsia="lt-LT"/>
                            </w:rPr>
                            <w:t>) minimali iš sąskaitos išimama grynųjų pinigų suma per mėnesį, kaip nurodyta šio straipsnio 1 dalies 4 punkte, nustatoma taip, kad tenkintų ne mažiau kaip 90 procentų Lietuvos Respublikoje gyvenančių fizinių asmenų, turinčių mokėjimo sąskaitą, poreikius išsiimti grynųjų pinigų Lietuvos Respublikoje;</w:t>
                          </w:r>
                        </w:p>
                      </w:sdtContent>
                    </w:sdt>
                    <w:sdt>
                      <w:sdtPr>
                        <w:alias w:val="72 str. 4 d. 5 p."/>
                        <w:tag w:val="part_45f70382a86b47038281f420a19520a2"/>
                        <w:lock w:val="sdtLocked"/>
                        <w:richText/>
                      </w:sdtPr>
                      <w:sdtContent>
                        <w:p>
                          <w:pPr>
                            <w:widowControl w:val="0"/>
                            <w:spacing w:line="360" w:lineRule="auto"/>
                            <w:ind w:firstLine="720"/>
                            <w:jc w:val="both"/>
                            <w:rPr>
                              <w:rFonts w:eastAsia="Calibri"/>
                              <w:bCs/>
                              <w:szCs w:val="24"/>
                              <w:lang w:eastAsia="lt-LT"/>
                            </w:rPr>
                          </w:pPr>
                          <w:sdt>
                            <w:sdtPr>
                              <w:alias w:val="Numeris"/>
                              <w:tag w:val="nr_45f70382a86b47038281f420a19520a2"/>
                              <w:lock w:val="sdtLocked"/>
                              <w:richText/>
                            </w:sdtPr>
                            <w:sdtContent>
                              <w:r>
                                <w:rPr>
                                  <w:rFonts w:eastAsia="Calibri"/>
                                  <w:bCs/>
                                  <w:szCs w:val="24"/>
                                  <w:lang w:eastAsia="lt-LT"/>
                                </w:rPr>
                                <w:t>5</w:t>
                              </w:r>
                            </w:sdtContent>
                          </w:sdt>
                          <w:r>
                            <w:rPr>
                              <w:rFonts w:eastAsia="Calibri"/>
                              <w:bCs/>
                              <w:szCs w:val="24"/>
                              <w:lang w:eastAsia="lt-LT"/>
                            </w:rPr>
                            <w:t>) minimalus šio straipsnio 1 dalies 7 ir 8 punktuose nurodytų mokėjimo operacijų, inicijuojamų elektroninėmis priemonėmis, išskyrus šio straipsnio 1 dalies 5 punkte nurodyta mokėjimo priemone inicijuotas mokėjimo operacijas, skaičius per mėnesį nustatomas taip, kad tenkintų ne mažiau kaip 90 procentų Lietuvos Respublikoje gyvenančių fizinių asmenų, turinčių mokėjimo sąskaitą, poreikius atlikti kredito pervedimus Lietuvos Respublikoje;</w:t>
                          </w:r>
                        </w:p>
                      </w:sdtContent>
                    </w:sdt>
                    <w:sdt>
                      <w:sdtPr>
                        <w:alias w:val="72 str. 4 d. 6 p."/>
                        <w:tag w:val="part_713b47c699f54a55ba7c09bd55ce83e0"/>
                        <w:lock w:val="sdtLocked"/>
                        <w:richText/>
                      </w:sdtPr>
                      <w:sdtContent>
                        <w:p>
                          <w:pPr>
                            <w:widowControl w:val="0"/>
                            <w:spacing w:line="360" w:lineRule="auto"/>
                            <w:ind w:firstLine="720"/>
                            <w:jc w:val="both"/>
                            <w:rPr>
                              <w:rFonts w:eastAsia="Calibri"/>
                              <w:bCs/>
                              <w:szCs w:val="24"/>
                              <w:lang w:eastAsia="lt-LT"/>
                            </w:rPr>
                          </w:pPr>
                          <w:sdt>
                            <w:sdtPr>
                              <w:alias w:val="Numeris"/>
                              <w:tag w:val="nr_713b47c699f54a55ba7c09bd55ce83e0"/>
                              <w:lock w:val="sdtLocked"/>
                              <w:richText/>
                            </w:sdtPr>
                            <w:sdtContent>
                              <w:r>
                                <w:rPr>
                                  <w:rFonts w:eastAsia="Calibri"/>
                                  <w:bCs/>
                                  <w:szCs w:val="24"/>
                                  <w:lang w:eastAsia="lt-LT"/>
                                </w:rPr>
                                <w:t>6</w:t>
                              </w:r>
                            </w:sdtContent>
                          </w:sdt>
                          <w:r>
                            <w:rPr>
                              <w:rFonts w:eastAsia="Calibri"/>
                              <w:bCs/>
                              <w:szCs w:val="24"/>
                              <w:lang w:eastAsia="lt-LT"/>
                            </w:rPr>
                            <w:t>) įstaiga suteikia bent vieną šio straipsnio 1 dalies 5 punkte nurodytą mokėjimo priemonę, kuria būtų galimybė atsiskaityti daugelyje fizinių prekybos ir (arba) paslaugų teikimo vietų;</w:t>
                          </w:r>
                        </w:p>
                      </w:sdtContent>
                    </w:sdt>
                    <w:sdt>
                      <w:sdtPr>
                        <w:alias w:val="72 str. 4 d. 7 p."/>
                        <w:tag w:val="part_de1b0cde0b81448ebaa917f59d9fb474"/>
                        <w:lock w:val="sdtLocked"/>
                        <w:richText/>
                      </w:sdtPr>
                      <w:sdtContent>
                        <w:p>
                          <w:pPr>
                            <w:widowControl w:val="0"/>
                            <w:spacing w:line="360" w:lineRule="auto"/>
                            <w:ind w:firstLine="720"/>
                            <w:jc w:val="both"/>
                            <w:rPr>
                              <w:rFonts w:eastAsia="Calibri"/>
                              <w:bCs/>
                              <w:szCs w:val="24"/>
                              <w:lang w:eastAsia="lt-LT"/>
                            </w:rPr>
                          </w:pPr>
                          <w:sdt>
                            <w:sdtPr>
                              <w:alias w:val="Numeris"/>
                              <w:tag w:val="nr_de1b0cde0b81448ebaa917f59d9fb474"/>
                              <w:lock w:val="sdtLocked"/>
                              <w:richText/>
                            </w:sdtPr>
                            <w:sdtContent>
                              <w:r>
                                <w:rPr>
                                  <w:rFonts w:eastAsia="Calibri"/>
                                  <w:bCs/>
                                  <w:szCs w:val="24"/>
                                  <w:lang w:eastAsia="lt-LT"/>
                                </w:rPr>
                                <w:t>7</w:t>
                              </w:r>
                            </w:sdtContent>
                          </w:sdt>
                          <w:r>
                            <w:rPr>
                              <w:rFonts w:eastAsia="Calibri"/>
                              <w:bCs/>
                              <w:szCs w:val="24"/>
                              <w:lang w:eastAsia="lt-LT"/>
                            </w:rPr>
                            <w:t>) šio straipsnio 1 dalies 3 ir 4 punktuose nurodytos grynųjų pinigų įmokėjimo ir išėmimo paslaugos teikiamos Lietuvos Respublikoje įstaigų valdomuose ar naudojamuose bankomatuose arba jų dalyje, kuri nustatoma atsižvelgiant į bankomatų tinklo struktūrą šalyje ir įstaigų veiklos modelius;</w:t>
                          </w:r>
                        </w:p>
                      </w:sdtContent>
                    </w:sdt>
                    <w:sdt>
                      <w:sdtPr>
                        <w:alias w:val="72 str. 4 d. 8 p."/>
                        <w:tag w:val="part_ff246227db334551aa5fc453988a49a9"/>
                        <w:lock w:val="sdtLocked"/>
                        <w:richText/>
                      </w:sdtPr>
                      <w:sdtContent>
                        <w:p>
                          <w:pPr>
                            <w:widowControl w:val="0"/>
                            <w:spacing w:line="360" w:lineRule="auto"/>
                            <w:ind w:firstLine="720"/>
                            <w:jc w:val="both"/>
                            <w:rPr>
                              <w:rFonts w:eastAsia="Calibri"/>
                              <w:bCs/>
                              <w:szCs w:val="24"/>
                              <w:lang w:eastAsia="lt-LT"/>
                            </w:rPr>
                          </w:pPr>
                          <w:sdt>
                            <w:sdtPr>
                              <w:alias w:val="Numeris"/>
                              <w:tag w:val="nr_ff246227db334551aa5fc453988a49a9"/>
                              <w:lock w:val="sdtLocked"/>
                              <w:richText/>
                            </w:sdtPr>
                            <w:sdtContent>
                              <w:r>
                                <w:rPr>
                                  <w:rFonts w:eastAsia="Calibri"/>
                                  <w:bCs/>
                                  <w:szCs w:val="24"/>
                                  <w:lang w:eastAsia="lt-LT"/>
                                </w:rPr>
                                <w:t>8</w:t>
                              </w:r>
                            </w:sdtContent>
                          </w:sdt>
                          <w:r>
                            <w:rPr>
                              <w:rFonts w:eastAsia="Calibri"/>
                              <w:bCs/>
                              <w:szCs w:val="24"/>
                              <w:lang w:eastAsia="lt-LT"/>
                            </w:rPr>
                            <w:t>) mokėjimo operacijos vykdomos eurais Europos ekonominėje erdvėje;</w:t>
                          </w:r>
                        </w:p>
                      </w:sdtContent>
                    </w:sdt>
                    <w:sdt>
                      <w:sdtPr>
                        <w:alias w:val="72 str. 4 d. 9 p."/>
                        <w:tag w:val="part_b21a12df48ee40da8767356b5558f965"/>
                        <w:lock w:val="sdtLocked"/>
                        <w:richText/>
                      </w:sdtPr>
                      <w:sdtContent>
                        <w:p>
                          <w:pPr>
                            <w:widowControl w:val="0"/>
                            <w:spacing w:line="360" w:lineRule="auto"/>
                            <w:ind w:firstLine="720"/>
                            <w:jc w:val="both"/>
                            <w:rPr>
                              <w:rFonts w:eastAsia="Calibri"/>
                              <w:bCs/>
                              <w:szCs w:val="24"/>
                              <w:lang w:eastAsia="lt-LT"/>
                            </w:rPr>
                          </w:pPr>
                          <w:sdt>
                            <w:sdtPr>
                              <w:alias w:val="Numeris"/>
                              <w:tag w:val="nr_b21a12df48ee40da8767356b5558f965"/>
                              <w:lock w:val="sdtLocked"/>
                              <w:richText/>
                            </w:sdtPr>
                            <w:sdtContent>
                              <w:r>
                                <w:rPr>
                                  <w:rFonts w:eastAsia="Calibri"/>
                                  <w:bCs/>
                                  <w:szCs w:val="24"/>
                                  <w:lang w:eastAsia="lt-LT"/>
                                </w:rPr>
                                <w:t>9</w:t>
                              </w:r>
                            </w:sdtContent>
                          </w:sdt>
                          <w:r>
                            <w:rPr>
                              <w:rFonts w:eastAsia="Calibri"/>
                              <w:bCs/>
                              <w:szCs w:val="24"/>
                              <w:lang w:eastAsia="lt-LT"/>
                            </w:rPr>
                            <w:t>) įstaiga suteikia priemonę valdyti mokėjimo sąskaitą ir inicijuoti mokėjimo operacijas elektroniniu būdu;</w:t>
                          </w:r>
                        </w:p>
                      </w:sdtContent>
                    </w:sdt>
                    <w:sdt>
                      <w:sdtPr>
                        <w:alias w:val="72 str. 4 d. 10 p."/>
                        <w:tag w:val="part_fb7adf3839554ff8a6b5ad2672c880a0"/>
                        <w:lock w:val="sdtLocked"/>
                        <w:richText/>
                      </w:sdtPr>
                      <w:sdtContent>
                        <w:p>
                          <w:pPr>
                            <w:widowControl w:val="0"/>
                            <w:spacing w:line="360" w:lineRule="auto"/>
                            <w:ind w:firstLine="720"/>
                            <w:jc w:val="both"/>
                            <w:rPr>
                              <w:rFonts w:eastAsia="Calibri"/>
                              <w:bCs/>
                              <w:szCs w:val="24"/>
                              <w:lang w:eastAsia="lt-LT"/>
                            </w:rPr>
                          </w:pPr>
                          <w:sdt>
                            <w:sdtPr>
                              <w:alias w:val="Numeris"/>
                              <w:tag w:val="nr_fb7adf3839554ff8a6b5ad2672c880a0"/>
                              <w:lock w:val="sdtLocked"/>
                              <w:richText/>
                            </w:sdtPr>
                            <w:sdtContent>
                              <w:r>
                                <w:rPr>
                                  <w:rFonts w:eastAsia="Calibri"/>
                                  <w:bCs/>
                                  <w:szCs w:val="24"/>
                                  <w:lang w:eastAsia="lt-LT"/>
                                </w:rPr>
                                <w:t>10</w:t>
                              </w:r>
                            </w:sdtContent>
                          </w:sdt>
                          <w:r>
                            <w:rPr>
                              <w:rFonts w:eastAsia="Calibri"/>
                              <w:bCs/>
                              <w:szCs w:val="24"/>
                              <w:lang w:eastAsia="lt-LT"/>
                            </w:rPr>
                            <w:t>) sudarant mokėjimo paslaugų sąrašą atsižvelgiama į vartotojų mokėjimo įpročius ir dažniausiai naudojamas mokėjimo paslaugas ir mokėjimo priemones.</w:t>
                          </w:r>
                        </w:p>
                      </w:sdtContent>
                    </w:sdt>
                  </w:sdtContent>
                </w:sdt>
                <w:sdt>
                  <w:sdtPr>
                    <w:alias w:val="72 str. 5 d."/>
                    <w:tag w:val="part_3f2e30450aa5450c83115eba2cb0f0e7"/>
                    <w:lock w:val="sdtLocked"/>
                    <w:richText/>
                  </w:sdtPr>
                  <w:sdtContent>
                    <w:p>
                      <w:pPr>
                        <w:widowControl w:val="0"/>
                        <w:spacing w:line="360" w:lineRule="auto"/>
                        <w:ind w:firstLine="720"/>
                        <w:jc w:val="both"/>
                        <w:rPr>
                          <w:rFonts w:eastAsia="Calibri"/>
                          <w:bCs/>
                          <w:szCs w:val="24"/>
                          <w:lang w:eastAsia="lt-LT"/>
                        </w:rPr>
                      </w:pPr>
                      <w:sdt>
                        <w:sdtPr>
                          <w:alias w:val="Numeris"/>
                          <w:tag w:val="nr_3f2e30450aa5450c83115eba2cb0f0e7"/>
                          <w:lock w:val="sdtLocked"/>
                          <w:richText/>
                        </w:sdtPr>
                        <w:sdtContent>
                          <w:r>
                            <w:rPr>
                              <w:rFonts w:eastAsia="Calibri"/>
                              <w:bCs/>
                              <w:szCs w:val="24"/>
                              <w:lang w:eastAsia="lt-LT"/>
                            </w:rPr>
                            <w:t>5</w:t>
                          </w:r>
                        </w:sdtContent>
                      </w:sdt>
                      <w:r>
                        <w:rPr>
                          <w:rFonts w:eastAsia="Calibri"/>
                          <w:bCs/>
                          <w:szCs w:val="24"/>
                          <w:lang w:eastAsia="lt-LT"/>
                        </w:rPr>
                        <w:t xml:space="preserve">. Priežiūros institucija, atsižvelgdama į mokėjimo rinkos pokyčius, kas 3 metus atnaujina šio straipsnio 4 dalies 4 ir 5 punktuose nurodytų mokėjimo paslaugų apimtį. </w:t>
                      </w:r>
                    </w:p>
                  </w:sdtContent>
                </w:sdt>
                <w:sdt>
                  <w:sdtPr>
                    <w:alias w:val="72 str. 6 d."/>
                    <w:tag w:val="part_ef386711a47b49ca9bfc872ffc90dcf6"/>
                    <w:lock w:val="sdtLocked"/>
                    <w:richText/>
                  </w:sdtPr>
                  <w:sdtContent>
                    <w:p>
                      <w:pPr>
                        <w:widowControl w:val="0"/>
                        <w:spacing w:line="360" w:lineRule="auto"/>
                        <w:ind w:firstLine="720"/>
                        <w:jc w:val="both"/>
                        <w:rPr>
                          <w:rFonts w:eastAsia="Calibri"/>
                          <w:bCs/>
                          <w:szCs w:val="24"/>
                          <w:lang w:eastAsia="lt-LT"/>
                        </w:rPr>
                      </w:pPr>
                      <w:sdt>
                        <w:sdtPr>
                          <w:alias w:val="Numeris"/>
                          <w:tag w:val="nr_ef386711a47b49ca9bfc872ffc90dcf6"/>
                          <w:lock w:val="sdtLocked"/>
                          <w:richText/>
                        </w:sdtPr>
                        <w:sdtContent>
                          <w:r>
                            <w:rPr>
                              <w:rFonts w:eastAsia="Calibri"/>
                              <w:szCs w:val="24"/>
                              <w:lang w:eastAsia="lt-LT"/>
                            </w:rPr>
                            <w:t>6</w:t>
                          </w:r>
                        </w:sdtContent>
                      </w:sdt>
                      <w:r>
                        <w:rPr>
                          <w:rFonts w:eastAsia="Calibri"/>
                          <w:szCs w:val="24"/>
                          <w:lang w:eastAsia="lt-LT"/>
                        </w:rPr>
                        <w:t xml:space="preserve">. </w:t>
                      </w:r>
                      <w:r>
                        <w:rPr>
                          <w:rFonts w:eastAsia="Calibri"/>
                          <w:bCs/>
                          <w:szCs w:val="24"/>
                          <w:lang w:eastAsia="lt-LT"/>
                        </w:rPr>
                        <w:t xml:space="preserve">Šio straipsnio 1 dalyje nurodytas mokėjimo paslaugas įstaigos turi teikti kaip pagrindinės mokėjimo sąskaitos paslaugos dalį, jeigu jas teikia vartotojams, turintiems mokėjimo sąskaitų, kurios nėra pagrindinės mokėjimo sąskaitos. Šias mokėjimo </w:t>
                      </w:r>
                      <w:r>
                        <w:rPr>
                          <w:rFonts w:eastAsia="Calibri"/>
                          <w:bCs/>
                          <w:szCs w:val="24"/>
                        </w:rPr>
                        <w:t xml:space="preserve">paslaugas įstaiga privalo teikti tomis pačiomis sąlygomis, kokiomis jos yra teikiamos kitas mokėjimo sąskaitas turintiems vartotojams, ir neribodama mokėjimo paslaugų ir mokėjimo operacijų, viršijančių priežiūros institucijos nustatytą </w:t>
                      </w:r>
                      <w:r>
                        <w:rPr>
                          <w:rFonts w:eastAsia="Calibri"/>
                          <w:bCs/>
                          <w:szCs w:val="24"/>
                          <w:lang w:eastAsia="lt-LT"/>
                        </w:rPr>
                        <w:t xml:space="preserve">pagrindinės mokėjimo sąskaitos paslaugą sudarančių mokėjimo paslaugų </w:t>
                      </w:r>
                      <w:r>
                        <w:rPr>
                          <w:rFonts w:eastAsia="Calibri"/>
                          <w:bCs/>
                          <w:szCs w:val="24"/>
                        </w:rPr>
                        <w:t>ir mokėjimo operacijų skaičių, apimties</w:t>
                      </w:r>
                      <w:r>
                        <w:rPr>
                          <w:rFonts w:eastAsia="Calibri"/>
                          <w:bCs/>
                          <w:szCs w:val="24"/>
                          <w:lang w:eastAsia="lt-LT"/>
                        </w:rPr>
                        <w:t>. Įstaiga turi teisę nustatyti naudojimosi mokėjimo paslaugomis limitus, susijusius su mokėjimų saugumo ir pinigų plovimo bei teroristų finansavimo prevencijos tikslais, jeigu tokie pat limitai nustatyti vartotojams, kurie nesinaudoja pagrindinės mokėjimo sąskaitos paslauga.</w:t>
                      </w:r>
                    </w:p>
                  </w:sdtContent>
                </w:sdt>
                <w:sdt>
                  <w:sdtPr>
                    <w:alias w:val="72 str. 7 d."/>
                    <w:tag w:val="part_1d8d3c718211461cb3ff2d0829ac75ff"/>
                    <w:lock w:val="sdtLocked"/>
                    <w:richText/>
                  </w:sdtPr>
                  <w:sdtContent>
                    <w:p>
                      <w:pPr>
                        <w:widowControl w:val="0"/>
                        <w:spacing w:line="360" w:lineRule="auto"/>
                        <w:ind w:firstLine="720"/>
                        <w:jc w:val="both"/>
                        <w:rPr>
                          <w:rFonts w:eastAsia="Calibri"/>
                          <w:szCs w:val="24"/>
                          <w:lang w:eastAsia="lt-LT"/>
                        </w:rPr>
                      </w:pPr>
                      <w:sdt>
                        <w:sdtPr>
                          <w:alias w:val="Numeris"/>
                          <w:tag w:val="nr_1d8d3c718211461cb3ff2d0829ac75f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Galimybė naudotis pagrindine mokėjimo sąskaita negali būti suteikiama reikalaujant įsigyti šią paslaugą ar siejama su šios paslaugos teikimu.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489f4a620b5948fc8f941d5276b2479b"/>
                    <w:lock w:val="sdtLocked"/>
                    <w:richText/>
                  </w:sdtPr>
                  <w:sdtContent>
                    <w:p>
                      <w:pPr>
                        <w:widowControl w:val="0"/>
                        <w:spacing w:line="360" w:lineRule="auto"/>
                        <w:ind w:firstLine="720"/>
                        <w:jc w:val="both"/>
                        <w:rPr>
                          <w:rFonts w:eastAsia="Calibri"/>
                          <w:bCs/>
                          <w:szCs w:val="24"/>
                          <w:lang w:eastAsia="lt-LT"/>
                        </w:rPr>
                      </w:pPr>
                      <w:sdt>
                        <w:sdtPr>
                          <w:alias w:val="Numeris"/>
                          <w:tag w:val="nr_489f4a620b5948fc8f941d5276b2479b"/>
                          <w:lock w:val="sdtLocked"/>
                          <w:richText/>
                        </w:sdtPr>
                        <w:sdtContent>
                          <w:r>
                            <w:rPr>
                              <w:rFonts w:eastAsia="Calibri"/>
                              <w:szCs w:val="24"/>
                              <w:lang w:eastAsia="lt-LT"/>
                            </w:rPr>
                            <w:t>1</w:t>
                          </w:r>
                        </w:sdtContent>
                      </w:sdt>
                      <w:r>
                        <w:rPr>
                          <w:rFonts w:eastAsia="Calibri"/>
                          <w:szCs w:val="24"/>
                          <w:lang w:eastAsia="lt-LT"/>
                        </w:rPr>
                        <w:t xml:space="preserve">. Įstaiga už pagrindinės mokėjimo sąskaitos paslaugą, kaip nustatyta priežiūros institucijos pagal šio įstatymo 72 straipsnio 4 dalį, turi teisę imti komisinį atlyginimą, kurio maksimalų dydį per mėnesį </w:t>
                      </w:r>
                      <w:r>
                        <w:rPr>
                          <w:rFonts w:eastAsia="Calibri"/>
                          <w:bCs/>
                          <w:szCs w:val="24"/>
                          <w:lang w:eastAsia="lt-LT"/>
                        </w:rPr>
                        <w:t>kas 3 metus apskaičiuoja priežiūros institucija, užtikrindama, kad maksimalus komisinis atlyginimas būtų lygus mažiausiam iš šių dydžių:</w:t>
                      </w:r>
                    </w:p>
                    <w:sdt>
                      <w:sdtPr>
                        <w:alias w:val="73 str. 1 d. 1 p."/>
                        <w:tag w:val="part_b165e60c09224334a5f9aaa2b24a0c42"/>
                        <w:lock w:val="sdtLocked"/>
                        <w:richText/>
                      </w:sdtPr>
                      <w:sdtContent>
                        <w:p>
                          <w:pPr>
                            <w:widowControl w:val="0"/>
                            <w:spacing w:line="360" w:lineRule="auto"/>
                            <w:ind w:firstLine="720"/>
                            <w:jc w:val="both"/>
                            <w:rPr>
                              <w:rFonts w:eastAsia="Calibri"/>
                              <w:bCs/>
                              <w:szCs w:val="24"/>
                              <w:lang w:eastAsia="lt-LT"/>
                            </w:rPr>
                          </w:pPr>
                          <w:sdt>
                            <w:sdtPr>
                              <w:alias w:val="Numeris"/>
                              <w:tag w:val="nr_b165e60c09224334a5f9aaa2b24a0c42"/>
                              <w:lock w:val="sdtLocked"/>
                              <w:richText/>
                            </w:sdtPr>
                            <w:sdtContent>
                              <w:r>
                                <w:rPr>
                                  <w:rFonts w:eastAsia="Calibri"/>
                                  <w:bCs/>
                                  <w:szCs w:val="24"/>
                                  <w:lang w:eastAsia="lt-LT"/>
                                </w:rPr>
                                <w:t>1</w:t>
                              </w:r>
                            </w:sdtContent>
                          </w:sdt>
                          <w:r>
                            <w:rPr>
                              <w:rFonts w:eastAsia="Calibri"/>
                              <w:bCs/>
                              <w:szCs w:val="24"/>
                              <w:lang w:eastAsia="lt-LT"/>
                            </w:rPr>
                            <w:t>) 0,108 procento minimaliosios mėnesinės algos, kuri galioja metų, einančių prieš apskaičiuojamo maksimalaus komisinio atlyginimo įsigaliojimą, liepos 1 dieną;</w:t>
                          </w:r>
                        </w:p>
                      </w:sdtContent>
                    </w:sdt>
                    <w:sdt>
                      <w:sdtPr>
                        <w:alias w:val="73 str. 1 d. 2 p."/>
                        <w:tag w:val="part_840c28ed5a234b1cb6ccf7e68550c92e"/>
                        <w:lock w:val="sdtLocked"/>
                        <w:richText/>
                      </w:sdtPr>
                      <w:sdtContent>
                        <w:p>
                          <w:pPr>
                            <w:widowControl w:val="0"/>
                            <w:spacing w:line="360" w:lineRule="auto"/>
                            <w:ind w:firstLine="720"/>
                            <w:jc w:val="both"/>
                            <w:rPr>
                              <w:rFonts w:eastAsia="Calibri"/>
                              <w:color w:val="000000"/>
                              <w:szCs w:val="24"/>
                              <w:lang w:eastAsia="lt-LT"/>
                            </w:rPr>
                          </w:pPr>
                          <w:sdt>
                            <w:sdtPr>
                              <w:alias w:val="Numeris"/>
                              <w:tag w:val="nr_840c28ed5a234b1cb6ccf7e68550c92e"/>
                              <w:lock w:val="sdtLocked"/>
                              <w:richText/>
                            </w:sdtPr>
                            <w:sdtContent>
                              <w:r>
                                <w:rPr>
                                  <w:rFonts w:eastAsia="Calibri"/>
                                  <w:bCs/>
                                  <w:szCs w:val="24"/>
                                  <w:lang w:eastAsia="lt-LT"/>
                                </w:rPr>
                                <w:t>2</w:t>
                              </w:r>
                            </w:sdtContent>
                          </w:sdt>
                          <w:r>
                            <w:rPr>
                              <w:rFonts w:eastAsia="Calibri"/>
                              <w:bCs/>
                              <w:szCs w:val="24"/>
                              <w:lang w:eastAsia="lt-LT"/>
                            </w:rPr>
                            <w:t xml:space="preserve">) iki apskaičiuojamo naujo maksimalaus komisinio atlyginimo nustatymo galiojantis maksimalus komisinis atlyginimas, padaugintas iš santykio, parodančio šio įstatymo 72 straipsnio 4 dalies 4 ir 5 punktuose nurodytų mokėjimo paslaugų apimties pokyčius, lyginant apskaičiuotą naują mokėjimo paslaugų apimtį su iki perskaičiavimo galiojančia mokėjimo paslaugų apimtimi. </w:t>
                          </w:r>
                          <w:r>
                            <w:rPr>
                              <w:bCs/>
                              <w:szCs w:val="24"/>
                            </w:rPr>
                            <w:t xml:space="preserve">Šis santykis apskaičiuojamas taikant tokias proporcijas: grynųjų pinigų išėmimo sumos pokytis atitinka 2/3 dalis, o mokėjimo operacijų, </w:t>
                          </w:r>
                          <w:r>
                            <w:rPr>
                              <w:rFonts w:eastAsia="Calibri"/>
                              <w:bCs/>
                              <w:szCs w:val="24"/>
                              <w:lang w:eastAsia="lt-LT"/>
                            </w:rPr>
                            <w:t>nurodytų šio įstatymo 72 straipsnio 4 dalies 5 punkte,</w:t>
                          </w:r>
                          <w:r>
                            <w:rPr>
                              <w:bCs/>
                              <w:szCs w:val="24"/>
                            </w:rPr>
                            <w:t xml:space="preserve"> skaičiaus pokytis – 1/3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379be01506bd4657bdd5a1e82b29de8e"/>
                    <w:lock w:val="sdtLocked"/>
                    <w:richText/>
                  </w:sdtPr>
                  <w:sdtContent>
                    <w:p>
                      <w:pPr>
                        <w:widowControl w:val="0"/>
                        <w:spacing w:line="360" w:lineRule="auto"/>
                        <w:ind w:firstLine="720"/>
                        <w:jc w:val="both"/>
                        <w:rPr>
                          <w:rFonts w:eastAsia="Calibri"/>
                          <w:color w:val="000000"/>
                          <w:szCs w:val="24"/>
                          <w:lang w:eastAsia="lt-LT"/>
                        </w:rPr>
                      </w:pPr>
                      <w:sdt>
                        <w:sdtPr>
                          <w:alias w:val="Numeris"/>
                          <w:tag w:val="nr_379be01506bd4657bdd5a1e82b29de8e"/>
                          <w:lock w:val="sdtLocked"/>
                          <w:richText/>
                        </w:sdtPr>
                        <w:sdtContent>
                          <w:r>
                            <w:rPr>
                              <w:rFonts w:eastAsia="Calibri"/>
                              <w:szCs w:val="24"/>
                              <w:lang w:eastAsia="lt-LT"/>
                            </w:rPr>
                            <w:t>4</w:t>
                          </w:r>
                        </w:sdtContent>
                      </w:sdt>
                      <w:r>
                        <w:rPr>
                          <w:rFonts w:eastAsia="Calibri"/>
                          <w:szCs w:val="24"/>
                          <w:lang w:eastAsia="lt-LT"/>
                        </w:rPr>
                        <w:t>. Komisinis atlyginimas už mokėjimo paslaugas ir mokėjimo operacijas, viršijančias priežiūros institucijos nustatytame pagrindinės mokėjimo sąskaitos paslaugą sudarančių mokėjimo paslaugų ir mokėjimo operacijų sąraše, nurodytame šio įstatymo 72 straipsnio 4 dalyje, nurodytą mokėjimo paslaugų apimtį, negali būti didesnis negu įprastai įstaigos taikomas komisinis atlyginimas už su mokėjimo sąskaita susijusias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389a830aa2234971b1227b2bd4d18738"/>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f1b9bb750b06499fb7974a0181e334a9"/>
                    <w:lock w:val="sdtLocked"/>
                    <w:richText/>
                  </w:sdtPr>
                  <w:sdtContent>
                    <w:p>
                      <w:pPr>
                        <w:widowControl w:val="0"/>
                        <w:spacing w:line="360" w:lineRule="auto"/>
                        <w:ind w:firstLine="720"/>
                        <w:jc w:val="both"/>
                        <w:rPr>
                          <w:rFonts w:eastAsia="Calibri"/>
                          <w:szCs w:val="24"/>
                          <w:lang w:eastAsia="lt-LT"/>
                        </w:rPr>
                      </w:pPr>
                      <w:sdt>
                        <w:sdtPr>
                          <w:alias w:val="Numeris"/>
                          <w:tag w:val="nr_f1b9bb750b06499fb7974a0181e334a9"/>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Įstaiga į vartotojams teikiamą pasiūlymą dėl bendrosios sutarties sudarymo turi įtraukti ir pagrindinės mokėjimo sąskaitos paslaugos alternatyvą. Teikdama šią informaciją, įstaiga aiškiai nurodo, kad norint naudotis pagrindine mokėjimo sąskaita neprivaloma pirkti papildomų paslaugų.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5f4202ed211efbdaea558de59136c">
                        <w:r w:rsidRPr="00532B9F">
                          <w:rPr>
                            <w:rFonts w:ascii="Times New Roman" w:eastAsia="MS Mincho" w:hAnsi="Times New Roman"/>
                            <w:sz w:val="20"/>
                            <w:i/>
                            <w:iCs/>
                            <w:color w:val="0000FF" w:themeColor="hyperlink"/>
                            <w:u w:val="single"/>
                          </w:rPr>
                          <w:t>XIV-2710</w:t>
                        </w:r>
                      </w:fldSimple>
                      <w:r>
                        <w:rPr>
                          <w:rFonts w:ascii="Times New Roman" w:eastAsia="MS Mincho" w:hAnsi="Times New Roman"/>
                          <w:sz w:val="20"/>
                          <w:i/>
                          <w:iCs/>
                        </w:rPr>
                        <w:t>,
2024-06-13,
paskelbta TAR 2024-06-20, i. k. 2024-11233            </w:t>
                      </w:r>
                    </w:p>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459bf92fb3b140e699248e6b5a6c420a"/>
                    <w:lock w:val="sdtLocked"/>
                    <w:richText/>
                  </w:sdtPr>
                  <w:sdtContent>
                    <w:p>
                      <w:pPr>
                        <w:suppressAutoHyphens/>
                        <w:spacing w:line="360" w:lineRule="auto"/>
                        <w:ind w:firstLine="720"/>
                        <w:jc w:val="both"/>
                        <w:rPr>
                          <w:szCs w:val="24"/>
                          <w:lang w:eastAsia="lt-LT"/>
                        </w:rPr>
                      </w:pPr>
                      <w:sdt>
                        <w:sdtPr>
                          <w:alias w:val="Numeris"/>
                          <w:tag w:val="nr_459bf92fb3b140e699248e6b5a6c420a"/>
                          <w:lock w:val="sdtLocked"/>
                          <w:richText/>
                        </w:sdtPr>
                        <w:sdtContent>
                          <w:r>
                            <w:rPr>
                              <w:color w:val="000000"/>
                              <w:szCs w:val="24"/>
                              <w:lang w:eastAsia="zh-CN"/>
                            </w:rPr>
                            <w:t>2</w:t>
                          </w:r>
                        </w:sdtContent>
                      </w:sdt>
                      <w:r>
                        <w:rPr>
                          <w:color w:val="000000"/>
                          <w:szCs w:val="24"/>
                          <w:lang w:eastAsia="zh-CN"/>
                        </w:rPr>
                        <w:t xml:space="preserve">. Priežiūros institucija prižiūri, kaip laikomasi šio įstatymo, su jo įgyvendinimu susijusių teisės aktų, Reglamento </w:t>
                      </w:r>
                      <w:hyperlink r:id="rId19" w:tgtFrame="_blank" w:history="1">
                        <w:r>
                          <w:rPr>
                            <w:color w:val="0000FF" w:themeColor="hyperlink"/>
                            <w:szCs w:val="24"/>
                            <w:u w:val="single"/>
                            <w:lang w:eastAsia="zh-CN"/>
                          </w:rPr>
                          <w:t>(ES) Nr. 260/2012</w:t>
                        </w:r>
                      </w:hyperlink>
                      <w:r>
                        <w:rPr>
                          <w:color w:val="000000"/>
                          <w:szCs w:val="24"/>
                          <w:lang w:eastAsia="zh-CN"/>
                        </w:rPr>
                        <w:t xml:space="preserve">, Reglamento </w:t>
                      </w:r>
                      <w:hyperlink r:id="rId20" w:tgtFrame="_blank" w:history="1">
                        <w:r>
                          <w:rPr>
                            <w:color w:val="0000FF" w:themeColor="hyperlink"/>
                            <w:szCs w:val="24"/>
                            <w:u w:val="single"/>
                            <w:lang w:eastAsia="zh-CN"/>
                          </w:rPr>
                          <w:t>(ES) 2015/751</w:t>
                        </w:r>
                      </w:hyperlink>
                      <w:r>
                        <w:rPr>
                          <w:color w:val="000000"/>
                          <w:szCs w:val="24"/>
                          <w:lang w:eastAsia="zh-CN"/>
                        </w:rPr>
                        <w:t xml:space="preserve">, Reglamento </w:t>
                      </w:r>
                      <w:hyperlink r:id="rId21" w:tgtFrame="_blank" w:history="1">
                        <w:r>
                          <w:rPr>
                            <w:color w:val="0000FF" w:themeColor="hyperlink"/>
                            <w:szCs w:val="24"/>
                            <w:u w:val="single"/>
                            <w:lang w:eastAsia="zh-CN"/>
                          </w:rPr>
                          <w:t>(ES) 2021/1230</w:t>
                        </w:r>
                      </w:hyperlink>
                      <w:r>
                        <w:rPr>
                          <w:color w:val="000000"/>
                          <w:szCs w:val="24"/>
                          <w:lang w:eastAsia="zh-CN"/>
                        </w:rPr>
                        <w:t xml:space="preserve"> ir kitų teisės aktų, kurių laikymosi priežiūra priskirta priežiūros institucijos kompetencijai,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4-1 p."/>
                        <w:tag w:val="part_0c856b37e75a4977b986a74ceca88db2"/>
                        <w:lock w:val="sdtLocked"/>
                        <w:richText/>
                      </w:sdtPr>
                      <w:sdtContent>
                        <w:p>
                          <w:pPr>
                            <w:suppressAutoHyphens/>
                            <w:spacing w:line="360" w:lineRule="auto"/>
                            <w:ind w:firstLine="720"/>
                            <w:jc w:val="both"/>
                            <w:rPr>
                              <w:rFonts w:eastAsia="Calibri"/>
                              <w:color w:val="000000"/>
                              <w:szCs w:val="24"/>
                            </w:rPr>
                          </w:pPr>
                          <w:sdt>
                            <w:sdtPr>
                              <w:alias w:val="Numeris"/>
                              <w:tag w:val="nr_0c856b37e75a4977b986a74ceca88db2"/>
                              <w:lock w:val="sdtLocked"/>
                              <w:richText/>
                            </w:sdtPr>
                            <w:sdtContent>
                              <w:r>
                                <w:rPr>
                                  <w:color w:val="000000"/>
                                  <w:szCs w:val="24"/>
                                  <w:lang w:eastAsia="zh-CN"/>
                                </w:rPr>
                                <w:t>4</w:t>
                              </w:r>
                              <w:r>
                                <w:rPr>
                                  <w:color w:val="000000"/>
                                  <w:szCs w:val="24"/>
                                  <w:vertAlign w:val="superscript"/>
                                  <w:lang w:eastAsia="zh-CN"/>
                                </w:rPr>
                                <w:t>1</w:t>
                              </w:r>
                            </w:sdtContent>
                          </w:sdt>
                          <w:r>
                            <w:rPr>
                              <w:color w:val="000000"/>
                              <w:szCs w:val="24"/>
                              <w:lang w:eastAsia="zh-CN"/>
                            </w:rPr>
                            <w:t xml:space="preserve">) pažeidžiami Reglamente </w:t>
                          </w:r>
                          <w:hyperlink r:id="rId41" w:tgtFrame="_blank" w:history="1">
                            <w:r>
                              <w:rPr>
                                <w:color w:val="0000FF" w:themeColor="hyperlink"/>
                                <w:szCs w:val="24"/>
                                <w:u w:val="single"/>
                                <w:lang w:eastAsia="zh-CN"/>
                              </w:rPr>
                              <w:t>(ES) 2022/2554</w:t>
                            </w:r>
                          </w:hyperlink>
                          <w:r>
                            <w:rPr>
                              <w:color w:val="000000"/>
                              <w:szCs w:val="24"/>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702316113080447fa41029b0d33f9c07"/>
                    <w:lock w:val="sdtLocked"/>
                    <w:richText/>
                  </w:sdtPr>
                  <w:sdtContent>
                    <w:p>
                      <w:pPr>
                        <w:spacing w:line="360" w:lineRule="auto"/>
                        <w:ind w:firstLine="720"/>
                        <w:jc w:val="both"/>
                      </w:pPr>
                      <w:sdt>
                        <w:sdtPr>
                          <w:alias w:val="Numeris"/>
                          <w:tag w:val="nr_702316113080447fa41029b0d33f9c07"/>
                          <w:lock w:val="sdtLocked"/>
                          <w:richText/>
                        </w:sdtPr>
                        <w:sdtContent>
                          <w:r>
                            <w:t>1</w:t>
                          </w:r>
                        </w:sdtContent>
                      </w:sdt>
                      <w:r>
                        <w:t>. Priežiūros institucija skiria baudas:</w:t>
                      </w:r>
                    </w:p>
                    <w:sdt>
                      <w:sdtPr>
                        <w:alias w:val="81 str. 1 d. 1 p."/>
                        <w:tag w:val="part_9f168b7d81844122bbc2b07fbddae6b1"/>
                        <w:lock w:val="sdtLocked"/>
                        <w:richText/>
                      </w:sdtPr>
                      <w:sdtContent>
                        <w:p>
                          <w:pPr>
                            <w:spacing w:line="360" w:lineRule="auto"/>
                            <w:ind w:firstLine="720"/>
                            <w:jc w:val="both"/>
                          </w:pPr>
                          <w:sdt>
                            <w:sdtPr>
                              <w:alias w:val="Numeris"/>
                              <w:tag w:val="nr_9f168b7d81844122bbc2b07fbddae6b1"/>
                              <w:lock w:val="sdtLocked"/>
                              <w:richText/>
                            </w:sdtPr>
                            <w:sdtContent>
                              <w:r>
                                <w:t>1</w:t>
                              </w:r>
                            </w:sdtContent>
                          </w:sdt>
                          <w:r>
                            <w:t>) juridiniams asmenims – iki 10 procentų bendrųjų metinių pajamų, išskyrus šios dalies 2 punkte nurodytus atvejus;</w:t>
                          </w:r>
                        </w:p>
                      </w:sdtContent>
                    </w:sdt>
                    <w:sdt>
                      <w:sdtPr>
                        <w:alias w:val="81 str. 1 d. 2 p."/>
                        <w:tag w:val="part_62f064feaecc4561bd6a98738054ff98"/>
                        <w:lock w:val="sdtLocked"/>
                        <w:richText/>
                      </w:sdtPr>
                      <w:sdtContent>
                        <w:p>
                          <w:pPr>
                            <w:spacing w:line="360" w:lineRule="auto"/>
                            <w:ind w:firstLine="720"/>
                            <w:jc w:val="both"/>
                          </w:pPr>
                          <w:sdt>
                            <w:sdtPr>
                              <w:alias w:val="Numeris"/>
                              <w:tag w:val="nr_62f064feaecc4561bd6a98738054ff98"/>
                              <w:lock w:val="sdtLocked"/>
                              <w:richText/>
                            </w:sdtPr>
                            <w:sdtContent>
                              <w:r>
                                <w:t>2</w:t>
                              </w:r>
                            </w:sdtContent>
                          </w:sdt>
                          <w:r>
                            <w:t xml:space="preserve">) juridiniams asmenims – iki 10 procentų bendros metinės grynosios apyvartos praėjusiais finansiniais metais, jeigu pažeidžiamos Reglamento </w:t>
                          </w:r>
                          <w:hyperlink r:id="rId22" w:tgtFrame="_blank" w:history="1">
                            <w:r>
                              <w:rPr>
                                <w:color w:val="0000FF" w:themeColor="hyperlink"/>
                                <w:u w:val="single"/>
                              </w:rPr>
                              <w:t>(ES) Nr. 260/2012</w:t>
                            </w:r>
                          </w:hyperlink>
                          <w:r>
                            <w:t xml:space="preserve"> 5d  straipsnio nuostatos;</w:t>
                          </w:r>
                        </w:p>
                      </w:sdtContent>
                    </w:sdt>
                    <w:sdt>
                      <w:sdtPr>
                        <w:alias w:val="81 str. 1 d. 3 p."/>
                        <w:tag w:val="part_599035926e824e1b8e26ddf70d3a5c04"/>
                        <w:lock w:val="sdtLocked"/>
                        <w:richText/>
                      </w:sdtPr>
                      <w:sdtContent>
                        <w:p>
                          <w:pPr>
                            <w:spacing w:line="360" w:lineRule="auto"/>
                            <w:ind w:firstLine="720"/>
                            <w:jc w:val="both"/>
                            <w:rPr>
                              <w:szCs w:val="24"/>
                              <w:lang w:eastAsia="lt-LT"/>
                            </w:rPr>
                          </w:pPr>
                          <w:sdt>
                            <w:sdtPr>
                              <w:alias w:val="Numeris"/>
                              <w:tag w:val="nr_599035926e824e1b8e26ddf70d3a5c04"/>
                              <w:lock w:val="sdtLocked"/>
                              <w:richText/>
                            </w:sdtPr>
                            <w:sdtContent>
                              <w:r>
                                <w:t>3</w:t>
                              </w:r>
                            </w:sdtContent>
                          </w:sdt>
                          <w:r>
                            <w:t>) juridinio asmens vadovams ir kitiems fiziniams asmenims – iki 50 000 eurų</w:t>
                          </w:r>
                          <w:r>
                            <w:rPr>
                              <w:szCs w:val="24"/>
                              <w:lang w:eastAsia="lt-LT"/>
                            </w:rPr>
                            <w:t>, išskyrus šios dalies 4 punkte nurodytus atvejus;</w:t>
                          </w:r>
                        </w:p>
                      </w:sdtContent>
                    </w:sdt>
                    <w:sdt>
                      <w:sdtPr>
                        <w:alias w:val="81 str. 1 d. 4 p."/>
                        <w:tag w:val="part_19066f3621584627a3e60c66e8a5180d"/>
                        <w:lock w:val="sdtLocked"/>
                        <w:richText/>
                      </w:sdtPr>
                      <w:sdtContent>
                        <w:p>
                          <w:pPr>
                            <w:spacing w:line="360" w:lineRule="auto"/>
                            <w:ind w:firstLine="720"/>
                            <w:jc w:val="both"/>
                            <w:rPr>
                              <w:rFonts w:eastAsia="Calibri"/>
                              <w:szCs w:val="24"/>
                            </w:rPr>
                          </w:pPr>
                          <w:sdt>
                            <w:sdtPr>
                              <w:alias w:val="Numeris"/>
                              <w:tag w:val="nr_19066f3621584627a3e60c66e8a5180d"/>
                              <w:lock w:val="sdtLocked"/>
                              <w:richText/>
                            </w:sdtPr>
                            <w:sdtContent>
                              <w:r>
                                <w:t>4</w:t>
                              </w:r>
                            </w:sdtContent>
                          </w:sdt>
                          <w:r>
                            <w:t xml:space="preserve">) juridinio asmens vadovams ir kitiems fiziniams asmenims – iki 5 000 000 eurų, jeigu pažeidžiamos Reglamento </w:t>
                          </w:r>
                          <w:hyperlink r:id="rId23" w:tgtFrame="_blank" w:history="1">
                            <w:r>
                              <w:rPr>
                                <w:color w:val="0000FF" w:themeColor="hyperlink"/>
                                <w:u w:val="single"/>
                              </w:rPr>
                              <w:t>(ES) Nr. 260/2012</w:t>
                            </w:r>
                          </w:hyperlink>
                          <w:r>
                            <w:t xml:space="preserve"> 5d straipsnio nuostatos.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2 d."/>
                    <w:tag w:val="part_ece05b7b9e1e4c8d80c4cc6e665d99f3"/>
                    <w:lock w:val="sdtLocked"/>
                    <w:richText/>
                  </w:sdtPr>
                  <w:sdtContent>
                    <w:p>
                      <w:pPr>
                        <w:spacing w:line="360" w:lineRule="auto"/>
                        <w:ind w:firstLine="720"/>
                        <w:jc w:val="both"/>
                        <w:rPr>
                          <w:rFonts w:eastAsia="Calibri"/>
                          <w:szCs w:val="24"/>
                        </w:rPr>
                      </w:pPr>
                      <w:sdt>
                        <w:sdtPr>
                          <w:alias w:val="Numeris"/>
                          <w:tag w:val="nr_ece05b7b9e1e4c8d80c4cc6e665d99f3"/>
                          <w:lock w:val="sdtLocked"/>
                          <w:richText/>
                        </w:sdtPr>
                        <w:sdtContent>
                          <w:r>
                            <w:t>2</w:t>
                          </w:r>
                        </w:sdtContent>
                      </w:sdt>
                      <w:r>
                        <w:t>.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arba bendra metinė grynoji apyvarta, pagal kurias nustatomas skiriamos baudos dydis, yra pajamos arba apyvarta, nurodytos pagrindinės patronuojančiosios įmonės paskutinėse sudarytose (pasirašytose) metinėse konsoliduotosiose finansinėse ataskaitose.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83</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deb1a07f7d11e8ae2bfd1913d66d57">
                    <w:r w:rsidRPr="00532B9F">
                      <w:rPr>
                        <w:rFonts w:ascii="Times New Roman" w:eastAsia="MS Mincho" w:hAnsi="Times New Roman"/>
                        <w:sz w:val="20"/>
                        <w:i/>
                        <w:iCs/>
                        <w:color w:val="0000FF" w:themeColor="hyperlink"/>
                        <w:u w:val="single"/>
                      </w:rPr>
                      <w:t>XIII-1301</w:t>
                    </w:r>
                  </w:fldSimple>
                  <w:r>
                    <w:rPr>
                      <w:rFonts w:ascii="Times New Roman" w:eastAsia="MS Mincho" w:hAnsi="Times New Roman"/>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385389a2ab5d4b40b1f670322260faac"/>
        <w:lock w:val="sdtLocked"/>
        <w:richText/>
      </w:sdtPr>
      <w:sdtContent>
        <w:p>
          <w:pPr>
            <w:widowControl w:val="0"/>
            <w:tabs>
              <w:tab w:val="left" w:pos="709"/>
            </w:tabs>
            <w:suppressAutoHyphens/>
            <w:ind w:firstLine="6804"/>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701" w:header="709" w:footer="709" w:gutter="0"/>
              <w:pgNumType w:start="1"/>
              <w:cols w:space="1296"/>
              <w:titlePg/>
              <w:docGrid w:linePitch="360"/>
            </w:sectPr>
          </w:pPr>
        </w:p>
        <w:p>
          <w:pPr>
            <w:widowControl w:val="0"/>
            <w:tabs>
              <w:tab w:val="left" w:pos="709"/>
            </w:tabs>
            <w:suppressAutoHyphens/>
            <w:ind w:firstLine="6804"/>
            <w:rPr>
              <w:szCs w:val="24"/>
            </w:rPr>
          </w:pPr>
          <w:r>
            <w:rPr>
              <w:szCs w:val="24"/>
            </w:rPr>
            <w:t>Lietuvos Respublikos</w:t>
          </w:r>
        </w:p>
        <w:p>
          <w:pPr>
            <w:widowControl w:val="0"/>
            <w:tabs>
              <w:tab w:val="left" w:pos="709"/>
            </w:tabs>
            <w:suppressAutoHyphens/>
            <w:ind w:firstLine="6804"/>
            <w:rPr>
              <w:szCs w:val="24"/>
            </w:rPr>
          </w:pPr>
          <w:r>
            <w:rPr>
              <w:szCs w:val="24"/>
            </w:rPr>
            <w:t>mokėjimų įstatymo</w:t>
          </w:r>
        </w:p>
        <w:p>
          <w:pPr>
            <w:widowControl w:val="0"/>
            <w:tabs>
              <w:tab w:val="left" w:pos="709"/>
            </w:tabs>
            <w:suppressAutoHyphens/>
            <w:ind w:firstLine="6804"/>
            <w:rPr>
              <w:szCs w:val="24"/>
            </w:rPr>
          </w:pPr>
          <w:r>
            <w:rPr>
              <w:szCs w:val="24"/>
            </w:rPr>
            <w:t>priedas</w:t>
          </w:r>
        </w:p>
        <w:p>
          <w:pPr>
            <w:widowControl w:val="0"/>
            <w:tabs>
              <w:tab w:val="left" w:pos="709"/>
            </w:tabs>
            <w:suppressAutoHyphens/>
            <w:spacing w:line="360" w:lineRule="auto"/>
            <w:ind w:firstLine="720"/>
            <w:jc w:val="both"/>
            <w:rPr>
              <w:szCs w:val="24"/>
            </w:rPr>
          </w:pPr>
        </w:p>
        <w:p>
          <w:pPr>
            <w:widowControl w:val="0"/>
            <w:suppressAutoHyphens/>
            <w:spacing w:line="360" w:lineRule="auto"/>
            <w:jc w:val="center"/>
            <w:rPr>
              <w:b/>
              <w:caps/>
              <w:szCs w:val="24"/>
            </w:rPr>
          </w:pPr>
          <w:sdt>
            <w:sdtPr>
              <w:alias w:val="Pavadinimas"/>
              <w:tag w:val="title_385389a2ab5d4b40b1f670322260faac"/>
              <w:lock w:val="sdtLocked"/>
              <w:richText/>
            </w:sdtPr>
            <w:sdtContent>
              <w:r>
                <w:rPr>
                  <w:b/>
                  <w:caps/>
                  <w:szCs w:val="24"/>
                </w:rPr>
                <w:t>ĮGYVENDINAMI EUROPOS SĄJUNGOS TEISĖS AKTAI</w:t>
              </w:r>
            </w:sdtContent>
          </w:sdt>
        </w:p>
        <w:p>
          <w:pPr>
            <w:widowControl w:val="0"/>
            <w:tabs>
              <w:tab w:val="left" w:pos="709"/>
            </w:tabs>
            <w:suppressAutoHyphens/>
            <w:spacing w:line="360" w:lineRule="auto"/>
            <w:ind w:firstLine="720"/>
            <w:jc w:val="center"/>
            <w:rPr>
              <w:b/>
              <w:bCs/>
              <w:caps/>
              <w:szCs w:val="24"/>
            </w:rPr>
          </w:pPr>
        </w:p>
        <w:sdt>
          <w:sdtPr>
            <w:alias w:val="pr. 1 p."/>
            <w:tag w:val="part_325532db322348149db8b204661bdde0"/>
            <w:lock w:val="sdtLocked"/>
            <w:richText/>
          </w:sdtPr>
          <w:sdtContent>
            <w:p>
              <w:pPr>
                <w:spacing w:line="360" w:lineRule="auto"/>
                <w:ind w:firstLine="720"/>
                <w:jc w:val="both"/>
                <w:rPr>
                  <w:szCs w:val="24"/>
                </w:rPr>
              </w:pPr>
              <w:sdt>
                <w:sdtPr>
                  <w:alias w:val="Numeris"/>
                  <w:tag w:val="nr_325532db322348149db8b204661bdde0"/>
                  <w:lock w:val="sdtLocked"/>
                  <w:richText/>
                </w:sdtPr>
                <w:sdtContent>
                  <w:r>
                    <w:rPr>
                      <w:szCs w:val="24"/>
                    </w:rPr>
                    <w:t>1</w:t>
                  </w:r>
                </w:sdtContent>
              </w:sdt>
              <w:r>
                <w:rPr>
                  <w:szCs w:val="24"/>
                </w:rPr>
                <w:t xml:space="preserve">. 2012 m. kovo 14 d. Europos Parlamento ir Tarybos reglamentas </w:t>
              </w:r>
              <w:hyperlink r:id="rId24" w:tgtFrame="_blank" w:history="1">
                <w:r>
                  <w:rPr>
                    <w:color w:val="0000FF" w:themeColor="hyperlink"/>
                    <w:szCs w:val="24"/>
                    <w:u w:val="single"/>
                  </w:rPr>
                  <w:t>(ES) Nr. 260/2012</w:t>
                </w:r>
              </w:hyperlink>
              <w:r>
                <w:rPr>
                  <w:szCs w:val="24"/>
                </w:rPr>
                <w:t xml:space="preserve">, kuriuo nustatomi kredito pervedimų ir tiesioginio debeto operacijų eurais techniniai ir komerciniai reikalavimai ir iš dalies keičiamas Reglamentas </w:t>
              </w:r>
              <w:hyperlink r:id="rId25"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26" w:tgtFrame="_blank" w:history="1">
                <w:r>
                  <w:rPr>
                    <w:color w:val="0000FF" w:themeColor="hyperlink"/>
                    <w:szCs w:val="24"/>
                    <w:u w:val="single"/>
                  </w:rPr>
                  <w:t>(ES) 2024/886</w:t>
                </w:r>
              </w:hyperlink>
              <w:r>
                <w:rPr>
                  <w:szCs w:val="24"/>
                </w:rPr>
                <w:t>.</w:t>
              </w:r>
            </w:p>
          </w:sdtContent>
        </w:sdt>
        <w:sdt>
          <w:sdtPr>
            <w:alias w:val="pr. 2 p."/>
            <w:tag w:val="part_43b0fb1c32914c13bad8d5b767812b5c"/>
            <w:lock w:val="sdtLocked"/>
            <w:richText/>
          </w:sdtPr>
          <w:sdtContent>
            <w:p>
              <w:pPr>
                <w:spacing w:line="360" w:lineRule="auto"/>
                <w:ind w:firstLine="720"/>
                <w:jc w:val="both"/>
                <w:rPr>
                  <w:szCs w:val="24"/>
                </w:rPr>
              </w:pPr>
              <w:sdt>
                <w:sdtPr>
                  <w:alias w:val="Numeris"/>
                  <w:tag w:val="nr_43b0fb1c32914c13bad8d5b767812b5c"/>
                  <w:lock w:val="sdtLocked"/>
                  <w:richText/>
                </w:sdtPr>
                <w:sdtContent>
                  <w:r>
                    <w:rPr>
                      <w:szCs w:val="24"/>
                    </w:rPr>
                    <w:t>2</w:t>
                  </w:r>
                </w:sdtContent>
              </w:sdt>
              <w:r>
                <w:rPr>
                  <w:szCs w:val="24"/>
                </w:rPr>
                <w:t xml:space="preserve">. 2014 m. liepos 23 d. Europos Parlamento ir Tarybos direktyva </w:t>
              </w:r>
              <w:hyperlink r:id="rId27"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e5f249781e79454e8cb264c13d928cd1"/>
            <w:lock w:val="sdtLocked"/>
            <w:richText/>
          </w:sdtPr>
          <w:sdtContent>
            <w:p>
              <w:pPr>
                <w:spacing w:line="360" w:lineRule="auto"/>
                <w:ind w:firstLine="720"/>
                <w:jc w:val="both"/>
                <w:rPr>
                  <w:szCs w:val="24"/>
                </w:rPr>
              </w:pPr>
              <w:sdt>
                <w:sdtPr>
                  <w:alias w:val="Numeris"/>
                  <w:tag w:val="nr_e5f249781e79454e8cb264c13d928cd1"/>
                  <w:lock w:val="sdtLocked"/>
                  <w:richText/>
                </w:sdtPr>
                <w:sdtContent>
                  <w:r>
                    <w:rPr>
                      <w:szCs w:val="24"/>
                    </w:rPr>
                    <w:t>3</w:t>
                  </w:r>
                </w:sdtContent>
              </w:sdt>
              <w:r>
                <w:rPr>
                  <w:szCs w:val="24"/>
                </w:rPr>
                <w:t xml:space="preserve">. 2015 m. balandžio 29 d. Europos Parlamento ir Tarybos reglamentas </w:t>
              </w:r>
              <w:hyperlink r:id="rId28"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bfe42aadae74477a91c002de0d7811c6"/>
            <w:lock w:val="sdtLocked"/>
            <w:richText/>
          </w:sdtPr>
          <w:sdtContent>
            <w:p>
              <w:pPr>
                <w:spacing w:line="360" w:lineRule="auto"/>
                <w:ind w:firstLine="720"/>
                <w:jc w:val="both"/>
                <w:rPr>
                  <w:szCs w:val="24"/>
                </w:rPr>
              </w:pPr>
              <w:sdt>
                <w:sdtPr>
                  <w:alias w:val="Numeris"/>
                  <w:tag w:val="nr_bfe42aadae74477a91c002de0d7811c6"/>
                  <w:lock w:val="sdtLocked"/>
                  <w:richText/>
                </w:sdtPr>
                <w:sdtContent>
                  <w:r>
                    <w:rPr>
                      <w:szCs w:val="24"/>
                    </w:rPr>
                    <w:t>4</w:t>
                  </w:r>
                </w:sdtContent>
              </w:sdt>
              <w:r>
                <w:rPr>
                  <w:szCs w:val="24"/>
                </w:rPr>
                <w:t xml:space="preserve">. 2015 m. lapkričio 25 d. Europos Parlamento ir Tarybos direktyva </w:t>
              </w:r>
              <w:hyperlink r:id="rId29"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30" w:tgtFrame="_blank" w:history="1">
                <w:r>
                  <w:rPr>
                    <w:color w:val="0000FF" w:themeColor="hyperlink"/>
                    <w:szCs w:val="24"/>
                    <w:u w:val="single"/>
                  </w:rPr>
                  <w:t>2002/65/EB</w:t>
                </w:r>
              </w:hyperlink>
              <w:r>
                <w:rPr>
                  <w:szCs w:val="24"/>
                </w:rPr>
                <w:t xml:space="preserve">, </w:t>
              </w:r>
              <w:hyperlink r:id="rId31" w:tgtFrame="_blank" w:history="1">
                <w:r>
                  <w:rPr>
                    <w:color w:val="0000FF" w:themeColor="hyperlink"/>
                    <w:szCs w:val="24"/>
                    <w:u w:val="single"/>
                  </w:rPr>
                  <w:t>2009/110/EB</w:t>
                </w:r>
              </w:hyperlink>
              <w:r>
                <w:rPr>
                  <w:szCs w:val="24"/>
                </w:rPr>
                <w:t xml:space="preserve"> ir </w:t>
              </w:r>
              <w:hyperlink r:id="rId32" w:tgtFrame="_blank" w:history="1">
                <w:r>
                  <w:rPr>
                    <w:color w:val="0000FF" w:themeColor="hyperlink"/>
                    <w:szCs w:val="24"/>
                    <w:u w:val="single"/>
                  </w:rPr>
                  <w:t>2013/36/ES</w:t>
                </w:r>
              </w:hyperlink>
              <w:r>
                <w:rPr>
                  <w:szCs w:val="24"/>
                </w:rPr>
                <w:t xml:space="preserve"> bei Reglamentas </w:t>
              </w:r>
              <w:hyperlink r:id="rId33" w:tgtFrame="_blank" w:history="1">
                <w:r>
                  <w:rPr>
                    <w:color w:val="0000FF" w:themeColor="hyperlink"/>
                    <w:szCs w:val="24"/>
                    <w:u w:val="single"/>
                  </w:rPr>
                  <w:t>(ES) Nr. 1093/2010</w:t>
                </w:r>
              </w:hyperlink>
              <w:r>
                <w:rPr>
                  <w:szCs w:val="24"/>
                </w:rPr>
                <w:t xml:space="preserve"> ir panaikinama Direktyva </w:t>
              </w:r>
              <w:hyperlink r:id="rId34"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35" w:tgtFrame="_blank" w:history="1">
                <w:r>
                  <w:rPr>
                    <w:color w:val="0000FF" w:themeColor="hyperlink"/>
                    <w:szCs w:val="24"/>
                    <w:u w:val="single"/>
                  </w:rPr>
                  <w:t>(ES) 2024/886</w:t>
                </w:r>
              </w:hyperlink>
              <w:r>
                <w:rPr>
                  <w:szCs w:val="24"/>
                </w:rPr>
                <w:t>.</w:t>
              </w:r>
            </w:p>
          </w:sdtContent>
        </w:sdt>
        <w:sdt>
          <w:sdtPr>
            <w:alias w:val="pr. 5 p."/>
            <w:tag w:val="part_c50478d1058a42ebbd0401f1d33cb125"/>
            <w:lock w:val="sdtLocked"/>
            <w:richText/>
          </w:sdtPr>
          <w:sdtContent>
            <w:p>
              <w:pPr>
                <w:spacing w:line="360" w:lineRule="auto"/>
                <w:ind w:firstLine="720"/>
                <w:jc w:val="both"/>
                <w:rPr>
                  <w:szCs w:val="24"/>
                </w:rPr>
              </w:pPr>
              <w:sdt>
                <w:sdtPr>
                  <w:alias w:val="Numeris"/>
                  <w:tag w:val="nr_c50478d1058a42ebbd0401f1d33cb125"/>
                  <w:lock w:val="sdtLocked"/>
                  <w:richText/>
                </w:sdtPr>
                <w:sdtContent>
                  <w:r>
                    <w:rPr>
                      <w:szCs w:val="24"/>
                    </w:rPr>
                    <w:t>5</w:t>
                  </w:r>
                </w:sdtContent>
              </w:sdt>
              <w:r>
                <w:rPr>
                  <w:szCs w:val="24"/>
                </w:rPr>
                <w:t xml:space="preserve">. 2021 m. liepos 14 d. Europos Parlamento ir Tarybos reglamentas </w:t>
              </w:r>
              <w:hyperlink r:id="rId36" w:tgtFrame="_blank" w:history="1">
                <w:r>
                  <w:rPr>
                    <w:color w:val="0000FF" w:themeColor="hyperlink"/>
                    <w:szCs w:val="24"/>
                    <w:u w:val="single"/>
                  </w:rPr>
                  <w:t>(ES) 2021/1230</w:t>
                </w:r>
              </w:hyperlink>
              <w:r>
                <w:rPr>
                  <w:szCs w:val="24"/>
                </w:rPr>
                <w:t xml:space="preserve"> dėl tarptautinių mokėjimų Sąjungoje (kodifikuota redakcija), </w:t>
              </w:r>
              <w:r>
                <w:t xml:space="preserve">su paskutiniais pakeitimais, padarytais 2024 m. kovo 13 d. Europos Parlamento ir Tarybos reglamentu </w:t>
              </w:r>
              <w:hyperlink r:id="rId37" w:tgtFrame="_blank" w:history="1">
                <w:r>
                  <w:rPr>
                    <w:color w:val="0000FF" w:themeColor="hyperlink"/>
                    <w:u w:val="single"/>
                  </w:rPr>
                  <w:t>(ES) 2024/886</w:t>
                </w:r>
              </w:hyperlink>
              <w:r>
                <w:rPr>
                  <w:szCs w:val="24"/>
                </w:rPr>
                <w:t>.</w:t>
              </w:r>
            </w:p>
          </w:sdtContent>
        </w:sdt>
        <w:sdt>
          <w:sdtPr>
            <w:alias w:val="5-1 p."/>
            <w:tag w:val="part_b0c27d6158154526b801613fc5a8e4d2"/>
            <w:lock w:val="sdtLocked"/>
            <w:richText/>
          </w:sdtPr>
          <w:sdtContent>
            <w:p>
              <w:pPr>
                <w:suppressAutoHyphens/>
                <w:spacing w:line="360" w:lineRule="auto"/>
                <w:ind w:firstLine="720"/>
                <w:jc w:val="both"/>
              </w:pPr>
              <w:sdt>
                <w:sdtPr>
                  <w:alias w:val="Numeris"/>
                  <w:tag w:val="nr_b0c27d6158154526b801613fc5a8e4d2"/>
                  <w:lock w:val="sdtLocked"/>
                  <w:richText/>
                </w:sdtPr>
                <w:sdtContent>
                  <w:r>
                    <w:rPr>
                      <w:color w:val="000000"/>
                      <w:szCs w:val="24"/>
                      <w:lang w:eastAsia="zh-CN"/>
                    </w:rPr>
                    <w:t>5</w:t>
                  </w:r>
                  <w:r>
                    <w:rPr>
                      <w:color w:val="000000"/>
                      <w:szCs w:val="24"/>
                      <w:vertAlign w:val="superscript"/>
                      <w:lang w:eastAsia="zh-CN"/>
                    </w:rPr>
                    <w:t>1</w:t>
                  </w:r>
                </w:sdtContent>
              </w:sdt>
              <w:r>
                <w:rPr>
                  <w:color w:val="000000"/>
                  <w:szCs w:val="24"/>
                  <w:lang w:eastAsia="zh-CN"/>
                </w:rPr>
                <w:t xml:space="preserve">. </w:t>
              </w:r>
              <w:r>
                <w:rPr>
                  <w:color w:val="000000"/>
                  <w:szCs w:val="24"/>
                  <w:lang w:eastAsia="zh-CN" w:bidi="lt-LT"/>
                </w:rPr>
                <w:t xml:space="preserve">2022 m. gruodžio 14 d. Europos Parlamento ir Tarybos direktyva </w:t>
              </w:r>
              <w:hyperlink r:id="rId42" w:tgtFrame="_blank" w:history="1">
                <w:r>
                  <w:rPr>
                    <w:color w:val="0000FF" w:themeColor="hyperlink"/>
                    <w:szCs w:val="24"/>
                    <w:u w:val="single"/>
                    <w:lang w:eastAsia="zh-CN" w:bidi="lt-LT"/>
                  </w:rPr>
                  <w:t>(ES) 2022/2556</w:t>
                </w:r>
              </w:hyperlink>
              <w:r>
                <w:rPr>
                  <w:color w:val="000000"/>
                  <w:szCs w:val="24"/>
                  <w:lang w:eastAsia="zh-CN" w:bidi="lt-LT"/>
                </w:rPr>
                <w:t xml:space="preserve">, kuria iš dalies keičiamos direktyvos </w:t>
              </w:r>
              <w:hyperlink r:id="rId43" w:tgtFrame="_blank" w:history="1">
                <w:r>
                  <w:rPr>
                    <w:color w:val="0000FF" w:themeColor="hyperlink"/>
                    <w:szCs w:val="24"/>
                    <w:u w:val="single"/>
                    <w:lang w:eastAsia="zh-CN" w:bidi="lt-LT"/>
                  </w:rPr>
                  <w:t>2009/65/EB</w:t>
                </w:r>
              </w:hyperlink>
              <w:r>
                <w:rPr>
                  <w:color w:val="000000"/>
                  <w:szCs w:val="24"/>
                  <w:lang w:eastAsia="zh-CN" w:bidi="lt-LT"/>
                </w:rPr>
                <w:t xml:space="preserve">, </w:t>
              </w:r>
              <w:hyperlink r:id="rId44" w:tgtFrame="_blank" w:history="1">
                <w:r>
                  <w:rPr>
                    <w:color w:val="0000FF" w:themeColor="hyperlink"/>
                    <w:szCs w:val="24"/>
                    <w:u w:val="single"/>
                    <w:lang w:eastAsia="zh-CN" w:bidi="lt-LT"/>
                  </w:rPr>
                  <w:t>2009/138/EB</w:t>
                </w:r>
              </w:hyperlink>
              <w:r>
                <w:rPr>
                  <w:color w:val="000000"/>
                  <w:szCs w:val="24"/>
                  <w:lang w:eastAsia="zh-CN" w:bidi="lt-LT"/>
                </w:rPr>
                <w:t xml:space="preserve">, </w:t>
              </w:r>
              <w:hyperlink r:id="rId45" w:tgtFrame="_blank" w:history="1">
                <w:r>
                  <w:rPr>
                    <w:color w:val="0000FF" w:themeColor="hyperlink"/>
                    <w:szCs w:val="24"/>
                    <w:u w:val="single"/>
                    <w:lang w:eastAsia="zh-CN" w:bidi="lt-LT"/>
                  </w:rPr>
                  <w:t>2011/61/ES</w:t>
                </w:r>
              </w:hyperlink>
              <w:r>
                <w:rPr>
                  <w:color w:val="000000"/>
                  <w:szCs w:val="24"/>
                  <w:lang w:eastAsia="zh-CN" w:bidi="lt-LT"/>
                </w:rPr>
                <w:t xml:space="preserve">, </w:t>
              </w:r>
              <w:hyperlink r:id="rId46" w:tgtFrame="_blank" w:history="1">
                <w:r>
                  <w:rPr>
                    <w:color w:val="0000FF" w:themeColor="hyperlink"/>
                    <w:szCs w:val="24"/>
                    <w:u w:val="single"/>
                    <w:lang w:eastAsia="zh-CN" w:bidi="lt-LT"/>
                  </w:rPr>
                  <w:t>2013/36/ES</w:t>
                </w:r>
              </w:hyperlink>
              <w:r>
                <w:rPr>
                  <w:color w:val="000000"/>
                  <w:szCs w:val="24"/>
                  <w:lang w:eastAsia="zh-CN" w:bidi="lt-LT"/>
                </w:rPr>
                <w:t xml:space="preserve">, </w:t>
              </w:r>
              <w:hyperlink r:id="rId47" w:tgtFrame="_blank" w:history="1">
                <w:r>
                  <w:rPr>
                    <w:color w:val="0000FF" w:themeColor="hyperlink"/>
                    <w:szCs w:val="24"/>
                    <w:u w:val="single"/>
                    <w:lang w:eastAsia="zh-CN" w:bidi="lt-LT"/>
                  </w:rPr>
                  <w:t>2014/59/ES</w:t>
                </w:r>
              </w:hyperlink>
              <w:r>
                <w:rPr>
                  <w:color w:val="000000"/>
                  <w:szCs w:val="24"/>
                  <w:lang w:eastAsia="zh-CN" w:bidi="lt-LT"/>
                </w:rPr>
                <w:t xml:space="preserve">, </w:t>
              </w:r>
              <w:hyperlink r:id="rId48" w:tgtFrame="_blank" w:history="1">
                <w:r>
                  <w:rPr>
                    <w:color w:val="0000FF" w:themeColor="hyperlink"/>
                    <w:szCs w:val="24"/>
                    <w:u w:val="single"/>
                    <w:lang w:eastAsia="zh-CN" w:bidi="lt-LT"/>
                  </w:rPr>
                  <w:t>2014/65/ES</w:t>
                </w:r>
              </w:hyperlink>
              <w:r>
                <w:rPr>
                  <w:color w:val="000000"/>
                  <w:szCs w:val="24"/>
                  <w:lang w:eastAsia="zh-CN" w:bidi="lt-LT"/>
                </w:rPr>
                <w:t xml:space="preserve">, </w:t>
              </w:r>
              <w:hyperlink r:id="rId49" w:tgtFrame="_blank" w:history="1">
                <w:r>
                  <w:rPr>
                    <w:color w:val="0000FF" w:themeColor="hyperlink"/>
                    <w:szCs w:val="24"/>
                    <w:u w:val="single"/>
                    <w:lang w:eastAsia="zh-CN" w:bidi="lt-LT"/>
                  </w:rPr>
                  <w:t>(ES) 2015/2366</w:t>
                </w:r>
              </w:hyperlink>
              <w:r>
                <w:rPr>
                  <w:color w:val="000000"/>
                  <w:szCs w:val="24"/>
                  <w:lang w:eastAsia="zh-CN" w:bidi="lt-LT"/>
                </w:rPr>
                <w:t xml:space="preserve"> ir </w:t>
              </w:r>
              <w:hyperlink r:id="rId50" w:tgtFrame="_blank" w:history="1">
                <w:r>
                  <w:rPr>
                    <w:color w:val="0000FF" w:themeColor="hyperlink"/>
                    <w:szCs w:val="24"/>
                    <w:u w:val="single"/>
                    <w:lang w:eastAsia="zh-CN" w:bidi="lt-LT"/>
                  </w:rPr>
                  <w:t>(ES) 2016/2341</w:t>
                </w:r>
              </w:hyperlink>
              <w:r>
                <w:rPr>
                  <w:color w:val="000000"/>
                  <w:szCs w:val="24"/>
                  <w:lang w:eastAsia="zh-CN" w:bidi="lt-LT"/>
                </w:rPr>
                <w:t xml:space="preserve"> dėl finansų sektoriaus skaitmeninės veiklos atsparumo.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5-2 p."/>
            <w:tag w:val="part_c77c32c0c316490ea93c81296a342b96"/>
            <w:lock w:val="sdtLocked"/>
            <w:richText/>
          </w:sdtPr>
          <w:sdtContent>
            <w:p>
              <w:pPr>
                <w:suppressAutoHyphens/>
                <w:spacing w:line="360" w:lineRule="auto"/>
                <w:ind w:firstLine="720"/>
                <w:jc w:val="both"/>
                <w:rPr>
                  <w:szCs w:val="24"/>
                </w:rPr>
              </w:pPr>
              <w:sdt>
                <w:sdtPr>
                  <w:alias w:val="Numeris"/>
                  <w:tag w:val="nr_c77c32c0c316490ea93c81296a342b96"/>
                  <w:lock w:val="sdtLocked"/>
                  <w:richText/>
                </w:sdtPr>
                <w:sdtContent>
                  <w:r>
                    <w:rPr>
                      <w:color w:val="000000"/>
                      <w:szCs w:val="24"/>
                      <w:lang w:eastAsia="zh-CN"/>
                    </w:rPr>
                    <w:t>5</w:t>
                  </w:r>
                  <w:r>
                    <w:rPr>
                      <w:color w:val="000000"/>
                      <w:szCs w:val="24"/>
                      <w:vertAlign w:val="superscript"/>
                      <w:lang w:eastAsia="zh-CN"/>
                    </w:rPr>
                    <w:t>2</w:t>
                  </w:r>
                </w:sdtContent>
              </w:sdt>
              <w:r>
                <w:rPr>
                  <w:color w:val="000000"/>
                  <w:szCs w:val="24"/>
                  <w:lang w:eastAsia="zh-CN"/>
                </w:rPr>
                <w:t xml:space="preserve">. 2022 m. gruodžio 14 d. Europos Parlamento ir Tarybos reglamentas </w:t>
              </w:r>
              <w:hyperlink r:id="rId51"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52" w:tgtFrame="_blank" w:history="1">
                <w:r>
                  <w:rPr>
                    <w:color w:val="0000FF" w:themeColor="hyperlink"/>
                    <w:szCs w:val="24"/>
                    <w:u w:val="single"/>
                    <w:lang w:eastAsia="zh-CN"/>
                  </w:rPr>
                  <w:t>(EB) Nr. 1060/2009</w:t>
                </w:r>
              </w:hyperlink>
              <w:r>
                <w:rPr>
                  <w:color w:val="000000"/>
                  <w:szCs w:val="24"/>
                  <w:lang w:eastAsia="zh-CN"/>
                </w:rPr>
                <w:t xml:space="preserve">, </w:t>
              </w:r>
              <w:hyperlink r:id="rId53" w:tgtFrame="_blank" w:history="1">
                <w:r>
                  <w:rPr>
                    <w:color w:val="0000FF" w:themeColor="hyperlink"/>
                    <w:szCs w:val="24"/>
                    <w:u w:val="single"/>
                    <w:lang w:eastAsia="zh-CN"/>
                  </w:rPr>
                  <w:t>(ES) Nr. 648/2012</w:t>
                </w:r>
              </w:hyperlink>
              <w:r>
                <w:rPr>
                  <w:color w:val="000000"/>
                  <w:szCs w:val="24"/>
                  <w:lang w:eastAsia="zh-CN"/>
                </w:rPr>
                <w:t xml:space="preserve">, </w:t>
              </w:r>
              <w:hyperlink r:id="rId54" w:tgtFrame="_blank" w:history="1">
                <w:r>
                  <w:rPr>
                    <w:color w:val="0000FF" w:themeColor="hyperlink"/>
                    <w:szCs w:val="24"/>
                    <w:u w:val="single"/>
                    <w:lang w:eastAsia="zh-CN"/>
                  </w:rPr>
                  <w:t>(ES) Nr. 600/2014</w:t>
                </w:r>
              </w:hyperlink>
              <w:r>
                <w:rPr>
                  <w:color w:val="000000"/>
                  <w:szCs w:val="24"/>
                  <w:lang w:eastAsia="zh-CN"/>
                </w:rPr>
                <w:t xml:space="preserve">, </w:t>
              </w:r>
              <w:hyperlink r:id="rId55" w:tgtFrame="_blank" w:history="1">
                <w:r>
                  <w:rPr>
                    <w:color w:val="0000FF" w:themeColor="hyperlink"/>
                    <w:szCs w:val="24"/>
                    <w:u w:val="single"/>
                    <w:lang w:eastAsia="zh-CN"/>
                  </w:rPr>
                  <w:t>(ES) Nr. 909/2014</w:t>
                </w:r>
              </w:hyperlink>
              <w:r>
                <w:rPr>
                  <w:color w:val="000000"/>
                  <w:szCs w:val="24"/>
                  <w:lang w:eastAsia="zh-CN"/>
                </w:rPr>
                <w:t xml:space="preserve"> ir </w:t>
              </w:r>
              <w:hyperlink r:id="rId56" w:tgtFrame="_blank" w:history="1">
                <w:r>
                  <w:rPr>
                    <w:color w:val="0000FF" w:themeColor="hyperlink"/>
                    <w:szCs w:val="24"/>
                    <w:u w:val="single"/>
                    <w:lang w:eastAsia="zh-CN"/>
                  </w:rPr>
                  <w:t>(ES) 2016/1011</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b4a255c111f0b070ee7f1ceefc75">
                <w:r w:rsidRPr="00532B9F">
                  <w:rPr>
                    <w:rFonts w:ascii="Times New Roman" w:eastAsia="MS Mincho" w:hAnsi="Times New Roman"/>
                    <w:sz w:val="20"/>
                    <w:i/>
                    <w:iCs/>
                    <w:color w:val="0000FF" w:themeColor="hyperlink"/>
                    <w:u w:val="single"/>
                  </w:rPr>
                  <w:t>XV-302</w:t>
                </w:r>
              </w:fldSimple>
              <w:r>
                <w:rPr>
                  <w:rFonts w:ascii="Times New Roman" w:eastAsia="MS Mincho" w:hAnsi="Times New Roman"/>
                  <w:sz w:val="20"/>
                  <w:i/>
                  <w:iCs/>
                </w:rPr>
                <w:t>,
2025-06-19,
paskelbta TAR 2025-06-30, i. k. 2025-11971        </w:t>
              </w:r>
            </w:p>
            <w:p/>
          </w:sdtContent>
        </w:sdt>
        <w:sdt>
          <w:sdtPr>
            <w:alias w:val="pr. 6 p."/>
            <w:tag w:val="part_7241679c696d4b458eea1e1859944c35"/>
            <w:lock w:val="sdtLocked"/>
            <w:richText/>
          </w:sdtPr>
          <w:sdtContent>
            <w:p>
              <w:pPr>
                <w:spacing w:line="360" w:lineRule="auto"/>
                <w:ind w:firstLine="720"/>
                <w:jc w:val="both"/>
                <w:rPr>
                  <w:szCs w:val="24"/>
                </w:rPr>
              </w:pPr>
              <w:sdt>
                <w:sdtPr>
                  <w:alias w:val="Numeris"/>
                  <w:tag w:val="nr_7241679c696d4b458eea1e1859944c35"/>
                  <w:lock w:val="sdtLocked"/>
                  <w:richText/>
                </w:sdtPr>
                <w:sdtContent>
                  <w:r>
                    <w:rPr>
                      <w:szCs w:val="24"/>
                    </w:rPr>
                    <w:t>6</w:t>
                  </w:r>
                </w:sdtContent>
              </w:sdt>
              <w:r>
                <w:rPr>
                  <w:szCs w:val="24"/>
                </w:rPr>
                <w:t xml:space="preserve">. 2023 m. gegužės 31 d. Europos Parlamento ir Tarybos reglamentas </w:t>
              </w:r>
              <w:hyperlink r:id="rId38"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39" w:tgtFrame="_blank" w:history="1">
                <w:r>
                  <w:rPr>
                    <w:color w:val="0000FF" w:themeColor="hyperlink"/>
                    <w:szCs w:val="24"/>
                    <w:u w:val="single"/>
                  </w:rPr>
                  <w:t>(ES) 2015/849</w:t>
                </w:r>
              </w:hyperlink>
              <w:r>
                <w:rPr>
                  <w:szCs w:val="24"/>
                </w:rPr>
                <w:t>.</w:t>
              </w:r>
            </w:p>
          </w:sdtContent>
        </w:sdt>
        <w:sdt>
          <w:sdtPr>
            <w:alias w:val="pabaiga"/>
            <w:tag w:val="part_cd5e817767b74eb3beb04199de8f984f"/>
            <w:lock w:val="sdtLocked"/>
            <w:richText/>
          </w:sdtPr>
          <w:sdtContent>
            <w:p>
              <w:pPr>
                <w:spacing w:line="360" w:lineRule="auto"/>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B7EE54785F">
            <w:r w:rsidRPr="00532B9F">
              <w:rPr>
                <w:rFonts w:ascii="Times New Roman" w:eastAsia="MS Mincho" w:hAnsi="Times New Roman"/>
                <w:sz w:val="20"/>
                <w:i/>
                <w:iCs/>
                <w:color w:val="0000FF" w:themeColor="hyperlink"/>
                <w:u w:val="single"/>
              </w:rPr>
              <w:t>XI-1340</w:t>
            </w:r>
          </w:fldSimple>
          <w:r>
            <w:rPr>
              <w:rFonts w:ascii="Times New Roman" w:eastAsia="MS Mincho" w:hAnsi="Times New Roman"/>
              <w:sz w:val="20"/>
              <w:i/>
              <w:iCs/>
            </w:rPr>
            <w:t>,
2011-04-21,
Žin., 2011, Nr.
52-2515 (2011-05-03), i. k. 1111010ISTA0XI-1340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40ced0eb1a11ed9978886e85107ab2">
            <w:r w:rsidRPr="00532B9F">
              <w:rPr>
                <w:rFonts w:ascii="Times New Roman" w:eastAsia="MS Mincho" w:hAnsi="Times New Roman"/>
                <w:sz w:val="20"/>
                <w:i/>
                <w:iCs/>
                <w:color w:val="0000FF" w:themeColor="hyperlink"/>
                <w:u w:val="single"/>
              </w:rPr>
              <w:t>XIV-1895</w:t>
            </w:r>
          </w:fldSimple>
          <w:r>
            <w:rPr>
              <w:rFonts w:ascii="Times New Roman" w:eastAsia="MS Mincho" w:hAnsi="Times New Roman"/>
              <w:sz w:val="20"/>
              <w:i/>
              <w:iCs/>
            </w:rPr>
            <w:t>,
2023-04-25,
paskelbta TAR 2023-05-05, i. k. 2023-08614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fc2d2a67411ef90b5ee8931e5ce5e">
            <w:r w:rsidRPr="00532B9F">
              <w:rPr>
                <w:rFonts w:ascii="Times New Roman" w:eastAsia="MS Mincho" w:hAnsi="Times New Roman"/>
                <w:sz w:val="20"/>
                <w:i/>
                <w:iCs/>
                <w:color w:val="0000FF" w:themeColor="hyperlink"/>
                <w:u w:val="single"/>
              </w:rPr>
              <w:t>XIV-3094</w:t>
            </w:r>
          </w:fldSimple>
          <w:r>
            <w:rPr>
              <w:rFonts w:ascii="Times New Roman" w:eastAsia="MS Mincho" w:hAnsi="Times New Roman"/>
              <w:sz w:val="20"/>
              <w:i/>
              <w:iCs/>
            </w:rPr>
            <w:t>,
2024-11-12,
paskelbta TAR 2024-11-19, i. k. 2024-20115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EBBD2CAC0C">
            <w:r w:rsidRPr="00532B9F">
              <w:rPr>
                <w:rFonts w:ascii="Times New Roman" w:eastAsia="MS Mincho" w:hAnsi="Times New Roman"/>
                <w:sz w:val="20"/>
                <w:iCs/>
                <w:color w:val="0000FF" w:themeColor="hyperlink"/>
                <w:u w:val="single"/>
              </w:rPr>
              <w:t>IX-1596</w:t>
            </w:r>
          </w:fldSimple>
          <w:r>
            <w:rPr>
              <w:rFonts w:ascii="Times New Roman" w:eastAsia="MS Mincho" w:hAnsi="Times New Roman"/>
              <w:sz w:val="20"/>
              <w:iCs/>
            </w:rPr>
            <w:t>,
2003-06-05,
Žin., 2003, Nr.
61-2753 (2003-06-27), i. k. 1031010ISTA0IX-1596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8349767B81">
            <w:r w:rsidRPr="00532B9F">
              <w:rPr>
                <w:rFonts w:ascii="Times New Roman" w:eastAsia="MS Mincho" w:hAnsi="Times New Roman"/>
                <w:sz w:val="20"/>
                <w:iCs/>
                <w:color w:val="0000FF" w:themeColor="hyperlink"/>
                <w:u w:val="single"/>
              </w:rPr>
              <w:t>IX-2404</w:t>
            </w:r>
          </w:fldSimple>
          <w:r>
            <w:rPr>
              <w:rFonts w:ascii="Times New Roman" w:eastAsia="MS Mincho" w:hAnsi="Times New Roman"/>
              <w:sz w:val="20"/>
              <w:iCs/>
            </w:rPr>
            <w:t>,
2004-07-15,
Žin., 2004, Nr.
116-4336 (2004-07-27), i. k. 1041010ISTA0IX-2404                </w:t>
          </w:r>
        </w:p>
        <w:p>
          <w:pPr>
            <w:jc w:val="both"/>
            <w:rPr>
              <w:rFonts w:ascii="Times New Roman" w:hAnsi="Times New Roman"/>
            </w:rPr>
          </w:pPr>
          <w:r>
            <w:rPr>
              <w:rFonts w:ascii="Times New Roman" w:hAnsi="Times New Roman"/>
              <w:sz w:val="20"/>
            </w:rPr>
            <w:t>Lietuvos Respublikos mokėjimų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8E9B9C8B9E">
            <w:r w:rsidRPr="00532B9F">
              <w:rPr>
                <w:rFonts w:ascii="Times New Roman" w:eastAsia="MS Mincho" w:hAnsi="Times New Roman"/>
                <w:sz w:val="20"/>
                <w:iCs/>
                <w:color w:val="0000FF" w:themeColor="hyperlink"/>
                <w:u w:val="single"/>
              </w:rPr>
              <w:t>X-1351</w:t>
            </w:r>
          </w:fldSimple>
          <w:r>
            <w:rPr>
              <w:rFonts w:ascii="Times New Roman" w:eastAsia="MS Mincho" w:hAnsi="Times New Roman"/>
              <w:sz w:val="20"/>
              <w:iCs/>
            </w:rPr>
            <w:t>,
2007-12-05,
Žin., 2007, Nr.
132-5355 (2007-12-15), i. k. 1071010ISTA00X-1351                </w:t>
          </w:r>
        </w:p>
        <w:p>
          <w:pPr>
            <w:jc w:val="both"/>
            <w:rPr>
              <w:rFonts w:ascii="Times New Roman" w:hAnsi="Times New Roman"/>
            </w:rPr>
          </w:pPr>
          <w:r>
            <w:rPr>
              <w:rFonts w:ascii="Times New Roman" w:hAnsi="Times New Roman"/>
              <w:sz w:val="20"/>
            </w:rPr>
            <w:t>Lietuvos Respublikos mokėjimų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58820A3491">
            <w:r w:rsidRPr="00532B9F">
              <w:rPr>
                <w:rFonts w:ascii="Times New Roman" w:eastAsia="MS Mincho" w:hAnsi="Times New Roman"/>
                <w:sz w:val="20"/>
                <w:iCs/>
                <w:color w:val="0000FF" w:themeColor="hyperlink"/>
                <w:u w:val="single"/>
              </w:rPr>
              <w:t>XI-550</w:t>
            </w:r>
          </w:fldSimple>
          <w:r>
            <w:rPr>
              <w:rFonts w:ascii="Times New Roman" w:eastAsia="MS Mincho" w:hAnsi="Times New Roman"/>
              <w:sz w:val="20"/>
              <w:iCs/>
            </w:rPr>
            <w:t>,
2009-12-10,
Žin., 2009, Nr.
153-6888 (2009-12-28), i. k. 1091010ISTA00XI-550                </w:t>
          </w:r>
        </w:p>
        <w:p>
          <w:pPr>
            <w:jc w:val="both"/>
            <w:rPr>
              <w:rFonts w:ascii="Times New Roman" w:hAnsi="Times New Roman"/>
            </w:rPr>
          </w:pPr>
          <w:r>
            <w:rPr>
              <w:rFonts w:ascii="Times New Roman" w:hAnsi="Times New Roman"/>
              <w:sz w:val="20"/>
            </w:rPr>
            <w:t>Lietuvos Respublikos mokėjimų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B7EE54785F">
            <w:r w:rsidRPr="00532B9F">
              <w:rPr>
                <w:rFonts w:ascii="Times New Roman" w:eastAsia="MS Mincho" w:hAnsi="Times New Roman"/>
                <w:sz w:val="20"/>
                <w:iCs/>
                <w:color w:val="0000FF" w:themeColor="hyperlink"/>
                <w:u w:val="single"/>
              </w:rPr>
              <w:t>XI-1340</w:t>
            </w:r>
          </w:fldSimple>
          <w:r>
            <w:rPr>
              <w:rFonts w:ascii="Times New Roman" w:eastAsia="MS Mincho" w:hAnsi="Times New Roman"/>
              <w:sz w:val="20"/>
              <w:iCs/>
            </w:rPr>
            <w:t>,
2011-04-21,
Žin., 2011, Nr.
52-2515 (2011-05-03), i. k. 1111010ISTA0XI-1340                </w:t>
          </w:r>
        </w:p>
        <w:p>
          <w:pPr>
            <w:jc w:val="both"/>
            <w:rPr>
              <w:rFonts w:ascii="Times New Roman" w:hAnsi="Times New Roman"/>
            </w:rPr>
          </w:pPr>
          <w:r>
            <w:rPr>
              <w:rFonts w:ascii="Times New Roman" w:hAnsi="Times New Roman"/>
              <w:sz w:val="20"/>
            </w:rPr>
            <w:t>Lietuvos Respublikos mokėjimų įstatymo 1, 3, 6 straipsnių ir Įstatymo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A8ABAC453">
            <w:r w:rsidRPr="00532B9F">
              <w:rPr>
                <w:rFonts w:ascii="Times New Roman" w:eastAsia="MS Mincho" w:hAnsi="Times New Roman"/>
                <w:sz w:val="20"/>
                <w:iCs/>
                <w:color w:val="0000FF" w:themeColor="hyperlink"/>
                <w:u w:val="single"/>
              </w:rPr>
              <w:t>XI-1685</w:t>
            </w:r>
          </w:fldSimple>
          <w:r>
            <w:rPr>
              <w:rFonts w:ascii="Times New Roman" w:eastAsia="MS Mincho" w:hAnsi="Times New Roman"/>
              <w:sz w:val="20"/>
              <w:iCs/>
            </w:rPr>
            <w:t>,
2011-11-17,
Žin., 2011, Nr.
146-6831 (2011-12-01), i. k. 1111010ISTA0XI-1685                </w:t>
          </w:r>
        </w:p>
        <w:p>
          <w:pPr>
            <w:jc w:val="both"/>
            <w:rPr>
              <w:rFonts w:ascii="Times New Roman" w:hAnsi="Times New Roman"/>
            </w:rPr>
          </w:pPr>
          <w:r>
            <w:rPr>
              <w:rFonts w:ascii="Times New Roman" w:hAnsi="Times New Roman"/>
              <w:sz w:val="20"/>
            </w:rPr>
            <w:t>Lietuvos Respublikos mokėjimų įstatymo 9 straipsnio, VI ir VII skyrių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CDAF015B39">
            <w:r w:rsidRPr="00532B9F">
              <w:rPr>
                <w:rFonts w:ascii="Times New Roman" w:eastAsia="MS Mincho" w:hAnsi="Times New Roman"/>
                <w:sz w:val="20"/>
                <w:iCs/>
                <w:color w:val="0000FF" w:themeColor="hyperlink"/>
                <w:u w:val="single"/>
              </w:rPr>
              <w:t>XI-1876</w:t>
            </w:r>
          </w:fldSimple>
          <w:r>
            <w:rPr>
              <w:rFonts w:ascii="Times New Roman" w:eastAsia="MS Mincho" w:hAnsi="Times New Roman"/>
              <w:sz w:val="20"/>
              <w:iCs/>
            </w:rPr>
            <w:t>,
2011-12-22,
Žin., 2011, Nr.
163-7767 (2011-12-31), i. k. 1111010ISTA0XI-1876                </w:t>
          </w:r>
        </w:p>
        <w:p>
          <w:pPr>
            <w:jc w:val="both"/>
            <w:rPr>
              <w:rFonts w:ascii="Times New Roman" w:hAnsi="Times New Roman"/>
            </w:rPr>
          </w:pPr>
          <w:r>
            <w:rPr>
              <w:rFonts w:ascii="Times New Roman" w:hAnsi="Times New Roman"/>
              <w:sz w:val="20"/>
            </w:rPr>
            <w:t>Lietuvos Respublikos mokėjimų įstatymo 2, 3, 6,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F9458AFB15">
            <w:r w:rsidRPr="00532B9F">
              <w:rPr>
                <w:rFonts w:ascii="Times New Roman" w:eastAsia="MS Mincho" w:hAnsi="Times New Roman"/>
                <w:sz w:val="20"/>
                <w:iCs/>
                <w:color w:val="0000FF" w:themeColor="hyperlink"/>
                <w:u w:val="single"/>
              </w:rPr>
              <w:t>XII-303</w:t>
            </w:r>
          </w:fldSimple>
          <w:r>
            <w:rPr>
              <w:rFonts w:ascii="Times New Roman" w:eastAsia="MS Mincho" w:hAnsi="Times New Roman"/>
              <w:sz w:val="20"/>
              <w:iCs/>
            </w:rPr>
            <w:t>,
2013-05-14,
Žin., 2013, Nr.
57-2847 (2013-06-01), i. k. 1131010ISTA0XII-303                </w:t>
          </w:r>
        </w:p>
        <w:p>
          <w:pPr>
            <w:jc w:val="both"/>
            <w:rPr>
              <w:rFonts w:ascii="Times New Roman" w:hAnsi="Times New Roman"/>
            </w:rPr>
          </w:pPr>
          <w:r>
            <w:rPr>
              <w:rFonts w:ascii="Times New Roman" w:hAnsi="Times New Roman"/>
              <w:sz w:val="20"/>
            </w:rPr>
            <w:t>Lietuvos Respublikos mokėjimų įstatymo 3 ir 49 straipsnių pakeitimo, Įstatymo papildymo 51 straipsniu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ef9b404a2c11e483c6e89f9dba57fd">
            <w:r w:rsidRPr="00532B9F">
              <w:rPr>
                <w:rFonts w:ascii="Times New Roman" w:eastAsia="MS Mincho" w:hAnsi="Times New Roman"/>
                <w:sz w:val="20"/>
                <w:iCs/>
                <w:color w:val="0000FF" w:themeColor="hyperlink"/>
                <w:u w:val="single"/>
              </w:rPr>
              <w:t>XII-1108</w:t>
            </w:r>
          </w:fldSimple>
          <w:r>
            <w:rPr>
              <w:rFonts w:ascii="Times New Roman" w:eastAsia="MS Mincho" w:hAnsi="Times New Roman"/>
              <w:sz w:val="20"/>
              <w:iCs/>
            </w:rPr>
            <w:t>,
2014-09-23,
paskelbta TAR 2014-10-02, i. k. 2014-13429                </w:t>
          </w:r>
        </w:p>
        <w:p>
          <w:pPr>
            <w:jc w:val="both"/>
            <w:rPr>
              <w:rFonts w:ascii="Times New Roman" w:hAnsi="Times New Roman"/>
            </w:rPr>
          </w:pPr>
          <w:r>
            <w:rPr>
              <w:rFonts w:ascii="Times New Roman" w:hAnsi="Times New Roman"/>
              <w:sz w:val="20"/>
            </w:rPr>
            <w:t>Lietuvos Respublikos mokėjimų įstatymo Nr. VIII-1370 4, 30,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a2ee0048f511e6b5d09300a16a686c">
            <w:r w:rsidRPr="00532B9F">
              <w:rPr>
                <w:rFonts w:ascii="Times New Roman" w:eastAsia="MS Mincho" w:hAnsi="Times New Roman"/>
                <w:sz w:val="20"/>
                <w:iCs/>
                <w:color w:val="0000FF" w:themeColor="hyperlink"/>
                <w:u w:val="single"/>
              </w:rPr>
              <w:t>XII-2561</w:t>
            </w:r>
          </w:fldSimple>
          <w:r>
            <w:rPr>
              <w:rFonts w:ascii="Times New Roman" w:eastAsia="MS Mincho" w:hAnsi="Times New Roman"/>
              <w:sz w:val="20"/>
              <w:iCs/>
            </w:rPr>
            <w:t>,
2016-06-30,
paskelbta TAR 2016-07-13, i. k. 2016-20315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e4970a67a11e69ad4c8713b612d0f">
            <w:r w:rsidRPr="00532B9F">
              <w:rPr>
                <w:rFonts w:ascii="Times New Roman" w:eastAsia="MS Mincho" w:hAnsi="Times New Roman"/>
                <w:sz w:val="20"/>
                <w:iCs/>
                <w:color w:val="0000FF" w:themeColor="hyperlink"/>
                <w:u w:val="single"/>
              </w:rPr>
              <w:t>XII-2699</w:t>
            </w:r>
          </w:fldSimple>
          <w:r>
            <w:rPr>
              <w:rFonts w:ascii="Times New Roman" w:eastAsia="MS Mincho" w:hAnsi="Times New Roman"/>
              <w:sz w:val="20"/>
              <w:iCs/>
            </w:rPr>
            <w:t>,
2016-11-03,
paskelbta TAR 2016-11-09, i. k. 2016-26476                </w:t>
          </w:r>
        </w:p>
        <w:p>
          <w:pPr>
            <w:jc w:val="both"/>
            <w:rPr>
              <w:rFonts w:ascii="Times New Roman" w:hAnsi="Times New Roman"/>
            </w:rPr>
          </w:pPr>
          <w:r>
            <w:rPr>
              <w:rFonts w:ascii="Times New Roman" w:hAnsi="Times New Roman"/>
              <w:sz w:val="20"/>
            </w:rPr>
            <w:t>Lietuvos Respublikos mokėjimų įstatymo Nr. VIII-1370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76ff06f1011e8b83be60b2e217f90">
            <w:r w:rsidRPr="00532B9F">
              <w:rPr>
                <w:rFonts w:ascii="Times New Roman" w:eastAsia="MS Mincho" w:hAnsi="Times New Roman"/>
                <w:sz w:val="20"/>
                <w:iCs/>
                <w:color w:val="0000FF" w:themeColor="hyperlink"/>
                <w:u w:val="single"/>
              </w:rPr>
              <w:t>XIII-1243</w:t>
            </w:r>
          </w:fldSimple>
          <w:r>
            <w:rPr>
              <w:rFonts w:ascii="Times New Roman" w:eastAsia="MS Mincho" w:hAnsi="Times New Roman"/>
              <w:sz w:val="20"/>
              <w:iCs/>
            </w:rPr>
            <w:t>,
2018-06-05,
paskelbta TAR 2018-06-14, i. k. 2018-09857                </w:t>
          </w:r>
        </w:p>
        <w:p>
          <w:pPr>
            <w:jc w:val="both"/>
            <w:rPr>
              <w:rFonts w:ascii="Times New Roman" w:hAnsi="Times New Roman"/>
            </w:rPr>
          </w:pPr>
          <w:r>
            <w:rPr>
              <w:rFonts w:ascii="Times New Roman" w:hAnsi="Times New Roman"/>
              <w:sz w:val="20"/>
            </w:rPr>
            <w:t>Lietuvos Respublikos mokėjimų įstatymo Nr. VIII-1370 63, 64, 65, 66, 67 straipsnių pakeitimo, Įstatymo papildymo 62-1 straipsniu ir 68, 69, 70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a9e6049e211e8ade598b2394a491d">
            <w:r w:rsidRPr="00532B9F">
              <w:rPr>
                <w:rFonts w:ascii="Times New Roman" w:eastAsia="MS Mincho" w:hAnsi="Times New Roman"/>
                <w:sz w:val="20"/>
                <w:iCs/>
                <w:color w:val="0000FF" w:themeColor="hyperlink"/>
                <w:u w:val="single"/>
              </w:rPr>
              <w:t>XIII-1092</w:t>
            </w:r>
          </w:fldSimple>
          <w:r>
            <w:rPr>
              <w:rFonts w:ascii="Times New Roman" w:eastAsia="MS Mincho" w:hAnsi="Times New Roman"/>
              <w:sz w:val="20"/>
              <w:iCs/>
            </w:rPr>
            <w:t>,
2018-04-17,
paskelbta TAR 2018-04-27, i. k. 2018-06727                </w:t>
          </w:r>
        </w:p>
        <w:p>
          <w:pPr>
            <w:jc w:val="both"/>
            <w:rPr>
              <w:rFonts w:ascii="Times New Roman" w:hAnsi="Times New Roman"/>
            </w:rPr>
          </w:pPr>
          <w:r>
            <w:rPr>
              <w:rFonts w:ascii="Times New Roman" w:hAnsi="Times New Roman"/>
              <w:sz w:val="20"/>
            </w:rPr>
            <w:t>Lietuvos Respublikos mokėjimų įstatymo Nr. VIII-1370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deb1a07f7d11e8ae2bfd1913d66d57">
            <w:r w:rsidRPr="00532B9F">
              <w:rPr>
                <w:rFonts w:ascii="Times New Roman" w:eastAsia="MS Mincho" w:hAnsi="Times New Roman"/>
                <w:sz w:val="20"/>
                <w:iCs/>
                <w:color w:val="0000FF" w:themeColor="hyperlink"/>
                <w:u w:val="single"/>
              </w:rPr>
              <w:t>XIII-1301</w:t>
            </w:r>
          </w:fldSimple>
          <w:r>
            <w:rPr>
              <w:rFonts w:ascii="Times New Roman" w:eastAsia="MS Mincho" w:hAnsi="Times New Roman"/>
              <w:sz w:val="20"/>
              <w:iCs/>
            </w:rPr>
            <w:t>,
2018-06-27,
paskelbta TAR 2018-07-04, i. k. 2018-11306                </w:t>
          </w:r>
        </w:p>
        <w:p>
          <w:pPr>
            <w:jc w:val="both"/>
            <w:rPr>
              <w:rFonts w:ascii="Times New Roman" w:hAnsi="Times New Roman"/>
            </w:rPr>
          </w:pPr>
          <w:r>
            <w:rPr>
              <w:rFonts w:ascii="Times New Roman" w:hAnsi="Times New Roman"/>
              <w:sz w:val="20"/>
            </w:rPr>
            <w:t>Lietuvos Respublikos mokėjimų įstatymo Nr. VIII-1370 pakeitimo įstatymo Nr. XIII-1092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9f2ef0fa5311e99681cd81dcdca52c">
            <w:r w:rsidRPr="00532B9F">
              <w:rPr>
                <w:rFonts w:ascii="Times New Roman" w:eastAsia="MS Mincho" w:hAnsi="Times New Roman"/>
                <w:sz w:val="20"/>
                <w:iCs/>
                <w:color w:val="0000FF" w:themeColor="hyperlink"/>
                <w:u w:val="single"/>
              </w:rPr>
              <w:t>XIII-2488</w:t>
            </w:r>
          </w:fldSimple>
          <w:r>
            <w:rPr>
              <w:rFonts w:ascii="Times New Roman" w:eastAsia="MS Mincho" w:hAnsi="Times New Roman"/>
              <w:sz w:val="20"/>
              <w:iCs/>
            </w:rPr>
            <w:t>,
2019-10-17,
paskelbta TAR 2019-10-29, i. k. 2019-17215                </w:t>
          </w:r>
        </w:p>
        <w:p>
          <w:pPr>
            <w:jc w:val="both"/>
            <w:rPr>
              <w:rFonts w:ascii="Times New Roman" w:hAnsi="Times New Roman"/>
            </w:rPr>
          </w:pPr>
          <w:r>
            <w:rPr>
              <w:rFonts w:ascii="Times New Roman" w:hAnsi="Times New Roman"/>
              <w:sz w:val="20"/>
            </w:rPr>
            <w:t>Lietuvos Respublikos mokėjimų įstatymo Nr. VIII-1370 pakeitimo įstatymo Nr. XIII-1092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40ced0eb1a11ed9978886e85107ab2">
            <w:r w:rsidRPr="00532B9F">
              <w:rPr>
                <w:rFonts w:ascii="Times New Roman" w:eastAsia="MS Mincho" w:hAnsi="Times New Roman"/>
                <w:sz w:val="20"/>
                <w:iCs/>
                <w:color w:val="0000FF" w:themeColor="hyperlink"/>
                <w:u w:val="single"/>
              </w:rPr>
              <w:t>XIV-1895</w:t>
            </w:r>
          </w:fldSimple>
          <w:r>
            <w:rPr>
              <w:rFonts w:ascii="Times New Roman" w:eastAsia="MS Mincho" w:hAnsi="Times New Roman"/>
              <w:sz w:val="20"/>
              <w:iCs/>
            </w:rPr>
            <w:t>,
2023-04-25,
paskelbta TAR 2023-05-05, i. k. 2023-08614                </w:t>
          </w:r>
        </w:p>
        <w:p>
          <w:pPr>
            <w:jc w:val="both"/>
            <w:rPr>
              <w:rFonts w:ascii="Times New Roman" w:hAnsi="Times New Roman"/>
            </w:rPr>
          </w:pPr>
          <w:r>
            <w:rPr>
              <w:rFonts w:ascii="Times New Roman" w:hAnsi="Times New Roman"/>
              <w:sz w:val="20"/>
            </w:rPr>
            <w:t>Lietuvos Respublikos mokėjimų įstatymo Nr. VIII-1370 3, 76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a68cf049a111efbdaea558de59136c">
            <w:r w:rsidRPr="00532B9F">
              <w:rPr>
                <w:rFonts w:ascii="Times New Roman" w:eastAsia="MS Mincho" w:hAnsi="Times New Roman"/>
                <w:sz w:val="20"/>
                <w:iCs/>
                <w:color w:val="0000FF" w:themeColor="hyperlink"/>
                <w:u w:val="single"/>
              </w:rPr>
              <w:t>XIV-2891</w:t>
            </w:r>
          </w:fldSimple>
          <w:r>
            <w:rPr>
              <w:rFonts w:ascii="Times New Roman" w:eastAsia="MS Mincho" w:hAnsi="Times New Roman"/>
              <w:sz w:val="20"/>
              <w:iCs/>
            </w:rPr>
            <w:t>,
2024-07-11,
paskelbta TAR 2024-07-24, i. k. 2024-13500                </w:t>
          </w:r>
        </w:p>
        <w:p>
          <w:pPr>
            <w:jc w:val="both"/>
            <w:rPr>
              <w:rFonts w:ascii="Times New Roman" w:hAnsi="Times New Roman"/>
            </w:rPr>
          </w:pPr>
          <w:r>
            <w:rPr>
              <w:rFonts w:ascii="Times New Roman" w:hAnsi="Times New Roman"/>
              <w:sz w:val="20"/>
            </w:rPr>
            <w:t>Lietuvos Respublikos mokėjimų įstatymo Nr. VIII-1370 priedo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5f4202ed211efbdaea558de59136c">
            <w:r w:rsidRPr="00532B9F">
              <w:rPr>
                <w:rFonts w:ascii="Times New Roman" w:eastAsia="MS Mincho" w:hAnsi="Times New Roman"/>
                <w:sz w:val="20"/>
                <w:iCs/>
                <w:color w:val="0000FF" w:themeColor="hyperlink"/>
                <w:u w:val="single"/>
              </w:rPr>
              <w:t>XIV-2710</w:t>
            </w:r>
          </w:fldSimple>
          <w:r>
            <w:rPr>
              <w:rFonts w:ascii="Times New Roman" w:eastAsia="MS Mincho" w:hAnsi="Times New Roman"/>
              <w:sz w:val="20"/>
              <w:iCs/>
            </w:rPr>
            <w:t>,
2024-06-13,
paskelbta TAR 2024-06-20, i. k. 2024-11233                </w:t>
          </w:r>
        </w:p>
        <w:p>
          <w:pPr>
            <w:jc w:val="both"/>
            <w:rPr>
              <w:rFonts w:ascii="Times New Roman" w:hAnsi="Times New Roman"/>
            </w:rPr>
          </w:pPr>
          <w:r>
            <w:rPr>
              <w:rFonts w:ascii="Times New Roman" w:hAnsi="Times New Roman"/>
              <w:sz w:val="20"/>
            </w:rPr>
            <w:t>Lietuvos Respublikos mokėjimų įstatymo Nr. VIII-1370 2, 15, 64, 71, 72, 73, 75 straipsnių pakeitimo ir Įstatymo papildymo 28-1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8fc2d2a67411ef90b5ee8931e5ce5e">
            <w:r w:rsidRPr="00532B9F">
              <w:rPr>
                <w:rFonts w:ascii="Times New Roman" w:eastAsia="MS Mincho" w:hAnsi="Times New Roman"/>
                <w:sz w:val="20"/>
                <w:iCs/>
                <w:color w:val="0000FF" w:themeColor="hyperlink"/>
                <w:u w:val="single"/>
              </w:rPr>
              <w:t>XIV-3094</w:t>
            </w:r>
          </w:fldSimple>
          <w:r>
            <w:rPr>
              <w:rFonts w:ascii="Times New Roman" w:eastAsia="MS Mincho" w:hAnsi="Times New Roman"/>
              <w:sz w:val="20"/>
              <w:iCs/>
            </w:rPr>
            <w:t>,
2024-11-12,
paskelbta TAR 2024-11-19, i. k. 2024-20115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7474520fc811f08e9f87c0d053bf09">
            <w:r w:rsidRPr="00532B9F">
              <w:rPr>
                <w:rFonts w:ascii="Times New Roman" w:eastAsia="MS Mincho" w:hAnsi="Times New Roman"/>
                <w:sz w:val="20"/>
                <w:iCs/>
                <w:color w:val="0000FF" w:themeColor="hyperlink"/>
                <w:u w:val="single"/>
              </w:rPr>
              <w:t>XV-137</w:t>
            </w:r>
          </w:fldSimple>
          <w:r>
            <w:rPr>
              <w:rFonts w:ascii="Times New Roman" w:eastAsia="MS Mincho" w:hAnsi="Times New Roman"/>
              <w:sz w:val="20"/>
              <w:iCs/>
            </w:rPr>
            <w:t>,
2025-03-27,
paskelbta TAR 2025-04-02, i. k. 2025-05779                </w:t>
          </w:r>
        </w:p>
        <w:p>
          <w:pPr>
            <w:jc w:val="both"/>
            <w:rPr>
              <w:rFonts w:ascii="Times New Roman" w:hAnsi="Times New Roman"/>
            </w:rPr>
          </w:pPr>
          <w:r>
            <w:rPr>
              <w:rFonts w:ascii="Times New Roman" w:hAnsi="Times New Roman"/>
              <w:sz w:val="20"/>
            </w:rPr>
            <w:t>Lietuvos Respublikos mokėjimų įstatymo Nr. VIII-1370 9, 81 straipsnių ir priedo pakeitimo ir Įstatymo papildymo 9-1 straipsniu įstatymo Nr. XIV-3094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9619124cde11f0b070ee7f1ceefc75">
            <w:r w:rsidRPr="00532B9F">
              <w:rPr>
                <w:rFonts w:ascii="Times New Roman" w:eastAsia="MS Mincho" w:hAnsi="Times New Roman"/>
                <w:sz w:val="20"/>
                <w:iCs/>
                <w:color w:val="0000FF" w:themeColor="hyperlink"/>
                <w:u w:val="single"/>
              </w:rPr>
              <w:t>XV-270</w:t>
            </w:r>
          </w:fldSimple>
          <w:r>
            <w:rPr>
              <w:rFonts w:ascii="Times New Roman" w:eastAsia="MS Mincho" w:hAnsi="Times New Roman"/>
              <w:sz w:val="20"/>
              <w:iCs/>
            </w:rPr>
            <w:t>,
2025-06-12,
paskelbta TAR 2025-06-19, i. k. 2025-11119                </w:t>
          </w:r>
        </w:p>
        <w:p>
          <w:pPr>
            <w:jc w:val="both"/>
            <w:rPr>
              <w:rFonts w:ascii="Times New Roman" w:hAnsi="Times New Roman"/>
            </w:rPr>
          </w:pPr>
          <w:r>
            <w:rPr>
              <w:rFonts w:ascii="Times New Roman" w:hAnsi="Times New Roman"/>
              <w:sz w:val="20"/>
            </w:rPr>
            <w:t>Lietuvos Respublikos mokėjimų įstatymo Nr. VIII-1370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01b4a255c111f0b070ee7f1ceefc75">
            <w:r w:rsidRPr="00532B9F">
              <w:rPr>
                <w:rFonts w:ascii="Times New Roman" w:eastAsia="MS Mincho" w:hAnsi="Times New Roman"/>
                <w:sz w:val="20"/>
                <w:iCs/>
                <w:color w:val="0000FF" w:themeColor="hyperlink"/>
                <w:u w:val="single"/>
              </w:rPr>
              <w:t>XV-302</w:t>
            </w:r>
          </w:fldSimple>
          <w:r>
            <w:rPr>
              <w:rFonts w:ascii="Times New Roman" w:eastAsia="MS Mincho" w:hAnsi="Times New Roman"/>
              <w:sz w:val="20"/>
              <w:iCs/>
            </w:rPr>
            <w:t>,
2025-06-19,
paskelbta TAR 2025-06-30, i. k. 2025-11971                </w:t>
          </w:r>
        </w:p>
        <w:p>
          <w:pPr>
            <w:jc w:val="both"/>
            <w:rPr>
              <w:rFonts w:ascii="Times New Roman" w:hAnsi="Times New Roman"/>
            </w:rPr>
          </w:pPr>
          <w:r>
            <w:rPr>
              <w:rFonts w:ascii="Times New Roman" w:hAnsi="Times New Roman"/>
              <w:sz w:val="20"/>
            </w:rPr>
            <w:t>Lietuvos Respublikos mokėjimų įstatymo Nr. VIII-1370 2, 3, 56, 57, 76, 80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15c42255c511f0b070ee7f1ceefc75">
            <w:r w:rsidRPr="00532B9F">
              <w:rPr>
                <w:rFonts w:ascii="Times New Roman" w:eastAsia="MS Mincho" w:hAnsi="Times New Roman"/>
                <w:sz w:val="20"/>
                <w:iCs/>
                <w:color w:val="0000FF" w:themeColor="hyperlink"/>
                <w:u w:val="single"/>
              </w:rPr>
              <w:t>XV-325</w:t>
            </w:r>
          </w:fldSimple>
          <w:r>
            <w:rPr>
              <w:rFonts w:ascii="Times New Roman" w:eastAsia="MS Mincho" w:hAnsi="Times New Roman"/>
              <w:sz w:val="20"/>
              <w:iCs/>
            </w:rPr>
            <w:t>,
2025-06-25,
paskelbta TAR 2025-06-30, i. k. 2025-11986                </w:t>
          </w:r>
        </w:p>
        <w:p>
          <w:pPr>
            <w:jc w:val="both"/>
            <w:rPr>
              <w:rFonts w:ascii="Times New Roman" w:hAnsi="Times New Roman"/>
            </w:rPr>
          </w:pPr>
          <w:r>
            <w:rPr>
              <w:rFonts w:ascii="Times New Roman" w:hAnsi="Times New Roman"/>
              <w:sz w:val="20"/>
            </w:rPr>
            <w:t>Lietuvos Respublikos mokėjimų įstatymo Nr. VIII-1370 2 straipsnio pakeitimo ir Įstatymo papildymo 55-1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970DA"/>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6.xml"/>
  <Relationship Id="rId11" Type="http://schemas.openxmlformats.org/officeDocument/2006/relationships/footer" Target="footer77.xml"/>
  <Relationship Id="rId12" Type="http://schemas.openxmlformats.org/officeDocument/2006/relationships/header" Target="header78.xml"/>
  <Relationship Id="rId13" Type="http://schemas.openxmlformats.org/officeDocument/2006/relationships/footer" Target="footer78.xml"/>
  <Relationship Id="rId14" Type="http://schemas.openxmlformats.org/officeDocument/2006/relationships/hyperlink" TargetMode="External" Target="http://eur-lex.europa.eu/legal-content/LIT/TXT/?uri=CELEX:32014R0241&amp;locale=lt"/>
  <Relationship Id="rId15" Type="http://schemas.openxmlformats.org/officeDocument/2006/relationships/hyperlink" TargetMode="External" Target="http://eur-lex.europa.eu/legal-content/LIT/TXT/?uri=CELEX:32013R0575&amp;locale=lt"/>
  <Relationship Id="rId16" Type="http://schemas.openxmlformats.org/officeDocument/2006/relationships/hyperlink" TargetMode="External" Target="http://eur-lex.europa.eu/legal-content/LIT/TXT/?uri=CELEX:32013R0575&amp;locale=lt"/>
  <Relationship Id="rId17" Type="http://schemas.openxmlformats.org/officeDocument/2006/relationships/hyperlink" TargetMode="External" Target="http://eur-lex.europa.eu/legal-content/LIT/TXT/?uri=CELEX:32012R0648&amp;locale=lt"/>
  <Relationship Id="rId18" Type="http://schemas.openxmlformats.org/officeDocument/2006/relationships/hyperlink" TargetMode="External" Target="http://eur-lex.europa.eu/legal-content/LIT/TXT/?uri=CELEX:32022R2554&amp;locale=lt"/>
  <Relationship Id="rId19" Type="http://schemas.openxmlformats.org/officeDocument/2006/relationships/hyperlink" TargetMode="External" Target="http://eur-lex.europa.eu/legal-content/LIT/TXT/?uri=CELEX:32012R026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5R0751&amp;locale=lt"/>
  <Relationship Id="rId21" Type="http://schemas.openxmlformats.org/officeDocument/2006/relationships/hyperlink" TargetMode="External" Target="http://eur-lex.europa.eu/legal-content/LIT/TXT/?uri=CELEX:32021R1230&amp;locale=lt"/>
  <Relationship Id="rId22" Type="http://schemas.openxmlformats.org/officeDocument/2006/relationships/hyperlink" TargetMode="External" Target="http://eur-lex.europa.eu/legal-content/LIT/TXT/?uri=CELEX:32012R0260&amp;locale=lt"/>
  <Relationship Id="rId23" Type="http://schemas.openxmlformats.org/officeDocument/2006/relationships/hyperlink" TargetMode="External" Target="http://eur-lex.europa.eu/legal-content/LIT/TXT/?uri=CELEX:32012R0260&amp;locale=lt"/>
  <Relationship Id="rId24" Type="http://schemas.openxmlformats.org/officeDocument/2006/relationships/hyperlink" TargetMode="External" Target="http://eur-lex.europa.eu/legal-content/LIT/TXT/?uri=CELEX:32012R0260&amp;locale=lt"/>
  <Relationship Id="rId25" Type="http://schemas.openxmlformats.org/officeDocument/2006/relationships/hyperlink" TargetMode="External" Target="http://eur-lex.europa.eu/legal-content/LIT/TXT/?uri=CELEX:32009R0924&amp;locale=lt"/>
  <Relationship Id="rId26" Type="http://schemas.openxmlformats.org/officeDocument/2006/relationships/hyperlink" TargetMode="External" Target="http://eur-lex.europa.eu/legal-content/LIT/TXT/?uri=CELEX:32024R0886&amp;locale=lt"/>
  <Relationship Id="rId27" Type="http://schemas.openxmlformats.org/officeDocument/2006/relationships/hyperlink" TargetMode="External" Target="http://eur-lex.europa.eu/legal-content/LIT/TXT/?uri=CELEX:32014L0092&amp;locale=lt"/>
  <Relationship Id="rId28" Type="http://schemas.openxmlformats.org/officeDocument/2006/relationships/hyperlink" TargetMode="External" Target="http://eur-lex.europa.eu/legal-content/LIT/TXT/?uri=CELEX:32015R0751&amp;locale=lt"/>
  <Relationship Id="rId29" Type="http://schemas.openxmlformats.org/officeDocument/2006/relationships/hyperlink" TargetMode="External" Target="http://eur-lex.europa.eu/legal-content/LIT/TXT/?uri=CELEX:32015L2366&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2L0065&amp;locale=lt"/>
  <Relationship Id="rId31" Type="http://schemas.openxmlformats.org/officeDocument/2006/relationships/hyperlink" TargetMode="External" Target="http://eur-lex.europa.eu/legal-content/LIT/TXT/?uri=CELEX:32009L0110&amp;locale=lt"/>
  <Relationship Id="rId32" Type="http://schemas.openxmlformats.org/officeDocument/2006/relationships/hyperlink" TargetMode="External" Target="http://eur-lex.europa.eu/legal-content/LIT/TXT/?uri=CELEX:32013L0036&amp;locale=lt"/>
  <Relationship Id="rId33" Type="http://schemas.openxmlformats.org/officeDocument/2006/relationships/hyperlink" TargetMode="External" Target="http://eur-lex.europa.eu/legal-content/LIT/TXT/?uri=CELEX:32010R1093&amp;locale=lt"/>
  <Relationship Id="rId34" Type="http://schemas.openxmlformats.org/officeDocument/2006/relationships/hyperlink" TargetMode="External" Target="http://eur-lex.europa.eu/legal-content/LIT/TXT/?uri=CELEX:32007L0064&amp;locale=lt"/>
  <Relationship Id="rId35" Type="http://schemas.openxmlformats.org/officeDocument/2006/relationships/hyperlink" TargetMode="External" Target="http://eur-lex.europa.eu/legal-content/LIT/TXT/?uri=CELEX:32024R0886&amp;locale=lt"/>
  <Relationship Id="rId36" Type="http://schemas.openxmlformats.org/officeDocument/2006/relationships/hyperlink" TargetMode="External" Target="http://eur-lex.europa.eu/legal-content/LIT/TXT/?uri=CELEX:32021R1230&amp;locale=lt"/>
  <Relationship Id="rId37" Type="http://schemas.openxmlformats.org/officeDocument/2006/relationships/hyperlink" TargetMode="External" Target="http://eur-lex.europa.eu/legal-content/LIT/TXT/?uri=CELEX:32024R0886&amp;locale=lt"/>
  <Relationship Id="rId38" Type="http://schemas.openxmlformats.org/officeDocument/2006/relationships/hyperlink" TargetMode="External" Target="http://eur-lex.europa.eu/legal-content/LIT/TXT/?uri=CELEX:32023R1113&amp;locale=lt"/>
  <Relationship Id="rId39" Type="http://schemas.openxmlformats.org/officeDocument/2006/relationships/hyperlink" TargetMode="External" Target="http://eur-lex.europa.eu/legal-content/LIT/TXT/?uri=CELEX:32015L0849&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260R2012&amp;locale=lt"/>
  <Relationship Id="rId41" Type="http://schemas.openxmlformats.org/officeDocument/2006/relationships/hyperlink" TargetMode="External" Target="http://eur-lex.europa.eu/legal-content/LIT/TXT/?uri=CELEX:32022R2554&amp;locale=lt"/>
  <Relationship Id="rId42" Type="http://schemas.openxmlformats.org/officeDocument/2006/relationships/hyperlink" TargetMode="External" Target="http://eur-lex.europa.eu/legal-content/LIT/TXT/?uri=CELEX:32022L2556&amp;locale=lt"/>
  <Relationship Id="rId43" Type="http://schemas.openxmlformats.org/officeDocument/2006/relationships/hyperlink" TargetMode="External" Target="http://eur-lex.europa.eu/legal-content/LIT/TXT/?uri=CELEX:32009L0065&amp;locale=lt"/>
  <Relationship Id="rId44" Type="http://schemas.openxmlformats.org/officeDocument/2006/relationships/hyperlink" TargetMode="External" Target="http://eur-lex.europa.eu/legal-content/LIT/TXT/?uri=CELEX:32009L0138&amp;locale=lt"/>
  <Relationship Id="rId45" Type="http://schemas.openxmlformats.org/officeDocument/2006/relationships/hyperlink" TargetMode="External" Target="http://eur-lex.europa.eu/legal-content/LIT/TXT/?uri=CELEX:32011L0061&amp;locale=lt"/>
  <Relationship Id="rId46" Type="http://schemas.openxmlformats.org/officeDocument/2006/relationships/hyperlink" TargetMode="External" Target="http://eur-lex.europa.eu/legal-content/LIT/TXT/?uri=CELEX:32013L0036&amp;locale=lt"/>
  <Relationship Id="rId47" Type="http://schemas.openxmlformats.org/officeDocument/2006/relationships/hyperlink" TargetMode="External" Target="http://eur-lex.europa.eu/legal-content/LIT/TXT/?uri=CELEX:32014L0059&amp;locale=lt"/>
  <Relationship Id="rId48" Type="http://schemas.openxmlformats.org/officeDocument/2006/relationships/hyperlink" TargetMode="External" Target="http://eur-lex.europa.eu/legal-content/LIT/TXT/?uri=CELEX:32014L0065&amp;locale=lt"/>
  <Relationship Id="rId49" Type="http://schemas.openxmlformats.org/officeDocument/2006/relationships/hyperlink" TargetMode="External" Target="http://eur-lex.europa.eu/legal-content/LIT/TXT/?uri=CELEX:32015L2366&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16L2341&amp;locale=lt"/>
  <Relationship Id="rId51" Type="http://schemas.openxmlformats.org/officeDocument/2006/relationships/hyperlink" TargetMode="External" Target="http://eur-lex.europa.eu/legal-content/LIT/TXT/?uri=CELEX:32022R2554&amp;locale=lt"/>
  <Relationship Id="rId52" Type="http://schemas.openxmlformats.org/officeDocument/2006/relationships/hyperlink" TargetMode="External" Target="http://eur-lex.europa.eu/legal-content/LIT/TXT/?uri=CELEX:32009R1060&amp;locale=lt"/>
  <Relationship Id="rId53" Type="http://schemas.openxmlformats.org/officeDocument/2006/relationships/hyperlink" TargetMode="External" Target="http://eur-lex.europa.eu/legal-content/LIT/TXT/?uri=CELEX:32012R0648&amp;locale=lt"/>
  <Relationship Id="rId54" Type="http://schemas.openxmlformats.org/officeDocument/2006/relationships/hyperlink" TargetMode="External" Target="http://eur-lex.europa.eu/legal-content/LIT/TXT/?uri=CELEX:32014R0600&amp;locale=lt"/>
  <Relationship Id="rId55" Type="http://schemas.openxmlformats.org/officeDocument/2006/relationships/hyperlink" TargetMode="External" Target="http://eur-lex.europa.eu/legal-content/LIT/TXT/?uri=CELEX:32014R0909&amp;locale=lt"/>
  <Relationship Id="rId56" Type="http://schemas.openxmlformats.org/officeDocument/2006/relationships/hyperlink" TargetMode="External" Target="http://eur-lex.europa.eu/legal-content/LIT/TXT/?uri=CELEX:32016R1011&amp;locale=lt"/>
  <Relationship Id="rId57"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6.xml"/>
  <Relationship Id="rId9" Type="http://schemas.openxmlformats.org/officeDocument/2006/relationships/header" Target="header77.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66629f6e87cb400593925050650bf50f"/>
        <Part Type="strDalis" Nr="6" Abbr="2 str. 6 d." DocPartId="9355304958df4f3591a64407f2e4f700" PartId="2b52fff0060644b39b21dceb964b8b19"/>
        <Part Type="strDalis" Nr="7" Abbr="2 str. 7 d." DocPartId="ea00040452ef4fc099ab878c904f2705" PartId="e44ce86ed4b64d09b95c05173f5c7e5e"/>
        <Part Type="strDalis" Nr="8" Abbr="2 str. 8 d." DocPartId="64b59000148341089b5405c73c0d86ac" PartId="9127d96053e74766913c9bfcb6c722ef"/>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3168a3178d574c3f84d642e4657f5312"/>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f2fab3165432463c94b4dc2130ad00e7"/>
        <Part Type="strDalis" Nr="39" Abbr="2 str. 39 d." DocPartId="016c73b11dd8493b8c92ea0b9be2b7e3" PartId="5bd820ce483e46ceb12a978df7bb9c5c"/>
        <Part Type="strDalis" Nr="40" Abbr="2 str. 40 d." DocPartId="f377dbd73c994976882a2cef86a7de23" PartId="b43375e33b5d4f86a3f007324fede904"/>
        <Part Type="strDalis" Nr="40-1" Abbr="40-1 d." DocPartId="7b83b59de80c4dd2ab91091e986c8207" PartId="a0b867b7124b4168a89f137c5d3c559c"/>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333dd10687a444aca774b296bd20814e"/>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85b293868f9b4c809bb7df1ab7e11ec5"/>
        <Part Type="strDalis" Nr="65" Abbr="65 d." DocPartId="87828a5b1eb74dbf9f689ea26fcef8c9" PartId="155cb586157f4750bbf2b28c4fc35f71"/>
        <Part Type="strDalis" Nr="65" Abbr="65 d." DocPartId="504f3ebc8114429cb0f4c6200e7e8366" PartId="f206c90e9d0b4a74ba9b26307fea0093"/>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bfc964b8f388491b8ca1fdae17816a5f"/>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c02307981f7145d1834ebb8107ccb18a"/>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df4f8d27f2424ec6af1a6c74e50e8879"/>
        <Part Type="strDalis" Nr="5" Abbr="9 str. 5 d." DocPartId="12819f8e28404d0a8dbb11d9b4007c8a" PartId="a804f46834524e90a80f80c1eeb0cb45"/>
      </Part>
      <Part Type="straipsnis" Nr="9-1" Abbr="9-1 str." DocPartId="8cd6d8eb28574a4d88182f71386c20f7" PartId="90551782ec8d4c1e9c7d9b84b2a5034c">
        <Part Type="strDalis" Nr="1" Abbr="9-1 str. 1 d." DocPartId="10639252789940679ce5a8308a75e9af" PartId="04245304d0034a429f6c5af070cdd43e">
          <Part Type="strPunktas" Nr="1" Abbr="9-1 str. 1 d. 1 p." DocPartId="effe3a52f38f44d297addc3b447e4715" PartId="c921ea7f5eec4c0fa40ed2c19d0f93cb"/>
          <Part Type="strPunktas" Nr="2" Abbr="9-1 str. 1 d. 2 p." DocPartId="073b4705da1140ebb574adf8ebaa823f" PartId="d1d7facf8f374a11aa52c470c13ae921"/>
          <Part Type="strPunktas" Nr="3" Abbr="9-1 str. 1 d. 3 p." DocPartId="ebdaaea6cb194509b8112c16c9837799" PartId="1290f587d8d945ab8dd7342d048d2a8c"/>
        </Part>
        <Part Type="strDalis" Nr="2" Abbr="9-1 str. 2 d." DocPartId="d2b56ca785bc499fb5cb5624956f7cef" PartId="7941fb5a03b24640b018046f35d977c4"/>
        <Part Type="strDalis" Nr="3" Abbr="9-1 str. 3 d." DocPartId="bb6dcdfcce5843a3b5bfa28ff7b8d908" PartId="bb3861a0821e4b2ab18d16cc0d7c0a54"/>
        <Part Type="strDalis" Nr="4" Abbr="9-1 str. 4 d." DocPartId="f15c5734dc79420997af8e5f7a82fd3e" PartId="f5f0af587c8a4c3c954796cff0055a42"/>
        <Part Type="strDalis" Nr="5" Abbr="9-1 str. 5 d." DocPartId="9f8a08edd3204a478316c59fabb2cc0f" PartId="1a6e61cb2e2b4d93885d1025fd794cb4"/>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1-1" Abbr="1-1 d." DocPartId="314896d1f3b5436eb250837fd198cc2d" PartId="db673fd6d7e24852a04564119ad25ea6"/>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Type="straipsnis" Nr="28-1" Abbr="28-1 str." Title="Lyginamoji interneto svetainė, skirta mažoms ir labai mažoms įmonėms" DocPartId="004ce49b2cac47baaf00fda8ecf0721e" PartId="96002042b8ca47a4af3183e6869e69a3">
          <Part Type="strDalis" Nr="1" Abbr="28-1 str. 1 d." DocPartId="c5acd5f791514c23bb9de3888492eaaa" PartId="5803c4e87a3445c4904c4e6242cf9897"/>
          <Part Type="strDalis" Nr="2" Abbr="28-1 str. 2 d." DocPartId="74d907506f88491aac3636c971e1211a" PartId="f79a6f42965947f7944bedcebf67a786">
            <Part Type="strPunktas" Nr="1" Abbr="28-1 str. 2 d. 1 p." DocPartId="4f6dea4a316f426bb26f6a2f9ee38a5b" PartId="fbed735d203843bcbecd0cfa99a4ff20"/>
            <Part Type="strPunktas" Nr="2" Abbr="28-1 str. 2 d. 2 p." DocPartId="333e06de0d354004870ea6101ee21888" PartId="b2f3af057a1c410c9c8f424b76a3b555"/>
            <Part Type="strPunktas" Nr="3" Abbr="28-1 str. 2 d. 3 p." DocPartId="79a92b8a6562493382a39c180f1c0720" PartId="4ef1647ea1624cb39a8ae1f56514279f"/>
            <Part Type="strPunktas" Nr="4" Abbr="28-1 str. 2 d. 4 p." DocPartId="af2f37ea1b7040f5af965e2090ccf656" PartId="27c9bf5a896c4df1af9743d6e949caa5"/>
            <Part Type="strPunktas" Nr="5" Abbr="28-1 str. 2 d. 5 p." DocPartId="2572b45d796a4dcdac9af63ee1b90a0b" PartId="58f9e84513de4165b55e02f9317e6b9b"/>
            <Part Type="strPunktas" Nr="6" Abbr="28-1 str. 2 d. 6 p." DocPartId="10a02c0a512a4eb38ce1df5b58f983fe" PartId="93bcc566c825412d8dbec8c3b54ca906"/>
          </Part>
          <Part Type="strDalis" Nr="3" Abbr="28-1 str. 3 d." DocPartId="08c541861e694e488109fc3dcfa48b38" PartId="92f17fe25efd4d1da6f2ffdb0dbc9016"/>
          <Part Type="strDalis" Nr="4" Abbr="28-1 str. 4 d." DocPartId="a3ff1a1ef3944e818a12bbfd902ce071" PartId="6d6e7cb8e14f42a3a06f48981a597232"/>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Type="straipsnis" Nr="55-1" Abbr="55-1 str." Title="Mokėjimai visuotinės ar dalinės mobilizacijos Lietuvos Respublikoje metu ir mokėjimo operacijų naudojantis mokėjimo kortele vykdymas nesant ryšio" DocPartId="97007a6a49bc45939aa3eaa445848128" PartId="c3ca6db648f8470f957a62a11dc3d95a">
        <Part Type="strDalis" Nr="1" Abbr="55-1 str. 1 d." DocPartId="5e752e0590fb4209bca567d9588bf6ae" PartId="15a10ba242e14bfbb88c62e460bf6bc4"/>
        <Part Type="strDalis" Nr="2" Abbr="55-1 str. 2 d." DocPartId="c9ef9b0ca7394bcb8befd5e712593d77" PartId="50fba59f8d9e496bad0c5dbbbfd01d9e"/>
        <Part Type="strDalis" Nr="3" Abbr="55-1 str. 3 d." DocPartId="314b70843ad94ef18fcd2f04861e9691" PartId="9dea9fb2c3fb4c61b32c3cc8d9e6f2dd"/>
        <Part Type="strDalis" Nr="4" Abbr="55-1 str. 4 d." DocPartId="2958f83f35f54c3f80dcbf80dd7d287a" PartId="7840cc1857d1445ab6d4bb440209b393"/>
        <Part Type="strDalis" Nr="5" Abbr="55-1 str. 5 d." DocPartId="ad75f28ce77b4da18b73852f8ea2dd3e" PartId="02f7aaae2ae74db8a2c6f613c889c869"/>
        <Part Type="strDalis" Nr="6" Abbr="55-1 str. 6 d." DocPartId="51a9ebeaa18148fe8f805b1aa88aa49f" PartId="7b6656943a2947999e277e4e8c643a5b"/>
        <Part Type="strDalis" Nr="7" Abbr="55-1 str. 7 d." DocPartId="85bd97cac0c84ff096b847705f89e116" PartId="22a2ae68cddb4e01b0dfdcdec18674fa"/>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ae70dae2caa340f1ba8902e38bf70b85"/>
        <Part Type="strDalis" Nr="2" Abbr="56 str. 2 d." DocPartId="8f3ef7f07998484cb71bac0ec8ea2b81" PartId="a59e9598e36f4f0292124fc2e6fcda7a"/>
        <Part Type="strDalis" Nr="3" Abbr="56 str. 3 d." DocPartId="393e4f96ec5b4d169f124e29f9e75440" PartId="53a58c477d4d4f45a4f2d3f0fdf53cf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9212b33c9e0142129cb7faea7be9e340"/>
        <Part Type="strDalis" Nr="6" Abbr="57 str. 6 d." DocPartId="928c3bd9c5c54df2bf73f12b7b9162ab" PartId="eb4e70e41da043d287b311bd9226ab25"/>
        <Part Type="strDalis" Nr="7" Abbr="7 d." DocPartId="8443030572384cf98415b256c48c09d3" PartId="c015d550e38b4ec0a32bde3f5edd3b2e"/>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118cc048f28c4e1ca7cd0790b6fe5425"/>
          <Part Type="strPunktas" Nr="7" Abbr="64 str. 2 d. 7 p." DocPartId="68a2162af13643f4a4cb7c9c87023faa" PartId="499010fddfc54fed821a949627762c5a"/>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7fa73573ba3c4ea288b010dfec3a1692"/>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d19cd8ef66404b2cb75ed2988700f2f0"/>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67db41b222424def90b662108f8e36b7">
        <Part Type="strDalis" Nr="1" Abbr="72 str. 1 d." DocPartId="b4c6c8db44b84caab830d16fe3dd108b" PartId="26304cbc47554843b345ce4dd7997071">
          <Part Type="strPunktas" Nr="1" Abbr="72 str. 1 d. 1 p." DocPartId="b97c420bd6eb4bcf8c831db0d4d29d6d" PartId="e784f304781744d98d7fc436baa8288e"/>
          <Part Type="strPunktas" Nr="2" Abbr="72 str. 1 d. 2 p." DocPartId="d6c197f3d81e4358aa970f758be7b141" PartId="476c488fb4c04bc7a342a850658318fb"/>
          <Part Type="strPunktas" Nr="3" Abbr="72 str. 1 d. 3 p." DocPartId="f29f2867bdab459b9f8626613435c284" PartId="6bcf028639f742faad82a54153930e56"/>
          <Part Type="strPunktas" Nr="4" Abbr="72 str. 1 d. 4 p." DocPartId="4c10dd4624194eeeaa25b86e797572fa" PartId="4c45113a2a06407c87642bc139e0ee82"/>
          <Part Type="strPunktas" Nr="5" Abbr="72 str. 1 d. 5 p." DocPartId="0b5e53c2a70c4871981af984deaad88b" PartId="f7f6e2b846cf43e7b27c004250ba4e27"/>
          <Part Type="strPunktas" Nr="6" Abbr="72 str. 1 d. 6 p." DocPartId="96ccaf38348f4e539f0fe48706cfcdf8" PartId="2126ff9c6d2c41f686ac1d1e970fcb80"/>
          <Part Type="strPunktas" Nr="7" Abbr="72 str. 1 d. 7 p." DocPartId="33723b590e3a4beb9fa89edfb3b1d056" PartId="a2dabe965be147dfb3c1d3cac05abdda"/>
          <Part Type="strPunktas" Nr="8" Abbr="72 str. 1 d. 8 p." DocPartId="68785f39e37046408de2d755ff93a268" PartId="de6460d87a6c46848629e1c8c3ec1ec1"/>
        </Part>
        <Part Type="strDalis" Nr="2" Abbr="72 str. 2 d." DocPartId="ee2916cb76d0400c910685e6b1534ef2" PartId="01bec1b5524343898ba2bc06363672d9"/>
        <Part Type="strDalis" Nr="3" Abbr="72 str. 3 d." DocPartId="a4c588a94b834d2ab68c7337f945335c" PartId="5940edf850bb4db39c0f6aeb0d97fd7e"/>
        <Part Type="strDalis" Nr="4" Abbr="72 str. 4 d." DocPartId="ce4e23cea40f42f38e3edb4c26a0dfe4" PartId="9bbd65d894934f2c969c0b770faca3a1">
          <Part Type="strPunktas" Nr="1" Abbr="72 str. 4 d. 1 p." DocPartId="2b62919a79a4407585a4a7db1239733a" PartId="3e1385f4779f408bad2c24d647989686"/>
          <Part Type="strPunktas" Nr="2" Abbr="72 str. 4 d. 2 p." DocPartId="e678c37ab1c745f2929a97cdfc5940d1" PartId="a2d007bbbcd5451795b8af4922a8f9c5"/>
          <Part Type="strPunktas" Nr="3" Abbr="72 str. 4 d. 3 p." DocPartId="09dc0df6a3444b38a175bb58a082f7d3" PartId="c7790d47764247b391f6bb03492baa07"/>
          <Part Type="strPunktas" Nr="4" Abbr="72 str. 4 d. 4 p." DocPartId="d933d41056c24159b9b0172c758dfb5b" PartId="5e2faa84c7d547ffa8008562368d94bb"/>
          <Part Type="strPunktas" Nr="5" Abbr="72 str. 4 d. 5 p." DocPartId="b52e4c1bd12942a2be7a01059d077066" PartId="45f70382a86b47038281f420a19520a2"/>
          <Part Type="strPunktas" Nr="6" Abbr="72 str. 4 d. 6 p." DocPartId="7d374e104a8f47e18d7dc0ed6a34d4e9" PartId="713b47c699f54a55ba7c09bd55ce83e0"/>
          <Part Type="strPunktas" Nr="7" Abbr="72 str. 4 d. 7 p." DocPartId="d4178b186fce41519ab9c056f5431507" PartId="de1b0cde0b81448ebaa917f59d9fb474"/>
          <Part Type="strPunktas" Nr="8" Abbr="72 str. 4 d. 8 p." DocPartId="1148c4112d584a84af2846f972f80c34" PartId="ff246227db334551aa5fc453988a49a9"/>
          <Part Type="strPunktas" Nr="9" Abbr="72 str. 4 d. 9 p." DocPartId="5c549ccc74b74034a887a8c0970ceaa3" PartId="b21a12df48ee40da8767356b5558f965"/>
          <Part Type="strPunktas" Nr="10" Abbr="72 str. 4 d. 10 p." DocPartId="00e1bb3f00774153bdcc18c9c59ea7e7" PartId="fb7adf3839554ff8a6b5ad2672c880a0"/>
        </Part>
        <Part Type="strDalis" Nr="5" Abbr="72 str. 5 d." DocPartId="c7f9142618484eeeaad5840119a68773" PartId="3f2e30450aa5450c83115eba2cb0f0e7"/>
        <Part Type="strDalis" Nr="6" Abbr="72 str. 6 d." DocPartId="8bf6a7c0c5d0446d9d3134169ed929a9" PartId="ef386711a47b49ca9bfc872ffc90dcf6"/>
        <Part Type="strDalis" Nr="7" Abbr="72 str. 7 d." DocPartId="137efc5276544a1ea4f9dfffa5747e9a" PartId="1d8d3c718211461cb3ff2d0829ac75ff"/>
      </Part>
      <Part Type="straipsnis" Nr="73" Abbr="73 str." Title="Su pagrindine mokėjimo sąskaita susijęs komisinis atlyginimas" DocPartId="1bbfec4fd6414c1a8e5faf26063b0ea3" PartId="3064c8d802b24df9aafe1073c5aa6cd3">
        <Part Type="strDalis" Nr="1" Abbr="73 str. 1 d." DocPartId="240f990ce83c4be3967e993b228c4c3b" PartId="489f4a620b5948fc8f941d5276b2479b">
          <Part Type="strPunktas" Nr="1" Abbr="73 str. 1 d. 1 p." DocPartId="02c0045162564f328f4597f46fc5db18" PartId="b165e60c09224334a5f9aaa2b24a0c42"/>
          <Part Type="strPunktas" Nr="2" Abbr="73 str. 1 d. 2 p." DocPartId="f8e8327fcf5e4817be25628fb2cb1ee7" PartId="840c28ed5a234b1cb6ccf7e68550c92e"/>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379be01506bd4657bdd5a1e82b29de8e"/>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389a830aa2234971b1227b2bd4d18738"/>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f1b9bb750b06499fb7974a0181e334a9"/>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459bf92fb3b140e699248e6b5a6c420a"/>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4-1" Abbr="4-1 p." DocPartId="cb43fb7fa8da4f52856b08a3c1f14aee" PartId="0c856b37e75a4977b986a74ceca88db2"/>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702316113080447fa41029b0d33f9c07">
          <Part Type="strPunktas" Nr="1" Abbr="81 str. 1 d. 1 p." DocPartId="de6cd42ab35945c9ae5afc7a09c8dfe1" PartId="9f168b7d81844122bbc2b07fbddae6b1"/>
          <Part Type="strPunktas" Nr="2" Abbr="81 str. 1 d. 2 p." DocPartId="2a652921e6f04a26b365163834944a14" PartId="62f064feaecc4561bd6a98738054ff98"/>
          <Part Type="strPunktas" Nr="3" Abbr="81 str. 1 d. 3 p." DocPartId="1a476c3e517f4340bd2fe74f01bdfc7f" PartId="599035926e824e1b8e26ddf70d3a5c04"/>
          <Part Type="strPunktas" Nr="4" Abbr="81 str. 1 d. 4 p." DocPartId="bae09589adf245c2802ceb7f70adf618" PartId="19066f3621584627a3e60c66e8a5180d"/>
        </Part>
        <Part Type="strDalis" Nr="2" Abbr="81 str. 2 d." DocPartId="ff46cc2f775d4ef3a62edcf916b94f7e" PartId="ece05b7b9e1e4c8d80c4cc6e665d99f3"/>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385389a2ab5d4b40b1f670322260faac">
    <Part Type="punktas" Nr="1" Abbr="pr. 1 p." DocPartId="147b10e64a824ed788b871fdd79032b2" PartId="325532db322348149db8b204661bdde0"/>
    <Part Type="punktas" Nr="2" Abbr="pr. 2 p." DocPartId="defe6aa46a7245be85a9f3d16fdc16ce" PartId="43b0fb1c32914c13bad8d5b767812b5c"/>
    <Part Type="punktas" Nr="3" Abbr="pr. 3 p." DocPartId="d54edd782f074bac85c4426991c032ca" PartId="e5f249781e79454e8cb264c13d928cd1"/>
    <Part Type="punktas" Nr="4" Abbr="pr. 4 p." DocPartId="22e405c8e5a0402281aa82790420a82a" PartId="bfe42aadae74477a91c002de0d7811c6"/>
    <Part Type="punktas" Nr="5" Abbr="pr. 5 p." DocPartId="977b282566a94ae794e043c601951cc8" PartId="c50478d1058a42ebbd0401f1d33cb125"/>
    <Part Type="punktas" Nr="5-1" Abbr="5-1 p." DocPartId="6d7dc2048d714acba1ef40ffc6253f3b" PartId="b0c27d6158154526b801613fc5a8e4d2"/>
    <Part Type="punktas" Nr="5-2" Abbr="5-2 p." DocPartId="32477542224b4ac398a7b2273fb39d79" PartId="c77c32c0c316490ea93c81296a342b96"/>
    <Part Type="punktas" Nr="6" Abbr="pr. 6 p." DocPartId="fd31239063054bcab1ffe5eda8fba144" PartId="7241679c696d4b458eea1e1859944c35"/>
    <Part Type="pabaiga" DocPartId="d8ca90753b90437a90c98c4d1a1a452a" PartId="cd5e817767b74eb3beb04199de8f984f"/>
  </Part>
</Parts>
</file>

<file path=customXml/itemProps1.xml><?xml version="1.0" encoding="utf-8"?>
<ds:datastoreItem xmlns:ds="http://schemas.openxmlformats.org/officeDocument/2006/customXml" ds:itemID="{7CB8945B-7DDD-48A2-ABDA-954402318381}">
  <ds:schemaRefs>
    <ds:schemaRef ds:uri="http://lrs.lt/TAIS/DocParts"/>
  </ds:schemaRefs>
</ds:datastoreItem>
</file>

<file path=docProps/app.xml><?xml version="1.0" encoding="utf-8"?>
<Properties xmlns="http://schemas.openxmlformats.org/officeDocument/2006/extended-properties">
  <Template>Normal.dotm</Template>
  <TotalTime>234</TotalTime>
  <Pages>74</Pages>
  <Words>123878</Words>
  <Characters>70611</Characters>
  <Application>Microsoft Office Word</Application>
  <DocSecurity>0</DocSecurity>
  <Lines>588</Lines>
  <Paragraphs>388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194101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2025-07-07T08:54:00Z</dcterms:modified>
  <revision>83</revision>
</coreProperties>
</file>