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58767c1214866ad58341a763be030"/>
        <w:lock w:val="sdtLocked"/>
        <w:richText/>
      </w:sdtPr>
      <w:sdtContent>
        <w:p>
          <w:pPr>
            <w:jc w:val="both"/>
            <w:rPr>
              <w:rFonts w:ascii="Arial" w:hAnsi="Arial"/>
            </w:rPr>
          </w:pPr>
          <w:r>
            <w:rPr>
              <w:rFonts w:ascii="Arial" w:hAnsi="Arial"/>
              <w:b/>
              <w:i/>
            </w:rPr>
            <w:t>Suvestinė redakcija nuo 2018-08-01 iki 2019-04-30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2018-08-01:</w:t>
          </w:r>
        </w:p>
        <w:p>
          <w:pPr>
            <w:rPr>
              <w:rFonts w:ascii="Arial" w:hAnsi="Arial"/>
              <w:sz w:val="20"/>
              <w:i/>
            </w:rPr>
          </w:pPr>
          <w:r>
            <w:rPr>
              <w:rFonts w:ascii="Arial" w:hAnsi="Arial"/>
              <w:sz w:val="20"/>
              <w:i/>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pPr>
            <w:rPr>
              <w:rFonts w:ascii="Arial" w:hAnsi="Arial"/>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9740d810b3d0467691161b4029013090"/>
                    <w:lock w:val="sdtLocked"/>
                    <w:richText/>
                  </w:sdtPr>
                  <w:sdtContent>
                    <w:p>
                      <w:pPr>
                        <w:spacing w:line="360" w:lineRule="auto"/>
                        <w:ind w:firstLine="720"/>
                        <w:jc w:val="both"/>
                        <w:rPr>
                          <w:rFonts w:eastAsia="Calibri"/>
                          <w:color w:val="000000"/>
                          <w:szCs w:val="24"/>
                          <w:lang w:eastAsia="lt-LT"/>
                        </w:rPr>
                      </w:pPr>
                      <w:sdt>
                        <w:sdtPr>
                          <w:alias w:val="Numeris"/>
                          <w:tag w:val="nr_9740d810b3d0467691161b4029013090"/>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6f1f686fb09417982aa95794d78d8b4"/>
                    <w:lock w:val="sdtLocked"/>
                    <w:richText/>
                  </w:sdtPr>
                  <w:sdtContent>
                    <w:p>
                      <w:pPr>
                        <w:spacing w:line="360" w:lineRule="auto"/>
                        <w:ind w:firstLine="720"/>
                        <w:jc w:val="both"/>
                        <w:rPr>
                          <w:rFonts w:eastAsia="Calibri"/>
                          <w:color w:val="000000"/>
                          <w:szCs w:val="24"/>
                          <w:lang w:eastAsia="lt-LT"/>
                        </w:rPr>
                      </w:pPr>
                      <w:sdt>
                        <w:sdtPr>
                          <w:alias w:val="Numeris"/>
                          <w:tag w:val="nr_e6f1f686fb09417982aa95794d78d8b4"/>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8223f8b095f4ab496df245c21302aa8"/>
                    <w:lock w:val="sdtLocked"/>
                    <w:richText/>
                  </w:sdtPr>
                  <w:sdtContent>
                    <w:p>
                      <w:pPr>
                        <w:spacing w:line="360" w:lineRule="auto"/>
                        <w:ind w:firstLine="720"/>
                        <w:jc w:val="both"/>
                        <w:rPr>
                          <w:rFonts w:eastAsia="Calibri"/>
                          <w:color w:val="000000"/>
                          <w:szCs w:val="24"/>
                          <w:lang w:eastAsia="lt-LT"/>
                        </w:rPr>
                      </w:pPr>
                      <w:sdt>
                        <w:sdtPr>
                          <w:alias w:val="Numeris"/>
                          <w:tag w:val="nr_18223f8b095f4ab496df245c21302aa8"/>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Elektroninių ryšių tinklas</w:t>
                      </w:r>
                      <w:r>
                        <w:rPr>
                          <w:rFonts w:eastAsia="Calibri"/>
                          <w:color w:val="000000"/>
                          <w:szCs w:val="24"/>
                          <w:lang w:eastAsia="lt-LT"/>
                        </w:rPr>
                        <w:t xml:space="preserve"> – kaip apibrėžta Elektroninių ryšių įstatyme.</w:t>
                      </w:r>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23999b6e5ce8428c8555e70427b16ec1"/>
                    <w:lock w:val="sdtLocked"/>
                    <w:richText/>
                  </w:sdtPr>
                  <w:sdtContent>
                    <w:p>
                      <w:pPr>
                        <w:spacing w:line="360" w:lineRule="auto"/>
                        <w:ind w:firstLine="720"/>
                        <w:jc w:val="both"/>
                        <w:rPr>
                          <w:rFonts w:eastAsia="Calibri"/>
                          <w:color w:val="000000"/>
                          <w:szCs w:val="24"/>
                          <w:lang w:eastAsia="lt-LT"/>
                        </w:rPr>
                      </w:pPr>
                      <w:sdt>
                        <w:sdtPr>
                          <w:alias w:val="Numeris"/>
                          <w:tag w:val="nr_23999b6e5ce8428c8555e70427b16ec1"/>
                          <w:lock w:val="sdtLocked"/>
                          <w:richText/>
                        </w:sdt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finansinės atskaitomybės įstatyme apibrėžta grupė, taip pat 2014 m. sausio 7 d. Komisijos deleguotojo reglamento (ES) Nr. 241/2014, kuriuo papildomos Europos Parlamento ir Tarybos reglamento (ES) Nr. 575/2013 nuostatos, susijusios su įstaigų nuosavų lėšų reikalavimų techniniais reguliavimo standartais (OL 2014 L 74, p. 8), 4, 5, 6 ir 7 straipsniuose nurodytos įmonės, kurios viena su kita susijusios 2013 m. birželio 26 d. Europos Parlamento ir Tarybos reglamento (ES) Nr. 575/2013 dėl prudencinių reikalavimų kredito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de797b24b3654411828a2957142ce937"/>
                    <w:lock w:val="sdtLocked"/>
                    <w:richText/>
                  </w:sdtPr>
                  <w:sdtContent>
                    <w:p>
                      <w:pPr>
                        <w:spacing w:line="360" w:lineRule="auto"/>
                        <w:ind w:firstLine="720"/>
                        <w:jc w:val="both"/>
                        <w:rPr>
                          <w:rFonts w:eastAsia="Calibri"/>
                          <w:bCs/>
                          <w:color w:val="000000"/>
                          <w:szCs w:val="24"/>
                          <w:lang w:eastAsia="lt-LT"/>
                        </w:rPr>
                      </w:pPr>
                      <w:sdt>
                        <w:sdtPr>
                          <w:alias w:val="Numeris"/>
                          <w:tag w:val="nr_de797b24b3654411828a2957142ce937"/>
                          <w:lock w:val="sdtLocked"/>
                          <w:richText/>
                        </w:sdt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rFonts w:eastAsia="Calibri"/>
                          <w:color w:val="000000"/>
                          <w:szCs w:val="24"/>
                          <w:lang w:eastAsia="lt-LT"/>
                        </w:rPr>
                        <w:t>.</w:t>
                      </w:r>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6247418bddb7431cabd91e4d476a39bd"/>
                    <w:lock w:val="sdtLocked"/>
                    <w:richText/>
                  </w:sdtPr>
                  <w:sdtContent>
                    <w:p>
                      <w:pPr>
                        <w:spacing w:line="360" w:lineRule="auto"/>
                        <w:ind w:firstLine="720"/>
                        <w:jc w:val="both"/>
                        <w:rPr>
                          <w:rFonts w:eastAsia="Calibri"/>
                          <w:color w:val="000000"/>
                          <w:szCs w:val="24"/>
                          <w:lang w:eastAsia="lt-LT"/>
                        </w:rPr>
                      </w:pPr>
                      <w:sdt>
                        <w:sdtPr>
                          <w:alias w:val="Numeris"/>
                          <w:tag w:val="nr_6247418bddb7431cabd91e4d476a39bd"/>
                          <w:lock w:val="sdtLocked"/>
                          <w:richText/>
                        </w:sdt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eafce5f4407e40b99e0ec5274ca553e9"/>
                    <w:lock w:val="sdtLocked"/>
                    <w:richText/>
                  </w:sdtPr>
                  <w:sdtContent>
                    <w:p>
                      <w:pPr>
                        <w:spacing w:line="360" w:lineRule="auto"/>
                        <w:ind w:firstLine="720"/>
                        <w:jc w:val="both"/>
                        <w:rPr>
                          <w:rFonts w:eastAsia="Calibri"/>
                          <w:color w:val="000000"/>
                          <w:szCs w:val="24"/>
                          <w:lang w:eastAsia="lt-LT"/>
                        </w:rPr>
                      </w:pPr>
                      <w:sdt>
                        <w:sdtPr>
                          <w:alias w:val="Numeris"/>
                          <w:tag w:val="nr_eafce5f4407e40b99e0ec5274ca553e9"/>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color w:val="000000"/>
                          <w:szCs w:val="24"/>
                        </w:rPr>
                      </w:pPr>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9a199789b5914bebb3c905d867390839"/>
                        <w:lock w:val="sdtLocked"/>
                        <w:richText/>
                      </w:sdtPr>
                      <w:sdtContent>
                        <w:p>
                          <w:pPr>
                            <w:spacing w:line="360" w:lineRule="auto"/>
                            <w:ind w:firstLine="720"/>
                            <w:jc w:val="both"/>
                            <w:rPr>
                              <w:rFonts w:eastAsia="Calibri"/>
                              <w:color w:val="000000"/>
                              <w:szCs w:val="24"/>
                              <w:lang w:eastAsia="lt-LT"/>
                            </w:rPr>
                          </w:pPr>
                          <w:sdt>
                            <w:sdtPr>
                              <w:alias w:val="Numeris"/>
                              <w:tag w:val="nr_9a199789b5914bebb3c905d867390839"/>
                              <w:lock w:val="sdtLocked"/>
                              <w:richText/>
                            </w:sdtPr>
                            <w:sdtContent>
                              <w:r>
                                <w:rPr>
                                  <w:rFonts w:eastAsia="Calibri"/>
                                  <w:color w:val="000000"/>
                                  <w:szCs w:val="24"/>
                                  <w:lang w:eastAsia="lt-LT"/>
                                </w:rPr>
                                <w:t>10</w:t>
                              </w:r>
                            </w:sdtContent>
                          </w:sdt>
                          <w:r>
                            <w:rPr>
                              <w:rFonts w:eastAsia="Calibri"/>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904aee5e744d497a84309f015377b91a"/>
                        <w:lock w:val="sdtLocked"/>
                        <w:richText/>
                      </w:sdtPr>
                      <w:sdtContent>
                        <w:p>
                          <w:pPr>
                            <w:spacing w:line="360" w:lineRule="auto"/>
                            <w:ind w:firstLine="720"/>
                            <w:jc w:val="both"/>
                            <w:rPr>
                              <w:rFonts w:eastAsia="Calibri"/>
                              <w:color w:val="000000"/>
                              <w:szCs w:val="24"/>
                              <w:lang w:eastAsia="lt-LT"/>
                            </w:rPr>
                          </w:pPr>
                          <w:sdt>
                            <w:sdtPr>
                              <w:alias w:val="Numeris"/>
                              <w:tag w:val="nr_904aee5e744d497a84309f015377b91a"/>
                              <w:lock w:val="sdtLocked"/>
                              <w:richText/>
                            </w:sdtPr>
                            <w:sdtContent>
                              <w:r>
                                <w:rPr>
                                  <w:rFonts w:eastAsia="Calibri"/>
                                  <w:color w:val="000000"/>
                                  <w:szCs w:val="24"/>
                                  <w:lang w:eastAsia="lt-LT"/>
                                </w:rPr>
                                <w:t>16</w:t>
                              </w:r>
                            </w:sdtContent>
                          </w:sdt>
                          <w:r>
                            <w:rPr>
                              <w:rFonts w:eastAsia="Calibri"/>
                              <w:color w:val="000000"/>
                              <w:szCs w:val="24"/>
                              <w:lang w:eastAsia="lt-LT"/>
                            </w:rPr>
                            <w:t xml:space="preserve">) priverstiniam lėšų išieškojimui (nurašymui) teisės aktų nustatyta tvarka. </w:t>
                          </w:r>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f6a8cd10750447aba323eac16f2f93ea"/>
                    <w:lock w:val="sdtLocked"/>
                    <w:richText/>
                  </w:sdtPr>
                  <w:sdtContent>
                    <w:p>
                      <w:pPr>
                        <w:spacing w:line="360" w:lineRule="auto"/>
                        <w:ind w:firstLine="720"/>
                        <w:jc w:val="both"/>
                        <w:rPr>
                          <w:rFonts w:eastAsia="Calibri"/>
                          <w:color w:val="000000"/>
                          <w:szCs w:val="24"/>
                          <w:lang w:eastAsia="lt-LT"/>
                        </w:rPr>
                      </w:pPr>
                      <w:sdt>
                        <w:sdtPr>
                          <w:alias w:val="Numeris"/>
                          <w:tag w:val="nr_f6a8cd10750447aba323eac16f2f93ea"/>
                          <w:lock w:val="sdtLocked"/>
                          <w:richText/>
                        </w:sdtPr>
                        <w:sdtContent>
                          <w:r>
                            <w:rPr>
                              <w:rFonts w:eastAsia="Calibri"/>
                              <w:color w:val="000000"/>
                              <w:szCs w:val="24"/>
                              <w:lang w:eastAsia="lt-LT"/>
                            </w:rPr>
                            <w:t>13</w:t>
                          </w:r>
                        </w:sdtContent>
                      </w:sdt>
                      <w:r>
                        <w:rPr>
                          <w:rFonts w:eastAsia="Calibri"/>
                          <w:color w:val="000000"/>
                          <w:szCs w:val="24"/>
                          <w:lang w:eastAsia="lt-LT"/>
                        </w:rPr>
                        <w:t xml:space="preserve">. Šio įstatymo X skyriaus ir 91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rFonts w:eastAsia="Calibri"/>
                          <w:color w:val="000000"/>
                          <w:szCs w:val="24"/>
                          <w:lang w:eastAsia="lt-LT"/>
                        </w:rPr>
                        <w:t xml:space="preserve">(toliau – Reglamentas (EB) Nr. 924/2009), 9, 10, 11, 12 ir 13 straipsnių, Reglamento (ES) Nr. 260/2012 10, 11 ir 12 straipsnių ir </w:t>
                      </w:r>
                      <w:r>
                        <w:rPr>
                          <w:rFonts w:eastAsia="Calibri"/>
                          <w:szCs w:val="24"/>
                        </w:rPr>
                        <w:t xml:space="preserve">2015 m. balandžio 29 d. Europos Parlamento ir Tarybos reglamento (ES) Nr. 2015/751 dėl tarpbankinių mokesčių už kortele grindžiamas mokėjimo operacijas </w:t>
                      </w:r>
                      <w:r>
                        <w:rPr>
                          <w:rFonts w:eastAsia="Calibri"/>
                          <w:szCs w:val="24"/>
                          <w:lang w:eastAsia="lt-LT"/>
                        </w:rPr>
                        <w:t>(toliau – Reglamentas (ES) Nr. 2015/751) 13 ir 14 straipsnių</w:t>
                      </w:r>
                      <w:r>
                        <w:rPr>
                          <w:rFonts w:eastAsia="Calibri"/>
                          <w:color w:val="000000"/>
                          <w:szCs w:val="24"/>
                          <w:lang w:eastAsia="lt-LT"/>
                        </w:rPr>
                        <w:t xml:space="preserve"> nuostatas.</w:t>
                      </w:r>
                    </w:p>
                  </w:sdtContent>
                </w:sdt>
                <w:sdt>
                  <w:sdtPr>
                    <w:alias w:val="3 str. 14 d."/>
                    <w:tag w:val="part_b8bf530d41bf491ca77039ad95195184"/>
                    <w:lock w:val="sdtLocked"/>
                    <w:richText/>
                  </w:sdtPr>
                  <w:sdtContent>
                    <w:p>
                      <w:pPr>
                        <w:spacing w:line="360" w:lineRule="auto"/>
                        <w:ind w:firstLine="720"/>
                        <w:jc w:val="both"/>
                        <w:rPr>
                          <w:rFonts w:eastAsia="Calibri"/>
                          <w:color w:val="000000"/>
                          <w:szCs w:val="24"/>
                          <w:lang w:eastAsia="lt-LT"/>
                        </w:rPr>
                      </w:pPr>
                      <w:sdt>
                        <w:sdtPr>
                          <w:alias w:val="Numeris"/>
                          <w:tag w:val="nr_b8bf530d41bf491ca77039ad9519518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b0037bcd31c34eb0b510b4a3ba52c0e8"/>
                    <w:lock w:val="sdtLocked"/>
                    <w:richText/>
                  </w:sdtPr>
                  <w:sdtContent>
                    <w:p>
                      <w:pPr>
                        <w:tabs>
                          <w:tab w:val="left" w:pos="533"/>
                        </w:tabs>
                        <w:spacing w:line="360" w:lineRule="auto"/>
                        <w:ind w:firstLine="720"/>
                        <w:jc w:val="both"/>
                        <w:rPr>
                          <w:rFonts w:eastAsia="Calibri"/>
                          <w:color w:val="000000"/>
                          <w:szCs w:val="24"/>
                        </w:rPr>
                      </w:pPr>
                      <w:sdt>
                        <w:sdtPr>
                          <w:alias w:val="Numeris"/>
                          <w:tag w:val="nr_b0037bcd31c34eb0b510b4a3ba52c0e8"/>
                          <w:lock w:val="sdtLocked"/>
                          <w:richText/>
                        </w:sdtPr>
                        <w:sdtContent>
                          <w:r>
                            <w:rPr>
                              <w:rFonts w:eastAsia="Calibri"/>
                              <w:color w:val="000000"/>
                              <w:szCs w:val="24"/>
                            </w:rPr>
                            <w:t>4</w:t>
                          </w:r>
                        </w:sdtContent>
                      </w:sdt>
                      <w:r>
                        <w:rPr>
                          <w:rFonts w:eastAsia="Calibri"/>
                          <w:color w:val="000000"/>
                          <w:szCs w:val="24"/>
                        </w:rPr>
                        <w:t>. Šio straipsnio 1, 2 ir 3 dalys netaikomos:</w:t>
                      </w:r>
                    </w:p>
                    <w:sdt>
                      <w:sdtPr>
                        <w:alias w:val="9 str. 4 d. 1 p."/>
                        <w:tag w:val="part_0542253b080e4f65a364ff2f9a33de8d"/>
                        <w:lock w:val="sdtLocked"/>
                        <w:richText/>
                      </w:sdtPr>
                      <w:sdtContent>
                        <w:p>
                          <w:pPr>
                            <w:tabs>
                              <w:tab w:val="left" w:pos="533"/>
                            </w:tabs>
                            <w:spacing w:line="360" w:lineRule="auto"/>
                            <w:ind w:firstLine="720"/>
                            <w:jc w:val="both"/>
                            <w:rPr>
                              <w:rFonts w:eastAsia="Calibri"/>
                              <w:color w:val="000000"/>
                              <w:szCs w:val="24"/>
                            </w:rPr>
                          </w:pPr>
                          <w:sdt>
                            <w:sdtPr>
                              <w:alias w:val="Numeris"/>
                              <w:tag w:val="nr_0542253b080e4f65a364ff2f9a33de8d"/>
                              <w:lock w:val="sdtLocked"/>
                              <w:richText/>
                            </w:sdtPr>
                            <w:sdtContent>
                              <w:r>
                                <w:rPr>
                                  <w:rFonts w:eastAsia="Calibri"/>
                                  <w:color w:val="000000"/>
                                  <w:szCs w:val="24"/>
                                </w:rPr>
                                <w:t>1</w:t>
                              </w:r>
                            </w:sdtContent>
                          </w:sdt>
                          <w:r>
                            <w:rPr>
                              <w:rFonts w:eastAsia="Calibri"/>
                              <w:color w:val="000000"/>
                              <w:szCs w:val="24"/>
                            </w:rPr>
                            <w:t>) Lietuvos Respublikos atsiskaitymų baigtinumo mokėjimo ir vertybinių popierių atsiskaitymo sistemose įstatyme nustatytoms mokėjimo sistemoms;</w:t>
                          </w:r>
                        </w:p>
                      </w:sdtContent>
                    </w:sdt>
                    <w:sdt>
                      <w:sdtPr>
                        <w:alias w:val="9 str. 4 d. 2 p."/>
                        <w:tag w:val="part_ae687b9b3ea74979aecff4f00dceb9ee"/>
                        <w:lock w:val="sdtLocked"/>
                        <w:richText/>
                      </w:sdtPr>
                      <w:sdtContent>
                        <w:p>
                          <w:pPr>
                            <w:tabs>
                              <w:tab w:val="left" w:pos="533"/>
                            </w:tabs>
                            <w:spacing w:line="360" w:lineRule="auto"/>
                            <w:ind w:firstLine="720"/>
                            <w:jc w:val="both"/>
                            <w:rPr>
                              <w:rFonts w:eastAsia="Calibri"/>
                              <w:color w:val="000000"/>
                              <w:szCs w:val="24"/>
                            </w:rPr>
                          </w:pPr>
                          <w:sdt>
                            <w:sdtPr>
                              <w:alias w:val="Numeris"/>
                              <w:tag w:val="nr_ae687b9b3ea74979aecff4f00dceb9ee"/>
                              <w:lock w:val="sdtLocked"/>
                              <w:richText/>
                            </w:sdtPr>
                            <w:sdtContent>
                              <w:r>
                                <w:rPr>
                                  <w:rFonts w:eastAsia="Calibri"/>
                                  <w:color w:val="000000"/>
                                  <w:szCs w:val="24"/>
                                </w:rPr>
                                <w:t>2</w:t>
                              </w:r>
                            </w:sdtContent>
                          </w:sdt>
                          <w:r>
                            <w:rPr>
                              <w:rFonts w:eastAsia="Calibri"/>
                              <w:color w:val="000000"/>
                              <w:szCs w:val="24"/>
                            </w:rPr>
                            <w:t>) mokėjimo sistemoms, kuriose dalyvauja tik mokėjimo paslaugų teikėjai, priklausantys įmonių grupei.</w:t>
                          </w:r>
                        </w:p>
                      </w:sdtContent>
                    </w:sdt>
                  </w:sdtContent>
                </w:sdt>
                <w:sdt>
                  <w:sdtPr>
                    <w:alias w:val="9 str. 5 d."/>
                    <w:tag w:val="part_1b55be57f5ad4136bd87dedb23f6002d"/>
                    <w:lock w:val="sdtLocked"/>
                    <w:richText/>
                  </w:sdtPr>
                  <w:sdtContent>
                    <w:p>
                      <w:pPr>
                        <w:tabs>
                          <w:tab w:val="left" w:pos="533"/>
                        </w:tabs>
                        <w:spacing w:line="360" w:lineRule="auto"/>
                        <w:ind w:firstLine="720"/>
                        <w:jc w:val="both"/>
                        <w:rPr>
                          <w:rFonts w:eastAsia="Calibri"/>
                          <w:color w:val="000000"/>
                          <w:szCs w:val="24"/>
                        </w:rPr>
                      </w:pPr>
                      <w:sdt>
                        <w:sdtPr>
                          <w:alias w:val="Numeris"/>
                          <w:tag w:val="nr_1b55be57f5ad4136bd87dedb23f6002d"/>
                          <w:lock w:val="sdtLocked"/>
                          <w:richText/>
                        </w:sdtPr>
                        <w:sdtContent>
                          <w:r>
                            <w:rPr>
                              <w:rFonts w:eastAsia="Calibri"/>
                              <w:color w:val="000000"/>
                              <w:szCs w:val="24"/>
                            </w:rPr>
                            <w:t>5</w:t>
                          </w:r>
                        </w:sdtContent>
                      </w:sdt>
                      <w:r>
                        <w:rPr>
                          <w:rFonts w:eastAsia="Calibri"/>
                          <w:color w:val="000000"/>
                          <w:szCs w:val="24"/>
                        </w:rPr>
                        <w:t>. Tuo atveju, kai šio straipsnio 4 dalies 1 punkte nurodytos sistemos dalyvis leidžia veiklos licenciją turinčiam mokėjimo paslaugų teikėjui, kuris nedalyvauja sistemoje,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tabs>
                          <w:tab w:val="left" w:pos="533"/>
                        </w:tabs>
                        <w:spacing w:line="360" w:lineRule="auto"/>
                        <w:ind w:firstLine="720"/>
                        <w:jc w:val="both"/>
                        <w:rPr>
                          <w:rFonts w:eastAsia="Calibri"/>
                          <w:color w:val="000000"/>
                          <w:szCs w:val="24"/>
                        </w:rPr>
                      </w:pPr>
                    </w:p>
                  </w:sdtContent>
                </w:sdt>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138d3377febc4d7fb6822699604624ca"/>
                        <w:lock w:val="sdtLocked"/>
                        <w:richText/>
                      </w:sdtPr>
                      <w:sdtContent>
                        <w:p>
                          <w:pPr>
                            <w:tabs>
                              <w:tab w:val="left" w:pos="504"/>
                            </w:tabs>
                            <w:spacing w:line="360" w:lineRule="auto"/>
                            <w:ind w:firstLine="720"/>
                            <w:jc w:val="both"/>
                            <w:rPr>
                              <w:rFonts w:eastAsia="Calibri"/>
                              <w:color w:val="000000"/>
                              <w:szCs w:val="24"/>
                            </w:rPr>
                          </w:pPr>
                          <w:sdt>
                            <w:sdtPr>
                              <w:alias w:val="Numeris"/>
                              <w:tag w:val="nr_138d3377febc4d7fb6822699604624ca"/>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297eb278d6424e7a813c6289dc1b94b2"/>
                    <w:lock w:val="sdtLocked"/>
                    <w:richText/>
                  </w:sdtPr>
                  <w:sdtContent>
                    <w:p>
                      <w:pPr>
                        <w:tabs>
                          <w:tab w:val="left" w:pos="499"/>
                        </w:tabs>
                        <w:spacing w:line="360" w:lineRule="auto"/>
                        <w:ind w:firstLine="720"/>
                        <w:jc w:val="both"/>
                        <w:rPr>
                          <w:rFonts w:eastAsia="Calibri"/>
                          <w:color w:val="000000"/>
                          <w:szCs w:val="24"/>
                        </w:rPr>
                      </w:pPr>
                      <w:sdt>
                        <w:sdtPr>
                          <w:alias w:val="Numeris"/>
                          <w:tag w:val="nr_297eb278d6424e7a813c6289dc1b94b2"/>
                          <w:lock w:val="sdtLocked"/>
                          <w:richText/>
                        </w:sdtPr>
                        <w:sdtContent>
                          <w:r>
                            <w:rPr>
                              <w:rFonts w:eastAsia="Calibri"/>
                              <w:color w:val="000000"/>
                              <w:szCs w:val="24"/>
                            </w:rPr>
                            <w:t>1</w:t>
                          </w:r>
                        </w:sdtContent>
                      </w:sdt>
                      <w:r>
                        <w:rPr>
                          <w:rFonts w:eastAsia="Calibri"/>
                          <w:color w:val="000000"/>
                          <w:szCs w:val="24"/>
                        </w:rPr>
                        <w:t>. Mokėjimo nurodymo gavimo momentu laikomas momentas, kai mokėtojo mokėjimo paslaugų teikėjas gauna mokėjimo nurodymą.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f352d44347fd455d98af5fb907b307a1"/>
                    <w:lock w:val="sdtLocked"/>
                    <w:richText/>
                  </w:sdtPr>
                  <w:sdtContent>
                    <w:p>
                      <w:pPr>
                        <w:spacing w:line="360" w:lineRule="auto"/>
                        <w:ind w:firstLine="720"/>
                        <w:jc w:val="both"/>
                        <w:rPr>
                          <w:rFonts w:eastAsia="Calibri"/>
                          <w:color w:val="000000"/>
                          <w:szCs w:val="24"/>
                          <w:lang w:eastAsia="lt-LT"/>
                        </w:rPr>
                      </w:pPr>
                      <w:sdt>
                        <w:sdtPr>
                          <w:alias w:val="Numeris"/>
                          <w:tag w:val="nr_f352d44347fd455d98af5fb907b307a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f3a60a6f9d194a17ad88cf5180cdf07d"/>
                    <w:lock w:val="sdtLocked"/>
                    <w:richText/>
                  </w:sdtPr>
                  <w:sdtContent>
                    <w:p>
                      <w:pPr>
                        <w:spacing w:line="360" w:lineRule="auto"/>
                        <w:ind w:firstLine="720"/>
                        <w:jc w:val="both"/>
                        <w:rPr>
                          <w:rFonts w:eastAsia="Calibri"/>
                          <w:color w:val="000000"/>
                          <w:szCs w:val="24"/>
                          <w:lang w:eastAsia="lt-LT"/>
                        </w:rPr>
                      </w:pPr>
                      <w:sdt>
                        <w:sdtPr>
                          <w:alias w:val="Numeris"/>
                          <w:tag w:val="nr_f3a60a6f9d194a17ad88cf5180cdf07d"/>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nustato mokėjimo paslaugų teikėjams reikalavimus, susijusius su saugumo priemonių parengimu, įgyvendinimu ir stebėsena, įskaitant reikalavimus dėl sertifikavimo procesų.</w:t>
                      </w:r>
                    </w:p>
                    <w:p>
                      <w:pPr>
                        <w:spacing w:line="360" w:lineRule="auto"/>
                        <w:ind w:firstLine="720"/>
                        <w:jc w:val="both"/>
                        <w:rPr>
                          <w:rFonts w:eastAsia="Calibri"/>
                          <w:color w:val="000000"/>
                          <w:szCs w:val="24"/>
                          <w:lang w:eastAsia="lt-LT"/>
                        </w:rPr>
                      </w:pPr>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14cce9168af84263845e58db8dc501c0"/>
                    <w:lock w:val="sdtLocked"/>
                    <w:richText/>
                  </w:sdtPr>
                  <w:sdtContent>
                    <w:p>
                      <w:pPr>
                        <w:spacing w:line="360" w:lineRule="auto"/>
                        <w:ind w:firstLine="720"/>
                        <w:jc w:val="both"/>
                        <w:rPr>
                          <w:rFonts w:eastAsia="Calibri"/>
                          <w:color w:val="000000"/>
                          <w:szCs w:val="24"/>
                          <w:lang w:eastAsia="lt-LT"/>
                        </w:rPr>
                      </w:pPr>
                      <w:sdt>
                        <w:sdtPr>
                          <w:alias w:val="Numeris"/>
                          <w:tag w:val="nr_14cce9168af84263845e58db8dc501c0"/>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atsižvelgdama į Europos bankininkystės institucijos parengtas gaires, kaip nurodyta Direktyvos 2015/2366 96 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66d2d9451c0424aabd583ed2d15ad82"/>
                    <w:lock w:val="sdtLocked"/>
                    <w:richText/>
                  </w:sdtPr>
                  <w:sdtContent>
                    <w:p>
                      <w:pPr>
                        <w:spacing w:line="360" w:lineRule="auto"/>
                        <w:ind w:firstLine="720"/>
                        <w:jc w:val="both"/>
                        <w:rPr>
                          <w:rFonts w:eastAsia="Calibri"/>
                          <w:color w:val="000000"/>
                          <w:szCs w:val="24"/>
                          <w:lang w:eastAsia="lt-LT"/>
                        </w:rPr>
                      </w:pPr>
                      <w:sdt>
                        <w:sdtPr>
                          <w:alias w:val="Numeris"/>
                          <w:tag w:val="nr_e66d2d9451c0424aabd583ed2d15ad82"/>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p>
                      <w:pPr>
                        <w:spacing w:line="360" w:lineRule="auto"/>
                        <w:ind w:firstLine="720"/>
                        <w:jc w:val="both"/>
                        <w:rPr>
                          <w:rFonts w:eastAsia="Calibri"/>
                          <w:color w:val="000000"/>
                          <w:szCs w:val="24"/>
                          <w:lang w:eastAsia="lt-LT"/>
                        </w:rPr>
                      </w:pPr>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2149aa02ae9a46fabe4c50df8f3cb146"/>
                        <w:lock w:val="sdtLocked"/>
                        <w:richText/>
                      </w:sdtPr>
                      <w:sdtContent>
                        <w:p>
                          <w:pPr>
                            <w:spacing w:line="360" w:lineRule="auto"/>
                            <w:ind w:firstLine="720"/>
                            <w:jc w:val="both"/>
                            <w:rPr>
                              <w:rFonts w:eastAsia="Calibri"/>
                              <w:color w:val="000000"/>
                              <w:szCs w:val="24"/>
                              <w:lang w:eastAsia="lt-LT"/>
                            </w:rPr>
                          </w:pPr>
                          <w:sdt>
                            <w:sdtPr>
                              <w:alias w:val="Numeris"/>
                              <w:tag w:val="nr_2149aa02ae9a46fabe4c50df8f3cb146"/>
                              <w:lock w:val="sdtLocked"/>
                              <w:richText/>
                            </w:sdtPr>
                            <w:sdtContent>
                              <w:r>
                                <w:rPr>
                                  <w:rFonts w:eastAsia="Calibri"/>
                                  <w:color w:val="000000"/>
                                  <w:szCs w:val="24"/>
                                  <w:lang w:eastAsia="lt-LT"/>
                                </w:rPr>
                                <w:t>6</w:t>
                              </w:r>
                            </w:sdtContent>
                          </w:sdt>
                          <w:r>
                            <w:rPr>
                              <w:rFonts w:eastAsia="Calibri"/>
                              <w:color w:val="000000"/>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64 str. 2 d. 7 p."/>
                        <w:tag w:val="part_71351f0a203c44fda3b0edc2c659bd13"/>
                        <w:lock w:val="sdtLocked"/>
                        <w:richText/>
                      </w:sdtPr>
                      <w:sdtContent>
                        <w:p>
                          <w:pPr>
                            <w:spacing w:line="360" w:lineRule="auto"/>
                            <w:ind w:firstLine="720"/>
                            <w:jc w:val="both"/>
                            <w:rPr>
                              <w:rFonts w:eastAsia="Calibri"/>
                              <w:color w:val="000000"/>
                              <w:szCs w:val="24"/>
                              <w:lang w:eastAsia="lt-LT"/>
                            </w:rPr>
                          </w:pPr>
                          <w:sdt>
                            <w:sdtPr>
                              <w:alias w:val="Numeris"/>
                              <w:tag w:val="nr_71351f0a203c44fda3b0edc2c659bd13"/>
                              <w:lock w:val="sdtLocked"/>
                              <w:richText/>
                            </w:sdtPr>
                            <w:sdtContent>
                              <w:r>
                                <w:rPr>
                                  <w:rFonts w:eastAsia="Calibri"/>
                                  <w:color w:val="000000"/>
                                  <w:szCs w:val="24"/>
                                  <w:lang w:eastAsia="lt-LT"/>
                                </w:rPr>
                                <w:t>7</w:t>
                              </w:r>
                            </w:sdtContent>
                          </w:sdt>
                          <w:r>
                            <w:rPr>
                              <w:rFonts w:eastAsia="Calibri"/>
                              <w:color w:val="000000"/>
                              <w:szCs w:val="24"/>
                              <w:lang w:eastAsia="lt-LT"/>
                            </w:rPr>
                            <w:t>) numatoma pranešimo dėl neteisingos informacijos apie paskelbtą komisinį atlyginimą procedūra.</w:t>
                          </w:r>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14dbebed1c6a4d1a881e1fe7d57dc478"/>
                <w:lock w:val="sdtLocked"/>
                <w:richText/>
              </w:sdtPr>
              <w:sdtContent>
                <w:p>
                  <w:pPr>
                    <w:spacing w:line="360" w:lineRule="auto"/>
                    <w:ind w:left="2268" w:hanging="1548"/>
                    <w:jc w:val="both"/>
                    <w:rPr>
                      <w:szCs w:val="24"/>
                      <w:lang w:eastAsia="lt-LT"/>
                    </w:rPr>
                  </w:pPr>
                  <w:sdt>
                    <w:sdtPr>
                      <w:alias w:val="Numeris"/>
                      <w:tag w:val="nr_14dbebed1c6a4d1a881e1fe7d57dc478"/>
                      <w:lock w:val="sdtLocked"/>
                      <w:richText/>
                    </w:sdtPr>
                    <w:sdtContent>
                      <w:r>
                        <w:rPr>
                          <w:b/>
                          <w:bCs/>
                          <w:color w:val="000000"/>
                          <w:szCs w:val="24"/>
                          <w:lang w:eastAsia="lt-LT"/>
                        </w:rPr>
                        <w:t>65</w:t>
                      </w:r>
                    </w:sdtContent>
                  </w:sdt>
                  <w:r>
                    <w:rPr>
                      <w:b/>
                      <w:bCs/>
                      <w:color w:val="000000"/>
                      <w:szCs w:val="24"/>
                      <w:lang w:eastAsia="lt-LT"/>
                    </w:rPr>
                    <w:t xml:space="preserve"> straipsnis. </w:t>
                  </w:r>
                  <w:sdt>
                    <w:sdtPr>
                      <w:alias w:val="Pavadinimas"/>
                      <w:tag w:val="title_14dbebed1c6a4d1a881e1fe7d57dc478"/>
                      <w:lock w:val="sdtLocked"/>
                      <w:richText/>
                    </w:sdtPr>
                    <w:sdtContent>
                      <w:r>
                        <w:rPr>
                          <w:b/>
                          <w:bCs/>
                          <w:color w:val="000000"/>
                          <w:szCs w:val="24"/>
                          <w:lang w:eastAsia="lt-LT"/>
                        </w:rPr>
                        <w:t>Mokėjimo sąskaitos, įtrauktos į paslaugų rinkinius, apimančius kitą produktą arba paslaugą</w:t>
                      </w:r>
                    </w:sdtContent>
                  </w:sdt>
                </w:p>
                <w:sdt>
                  <w:sdtPr>
                    <w:alias w:val="65 str. 1 d."/>
                    <w:tag w:val="part_a30fce48d2f8402eaf458e5bc679c361"/>
                    <w:lock w:val="sdtLocked"/>
                    <w:richText/>
                  </w:sdtPr>
                  <w:sdtContent>
                    <w:p>
                      <w:pPr>
                        <w:spacing w:line="360" w:lineRule="auto"/>
                        <w:ind w:firstLine="720"/>
                        <w:jc w:val="both"/>
                        <w:rPr>
                          <w:szCs w:val="24"/>
                          <w:lang w:eastAsia="lt-LT"/>
                        </w:rPr>
                      </w:pPr>
                      <w:sdt>
                        <w:sdtPr>
                          <w:alias w:val="Numeris"/>
                          <w:tag w:val="nr_a30fce48d2f8402eaf458e5bc679c361"/>
                          <w:lock w:val="sdtLocked"/>
                          <w:richText/>
                        </w:sdtPr>
                        <w:sdtContent>
                          <w:r>
                            <w:rPr>
                              <w:color w:val="000000"/>
                              <w:szCs w:val="24"/>
                              <w:lang w:eastAsia="lt-LT"/>
                            </w:rPr>
                            <w:t>1</w:t>
                          </w:r>
                        </w:sdtContent>
                      </w:sdt>
                      <w:r>
                        <w:rPr>
                          <w:color w:val="000000"/>
                          <w:szCs w:val="24"/>
                          <w:lang w:eastAsia="lt-LT"/>
                        </w:rPr>
                        <w:t>. Kai mokėjimo sąskaita siūloma kaip paslaugų rinkinio, apimančio kitą produktą arba paslaugą, kurie nėra susiję su mokėjimo sąskaita, dalis, mokėjimo paslaugų teikėjas privalo informuoti vartotoją, ar yra galimybė mokėjimo sąskaitą atidaryti atskirai ir, jeigu tokia galimybė yra, – pateikti atskirą informaciją apie išlaidas ir komisinį atlyginimą, susijusius su kiekvienu iš kitų į tą paslaugų rinkinį įtrauktų siūlomų produktų ir paslaugų, kuriuos galima įsigyti atskirai.</w:t>
                      </w:r>
                    </w:p>
                  </w:sdtContent>
                </w:sdt>
                <w:sdt>
                  <w:sdtPr>
                    <w:alias w:val="65 str. 2 d."/>
                    <w:tag w:val="part_cd234d19f716447f9f447a9cc5240150"/>
                    <w:lock w:val="sdtLocked"/>
                    <w:richText/>
                  </w:sdtPr>
                  <w:sdtContent>
                    <w:p>
                      <w:pPr>
                        <w:spacing w:line="360" w:lineRule="auto"/>
                        <w:ind w:firstLine="720"/>
                        <w:jc w:val="both"/>
                        <w:rPr>
                          <w:szCs w:val="24"/>
                          <w:lang w:eastAsia="lt-LT"/>
                        </w:rPr>
                      </w:pPr>
                      <w:sdt>
                        <w:sdtPr>
                          <w:alias w:val="Numeris"/>
                          <w:tag w:val="nr_cd234d19f716447f9f447a9cc5240150"/>
                          <w:lock w:val="sdtLocked"/>
                          <w:richText/>
                        </w:sdtPr>
                        <w:sdtContent>
                          <w:r>
                            <w:rPr>
                              <w:color w:val="000000"/>
                              <w:szCs w:val="24"/>
                              <w:lang w:eastAsia="lt-LT"/>
                            </w:rPr>
                            <w:t>2</w:t>
                          </w:r>
                        </w:sdtContent>
                      </w:sdt>
                      <w:r>
                        <w:rPr>
                          <w:color w:val="000000"/>
                          <w:szCs w:val="24"/>
                          <w:lang w:eastAsia="lt-LT"/>
                        </w:rPr>
                        <w:t xml:space="preserve">. Mokėjimo paslaugų teikėjas, siūlydamas bendrosios sutarties dėl mokėjimo sąskaitos, kuri teikiama kaip paslaugų rinkinio, apimančio kitą produktą arba paslaugą, dalis, pakeitimus, privalo laikytis šio įstatymo 15 straipsnio 1 dalies reikalavimų ir, jeigu vartotojas nesutinka su siūlomais pakeitimais, privalo be jokių neigiamų pasekmių ir apribojimų vartotojui užtikrinti jo teisę nutraukti bendrąją sutartį arba pasinaudoti mokėjimo sąskaitos perkėlimo paslauga. </w:t>
                      </w:r>
                    </w:p>
                    <w:p>
                      <w:pPr>
                        <w:spacing w:line="360" w:lineRule="auto"/>
                        <w:ind w:firstLine="720"/>
                        <w:jc w:val="both"/>
                        <w:rPr>
                          <w:rFonts w:eastAsia="Calibri"/>
                          <w:color w:val="000000"/>
                          <w:szCs w:val="24"/>
                          <w:lang w:eastAsia="lt-LT"/>
                        </w:rPr>
                      </w:pPr>
                    </w:p>
                  </w:sdtContent>
                </w:sdt>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37829575e07e441eae348172a6e32301"/>
                    <w:lock w:val="sdtLocked"/>
                    <w:richText/>
                  </w:sdtPr>
                  <w:sdtContent>
                    <w:p>
                      <w:pPr>
                        <w:spacing w:line="360" w:lineRule="auto"/>
                        <w:ind w:firstLine="720"/>
                        <w:jc w:val="both"/>
                        <w:rPr>
                          <w:rFonts w:eastAsia="Calibri"/>
                          <w:color w:val="000000"/>
                          <w:szCs w:val="24"/>
                          <w:lang w:eastAsia="lt-LT"/>
                        </w:rPr>
                      </w:pPr>
                      <w:sdt>
                        <w:sdtPr>
                          <w:alias w:val="Numeris"/>
                          <w:tag w:val="nr_37829575e07e441eae348172a6e32301"/>
                          <w:lock w:val="sdtLocked"/>
                          <w:richText/>
                        </w:sdtPr>
                        <w:sdtContent>
                          <w:r>
                            <w:rPr>
                              <w:rFonts w:eastAsia="Calibri"/>
                              <w:color w:val="000000"/>
                              <w:szCs w:val="24"/>
                              <w:lang w:eastAsia="lt-LT"/>
                            </w:rPr>
                            <w:t>2</w:t>
                          </w:r>
                        </w:sdtContent>
                      </w:sdt>
                      <w:r>
                        <w:rPr>
                          <w:rFonts w:eastAsia="Calibri"/>
                          <w:color w:val="000000"/>
                          <w:szCs w:val="24"/>
                          <w:lang w:eastAsia="lt-LT"/>
                        </w:rPr>
                        <w:t>. Pagrindinės mokėjimo sąskaitos paslaugą privalo teikti įstaigos, teikiančios šio įstatymo 72 straipsnio 1 dalies 1–6 punktuose nurodytas paslaugas vartotojams. Priežiūros institucija sudaro ir tvarko įstaigų, teikiančių pagrindinės mokėji</w:t>
                      </w:r>
                      <w:r>
                        <w:rPr>
                          <w:rFonts w:eastAsia="Calibri"/>
                          <w:szCs w:val="24"/>
                          <w:lang w:eastAsia="lt-LT"/>
                        </w:rPr>
                        <w:t>mo sąskaitos paslaugą, sąrašą ir jį skelbia savo interneto svetainėje. Įstaigos įrašomos į pagrindinės mokėjimo sąskaitos paslaugos teikėjų sąrašą, išbraukiamos iš šio sąrašo ir šis sąrašas tvarkomas priežiūros institucijos nustatyta tvarka.</w:t>
                      </w:r>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2a70e8ce46f2427fab05c223908e395d"/>
                        <w:lock w:val="sdtLocked"/>
                        <w:richText/>
                      </w:sdtPr>
                      <w:sdtContent>
                        <w:p>
                          <w:pPr>
                            <w:spacing w:line="360" w:lineRule="auto"/>
                            <w:ind w:firstLine="720"/>
                            <w:jc w:val="both"/>
                            <w:rPr>
                              <w:rFonts w:eastAsia="Calibri"/>
                              <w:color w:val="000000"/>
                              <w:szCs w:val="24"/>
                              <w:lang w:eastAsia="lt-LT"/>
                            </w:rPr>
                          </w:pPr>
                          <w:sdt>
                            <w:sdtPr>
                              <w:alias w:val="Numeris"/>
                              <w:tag w:val="nr_2a70e8ce46f2427fab05c223908e395d"/>
                              <w:lock w:val="sdtLocked"/>
                              <w:richText/>
                            </w:sdtPr>
                            <w:sdtContent>
                              <w:r>
                                <w:rPr>
                                  <w:rFonts w:eastAsia="Calibri"/>
                                  <w:color w:val="000000"/>
                                  <w:szCs w:val="24"/>
                                  <w:lang w:eastAsia="lt-LT"/>
                                </w:rPr>
                                <w:t>1</w:t>
                              </w:r>
                            </w:sdtContent>
                          </w:sdt>
                          <w:r>
                            <w:rPr>
                              <w:rFonts w:eastAsia="Calibri"/>
                              <w:color w:val="000000"/>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color w:val="000000"/>
                              <w:szCs w:val="24"/>
                              <w:lang w:eastAsia="lt-LT"/>
                            </w:rPr>
                            <w:t>. Šiuo atveju įstaiga turi teisę remtis vartotojo pasirašytu patvirtinimo dokumentu arba vartotojo sutikimu tikrinti,</w:t>
                          </w:r>
                          <w:r>
                            <w:rPr>
                              <w:rFonts w:eastAsia="Calibri"/>
                              <w:color w:val="000000"/>
                              <w:szCs w:val="24"/>
                            </w:rPr>
                            <w:t xml:space="preserve"> </w:t>
                          </w:r>
                          <w:r>
                            <w:rPr>
                              <w:rFonts w:eastAsia="Calibri"/>
                              <w:color w:val="000000"/>
                              <w:szCs w:val="24"/>
                              <w:lang w:eastAsia="lt-LT"/>
                            </w:rPr>
                            <w:t>ar vartotojas Lietuvos Respublikoje veikiančioje įstaigoje turi mokėjimo sąskaitą, suteikiančią galimybę naudotis šio įstatymo 72 straipsnio 1 dalyje nurodytomis paslaugomis;</w:t>
                          </w:r>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a4c648c6b69d42f99763cdc279752a2b"/>
                <w:lock w:val="sdtLocked"/>
                <w:richText/>
              </w:sdtPr>
              <w:sdtContent>
                <w:p>
                  <w:pPr>
                    <w:spacing w:line="360" w:lineRule="auto"/>
                    <w:ind w:firstLine="720"/>
                    <w:jc w:val="both"/>
                    <w:rPr>
                      <w:rFonts w:eastAsia="Calibri"/>
                      <w:b/>
                      <w:bCs/>
                      <w:color w:val="000000"/>
                      <w:szCs w:val="24"/>
                      <w:lang w:eastAsia="lt-LT"/>
                    </w:rPr>
                  </w:pPr>
                  <w:sdt>
                    <w:sdtPr>
                      <w:alias w:val="Numeris"/>
                      <w:tag w:val="nr_a4c648c6b69d42f99763cdc279752a2b"/>
                      <w:lock w:val="sdtLocked"/>
                      <w:richText/>
                    </w:sdtPr>
                    <w:sdtContent>
                      <w:r>
                        <w:rPr>
                          <w:rFonts w:eastAsia="Calibri"/>
                          <w:b/>
                          <w:color w:val="000000"/>
                          <w:szCs w:val="24"/>
                          <w:lang w:eastAsia="lt-LT"/>
                        </w:rPr>
                        <w:t>72</w:t>
                      </w:r>
                    </w:sdtContent>
                  </w:sdt>
                  <w:r>
                    <w:rPr>
                      <w:rFonts w:eastAsia="Calibri"/>
                      <w:b/>
                      <w:color w:val="000000"/>
                      <w:szCs w:val="24"/>
                      <w:lang w:eastAsia="lt-LT"/>
                    </w:rPr>
                    <w:t xml:space="preserve"> straipsnis. </w:t>
                  </w:r>
                  <w:sdt>
                    <w:sdtPr>
                      <w:alias w:val="Pavadinimas"/>
                      <w:tag w:val="title_a4c648c6b69d42f99763cdc279752a2b"/>
                      <w:lock w:val="sdtLocked"/>
                      <w:richText/>
                    </w:sdtPr>
                    <w:sdtContent>
                      <w:r>
                        <w:rPr>
                          <w:rFonts w:eastAsia="Calibri"/>
                          <w:b/>
                          <w:bCs/>
                          <w:color w:val="000000"/>
                          <w:szCs w:val="24"/>
                          <w:lang w:eastAsia="lt-LT"/>
                        </w:rPr>
                        <w:t>Pagrindinės mokėjimo sąskaitos ypatybės</w:t>
                      </w:r>
                    </w:sdtContent>
                  </w:sdt>
                </w:p>
                <w:sdt>
                  <w:sdtPr>
                    <w:alias w:val="72 str. 1 d."/>
                    <w:tag w:val="part_07a7195c6e18467eb043d09f7adfe12e"/>
                    <w:lock w:val="sdtLocked"/>
                    <w:richText/>
                  </w:sdtPr>
                  <w:sdtContent>
                    <w:p>
                      <w:pPr>
                        <w:spacing w:line="360" w:lineRule="auto"/>
                        <w:ind w:firstLine="720"/>
                        <w:jc w:val="both"/>
                        <w:rPr>
                          <w:rFonts w:eastAsia="Calibri"/>
                          <w:color w:val="000000"/>
                          <w:szCs w:val="24"/>
                          <w:lang w:eastAsia="lt-LT"/>
                        </w:rPr>
                      </w:pPr>
                      <w:sdt>
                        <w:sdtPr>
                          <w:alias w:val="Numeris"/>
                          <w:tag w:val="nr_07a7195c6e18467eb043d09f7adfe12e"/>
                          <w:lock w:val="sdtLocked"/>
                          <w:richText/>
                        </w:sdtPr>
                        <w:sdtContent>
                          <w:r>
                            <w:rPr>
                              <w:rFonts w:eastAsia="Calibri"/>
                              <w:color w:val="000000"/>
                              <w:szCs w:val="24"/>
                              <w:lang w:eastAsia="lt-LT"/>
                            </w:rPr>
                            <w:t>1</w:t>
                          </w:r>
                        </w:sdtContent>
                      </w:sdt>
                      <w:r>
                        <w:rPr>
                          <w:rFonts w:eastAsia="Calibri"/>
                          <w:color w:val="000000"/>
                          <w:szCs w:val="24"/>
                          <w:lang w:eastAsia="lt-LT"/>
                        </w:rPr>
                        <w:t xml:space="preserve">. Pagrindinės mokėjimo sąskaitos paslaugą sudarančios mokėjimo paslaugos ir mokėjimo operacijos: </w:t>
                      </w:r>
                    </w:p>
                    <w:sdt>
                      <w:sdtPr>
                        <w:alias w:val="72 str. 1 d. 1 p."/>
                        <w:tag w:val="part_5145df41653a43698e6cb1d4693c339c"/>
                        <w:lock w:val="sdtLocked"/>
                        <w:richText/>
                      </w:sdtPr>
                      <w:sdtContent>
                        <w:p>
                          <w:pPr>
                            <w:spacing w:line="360" w:lineRule="auto"/>
                            <w:ind w:firstLine="720"/>
                            <w:jc w:val="both"/>
                            <w:rPr>
                              <w:rFonts w:eastAsia="Calibri"/>
                              <w:color w:val="000000"/>
                              <w:szCs w:val="24"/>
                              <w:lang w:eastAsia="lt-LT"/>
                            </w:rPr>
                          </w:pPr>
                          <w:sdt>
                            <w:sdtPr>
                              <w:alias w:val="Numeris"/>
                              <w:tag w:val="nr_5145df41653a43698e6cb1d4693c339c"/>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sąskaitos atidarymas, tvarkymas ir uždarymas, taip pat šioms operacijoms vykdyti reikalingos paslaugos; </w:t>
                          </w:r>
                        </w:p>
                      </w:sdtContent>
                    </w:sdt>
                    <w:sdt>
                      <w:sdtPr>
                        <w:alias w:val="72 str. 1 d. 2 p."/>
                        <w:tag w:val="part_91992fe3b55841df9d94bd8d491e5f13"/>
                        <w:lock w:val="sdtLocked"/>
                        <w:richText/>
                      </w:sdtPr>
                      <w:sdtContent>
                        <w:p>
                          <w:pPr>
                            <w:spacing w:line="360" w:lineRule="auto"/>
                            <w:ind w:firstLine="720"/>
                            <w:jc w:val="both"/>
                            <w:rPr>
                              <w:rFonts w:eastAsia="Calibri"/>
                              <w:color w:val="000000"/>
                              <w:szCs w:val="24"/>
                              <w:lang w:eastAsia="lt-LT"/>
                            </w:rPr>
                          </w:pPr>
                          <w:sdt>
                            <w:sdtPr>
                              <w:alias w:val="Numeris"/>
                              <w:tag w:val="nr_91992fe3b55841df9d94bd8d491e5f13"/>
                              <w:lock w:val="sdtLocked"/>
                              <w:richText/>
                            </w:sdtPr>
                            <w:sdtContent>
                              <w:r>
                                <w:rPr>
                                  <w:rFonts w:eastAsia="Calibri"/>
                                  <w:color w:val="000000"/>
                                  <w:szCs w:val="24"/>
                                  <w:lang w:eastAsia="lt-LT"/>
                                </w:rPr>
                                <w:t>2</w:t>
                              </w:r>
                            </w:sdtContent>
                          </w:sdt>
                          <w:r>
                            <w:rPr>
                              <w:rFonts w:eastAsia="Calibri"/>
                              <w:color w:val="000000"/>
                              <w:szCs w:val="24"/>
                              <w:lang w:eastAsia="lt-LT"/>
                            </w:rPr>
                            <w:t xml:space="preserve">) lėšų įmokėjimas ir gaunamų mokėjimų įskaitymas į mokėjimo sąskaitą, taip pat šioms mokėjimo operacijoms vykdyti reikalingos paslaugos; </w:t>
                          </w:r>
                        </w:p>
                      </w:sdtContent>
                    </w:sdt>
                    <w:sdt>
                      <w:sdtPr>
                        <w:alias w:val="72 str. 1 d. 3 p."/>
                        <w:tag w:val="part_3271a7c455274b45b659d2a6684f9a2c"/>
                        <w:lock w:val="sdtLocked"/>
                        <w:richText/>
                      </w:sdtPr>
                      <w:sdtContent>
                        <w:p>
                          <w:pPr>
                            <w:spacing w:line="360" w:lineRule="auto"/>
                            <w:ind w:firstLine="720"/>
                            <w:jc w:val="both"/>
                            <w:rPr>
                              <w:rFonts w:eastAsia="Calibri"/>
                              <w:color w:val="000000"/>
                              <w:szCs w:val="24"/>
                              <w:lang w:eastAsia="lt-LT"/>
                            </w:rPr>
                          </w:pPr>
                          <w:sdt>
                            <w:sdtPr>
                              <w:alias w:val="Numeris"/>
                              <w:tag w:val="nr_3271a7c455274b45b659d2a6684f9a2c"/>
                              <w:lock w:val="sdtLocked"/>
                              <w:richText/>
                            </w:sdtPr>
                            <w:sdtContent>
                              <w:r>
                                <w:rPr>
                                  <w:rFonts w:eastAsia="Calibri"/>
                                  <w:color w:val="000000"/>
                                  <w:szCs w:val="24"/>
                                  <w:lang w:eastAsia="lt-LT"/>
                                </w:rPr>
                                <w:t>3</w:t>
                              </w:r>
                            </w:sdtContent>
                          </w:sdt>
                          <w:r>
                            <w:rPr>
                              <w:rFonts w:eastAsia="Calibri"/>
                              <w:color w:val="000000"/>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72 str. 1 d. 4 p."/>
                        <w:tag w:val="part_4b81f5c04e7e45acbdf39efa15a27c23"/>
                        <w:lock w:val="sdtLocked"/>
                        <w:richText/>
                      </w:sdtPr>
                      <w:sdtContent>
                        <w:p>
                          <w:pPr>
                            <w:spacing w:line="360" w:lineRule="auto"/>
                            <w:ind w:firstLine="720"/>
                            <w:jc w:val="both"/>
                            <w:rPr>
                              <w:rFonts w:eastAsia="Calibri"/>
                              <w:color w:val="000000"/>
                              <w:szCs w:val="24"/>
                              <w:lang w:eastAsia="lt-LT"/>
                            </w:rPr>
                          </w:pPr>
                          <w:sdt>
                            <w:sdtPr>
                              <w:alias w:val="Numeris"/>
                              <w:tag w:val="nr_4b81f5c04e7e45acbdf39efa15a27c23"/>
                              <w:lock w:val="sdtLocked"/>
                              <w:richText/>
                            </w:sdtPr>
                            <w:sdtContent>
                              <w:r>
                                <w:rPr>
                                  <w:rFonts w:eastAsia="Calibri"/>
                                  <w:color w:val="000000"/>
                                  <w:szCs w:val="24"/>
                                  <w:lang w:eastAsia="lt-LT"/>
                                </w:rPr>
                                <w:t>4</w:t>
                              </w:r>
                            </w:sdtContent>
                          </w:sdt>
                          <w:r>
                            <w:rPr>
                              <w:rFonts w:eastAsia="Calibri"/>
                              <w:color w:val="000000"/>
                              <w:szCs w:val="24"/>
                              <w:lang w:eastAsia="lt-LT"/>
                            </w:rPr>
                            <w:t>) mokėjimo operacijos naudojant mokėjimo kortelę, įskaitant mokėjimus internetu;</w:t>
                          </w:r>
                        </w:p>
                      </w:sdtContent>
                    </w:sdt>
                    <w:sdt>
                      <w:sdtPr>
                        <w:alias w:val="72 str. 1 d. 5 p."/>
                        <w:tag w:val="part_d743c4773b854e5dadae11f5b0050b02"/>
                        <w:lock w:val="sdtLocked"/>
                        <w:richText/>
                      </w:sdtPr>
                      <w:sdtContent>
                        <w:p>
                          <w:pPr>
                            <w:spacing w:line="360" w:lineRule="auto"/>
                            <w:ind w:firstLine="720"/>
                            <w:jc w:val="both"/>
                            <w:rPr>
                              <w:rFonts w:eastAsia="Calibri"/>
                              <w:color w:val="000000"/>
                              <w:szCs w:val="24"/>
                              <w:lang w:eastAsia="lt-LT"/>
                            </w:rPr>
                          </w:pPr>
                          <w:sdt>
                            <w:sdtPr>
                              <w:alias w:val="Numeris"/>
                              <w:tag w:val="nr_d743c4773b854e5dadae11f5b0050b02"/>
                              <w:lock w:val="sdtLocked"/>
                              <w:richText/>
                            </w:sdtPr>
                            <w:sdtContent>
                              <w:r>
                                <w:rPr>
                                  <w:rFonts w:eastAsia="Calibri"/>
                                  <w:color w:val="000000"/>
                                  <w:szCs w:val="24"/>
                                  <w:lang w:eastAsia="lt-LT"/>
                                </w:rPr>
                                <w:t>5</w:t>
                              </w:r>
                            </w:sdtContent>
                          </w:sdt>
                          <w:r>
                            <w:rPr>
                              <w:rFonts w:eastAsia="Calibri"/>
                              <w:color w:val="000000"/>
                              <w:szCs w:val="24"/>
                              <w:lang w:eastAsia="lt-LT"/>
                            </w:rPr>
                            <w:t>) klientų aptarnavimo vietose ir (arba) įstaigos internetinėmis priemonėmis atliekamų kredito pervedimų, įskaitant periodinio pervedimo nurodymus, vykdymas valstybėse narėse;</w:t>
                          </w:r>
                        </w:p>
                      </w:sdtContent>
                    </w:sdt>
                    <w:sdt>
                      <w:sdtPr>
                        <w:alias w:val="72 str. 1 d. 6 p."/>
                        <w:tag w:val="part_74d51561ac974bcdab3ac5cbd63ba29a"/>
                        <w:lock w:val="sdtLocked"/>
                        <w:richText/>
                      </w:sdtPr>
                      <w:sdtContent>
                        <w:p>
                          <w:pPr>
                            <w:spacing w:line="360" w:lineRule="auto"/>
                            <w:ind w:firstLine="720"/>
                            <w:jc w:val="both"/>
                            <w:rPr>
                              <w:rFonts w:eastAsia="Calibri"/>
                              <w:color w:val="000000"/>
                              <w:szCs w:val="24"/>
                              <w:lang w:eastAsia="lt-LT"/>
                            </w:rPr>
                          </w:pPr>
                          <w:sdt>
                            <w:sdtPr>
                              <w:alias w:val="Numeris"/>
                              <w:tag w:val="nr_74d51561ac974bcdab3ac5cbd63ba29a"/>
                              <w:lock w:val="sdtLocked"/>
                              <w:richText/>
                            </w:sdtPr>
                            <w:sdtContent>
                              <w:r>
                                <w:rPr>
                                  <w:rFonts w:eastAsia="Calibri"/>
                                  <w:color w:val="000000"/>
                                  <w:szCs w:val="24"/>
                                  <w:lang w:eastAsia="lt-LT"/>
                                </w:rPr>
                                <w:t>6</w:t>
                              </w:r>
                            </w:sdtContent>
                          </w:sdt>
                          <w:r>
                            <w:rPr>
                              <w:rFonts w:eastAsia="Calibri"/>
                              <w:color w:val="000000"/>
                              <w:szCs w:val="24"/>
                              <w:lang w:eastAsia="lt-LT"/>
                            </w:rPr>
                            <w:t>) mokėjimo priemonių, įskaitant mokėjimo kortelę, išdavimas;</w:t>
                          </w:r>
                        </w:p>
                      </w:sdtContent>
                    </w:sdt>
                    <w:sdt>
                      <w:sdtPr>
                        <w:alias w:val="72 str. 1 d. 7 p."/>
                        <w:tag w:val="part_80b2a375384b4d80a9e89cb019423abd"/>
                        <w:lock w:val="sdtLocked"/>
                        <w:richText/>
                      </w:sdtPr>
                      <w:sdtContent>
                        <w:p>
                          <w:pPr>
                            <w:spacing w:line="360" w:lineRule="auto"/>
                            <w:ind w:firstLine="720"/>
                            <w:jc w:val="both"/>
                            <w:rPr>
                              <w:rFonts w:eastAsia="Calibri"/>
                              <w:color w:val="000000"/>
                              <w:szCs w:val="24"/>
                              <w:lang w:eastAsia="lt-LT"/>
                            </w:rPr>
                          </w:pPr>
                          <w:sdt>
                            <w:sdtPr>
                              <w:alias w:val="Numeris"/>
                              <w:tag w:val="nr_80b2a375384b4d80a9e89cb019423abd"/>
                              <w:lock w:val="sdtLocked"/>
                              <w:richText/>
                            </w:sdtPr>
                            <w:sdtContent>
                              <w:r>
                                <w:rPr>
                                  <w:rFonts w:eastAsia="Calibri"/>
                                  <w:color w:val="000000"/>
                                  <w:szCs w:val="24"/>
                                  <w:lang w:eastAsia="lt-LT"/>
                                </w:rPr>
                                <w:t>7</w:t>
                              </w:r>
                            </w:sdtContent>
                          </w:sdt>
                          <w:r>
                            <w:rPr>
                              <w:rFonts w:eastAsia="Calibri"/>
                              <w:color w:val="000000"/>
                              <w:szCs w:val="24"/>
                              <w:lang w:eastAsia="lt-LT"/>
                            </w:rPr>
                            <w:t>) tiesioginio debeto operacijos.</w:t>
                          </w:r>
                        </w:p>
                      </w:sdtContent>
                    </w:sdt>
                  </w:sdtContent>
                </w:sdt>
                <w:sdt>
                  <w:sdtPr>
                    <w:alias w:val="72 str. 2 d."/>
                    <w:tag w:val="part_94e0fa9d27d645c595af0a4c19e93e25"/>
                    <w:lock w:val="sdtLocked"/>
                    <w:richText/>
                  </w:sdtPr>
                  <w:sdtContent>
                    <w:p>
                      <w:pPr>
                        <w:spacing w:line="360" w:lineRule="auto"/>
                        <w:ind w:firstLine="720"/>
                        <w:jc w:val="both"/>
                        <w:rPr>
                          <w:rFonts w:eastAsia="Calibri"/>
                          <w:color w:val="000000"/>
                          <w:szCs w:val="24"/>
                          <w:lang w:eastAsia="lt-LT"/>
                        </w:rPr>
                      </w:pPr>
                      <w:sdt>
                        <w:sdtPr>
                          <w:alias w:val="Numeris"/>
                          <w:tag w:val="nr_94e0fa9d27d645c595af0a4c19e93e25"/>
                          <w:lock w:val="sdtLocked"/>
                          <w:richText/>
                        </w:sdtPr>
                        <w:sdtContent>
                          <w:r>
                            <w:rPr>
                              <w:rFonts w:eastAsia="Calibri"/>
                              <w:color w:val="000000"/>
                              <w:szCs w:val="24"/>
                              <w:lang w:eastAsia="lt-LT"/>
                            </w:rPr>
                            <w:t>2</w:t>
                          </w:r>
                        </w:sdtContent>
                      </w:sdt>
                      <w:r>
                        <w:rPr>
                          <w:rFonts w:eastAsia="Calibri"/>
                          <w:color w:val="000000"/>
                          <w:szCs w:val="24"/>
                          <w:lang w:eastAsia="lt-LT"/>
                        </w:rPr>
                        <w:t>. Įstaiga pagrindinę mokėjimo sąskaitą atidaro eurais, nebent su vartotoju susitaria dėl kitos valiutos.</w:t>
                      </w:r>
                    </w:p>
                  </w:sdtContent>
                </w:sdt>
                <w:sdt>
                  <w:sdtPr>
                    <w:alias w:val="72 str. 3 d."/>
                    <w:tag w:val="part_fcad9aa2f97e4e75969230550046f0f9"/>
                    <w:lock w:val="sdtLocked"/>
                    <w:richText/>
                  </w:sdtPr>
                  <w:sdtContent>
                    <w:p>
                      <w:pPr>
                        <w:spacing w:line="360" w:lineRule="auto"/>
                        <w:ind w:firstLine="720"/>
                        <w:jc w:val="both"/>
                        <w:rPr>
                          <w:rFonts w:eastAsia="Calibri"/>
                          <w:color w:val="000000"/>
                          <w:szCs w:val="24"/>
                          <w:lang w:eastAsia="lt-LT"/>
                        </w:rPr>
                      </w:pPr>
                      <w:sdt>
                        <w:sdtPr>
                          <w:alias w:val="Numeris"/>
                          <w:tag w:val="nr_fcad9aa2f97e4e75969230550046f0f9"/>
                          <w:lock w:val="sdtLocked"/>
                          <w:richText/>
                        </w:sdtPr>
                        <w:sdtContent>
                          <w:r>
                            <w:rPr>
                              <w:rFonts w:eastAsia="Calibri"/>
                              <w:color w:val="000000"/>
                              <w:szCs w:val="24"/>
                              <w:lang w:eastAsia="lt-LT"/>
                            </w:rPr>
                            <w:t>3</w:t>
                          </w:r>
                        </w:sdtContent>
                      </w:sdt>
                      <w:r>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0995b1f025be4666a8dc73a644d36a99"/>
                    <w:lock w:val="sdtLocked"/>
                    <w:richText/>
                  </w:sdtPr>
                  <w:sdtContent>
                    <w:p>
                      <w:pPr>
                        <w:spacing w:line="360" w:lineRule="auto"/>
                        <w:ind w:firstLine="720"/>
                        <w:jc w:val="both"/>
                        <w:rPr>
                          <w:rFonts w:eastAsia="Calibri"/>
                          <w:color w:val="000000"/>
                          <w:szCs w:val="24"/>
                          <w:lang w:eastAsia="lt-LT"/>
                        </w:rPr>
                      </w:pPr>
                      <w:sdt>
                        <w:sdtPr>
                          <w:alias w:val="Numeris"/>
                          <w:tag w:val="nr_0995b1f025be4666a8dc73a644d36a99"/>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color w:val="000000"/>
                          <w:szCs w:val="24"/>
                          <w:lang w:eastAsia="lt-LT"/>
                        </w:rPr>
                        <w:t>minimalią lėšų sumą per mėnesį, už kuriuos įstaiga gali imti ne didesnį, negu šio įstatymo 73 straipsnyje nustatyta, komisinį atlyginimą, taip, kad būtų tenkinami šie kriterijai:</w:t>
                      </w:r>
                    </w:p>
                    <w:sdt>
                      <w:sdtPr>
                        <w:alias w:val="72 str. 4 d. 1 p."/>
                        <w:tag w:val="part_ad9f87d81bdf4a9a8e12022ad5d464cb"/>
                        <w:lock w:val="sdtLocked"/>
                        <w:richText/>
                      </w:sdtPr>
                      <w:sdtContent>
                        <w:p>
                          <w:pPr>
                            <w:spacing w:line="360" w:lineRule="auto"/>
                            <w:ind w:firstLine="720"/>
                            <w:jc w:val="both"/>
                            <w:rPr>
                              <w:rFonts w:eastAsia="Calibri"/>
                              <w:color w:val="000000"/>
                              <w:szCs w:val="24"/>
                              <w:lang w:eastAsia="lt-LT"/>
                            </w:rPr>
                          </w:pPr>
                          <w:sdt>
                            <w:sdtPr>
                              <w:alias w:val="Numeris"/>
                              <w:tag w:val="nr_ad9f87d81bdf4a9a8e12022ad5d464cb"/>
                              <w:lock w:val="sdtLocked"/>
                              <w:richText/>
                            </w:sdtPr>
                            <w:sdtContent>
                              <w:r>
                                <w:rPr>
                                  <w:rFonts w:eastAsia="Calibri"/>
                                  <w:color w:val="000000"/>
                                  <w:szCs w:val="24"/>
                                  <w:lang w:eastAsia="lt-LT"/>
                                </w:rPr>
                                <w:t>1</w:t>
                              </w:r>
                            </w:sdtContent>
                          </w:sdt>
                          <w:r>
                            <w:rPr>
                              <w:rFonts w:eastAsia="Calibri"/>
                              <w:color w:val="000000"/>
                              <w:szCs w:val="24"/>
                              <w:lang w:eastAsia="lt-LT"/>
                            </w:rPr>
                            <w:t>) šio straipsnio 1 dalies 1, 2, 3 ir 4 punktuose nurodytų paslaugų ir operacijų, išskyrus mokėjimo operacijas naudojant kredito kortelę, skaičius turi būti neribotas;</w:t>
                          </w:r>
                        </w:p>
                      </w:sdtContent>
                    </w:sdt>
                    <w:sdt>
                      <w:sdtPr>
                        <w:alias w:val="72 str. 4 d. 2 p."/>
                        <w:tag w:val="part_d4b9ec4cdfa242029737f9c81715081f"/>
                        <w:lock w:val="sdtLocked"/>
                        <w:richText/>
                      </w:sdtPr>
                      <w:sdtContent>
                        <w:p>
                          <w:pPr>
                            <w:spacing w:line="360" w:lineRule="auto"/>
                            <w:ind w:firstLine="720"/>
                            <w:jc w:val="both"/>
                            <w:rPr>
                              <w:rFonts w:eastAsia="Calibri"/>
                              <w:color w:val="000000"/>
                              <w:szCs w:val="24"/>
                              <w:lang w:eastAsia="lt-LT"/>
                            </w:rPr>
                          </w:pPr>
                          <w:sdt>
                            <w:sdtPr>
                              <w:alias w:val="Numeris"/>
                              <w:tag w:val="nr_d4b9ec4cdfa242029737f9c81715081f"/>
                              <w:lock w:val="sdtLocked"/>
                              <w:richText/>
                            </w:sdtPr>
                            <w:sdtContent>
                              <w:r>
                                <w:rPr>
                                  <w:rFonts w:eastAsia="Calibri"/>
                                  <w:color w:val="000000"/>
                                  <w:szCs w:val="24"/>
                                  <w:lang w:eastAsia="lt-LT"/>
                                </w:rPr>
                                <w:t>2</w:t>
                              </w:r>
                            </w:sdtContent>
                          </w:sdt>
                          <w:r>
                            <w:rPr>
                              <w:rFonts w:eastAsia="Calibri"/>
                              <w:color w:val="000000"/>
                              <w:szCs w:val="24"/>
                              <w:lang w:eastAsia="lt-LT"/>
                            </w:rPr>
                            <w:t>) minimali šio straipsnio 1 dalies 3 punkte nurodytos mokėjimo operacijos lėšų suma per mėnesį turi būti pakankama, kad būtų galima patenkinti įprastus vartotojo mokėjimo poreikius.</w:t>
                          </w:r>
                          <w:r>
                            <w:rPr>
                              <w:rFonts w:eastAsia="Calibri"/>
                              <w:b/>
                              <w:bCs/>
                              <w:color w:val="000000"/>
                              <w:szCs w:val="24"/>
                              <w:shd w:val="clear" w:color="auto" w:fill="FFFFFF"/>
                              <w:lang w:eastAsia="lt-LT"/>
                            </w:rPr>
                            <w:t xml:space="preserve"> </w:t>
                          </w:r>
                          <w:r>
                            <w:rPr>
                              <w:rFonts w:eastAsia="Calibri"/>
                              <w:bCs/>
                              <w:color w:val="000000"/>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color w:val="000000"/>
                              <w:szCs w:val="24"/>
                              <w:lang w:eastAsia="lt-LT"/>
                            </w:rPr>
                            <w:t xml:space="preserve"> </w:t>
                          </w:r>
                        </w:p>
                      </w:sdtContent>
                    </w:sdt>
                    <w:sdt>
                      <w:sdtPr>
                        <w:alias w:val="72 str. 4 d. 3 p."/>
                        <w:tag w:val="part_7053679e6bbe49b296edff0024795137"/>
                        <w:lock w:val="sdtLocked"/>
                        <w:richText/>
                      </w:sdtPr>
                      <w:sdtContent>
                        <w:p>
                          <w:pPr>
                            <w:spacing w:line="360" w:lineRule="auto"/>
                            <w:ind w:firstLine="720"/>
                            <w:jc w:val="both"/>
                            <w:rPr>
                              <w:rFonts w:eastAsia="Calibri"/>
                              <w:color w:val="000000"/>
                              <w:szCs w:val="24"/>
                              <w:lang w:eastAsia="lt-LT"/>
                            </w:rPr>
                          </w:pPr>
                          <w:sdt>
                            <w:sdtPr>
                              <w:alias w:val="Numeris"/>
                              <w:tag w:val="nr_7053679e6bbe49b296edff0024795137"/>
                              <w:lock w:val="sdtLocked"/>
                              <w:richText/>
                            </w:sdtPr>
                            <w:sdtContent>
                              <w:r>
                                <w:rPr>
                                  <w:rFonts w:eastAsia="Calibri"/>
                                  <w:color w:val="000000"/>
                                  <w:szCs w:val="24"/>
                                  <w:lang w:eastAsia="lt-LT"/>
                                </w:rPr>
                                <w:t>3</w:t>
                              </w:r>
                            </w:sdtContent>
                          </w:sdt>
                          <w:r>
                            <w:rPr>
                              <w:rFonts w:eastAsia="Calibri"/>
                              <w:color w:val="000000"/>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72 str. 5 d."/>
                    <w:tag w:val="part_7616de54398b4f56be7d10551e8681e4"/>
                    <w:lock w:val="sdtLocked"/>
                    <w:richText/>
                  </w:sdtPr>
                  <w:sdtContent>
                    <w:p>
                      <w:pPr>
                        <w:spacing w:line="360" w:lineRule="auto"/>
                        <w:ind w:firstLine="720"/>
                        <w:jc w:val="both"/>
                        <w:rPr>
                          <w:rFonts w:eastAsia="Calibri"/>
                          <w:color w:val="000000"/>
                          <w:szCs w:val="24"/>
                          <w:lang w:eastAsia="lt-LT"/>
                        </w:rPr>
                      </w:pPr>
                      <w:sdt>
                        <w:sdtPr>
                          <w:alias w:val="Numeris"/>
                          <w:tag w:val="nr_7616de54398b4f56be7d10551e8681e4"/>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jeigu yra reikšmingų vartotojų mokėjimo elgsenos arba mokėjimų rinkos pokyčių, peržiūri ir prireikus atnaujina pagal šio straipsnio 4 dalyje nustatytus kriterijus pagrindinės mokėjimo sąskaitos paslaugą sudarančių paslaugų ir mokėjimo operacijų skaičių</w:t>
                      </w:r>
                      <w:r>
                        <w:rPr>
                          <w:rFonts w:eastAsia="Calibri"/>
                          <w:szCs w:val="24"/>
                        </w:rPr>
                        <w:t xml:space="preserve"> </w:t>
                      </w:r>
                      <w:r>
                        <w:rPr>
                          <w:rFonts w:eastAsia="Calibri"/>
                          <w:color w:val="000000"/>
                          <w:szCs w:val="24"/>
                          <w:lang w:eastAsia="lt-LT"/>
                        </w:rPr>
                        <w:t>ir šio straipsnio 1 dalies 3 punkte nurodytos mokėjimo operacijos lėšų sumą.</w:t>
                      </w:r>
                    </w:p>
                  </w:sdtContent>
                </w:sdt>
                <w:sdt>
                  <w:sdtPr>
                    <w:alias w:val="72 str. 6 d."/>
                    <w:tag w:val="part_703cdef0907e4ae08ef7a29f46c00c91"/>
                    <w:lock w:val="sdtLocked"/>
                    <w:richText/>
                  </w:sdtPr>
                  <w:sdtContent>
                    <w:p>
                      <w:pPr>
                        <w:spacing w:line="360" w:lineRule="auto"/>
                        <w:ind w:firstLine="720"/>
                        <w:jc w:val="both"/>
                        <w:rPr>
                          <w:rFonts w:eastAsia="Calibri"/>
                          <w:color w:val="000000"/>
                          <w:szCs w:val="24"/>
                          <w:lang w:eastAsia="lt-LT"/>
                        </w:rPr>
                      </w:pPr>
                      <w:sdt>
                        <w:sdtPr>
                          <w:alias w:val="Numeris"/>
                          <w:tag w:val="nr_703cdef0907e4ae08ef7a29f46c00c91"/>
                          <w:lock w:val="sdtLocked"/>
                          <w:richText/>
                        </w:sdtPr>
                        <w:sdtContent>
                          <w:r>
                            <w:rPr>
                              <w:rFonts w:eastAsia="Calibri"/>
                              <w:color w:val="000000"/>
                              <w:szCs w:val="24"/>
                              <w:lang w:eastAsia="lt-LT"/>
                            </w:rPr>
                            <w:t>6</w:t>
                          </w:r>
                        </w:sdtContent>
                      </w:sdt>
                      <w:r>
                        <w:rPr>
                          <w:rFonts w:eastAsia="Calibri"/>
                          <w:color w:val="000000"/>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color w:val="000000"/>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72 str. 7 d."/>
                    <w:tag w:val="part_ee64e8f195854fd0bcda40a6eeeb8fb3"/>
                    <w:lock w:val="sdtLocked"/>
                    <w:richText/>
                  </w:sdtPr>
                  <w:sdtContent>
                    <w:p>
                      <w:pPr>
                        <w:spacing w:line="360" w:lineRule="auto"/>
                        <w:ind w:firstLine="720"/>
                        <w:jc w:val="both"/>
                        <w:rPr>
                          <w:rFonts w:eastAsia="Calibri"/>
                          <w:color w:val="000000"/>
                          <w:szCs w:val="24"/>
                          <w:lang w:eastAsia="lt-LT"/>
                        </w:rPr>
                      </w:pPr>
                      <w:sdt>
                        <w:sdtPr>
                          <w:alias w:val="Numeris"/>
                          <w:tag w:val="nr_ee64e8f195854fd0bcda40a6eeeb8fb3"/>
                          <w:lock w:val="sdtLocked"/>
                          <w:richText/>
                        </w:sdtPr>
                        <w:sdtContent>
                          <w:r>
                            <w:rPr>
                              <w:rFonts w:eastAsia="Calibri"/>
                              <w:color w:val="000000"/>
                              <w:szCs w:val="24"/>
                              <w:lang w:eastAsia="lt-LT"/>
                            </w:rPr>
                            <w:t>7</w:t>
                          </w:r>
                        </w:sdtContent>
                      </w:sdt>
                      <w:r>
                        <w:rPr>
                          <w:rFonts w:eastAsia="Calibri"/>
                          <w:color w:val="000000"/>
                          <w:szCs w:val="24"/>
                          <w:lang w:eastAsia="lt-LT"/>
                        </w:rPr>
                        <w:t>. Laikydamasi Vartojimo kredito įstatyme nustatytų reikalavimų, įstaiga turi teisę vartotojo prašymu sudaryti sąskaitos kreditavimo sutartį dėl pagrindinės mokėjimo sąskaitos</w:t>
                      </w:r>
                      <w:r>
                        <w:rPr>
                          <w:rFonts w:eastAsia="Calibri"/>
                          <w:bCs/>
                          <w:color w:val="000000"/>
                          <w:szCs w:val="24"/>
                        </w:rPr>
                        <w:t xml:space="preserve"> arba papildomai išduoti kredito kortelę</w:t>
                      </w:r>
                      <w:r>
                        <w:rPr>
                          <w:rFonts w:eastAsia="Calibri"/>
                          <w:color w:val="000000"/>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color w:val="000000"/>
                          <w:szCs w:val="24"/>
                          <w:lang w:eastAsia="lt-LT"/>
                        </w:rPr>
                      </w:pPr>
                    </w:p>
                  </w:sdtContent>
                </w:sdt>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feb8fe8bc0d74b269eb42fc02fe17492"/>
                    <w:lock w:val="sdtLocked"/>
                    <w:richText/>
                  </w:sdtPr>
                  <w:sdtContent>
                    <w:p>
                      <w:pPr>
                        <w:spacing w:line="360" w:lineRule="auto"/>
                        <w:ind w:firstLine="720"/>
                        <w:jc w:val="both"/>
                        <w:rPr>
                          <w:rFonts w:eastAsia="Calibri"/>
                          <w:color w:val="000000"/>
                          <w:szCs w:val="24"/>
                          <w:lang w:eastAsia="lt-LT"/>
                        </w:rPr>
                      </w:pPr>
                      <w:sdt>
                        <w:sdtPr>
                          <w:alias w:val="Numeris"/>
                          <w:tag w:val="nr_feb8fe8bc0d74b269eb42fc02fe17492"/>
                          <w:lock w:val="sdtLocked"/>
                          <w:richText/>
                        </w:sdtPr>
                        <w:sdtContent>
                          <w:r>
                            <w:rPr>
                              <w:rFonts w:eastAsia="Calibri"/>
                              <w:color w:val="000000"/>
                              <w:szCs w:val="24"/>
                              <w:lang w:eastAsia="lt-LT"/>
                            </w:rPr>
                            <w:t>1</w:t>
                          </w:r>
                        </w:sdtContent>
                      </w:sdt>
                      <w:r>
                        <w:rPr>
                          <w:rFonts w:eastAsia="Calibri"/>
                          <w:color w:val="000000"/>
                          <w:szCs w:val="24"/>
                          <w:lang w:eastAsia="lt-LT"/>
                        </w:rPr>
                        <w:t>. Įstaiga už pagrindinės mokėjimo sąskaitos paslaugą, kaip nustatyta priežiūros institucijos pagal šio įstatymo 72 straipsnio 4 dalį, turi teisę imti komisinį atlyginimą, kurio maksimalų dydį per mėnesį kiekvienais metais nustato priežiūros institucija. Maksimalus komisinio atlyginimo dydis turi būti pagrįstas šiais kriterijais:</w:t>
                      </w:r>
                    </w:p>
                    <w:sdt>
                      <w:sdtPr>
                        <w:alias w:val="73 str. 1 d. 1 p."/>
                        <w:tag w:val="part_07282be590814b31ad9743d49b5af964"/>
                        <w:lock w:val="sdtLocked"/>
                        <w:richText/>
                      </w:sdtPr>
                      <w:sdtContent>
                        <w:p>
                          <w:pPr>
                            <w:spacing w:line="360" w:lineRule="auto"/>
                            <w:ind w:firstLine="720"/>
                            <w:jc w:val="both"/>
                            <w:rPr>
                              <w:rFonts w:eastAsia="Calibri"/>
                              <w:color w:val="000000"/>
                              <w:szCs w:val="24"/>
                              <w:lang w:eastAsia="lt-LT"/>
                            </w:rPr>
                          </w:pPr>
                          <w:sdt>
                            <w:sdtPr>
                              <w:alias w:val="Numeris"/>
                              <w:tag w:val="nr_07282be590814b31ad9743d49b5af964"/>
                              <w:lock w:val="sdtLocked"/>
                              <w:richText/>
                            </w:sdtPr>
                            <w:sdtContent>
                              <w:r>
                                <w:rPr>
                                  <w:rFonts w:eastAsia="Calibri"/>
                                  <w:color w:val="000000"/>
                                  <w:szCs w:val="24"/>
                                  <w:lang w:eastAsia="lt-LT"/>
                                </w:rPr>
                                <w:t>1</w:t>
                              </w:r>
                            </w:sdtContent>
                          </w:sdt>
                          <w:r>
                            <w:rPr>
                              <w:rFonts w:eastAsia="Calibri"/>
                              <w:color w:val="000000"/>
                              <w:szCs w:val="24"/>
                              <w:lang w:eastAsia="lt-LT"/>
                            </w:rPr>
                            <w:t>) nacionaliniu pajamų lygiu;</w:t>
                          </w:r>
                        </w:p>
                      </w:sdtContent>
                    </w:sdt>
                    <w:sdt>
                      <w:sdtPr>
                        <w:alias w:val="73 str. 1 d. 2 p."/>
                        <w:tag w:val="part_d00628c0f1874af4b1b49999c71b7df1"/>
                        <w:lock w:val="sdtLocked"/>
                        <w:richText/>
                      </w:sdtPr>
                      <w:sdtContent>
                        <w:p>
                          <w:pPr>
                            <w:spacing w:line="360" w:lineRule="auto"/>
                            <w:ind w:firstLine="720"/>
                            <w:jc w:val="both"/>
                            <w:rPr>
                              <w:rFonts w:eastAsia="Calibri"/>
                              <w:color w:val="000000"/>
                              <w:szCs w:val="24"/>
                              <w:lang w:eastAsia="lt-LT"/>
                            </w:rPr>
                          </w:pPr>
                          <w:sdt>
                            <w:sdtPr>
                              <w:alias w:val="Numeris"/>
                              <w:tag w:val="nr_d00628c0f1874af4b1b49999c71b7df1"/>
                              <w:lock w:val="sdtLocked"/>
                              <w:richText/>
                            </w:sdtPr>
                            <w:sdtContent>
                              <w:r>
                                <w:rPr>
                                  <w:rFonts w:eastAsia="Calibri"/>
                                  <w:color w:val="000000"/>
                                  <w:szCs w:val="24"/>
                                  <w:lang w:eastAsia="lt-LT"/>
                                </w:rPr>
                                <w:t>2</w:t>
                              </w:r>
                            </w:sdtContent>
                          </w:sdt>
                          <w:r>
                            <w:rPr>
                              <w:rFonts w:eastAsia="Calibri"/>
                              <w:color w:val="000000"/>
                              <w:szCs w:val="24"/>
                              <w:lang w:eastAsia="lt-LT"/>
                            </w:rPr>
                            <w:t>) vidutiniais per vienus metus įstaigų imamais komisiniais atlyginimais, taikomais už su mokėjimo sąskaita susijusias paslaugas.</w:t>
                          </w:r>
                        </w:p>
                      </w:sdtContent>
                    </w:sdt>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a015e5c0446e48eea125702d27f8ff9a"/>
                    <w:lock w:val="sdtLocked"/>
                    <w:richText/>
                  </w:sdtPr>
                  <w:sdtContent>
                    <w:p>
                      <w:pPr>
                        <w:spacing w:line="360" w:lineRule="auto"/>
                        <w:ind w:firstLine="720"/>
                        <w:jc w:val="both"/>
                        <w:rPr>
                          <w:rFonts w:eastAsia="Calibri"/>
                          <w:color w:val="000000"/>
                          <w:szCs w:val="24"/>
                          <w:lang w:eastAsia="lt-LT"/>
                        </w:rPr>
                      </w:pPr>
                      <w:sdt>
                        <w:sdtPr>
                          <w:alias w:val="Numeris"/>
                          <w:tag w:val="nr_a015e5c0446e48eea125702d27f8ff9a"/>
                          <w:lock w:val="sdtLocked"/>
                          <w:richText/>
                        </w:sdtPr>
                        <w:sdtContent>
                          <w:r>
                            <w:rPr>
                              <w:rFonts w:eastAsia="Calibri"/>
                              <w:color w:val="000000"/>
                              <w:szCs w:val="24"/>
                              <w:lang w:eastAsia="lt-LT"/>
                            </w:rPr>
                            <w:t>4</w:t>
                          </w:r>
                        </w:sdtContent>
                      </w:sdt>
                      <w:r>
                        <w:rPr>
                          <w:rFonts w:eastAsia="Calibri"/>
                          <w:color w:val="000000"/>
                          <w:szCs w:val="24"/>
                          <w:lang w:eastAsia="lt-LT"/>
                        </w:rPr>
                        <w:t>. Komisinis atlyginimas už paslaugas ir mokėjimo operacijas, viršijančias priežiūros institucijos nustatytą pagrindinės mokėjimo sąskaitos paslaugą sudarančių paslaugų ir mokėjimo operacijų skaičių ir šio įstatymo 72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eb13033c81dc4b2dbf44e249bef59e74"/>
                    <w:lock w:val="sdtLocked"/>
                    <w:richText/>
                  </w:sdtPr>
                  <w:sdtContent>
                    <w:p>
                      <w:pPr>
                        <w:spacing w:line="360" w:lineRule="auto"/>
                        <w:ind w:firstLine="720"/>
                        <w:jc w:val="both"/>
                        <w:rPr>
                          <w:rFonts w:eastAsia="Calibri"/>
                          <w:color w:val="000000"/>
                          <w:szCs w:val="24"/>
                          <w:lang w:eastAsia="lt-LT"/>
                        </w:rPr>
                      </w:pPr>
                      <w:sdt>
                        <w:sdtPr>
                          <w:alias w:val="Numeris"/>
                          <w:tag w:val="nr_eb13033c81dc4b2dbf44e249bef59e74"/>
                          <w:lock w:val="sdtLocked"/>
                          <w:richText/>
                        </w:sdtPr>
                        <w:sdtContent>
                          <w:r>
                            <w:rPr>
                              <w:rFonts w:eastAsia="Calibri"/>
                              <w:color w:val="000000"/>
                              <w:szCs w:val="24"/>
                              <w:lang w:eastAsia="lt-LT"/>
                            </w:rPr>
                            <w:t>8</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Nustatydama maksimalaus komisinio atlyginimo apskaičiavimo tvarką, priežiūros institucija konsultuojasi su visuomene.</w:t>
                      </w:r>
                    </w:p>
                    <w:p>
                      <w:pPr>
                        <w:spacing w:line="360" w:lineRule="auto"/>
                        <w:ind w:firstLine="720"/>
                        <w:jc w:val="both"/>
                        <w:rPr>
                          <w:rFonts w:eastAsia="Calibri"/>
                          <w:b/>
                          <w:color w:val="000000"/>
                          <w:szCs w:val="24"/>
                          <w:lang w:eastAsia="lt-LT"/>
                        </w:rPr>
                      </w:pPr>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d6df24c8b2bd434d947b6560b9037664"/>
                    <w:lock w:val="sdtLocked"/>
                    <w:richText/>
                  </w:sdtPr>
                  <w:sdtContent>
                    <w:p>
                      <w:pPr>
                        <w:spacing w:line="360" w:lineRule="auto"/>
                        <w:ind w:firstLine="720"/>
                        <w:jc w:val="both"/>
                        <w:rPr>
                          <w:rFonts w:eastAsia="Calibri"/>
                          <w:color w:val="000000"/>
                          <w:szCs w:val="24"/>
                          <w:lang w:eastAsia="lt-LT"/>
                        </w:rPr>
                      </w:pPr>
                      <w:sdt>
                        <w:sdtPr>
                          <w:alias w:val="Numeris"/>
                          <w:tag w:val="nr_d6df24c8b2bd434d947b6560b9037664"/>
                          <w:lock w:val="sdtLocked"/>
                          <w:richText/>
                        </w:sdtPr>
                        <w:sdtContent>
                          <w:r>
                            <w:rPr>
                              <w:rFonts w:eastAsia="Calibri"/>
                              <w:color w:val="000000"/>
                              <w:szCs w:val="24"/>
                              <w:lang w:eastAsia="lt-LT"/>
                            </w:rPr>
                            <w:t>2</w:t>
                          </w:r>
                        </w:sdtContent>
                      </w:sdt>
                      <w:r>
                        <w:rPr>
                          <w:rFonts w:eastAsia="Calibri"/>
                          <w:color w:val="000000"/>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rFonts w:eastAsia="Calibri"/>
                          <w:b/>
                          <w:bCs/>
                          <w:caps/>
                          <w:szCs w:val="24"/>
                        </w:rPr>
                      </w:pPr>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3027d8d91c3f4beca857e886320960e5"/>
                    <w:lock w:val="sdtLocked"/>
                    <w:richText/>
                  </w:sdtPr>
                  <w:sdtContent>
                    <w:p>
                      <w:pPr>
                        <w:spacing w:line="360" w:lineRule="auto"/>
                        <w:ind w:firstLine="720"/>
                        <w:jc w:val="both"/>
                        <w:rPr>
                          <w:rFonts w:eastAsia="Calibri"/>
                          <w:color w:val="000000"/>
                          <w:szCs w:val="24"/>
                        </w:rPr>
                      </w:pPr>
                      <w:sdt>
                        <w:sdtPr>
                          <w:alias w:val="Numeris"/>
                          <w:tag w:val="nr_3027d8d91c3f4beca857e886320960e5"/>
                          <w:lock w:val="sdtLocked"/>
                          <w:richText/>
                        </w:sdtPr>
                        <w:sdtContent>
                          <w:r>
                            <w:rPr>
                              <w:rFonts w:eastAsia="Calibri"/>
                              <w:color w:val="000000"/>
                              <w:szCs w:val="24"/>
                            </w:rPr>
                            <w:t>2</w:t>
                          </w:r>
                        </w:sdtContent>
                      </w:sdt>
                      <w:r>
                        <w:rPr>
                          <w:rFonts w:eastAsia="Calibri"/>
                          <w:color w:val="000000"/>
                          <w:szCs w:val="24"/>
                        </w:rPr>
                        <w:t>. Priežiūros institucija prižiūri, kaip laikomasi šio įstatymo,</w:t>
                      </w:r>
                      <w:r>
                        <w:rPr>
                          <w:rFonts w:eastAsia="Calibri"/>
                          <w:szCs w:val="24"/>
                        </w:rPr>
                        <w:t xml:space="preserve"> </w:t>
                      </w:r>
                      <w:r>
                        <w:rPr>
                          <w:rFonts w:eastAsia="Calibri"/>
                          <w:color w:val="000000"/>
                          <w:szCs w:val="24"/>
                        </w:rPr>
                        <w:t>su jo įgyvendinimu susijusių</w:t>
                      </w:r>
                      <w:r>
                        <w:rPr>
                          <w:rFonts w:eastAsia="Calibri"/>
                          <w:b/>
                          <w:color w:val="000000"/>
                          <w:szCs w:val="24"/>
                        </w:rPr>
                        <w:t xml:space="preserve"> </w:t>
                      </w:r>
                      <w:r>
                        <w:rPr>
                          <w:rFonts w:eastAsia="Calibri"/>
                          <w:color w:val="000000"/>
                          <w:szCs w:val="24"/>
                        </w:rPr>
                        <w:t>teisės aktų, Reglamento (EB) Nr. 924/2009, Reglamento (ES) Nr. 260/2012 ir Reglamento (ES) 2015/751 (toliau šiame skyriuje – šis įstatymas ir (arba) kiti teisės aktai)</w:t>
                      </w:r>
                      <w:r>
                        <w:rPr>
                          <w:rFonts w:eastAsia="Calibri"/>
                          <w:szCs w:val="24"/>
                        </w:rPr>
                        <w:t xml:space="preserve"> </w:t>
                      </w:r>
                      <w:r>
                        <w:rPr>
                          <w:rFonts w:eastAsia="Calibri"/>
                          <w:color w:val="000000"/>
                          <w:szCs w:val="24"/>
                        </w:rPr>
                        <w:t>reikalavimų, ir savo nustatyta tvarka nagrinėja asmenų pateiktus skundus dėl galimo šio įstatymo ir (arba) kitų teisės aktų pažeidimo (toliau – teisės akto pažeidimas).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8d9d9a0b81b548d897fea4121bb8b688"/>
                    <w:lock w:val="sdtLocked"/>
                    <w:richText/>
                  </w:sdtPr>
                  <w:sdtContent>
                    <w:p>
                      <w:pPr>
                        <w:spacing w:line="360" w:lineRule="auto"/>
                        <w:ind w:firstLine="720"/>
                        <w:jc w:val="both"/>
                        <w:rPr>
                          <w:rFonts w:eastAsia="Calibri"/>
                          <w:color w:val="000000"/>
                          <w:szCs w:val="24"/>
                        </w:rPr>
                      </w:pPr>
                      <w:sdt>
                        <w:sdtPr>
                          <w:alias w:val="Numeris"/>
                          <w:tag w:val="nr_8d9d9a0b81b548d897fea4121bb8b688"/>
                          <w:lock w:val="sdtLocked"/>
                          <w:richText/>
                        </w:sdtPr>
                        <w:sdtContent>
                          <w:r>
                            <w:rPr>
                              <w:rFonts w:eastAsia="Calibri"/>
                              <w:color w:val="000000"/>
                              <w:szCs w:val="24"/>
                            </w:rPr>
                            <w:t>1</w:t>
                          </w:r>
                        </w:sdtContent>
                      </w:sdt>
                      <w:r>
                        <w:rPr>
                          <w:rFonts w:eastAsia="Calibri"/>
                          <w:color w:val="000000"/>
                          <w:szCs w:val="24"/>
                        </w:rPr>
                        <w:t>. Priežiūros institucija skiria</w:t>
                      </w:r>
                      <w:r>
                        <w:rPr>
                          <w:szCs w:val="24"/>
                          <w:lang w:val="en-US"/>
                        </w:rPr>
                        <w:t xml:space="preserve"> </w:t>
                      </w:r>
                      <w:r>
                        <w:rPr>
                          <w:rFonts w:eastAsia="Calibri"/>
                          <w:color w:val="000000"/>
                          <w:szCs w:val="24"/>
                        </w:rPr>
                        <w:t>baudas:</w:t>
                      </w:r>
                    </w:p>
                    <w:sdt>
                      <w:sdtPr>
                        <w:alias w:val="81 str. 1 d. 1 p."/>
                        <w:tag w:val="part_2c6b16ce71a443538351078a26ac7d11"/>
                        <w:lock w:val="sdtLocked"/>
                        <w:richText/>
                      </w:sdtPr>
                      <w:sdtContent>
                        <w:p>
                          <w:pPr>
                            <w:tabs>
                              <w:tab w:val="left" w:pos="900"/>
                              <w:tab w:val="left" w:pos="1080"/>
                            </w:tabs>
                            <w:spacing w:line="360" w:lineRule="auto"/>
                            <w:ind w:firstLine="720"/>
                            <w:jc w:val="both"/>
                            <w:rPr>
                              <w:rFonts w:eastAsia="Calibri"/>
                              <w:szCs w:val="24"/>
                            </w:rPr>
                          </w:pPr>
                          <w:sdt>
                            <w:sdtPr>
                              <w:alias w:val="Numeris"/>
                              <w:tag w:val="nr_2c6b16ce71a443538351078a26ac7d11"/>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81 str. 1 d. 2 p."/>
                        <w:tag w:val="part_f8d858ab022f407dabc6cd6c9b431315"/>
                        <w:lock w:val="sdtLocked"/>
                        <w:richText/>
                      </w:sdtPr>
                      <w:sdtContent>
                        <w:p>
                          <w:pPr>
                            <w:tabs>
                              <w:tab w:val="left" w:pos="900"/>
                              <w:tab w:val="left" w:pos="1080"/>
                            </w:tabs>
                            <w:spacing w:line="360" w:lineRule="auto"/>
                            <w:ind w:firstLine="720"/>
                            <w:jc w:val="both"/>
                            <w:rPr>
                              <w:rFonts w:eastAsia="Calibri"/>
                              <w:szCs w:val="24"/>
                            </w:rPr>
                          </w:pPr>
                          <w:sdt>
                            <w:sdtPr>
                              <w:alias w:val="Numeris"/>
                              <w:tag w:val="nr_f8d858ab022f407dabc6cd6c9b431315"/>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81 str. 2 d."/>
                    <w:tag w:val="part_970fcd1d34474fa9afd8b811999136b1"/>
                    <w:lock w:val="sdtLocked"/>
                    <w:richText/>
                  </w:sdtPr>
                  <w:sdtContent>
                    <w:p>
                      <w:pPr>
                        <w:tabs>
                          <w:tab w:val="left" w:pos="900"/>
                          <w:tab w:val="left" w:pos="1080"/>
                        </w:tabs>
                        <w:spacing w:line="360" w:lineRule="auto"/>
                        <w:ind w:firstLine="720"/>
                        <w:jc w:val="both"/>
                        <w:rPr>
                          <w:rFonts w:eastAsia="Calibri"/>
                          <w:szCs w:val="24"/>
                        </w:rPr>
                      </w:pPr>
                      <w:sdt>
                        <w:sdtPr>
                          <w:alias w:val="Numeris"/>
                          <w:tag w:val="nr_970fcd1d34474fa9afd8b811999136b1"/>
                          <w:lock w:val="sdtLocked"/>
                          <w:richText/>
                        </w:sdtPr>
                        <w:sdtContent>
                          <w:r>
                            <w:rPr>
                              <w:rFonts w:eastAsia="Calibri"/>
                              <w:szCs w:val="24"/>
                            </w:rPr>
                            <w:t>2</w:t>
                          </w:r>
                        </w:sdtContent>
                      </w:sdt>
                      <w:r>
                        <w:rPr>
                          <w:rFonts w:eastAsia="Calibri"/>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Arial" w:hAnsi="Arial"/>
                      <w:b/>
                      <w:bCs/>
                      <w:sz w:val="22"/>
                    </w:rPr>
                  </w:pPr>
                  <w:r>
                    <w:rPr>
                      <w:rFonts w:ascii="Arial" w:hAnsi="Arial"/>
                      <w:b/>
                      <w:sz w:val="22"/>
                    </w:rPr>
                    <w:t>83</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Arial" w:hAnsi="Arial"/>
                      <w:b/>
                      <w:bCs/>
                      <w:sz w:val="22"/>
                    </w:rPr>
                  </w:pPr>
                  <w:r>
                    <w:rPr>
                      <w:rFonts w:ascii="Arial" w:hAnsi="Arial"/>
                      <w:b/>
                      <w:sz w:val="22"/>
                    </w:rPr>
                    <w:t>84</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dcbaac6f711c4a0ab671abbbcd653e81"/>
        <w:lock w:val="sdtLocked"/>
        <w:richText/>
      </w:sdtPr>
      <w:sdtContent>
        <w:p>
          <w:pPr>
            <w:keepNext/>
            <w:ind w:left="6663"/>
            <w:jc w:val="both"/>
            <w:rPr>
              <w:rFonts w:eastAsia="Calibri"/>
              <w:color w:val="000000"/>
              <w:szCs w:val="24"/>
            </w:rPr>
          </w:pPr>
          <w:r>
            <w:rPr>
              <w:rFonts w:eastAsia="Calibri"/>
              <w:color w:val="000000"/>
              <w:szCs w:val="24"/>
            </w:rPr>
            <w:t>Lietuvos Respublikos</w:t>
          </w:r>
        </w:p>
        <w:p>
          <w:pPr>
            <w:keepNext/>
            <w:ind w:left="6663"/>
            <w:jc w:val="both"/>
            <w:rPr>
              <w:rFonts w:eastAsia="Calibri"/>
              <w:color w:val="000000"/>
              <w:szCs w:val="24"/>
            </w:rPr>
          </w:pPr>
          <w:r>
            <w:rPr>
              <w:rFonts w:eastAsia="Calibri"/>
              <w:color w:val="000000"/>
              <w:szCs w:val="24"/>
            </w:rPr>
            <w:t>mokėjimų įstatymo</w:t>
          </w:r>
        </w:p>
        <w:p>
          <w:pPr>
            <w:keepNext/>
            <w:ind w:left="6663"/>
            <w:jc w:val="both"/>
            <w:rPr>
              <w:rFonts w:eastAsia="Calibri"/>
              <w:color w:val="000000"/>
              <w:szCs w:val="24"/>
            </w:rPr>
          </w:pPr>
          <w:r>
            <w:rPr>
              <w:rFonts w:eastAsia="Calibri"/>
              <w:color w:val="000000"/>
              <w:szCs w:val="24"/>
            </w:rPr>
            <w:t>priedas</w:t>
          </w:r>
        </w:p>
        <w:p>
          <w:pPr>
            <w:keepNext/>
            <w:spacing w:line="240" w:lineRule="atLeast"/>
            <w:ind w:firstLine="720"/>
            <w:rPr>
              <w:rFonts w:eastAsia="Calibri"/>
              <w:color w:val="000000"/>
              <w:szCs w:val="24"/>
            </w:rPr>
          </w:pPr>
        </w:p>
        <w:p>
          <w:pPr>
            <w:spacing w:line="360" w:lineRule="auto"/>
            <w:jc w:val="center"/>
            <w:rPr>
              <w:rFonts w:eastAsia="Calibri"/>
              <w:b/>
              <w:color w:val="000000"/>
              <w:szCs w:val="24"/>
            </w:rPr>
          </w:pPr>
          <w:sdt>
            <w:sdtPr>
              <w:alias w:val="Pavadinimas"/>
              <w:tag w:val="title_dcbaac6f711c4a0ab671abbbcd653e81"/>
              <w:lock w:val="sdtLocked"/>
              <w:richText/>
            </w:sdtPr>
            <w:sdtContent>
              <w:r>
                <w:rPr>
                  <w:rFonts w:eastAsia="Calibri"/>
                  <w:b/>
                  <w:color w:val="000000"/>
                  <w:szCs w:val="24"/>
                </w:rPr>
                <w:t>ĮGYVENDINAMI EUROPOS SĄJUNGOS TEISĖS AKTAI</w:t>
              </w:r>
            </w:sdtContent>
          </w:sdt>
        </w:p>
        <w:p>
          <w:pPr>
            <w:spacing w:line="240" w:lineRule="atLeast"/>
            <w:ind w:firstLine="720"/>
            <w:jc w:val="center"/>
            <w:rPr>
              <w:rFonts w:eastAsia="Calibri"/>
              <w:b/>
              <w:color w:val="000000"/>
              <w:szCs w:val="24"/>
            </w:rPr>
          </w:pPr>
        </w:p>
        <w:sdt>
          <w:sdtPr>
            <w:alias w:val="pr. 1 p."/>
            <w:tag w:val="part_b778adb5fc834c1c9977d3c7a4afdf50"/>
            <w:lock w:val="sdtLocked"/>
            <w:richText/>
          </w:sdtPr>
          <w:sdtContent>
            <w:p>
              <w:pPr>
                <w:spacing w:line="360" w:lineRule="auto"/>
                <w:ind w:firstLine="720"/>
                <w:jc w:val="both"/>
                <w:rPr>
                  <w:rFonts w:eastAsia="Calibri"/>
                  <w:szCs w:val="24"/>
                </w:rPr>
              </w:pPr>
              <w:sdt>
                <w:sdtPr>
                  <w:alias w:val="Numeris"/>
                  <w:tag w:val="nr_b778adb5fc834c1c9977d3c7a4afdf50"/>
                  <w:lock w:val="sdtLocked"/>
                  <w:richText/>
                </w:sdtPr>
                <w:sdtContent>
                  <w:r>
                    <w:rPr>
                      <w:rFonts w:eastAsia="Calibri"/>
                      <w:szCs w:val="24"/>
                    </w:rPr>
                    <w:t>1</w:t>
                  </w:r>
                </w:sdtContent>
              </w:sdt>
              <w:r>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2 p."/>
            <w:tag w:val="part_6e734b86986e4af286f0c7a0e414ead9"/>
            <w:lock w:val="sdtLocked"/>
            <w:richText/>
          </w:sdtPr>
          <w:sdtContent>
            <w:p>
              <w:pPr>
                <w:spacing w:line="360" w:lineRule="auto"/>
                <w:ind w:firstLine="720"/>
                <w:jc w:val="both"/>
                <w:rPr>
                  <w:rFonts w:eastAsia="Calibri"/>
                  <w:szCs w:val="24"/>
                </w:rPr>
              </w:pPr>
              <w:sdt>
                <w:sdtPr>
                  <w:alias w:val="Numeris"/>
                  <w:tag w:val="nr_6e734b86986e4af286f0c7a0e414ead9"/>
                  <w:lock w:val="sdtLocked"/>
                  <w:richText/>
                </w:sdtPr>
                <w:sdtContent>
                  <w:r>
                    <w:rPr>
                      <w:rFonts w:eastAsia="Calibri"/>
                      <w:szCs w:val="24"/>
                    </w:rPr>
                    <w:t>2</w:t>
                  </w:r>
                </w:sdtContent>
              </w:sdt>
              <w:r>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3 p."/>
            <w:tag w:val="part_3e54fe9132224ecfb15be2de1603d8e2"/>
            <w:lock w:val="sdtLocked"/>
            <w:richText/>
          </w:sdtPr>
          <w:sdtContent>
            <w:p>
              <w:pPr>
                <w:spacing w:line="360" w:lineRule="auto"/>
                <w:ind w:firstLine="720"/>
                <w:jc w:val="both"/>
                <w:rPr>
                  <w:rFonts w:eastAsia="Calibri"/>
                  <w:bCs/>
                  <w:color w:val="000000"/>
                  <w:szCs w:val="24"/>
                  <w:lang w:eastAsia="lt-LT"/>
                </w:rPr>
              </w:pPr>
              <w:sdt>
                <w:sdtPr>
                  <w:alias w:val="Numeris"/>
                  <w:tag w:val="nr_3e54fe9132224ecfb15be2de1603d8e2"/>
                  <w:lock w:val="sdtLocked"/>
                  <w:richText/>
                </w:sdtPr>
                <w:sdtContent>
                  <w:r>
                    <w:rPr>
                      <w:rFonts w:eastAsia="Calibri"/>
                      <w:szCs w:val="24"/>
                    </w:rPr>
                    <w:t>3</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4 p."/>
            <w:tag w:val="part_ae9d2fdd6aff4a8d8209c5d3b3994252"/>
            <w:lock w:val="sdtLocked"/>
            <w:richText/>
          </w:sdtPr>
          <w:sdtContent>
            <w:p>
              <w:pPr>
                <w:spacing w:line="360" w:lineRule="auto"/>
                <w:ind w:firstLine="720"/>
                <w:jc w:val="both"/>
                <w:rPr>
                  <w:rFonts w:eastAsia="Calibri"/>
                  <w:szCs w:val="24"/>
                </w:rPr>
              </w:pPr>
              <w:sdt>
                <w:sdtPr>
                  <w:alias w:val="Numeris"/>
                  <w:tag w:val="nr_ae9d2fdd6aff4a8d8209c5d3b3994252"/>
                  <w:lock w:val="sdtLocked"/>
                  <w:richText/>
                </w:sdtPr>
                <w:sdtContent>
                  <w:r>
                    <w:rPr>
                      <w:rFonts w:eastAsia="Calibri"/>
                      <w:bCs/>
                      <w:color w:val="000000"/>
                      <w:szCs w:val="24"/>
                      <w:lang w:eastAsia="lt-LT"/>
                    </w:rPr>
                    <w:t>4</w:t>
                  </w:r>
                </w:sdtContent>
              </w:sdt>
              <w:r>
                <w:rPr>
                  <w:rFonts w:eastAsia="Calibri"/>
                  <w:bCs/>
                  <w:color w:val="000000"/>
                  <w:szCs w:val="24"/>
                  <w:lang w:eastAsia="lt-LT"/>
                </w:rPr>
                <w:t xml:space="preserve">. </w:t>
              </w:r>
              <w:r>
                <w:rPr>
                  <w:rFonts w:eastAsia="Calibri"/>
                  <w:szCs w:val="24"/>
                </w:rPr>
                <w:t>2015 m. balandžio 29 d. Europos Parlamento ir Tarybos reglamentas (ES) 2015/751 dėl tarpbankinių mokesčių už kortele grindžiamas mokėjimo operacijas (OL 2015 L 123, p. 1).</w:t>
              </w:r>
            </w:p>
          </w:sdtContent>
        </w:sdt>
        <w:sdt>
          <w:sdtPr>
            <w:alias w:val="pr. 5 p."/>
            <w:tag w:val="part_be1955f9b39c4a1298cd86d448006d15"/>
            <w:lock w:val="sdtLocked"/>
            <w:richText/>
          </w:sdtPr>
          <w:sdtContent>
            <w:p>
              <w:pPr>
                <w:spacing w:line="360" w:lineRule="auto"/>
                <w:ind w:firstLine="720"/>
                <w:jc w:val="both"/>
                <w:rPr>
                  <w:rFonts w:eastAsia="Calibri"/>
                  <w:szCs w:val="24"/>
                </w:rPr>
              </w:pPr>
              <w:sdt>
                <w:sdtPr>
                  <w:alias w:val="Numeris"/>
                  <w:tag w:val="nr_be1955f9b39c4a1298cd86d448006d15"/>
                  <w:lock w:val="sdtLocked"/>
                  <w:richText/>
                </w:sdtPr>
                <w:sdtContent>
                  <w:r>
                    <w:rPr>
                      <w:rFonts w:eastAsia="Calibri"/>
                      <w:szCs w:val="24"/>
                    </w:rPr>
                    <w:t>5</w:t>
                  </w:r>
                </w:sdtContent>
              </w:sdt>
              <w:r>
                <w:rPr>
                  <w:rFonts w:eastAsia="Calibri"/>
                  <w:szCs w:val="24"/>
                </w:rPr>
                <w:t>. 2015 m. lapkričio 25 d. Europos Parlamento ir Tarybos direktyva (ES) 2015/2366 dėl mokėjimo paslaugų vidaus rinkoje, kuria iš dalies keičiamos direktyvos 2002/65/EB, 2009/110/EB ir 2013/36/ES bei Reglamentas (ES) Nr. 1093/2010 ir panaikinama Direktyva 2007/64/EB (OL 2015 L 337, p. 35).</w:t>
              </w:r>
            </w:p>
            <w:p>
              <w:pPr>
                <w:spacing w:line="360" w:lineRule="auto"/>
                <w:ind w:firstLine="720"/>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a2ee0048f511e6b5d09300a16a686c">
            <w:r w:rsidRPr="00532B9F">
              <w:rPr>
                <w:rFonts w:ascii="Arial" w:eastAsia="MS Mincho" w:hAnsi="Arial"/>
                <w:sz w:val="20"/>
                <w:iCs/>
                <w:color w:val="0000FF" w:themeColor="hyperlink"/>
                <w:u w:val="single"/>
              </w:rPr>
              <w:t>XII-2561</w:t>
            </w:r>
          </w:fldSimple>
          <w:r>
            <w:rPr>
              <w:rFonts w:ascii="Arial" w:eastAsia="MS Mincho" w:hAnsi="Arial"/>
              <w:sz w:val="20"/>
              <w:iCs/>
            </w:rPr>
            <w:t>,
2016-06-30,
paskelbta TAR 2016-07-13, i. k. 2016-20315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ce4970a67a11e69ad4c8713b612d0f">
            <w:r w:rsidRPr="00532B9F">
              <w:rPr>
                <w:rFonts w:ascii="Arial" w:eastAsia="MS Mincho" w:hAnsi="Arial"/>
                <w:sz w:val="20"/>
                <w:iCs/>
                <w:color w:val="0000FF" w:themeColor="hyperlink"/>
                <w:u w:val="single"/>
              </w:rPr>
              <w:t>XII-2699</w:t>
            </w:r>
          </w:fldSimple>
          <w:r>
            <w:rPr>
              <w:rFonts w:ascii="Arial" w:eastAsia="MS Mincho" w:hAnsi="Arial"/>
              <w:sz w:val="20"/>
              <w:iCs/>
            </w:rPr>
            <w:t>,
2016-11-03,
paskelbta TAR 2016-11-09, i. k. 2016-26476                </w:t>
          </w:r>
        </w:p>
        <w:p>
          <w:pPr>
            <w:jc w:val="both"/>
            <w:rPr>
              <w:rFonts w:ascii="Arial" w:hAnsi="Arial"/>
            </w:rPr>
          </w:pPr>
          <w:r>
            <w:rPr>
              <w:rFonts w:ascii="Arial" w:hAnsi="Arial"/>
              <w:sz w:val="20"/>
            </w:rPr>
            <w:t>Lietuvos Respublikos mokėjimų įstatymo Nr. VIII-1370 9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fb76ff06f1011e8b83be60b2e217f90">
            <w:r w:rsidRPr="00532B9F">
              <w:rPr>
                <w:rFonts w:ascii="Arial" w:eastAsia="MS Mincho" w:hAnsi="Arial"/>
                <w:sz w:val="20"/>
                <w:iCs/>
                <w:color w:val="0000FF" w:themeColor="hyperlink"/>
                <w:u w:val="single"/>
              </w:rPr>
              <w:t>XIII-1243</w:t>
            </w:r>
          </w:fldSimple>
          <w:r>
            <w:rPr>
              <w:rFonts w:ascii="Arial" w:eastAsia="MS Mincho" w:hAnsi="Arial"/>
              <w:sz w:val="20"/>
              <w:iCs/>
            </w:rPr>
            <w:t>,
2018-06-05,
paskelbta TAR 2018-06-14, i. k. 2018-09857                </w:t>
          </w:r>
        </w:p>
        <w:p>
          <w:pPr>
            <w:jc w:val="both"/>
            <w:rPr>
              <w:rFonts w:ascii="Arial" w:hAnsi="Arial"/>
            </w:rPr>
          </w:pPr>
          <w:r>
            <w:rPr>
              <w:rFonts w:ascii="Arial" w:hAnsi="Arial"/>
              <w:sz w:val="20"/>
            </w:rPr>
            <w:t>Lietuvos Respublikos mokėjimų įstatymo Nr. VIII-1370 63, 64, 65, 66, 67 straipsnių pakeitimo, Įstatymo papildymo 62-1 straipsniu ir 68, 69, 70 straipsnių pripažinimo netekusiais galios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a9e6049e211e8ade598b2394a491d">
            <w:r w:rsidRPr="00532B9F">
              <w:rPr>
                <w:rFonts w:ascii="Arial" w:eastAsia="MS Mincho" w:hAnsi="Arial"/>
                <w:sz w:val="20"/>
                <w:iCs/>
                <w:color w:val="0000FF" w:themeColor="hyperlink"/>
                <w:u w:val="single"/>
              </w:rPr>
              <w:t>XIII-1092</w:t>
            </w:r>
          </w:fldSimple>
          <w:r>
            <w:rPr>
              <w:rFonts w:ascii="Arial" w:eastAsia="MS Mincho" w:hAnsi="Arial"/>
              <w:sz w:val="20"/>
              <w:iCs/>
            </w:rPr>
            <w:t>,
2018-04-17,
paskelbta TAR 2018-04-27, i. k. 2018-06727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deb1a07f7d11e8ae2bfd1913d66d57">
            <w:r w:rsidRPr="00532B9F">
              <w:rPr>
                <w:rFonts w:ascii="Arial" w:eastAsia="MS Mincho" w:hAnsi="Arial"/>
                <w:sz w:val="20"/>
                <w:iCs/>
                <w:color w:val="0000FF" w:themeColor="hyperlink"/>
                <w:u w:val="single"/>
              </w:rPr>
              <w:t>XIII-1301</w:t>
            </w:r>
          </w:fldSimple>
          <w:r>
            <w:rPr>
              <w:rFonts w:ascii="Arial" w:eastAsia="MS Mincho" w:hAnsi="Arial"/>
              <w:sz w:val="20"/>
              <w:iCs/>
            </w:rPr>
            <w:t>,
2018-06-27,
paskelbta TAR 2018-07-04, i. k. 2018-11306                </w:t>
          </w:r>
        </w:p>
        <w:p>
          <w:pPr>
            <w:jc w:val="both"/>
            <w:rPr>
              <w:rFonts w:ascii="Arial" w:hAnsi="Arial"/>
            </w:rPr>
          </w:pPr>
          <w:r>
            <w:rPr>
              <w:rFonts w:ascii="Arial" w:hAnsi="Arial"/>
              <w:sz w:val="20"/>
            </w:rPr>
            <w:t>Lietuvos Respublikos mokėjimų įstatymo Nr. VIII-1370 pakeitimo įstatymo Nr. XIII-1092 1 ir 2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44.xml"/>
  <Relationship Id="rId3" Type="http://schemas.openxmlformats.org/officeDocument/2006/relationships/footer" Target="footer43.xml"/>
  <Relationship Id="rId4" Type="http://schemas.openxmlformats.org/officeDocument/2006/relationships/footer" Target="footer44.xml"/>
  <Relationship Id="rId5" Type="http://schemas.openxmlformats.org/officeDocument/2006/relationships/header" Target="header45.xml"/>
  <Relationship Id="rId6" Type="http://schemas.openxmlformats.org/officeDocument/2006/relationships/footer" Target="footer4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9740d810b3d0467691161b4029013090"/>
        <Part Type="strDalis" Nr="6" Abbr="2 str. 6 d." DocPartId="9355304958df4f3591a64407f2e4f700" PartId="2b52fff0060644b39b21dceb964b8b19"/>
        <Part Type="strDalis" Nr="7" Abbr="2 str. 7 d." DocPartId="ea00040452ef4fc099ab878c904f2705" PartId="e6f1f686fb09417982aa95794d78d8b4"/>
        <Part Type="strDalis" Nr="8" Abbr="2 str. 8 d." DocPartId="64b59000148341089b5405c73c0d86ac" PartId="18223f8b095f4ab496df245c21302aa8"/>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23999b6e5ce8428c8555e70427b16ec1"/>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de797b24b3654411828a2957142ce937"/>
        <Part Type="strDalis" Nr="39" Abbr="2 str. 39 d." DocPartId="016c73b11dd8493b8c92ea0b9be2b7e3" PartId="5bd820ce483e46ceb12a978df7bb9c5c"/>
        <Part Type="strDalis" Nr="40" Abbr="2 str. 40 d." DocPartId="f377dbd73c994976882a2cef86a7de23" PartId="b43375e33b5d4f86a3f007324fede904"/>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6247418bddb7431cabd91e4d476a39bd"/>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eafce5f4407e40b99e0ec5274ca553e9"/>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9a199789b5914bebb3c905d867390839"/>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904aee5e744d497a84309f015377b91a"/>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f6a8cd10750447aba323eac16f2f93ea"/>
        <Part Type="strDalis" Nr="14" Abbr="3 str. 14 d." DocPartId="983921fa932844ee824ce346f890b203" PartId="b8bf530d41bf491ca77039ad95195184"/>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b0037bcd31c34eb0b510b4a3ba52c0e8">
          <Part Type="strPunktas" Nr="1" Abbr="9 str. 4 d. 1 p." DocPartId="a6f4005a928640d893af74c93abbff46" PartId="0542253b080e4f65a364ff2f9a33de8d"/>
          <Part Type="strPunktas" Nr="2" Abbr="9 str. 4 d. 2 p." DocPartId="5c137eb005514b339565b3c146700db2" PartId="ae687b9b3ea74979aecff4f00dceb9ee"/>
        </Part>
        <Part Type="strDalis" Nr="5" Abbr="9 str. 5 d." DocPartId="12819f8e28404d0a8dbb11d9b4007c8a" PartId="1b55be57f5ad4136bd87dedb23f6002d"/>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138d3377febc4d7fb6822699604624ca"/>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297eb278d6424e7a813c6289dc1b94b2"/>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f352d44347fd455d98af5fb907b307a1"/>
        <Part Type="strDalis" Nr="2" Abbr="56 str. 2 d." DocPartId="8f3ef7f07998484cb71bac0ec8ea2b81" PartId="a59e9598e36f4f0292124fc2e6fcda7a"/>
        <Part Type="strDalis" Nr="3" Abbr="56 str. 3 d." DocPartId="393e4f96ec5b4d169f124e29f9e75440" PartId="f3a60a6f9d194a17ad88cf5180cdf07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14cce9168af84263845e58db8dc501c0"/>
        <Part Type="strDalis" Nr="6" Abbr="57 str. 6 d." DocPartId="928c3bd9c5c54df2bf73f12b7b9162ab" PartId="e66d2d9451c0424aabd583ed2d15ad82"/>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2149aa02ae9a46fabe4c50df8f3cb146"/>
          <Part Type="strPunktas" Nr="7" Abbr="64 str. 2 d. 7 p." DocPartId="68a2162af13643f4a4cb7c9c87023faa" PartId="71351f0a203c44fda3b0edc2c659bd13"/>
        </Part>
        <Part Type="strDalis" Nr="3" Abbr="64 str. 3 d." DocPartId="7579861be430409c8c512935b2fee7cd" PartId="b864be8d695244208fb5a8ab2a49f14c"/>
      </Part>
      <Part Type="straipsnis" Nr="65" Abbr="65 str." Title="Mokėjimo sąskaitos, įtrauktos į paslaugų rinkinius, apimančius kitą produktą arba paslaugą" DocPartId="77507de84a3148e4b4a793eb7ed0db07" PartId="14dbebed1c6a4d1a881e1fe7d57dc478">
        <Part Type="strDalis" Nr="1" Abbr="65 str. 1 d." DocPartId="4e96aad748ea4682b852d92b3edc0d61" PartId="a30fce48d2f8402eaf458e5bc679c361"/>
        <Part Type="strDalis" Nr="2" Abbr="65 str. 2 d." DocPartId="1598cc66373f4022827fb81466a45726" PartId="cd234d19f716447f9f447a9cc5240150"/>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37829575e07e441eae348172a6e32301"/>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2a70e8ce46f2427fab05c223908e395d"/>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a4c648c6b69d42f99763cdc279752a2b">
        <Part Type="strDalis" Nr="1" Abbr="72 str. 1 d." DocPartId="50e65a3fe80a4605b3b0fd994b65b4c4" PartId="07a7195c6e18467eb043d09f7adfe12e">
          <Part Type="strPunktas" Nr="1" Abbr="72 str. 1 d. 1 p." DocPartId="6ba0256fddab45678783af27a17ebd3c" PartId="5145df41653a43698e6cb1d4693c339c"/>
          <Part Type="strPunktas" Nr="2" Abbr="72 str. 1 d. 2 p." DocPartId="4d66eb37ff50454bb39cbf868874797f" PartId="91992fe3b55841df9d94bd8d491e5f13"/>
          <Part Type="strPunktas" Nr="3" Abbr="72 str. 1 d. 3 p." DocPartId="01dfa977e2644e48ac932bd10f6679db" PartId="3271a7c455274b45b659d2a6684f9a2c"/>
          <Part Type="strPunktas" Nr="4" Abbr="72 str. 1 d. 4 p." DocPartId="bd4ee2e12fe74d20ab897cf09027ad04" PartId="4b81f5c04e7e45acbdf39efa15a27c23"/>
          <Part Type="strPunktas" Nr="5" Abbr="72 str. 1 d. 5 p." DocPartId="86399ef787214548942e64783adbe3db" PartId="d743c4773b854e5dadae11f5b0050b02"/>
          <Part Type="strPunktas" Nr="6" Abbr="72 str. 1 d. 6 p." DocPartId="da1dd5a90d9f4190bcfd26623d22d440" PartId="74d51561ac974bcdab3ac5cbd63ba29a"/>
          <Part Type="strPunktas" Nr="7" Abbr="72 str. 1 d. 7 p." DocPartId="2c35876409c140d2904c3a02cf26a248" PartId="80b2a375384b4d80a9e89cb019423abd"/>
        </Part>
        <Part Type="strDalis" Nr="2" Abbr="72 str. 2 d." DocPartId="36f6f5f9b70042a09d8ce3bb474409d2" PartId="94e0fa9d27d645c595af0a4c19e93e25"/>
        <Part Type="strDalis" Nr="3" Abbr="72 str. 3 d." DocPartId="b98163dc837e4492a21f5faba6c0364f" PartId="fcad9aa2f97e4e75969230550046f0f9"/>
        <Part Type="strDalis" Nr="4" Abbr="72 str. 4 d." DocPartId="35fe059cc2104625b3ddcd7ccb055367" PartId="0995b1f025be4666a8dc73a644d36a99">
          <Part Type="strPunktas" Nr="1" Abbr="72 str. 4 d. 1 p." DocPartId="7ed04515a6b941c393393f779d93594c" PartId="ad9f87d81bdf4a9a8e12022ad5d464cb"/>
          <Part Type="strPunktas" Nr="2" Abbr="72 str. 4 d. 2 p." DocPartId="658102884638496cadcd0b0e480befba" PartId="d4b9ec4cdfa242029737f9c81715081f"/>
          <Part Type="strPunktas" Nr="3" Abbr="72 str. 4 d. 3 p." DocPartId="e1ed538092024f4e871348206c9b22d3" PartId="7053679e6bbe49b296edff0024795137"/>
        </Part>
        <Part Type="strDalis" Nr="5" Abbr="72 str. 5 d." DocPartId="e247391895824f6e8fdc57c950b37225" PartId="7616de54398b4f56be7d10551e8681e4"/>
        <Part Type="strDalis" Nr="6" Abbr="72 str. 6 d." DocPartId="e1d39c9f4a704ce0b805ef17897fed13" PartId="703cdef0907e4ae08ef7a29f46c00c91"/>
        <Part Type="strDalis" Nr="7" Abbr="72 str. 7 d." DocPartId="68aaeac6a80b443c9b7911893c7e1faa" PartId="ee64e8f195854fd0bcda40a6eeeb8fb3"/>
      </Part>
      <Part Type="straipsnis" Nr="73" Abbr="73 str." Title="Su pagrindine mokėjimo sąskaita susijęs komisinis atlyginimas" DocPartId="1bbfec4fd6414c1a8e5faf26063b0ea3" PartId="3064c8d802b24df9aafe1073c5aa6cd3">
        <Part Type="strDalis" Nr="1" Abbr="73 str. 1 d." DocPartId="240f990ce83c4be3967e993b228c4c3b" PartId="feb8fe8bc0d74b269eb42fc02fe17492">
          <Part Type="strPunktas" Nr="1" Abbr="73 str. 1 d. 1 p." DocPartId="ebe4982a95484964a1746924a21b1d34" PartId="07282be590814b31ad9743d49b5af964"/>
          <Part Type="strPunktas" Nr="2" Abbr="73 str. 1 d. 2 p." DocPartId="fa1a7a7bd2f346baa76fd1582a070006" PartId="d00628c0f1874af4b1b49999c71b7df1"/>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a015e5c0446e48eea125702d27f8ff9a"/>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eb13033c81dc4b2dbf44e249bef59e74"/>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d6df24c8b2bd434d947b6560b9037664"/>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3027d8d91c3f4beca857e886320960e5"/>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8d9d9a0b81b548d897fea4121bb8b688">
          <Part Type="strPunktas" Nr="1" Abbr="81 str. 1 d. 1 p." DocPartId="b29e45142884496cbac3ac43720bd704" PartId="2c6b16ce71a443538351078a26ac7d11"/>
          <Part Type="strPunktas" Nr="2" Abbr="81 str. 1 d. 2 p." DocPartId="a64ae825722a46b7b20eb372931f7d82" PartId="f8d858ab022f407dabc6cd6c9b431315"/>
        </Part>
        <Part Type="strDalis" Nr="2" Abbr="81 str. 2 d." DocPartId="ff46cc2f775d4ef3a62edcf916b94f7e" PartId="970fcd1d34474fa9afd8b811999136b1"/>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dcbaac6f711c4a0ab671abbbcd653e81">
    <Part Type="punktas" Nr="1" Abbr="pr. 1 p." DocPartId="1bc1546951494300af4593fa68849be8" PartId="b778adb5fc834c1c9977d3c7a4afdf50"/>
    <Part Type="punktas" Nr="2" Abbr="pr. 2 p." DocPartId="74078b1f9a8b43e4893a1469fe954474" PartId="6e734b86986e4af286f0c7a0e414ead9"/>
    <Part Type="punktas" Nr="3" Abbr="pr. 3 p." DocPartId="9ce0c55514bb4315a5e1e31df0167c70" PartId="3e54fe9132224ecfb15be2de1603d8e2"/>
    <Part Type="punktas" Nr="4" Abbr="pr. 4 p." DocPartId="5af88350b44b4e9ba115d93d8a955128" PartId="ae9d2fdd6aff4a8d8209c5d3b3994252"/>
    <Part Type="punktas" Nr="5" Abbr="pr. 5 p." DocPartId="c689e67766f24942a74c5ab059e94acb" PartId="be1955f9b39c4a1298cd86d448006d15"/>
  </Part>
</Parts>
</file>

<file path=customXml/itemProps1.xml><?xml version="1.0" encoding="utf-8"?>
<ds:datastoreItem xmlns:ds="http://schemas.openxmlformats.org/officeDocument/2006/customXml" ds:itemID="{B557249C-9771-4E15-9091-B8F0A5E1DC14}">
  <ds:schemaRefs>
    <ds:schemaRef ds:uri="http://lrs.lt/TAIS/DocParts"/>
  </ds:schemaRefs>
</ds:datastoreItem>
</file>

<file path=docProps/app.xml><?xml version="1.0" encoding="utf-8"?>
<Properties xmlns="http://schemas.openxmlformats.org/officeDocument/2006/extended-properties">
  <Template>Normal.dotm</Template>
  <TotalTime>188</TotalTime>
  <Pages>76</Pages>
  <Words>124852</Words>
  <Characters>71167</Characters>
  <Application>Microsoft Office Word</Application>
  <DocSecurity>0</DocSecurity>
  <Lines>593</Lines>
  <Paragraphs>391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195628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2024-08-28T08:09:00Z</dcterms:modified>
  <revision>60</revision>
</coreProperties>
</file>