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2019-05-01 iki 2019-10-19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f6a8cd10750447aba323eac16f2f93ea"/>
                    <w:lock w:val="sdtLocked"/>
                    <w:richText/>
                  </w:sdtPr>
                  <w:sdtContent>
                    <w:p>
                      <w:pPr>
                        <w:spacing w:line="360" w:lineRule="auto"/>
                        <w:ind w:firstLine="720"/>
                        <w:jc w:val="both"/>
                        <w:rPr>
                          <w:rFonts w:eastAsia="Calibri"/>
                          <w:color w:val="000000"/>
                          <w:szCs w:val="24"/>
                          <w:lang w:eastAsia="lt-LT"/>
                        </w:rPr>
                      </w:pPr>
                      <w:sdt>
                        <w:sdtPr>
                          <w:alias w:val="Numeris"/>
                          <w:tag w:val="nr_f6a8cd10750447aba323eac16f2f93ea"/>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138d3377febc4d7fb6822699604624ca"/>
                        <w:lock w:val="sdtLocked"/>
                        <w:richText/>
                      </w:sdtPr>
                      <w:sdtContent>
                        <w:p>
                          <w:pPr>
                            <w:tabs>
                              <w:tab w:val="left" w:pos="504"/>
                            </w:tabs>
                            <w:spacing w:line="360" w:lineRule="auto"/>
                            <w:ind w:firstLine="720"/>
                            <w:jc w:val="both"/>
                            <w:rPr>
                              <w:rFonts w:eastAsia="Calibri"/>
                              <w:color w:val="000000"/>
                              <w:szCs w:val="24"/>
                            </w:rPr>
                          </w:pPr>
                          <w:sdt>
                            <w:sdtPr>
                              <w:alias w:val="Numeris"/>
                              <w:tag w:val="nr_138d3377febc4d7fb6822699604624ca"/>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297eb278d6424e7a813c6289dc1b94b2"/>
                    <w:lock w:val="sdtLocked"/>
                    <w:richText/>
                  </w:sdtPr>
                  <w:sdtContent>
                    <w:p>
                      <w:pPr>
                        <w:tabs>
                          <w:tab w:val="left" w:pos="499"/>
                        </w:tabs>
                        <w:spacing w:line="360" w:lineRule="auto"/>
                        <w:ind w:firstLine="720"/>
                        <w:jc w:val="both"/>
                        <w:rPr>
                          <w:rFonts w:eastAsia="Calibri"/>
                          <w:color w:val="000000"/>
                          <w:szCs w:val="24"/>
                        </w:rPr>
                      </w:pPr>
                      <w:sdt>
                        <w:sdtPr>
                          <w:alias w:val="Numeris"/>
                          <w:tag w:val="nr_297eb278d6424e7a813c6289dc1b94b2"/>
                          <w:lock w:val="sdtLocked"/>
                          <w:richText/>
                        </w:sdtPr>
                        <w:sdtContent>
                          <w:r>
                            <w:rPr>
                              <w:rFonts w:eastAsia="Calibri"/>
                              <w:color w:val="000000"/>
                              <w:szCs w:val="24"/>
                            </w:rPr>
                            <w:t>1</w:t>
                          </w:r>
                        </w:sdtContent>
                      </w:sdt>
                      <w:r>
                        <w:rPr>
                          <w:rFonts w:eastAsia="Calibri"/>
                          <w:color w:val="000000"/>
                          <w:szCs w:val="24"/>
                        </w:rPr>
                        <w:t>. Mokėjimo nurodymo gavimo momentu laikomas momentas, kai mokėtojo mokėjimo paslaugų teikėjas gauna mokėjimo nurodymą.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3027d8d91c3f4beca857e886320960e5"/>
                    <w:lock w:val="sdtLocked"/>
                    <w:richText/>
                  </w:sdtPr>
                  <w:sdtContent>
                    <w:p>
                      <w:pPr>
                        <w:spacing w:line="360" w:lineRule="auto"/>
                        <w:ind w:firstLine="720"/>
                        <w:jc w:val="both"/>
                        <w:rPr>
                          <w:rFonts w:eastAsia="Calibri"/>
                          <w:color w:val="000000"/>
                          <w:szCs w:val="24"/>
                        </w:rPr>
                      </w:pPr>
                      <w:sdt>
                        <w:sdtPr>
                          <w:alias w:val="Numeris"/>
                          <w:tag w:val="nr_3027d8d91c3f4beca857e886320960e5"/>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dcbaac6f711c4a0ab671abbbcd653e81"/>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dcbaac6f711c4a0ab671abbbcd653e81"/>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b778adb5fc834c1c9977d3c7a4afdf50"/>
            <w:lock w:val="sdtLocked"/>
            <w:richText/>
          </w:sdtPr>
          <w:sdtContent>
            <w:p>
              <w:pPr>
                <w:spacing w:line="360" w:lineRule="auto"/>
                <w:ind w:firstLine="720"/>
                <w:jc w:val="both"/>
                <w:rPr>
                  <w:rFonts w:eastAsia="Calibri"/>
                  <w:szCs w:val="24"/>
                </w:rPr>
              </w:pPr>
              <w:sdt>
                <w:sdtPr>
                  <w:alias w:val="Numeris"/>
                  <w:tag w:val="nr_b778adb5fc834c1c9977d3c7a4afdf50"/>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6e734b86986e4af286f0c7a0e414ead9"/>
            <w:lock w:val="sdtLocked"/>
            <w:richText/>
          </w:sdtPr>
          <w:sdtContent>
            <w:p>
              <w:pPr>
                <w:spacing w:line="360" w:lineRule="auto"/>
                <w:ind w:firstLine="720"/>
                <w:jc w:val="both"/>
                <w:rPr>
                  <w:rFonts w:eastAsia="Calibri"/>
                  <w:szCs w:val="24"/>
                </w:rPr>
              </w:pPr>
              <w:sdt>
                <w:sdtPr>
                  <w:alias w:val="Numeris"/>
                  <w:tag w:val="nr_6e734b86986e4af286f0c7a0e414ead9"/>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3e54fe9132224ecfb15be2de1603d8e2"/>
            <w:lock w:val="sdtLocked"/>
            <w:richText/>
          </w:sdtPr>
          <w:sdtContent>
            <w:p>
              <w:pPr>
                <w:spacing w:line="360" w:lineRule="auto"/>
                <w:ind w:firstLine="720"/>
                <w:jc w:val="both"/>
                <w:rPr>
                  <w:rFonts w:eastAsia="Calibri"/>
                  <w:bCs/>
                  <w:color w:val="000000"/>
                  <w:szCs w:val="24"/>
                  <w:lang w:eastAsia="lt-LT"/>
                </w:rPr>
              </w:pPr>
              <w:sdt>
                <w:sdtPr>
                  <w:alias w:val="Numeris"/>
                  <w:tag w:val="nr_3e54fe9132224ecfb15be2de1603d8e2"/>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ae9d2fdd6aff4a8d8209c5d3b3994252"/>
            <w:lock w:val="sdtLocked"/>
            <w:richText/>
          </w:sdtPr>
          <w:sdtContent>
            <w:p>
              <w:pPr>
                <w:spacing w:line="360" w:lineRule="auto"/>
                <w:ind w:firstLine="720"/>
                <w:jc w:val="both"/>
                <w:rPr>
                  <w:rFonts w:eastAsia="Calibri"/>
                  <w:szCs w:val="24"/>
                </w:rPr>
              </w:pPr>
              <w:sdt>
                <w:sdtPr>
                  <w:alias w:val="Numeris"/>
                  <w:tag w:val="nr_ae9d2fdd6aff4a8d8209c5d3b3994252"/>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be1955f9b39c4a1298cd86d448006d15"/>
            <w:lock w:val="sdtLocked"/>
            <w:richText/>
          </w:sdtPr>
          <w:sdtContent>
            <w:p>
              <w:pPr>
                <w:spacing w:line="360" w:lineRule="auto"/>
                <w:ind w:firstLine="720"/>
                <w:jc w:val="both"/>
                <w:rPr>
                  <w:rFonts w:eastAsia="Calibri"/>
                  <w:szCs w:val="24"/>
                </w:rPr>
              </w:pPr>
              <w:sdt>
                <w:sdtPr>
                  <w:alias w:val="Numeris"/>
                  <w:tag w:val="nr_be1955f9b39c4a1298cd86d448006d15"/>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AED7B"/>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47.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f6a8cd10750447aba323eac16f2f93ea"/>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138d3377febc4d7fb6822699604624ca"/>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297eb278d6424e7a813c6289dc1b94b2"/>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3027d8d91c3f4beca857e886320960e5"/>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dcbaac6f711c4a0ab671abbbcd653e81">
    <Part Type="punktas" Nr="1" Abbr="pr. 1 p." DocPartId="1bc1546951494300af4593fa68849be8" PartId="b778adb5fc834c1c9977d3c7a4afdf50"/>
    <Part Type="punktas" Nr="2" Abbr="pr. 2 p." DocPartId="74078b1f9a8b43e4893a1469fe954474" PartId="6e734b86986e4af286f0c7a0e414ead9"/>
    <Part Type="punktas" Nr="3" Abbr="pr. 3 p." DocPartId="9ce0c55514bb4315a5e1e31df0167c70" PartId="3e54fe9132224ecfb15be2de1603d8e2"/>
    <Part Type="punktas" Nr="4" Abbr="pr. 4 p." DocPartId="5af88350b44b4e9ba115d93d8a955128" PartId="ae9d2fdd6aff4a8d8209c5d3b3994252"/>
    <Part Type="punktas" Nr="5" Abbr="pr. 5 p." DocPartId="c689e67766f24942a74c5ab059e94acb" PartId="be1955f9b39c4a1298cd86d448006d15"/>
  </Part>
</Parts>
</file>

<file path=customXml/itemProps1.xml><?xml version="1.0" encoding="utf-8"?>
<ds:datastoreItem xmlns:ds="http://schemas.openxmlformats.org/officeDocument/2006/customXml" ds:itemID="{4401498D-3953-4797-BA75-D75154486004}">
  <ds:schemaRefs>
    <ds:schemaRef ds:uri="http://lrs.lt/TAIS/DocParts"/>
  </ds:schemaRefs>
</ds:datastoreItem>
</file>

<file path=docProps/app.xml><?xml version="1.0" encoding="utf-8"?>
<Properties xmlns="http://schemas.openxmlformats.org/officeDocument/2006/extended-properties">
  <Template>Normal.dotm</Template>
  <TotalTime>190</TotalTime>
  <Pages>70</Pages>
  <Words>113903</Words>
  <Characters>64925</Characters>
  <Application>Microsoft Office Word</Application>
  <DocSecurity>0</DocSecurity>
  <Lines>541</Lines>
  <Paragraphs>356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178472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2024-08-28T08:34:00Z</dcterms:modified>
  <revision>61</revision>
</coreProperties>
</file>