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2023-05-16 iki 2023-07-24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af0f104f96c54044aacb2fb2d2f071f1"/>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af0f104f96c54044aacb2fb2d2f071f1"/>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b5f3d80b583e41cf9f72ae7b0f99df98"/>
                    <w:lock w:val="sdtLocked"/>
                    <w:richText/>
                  </w:sdtPr>
                  <w:sdtContent>
                    <w:p>
                      <w:pPr>
                        <w:widowControl w:val="0"/>
                        <w:suppressAutoHyphens/>
                        <w:ind w:firstLine="567"/>
                        <w:jc w:val="both"/>
                      </w:pPr>
                      <w:sdt>
                        <w:sdtPr>
                          <w:alias w:val="Numeris"/>
                          <w:tag w:val="nr_b5f3d80b583e41cf9f72ae7b0f99df98"/>
                          <w:lock w:val="sdtLocked"/>
                          <w:richText/>
                        </w:sdtPr>
                        <w:sdtContent>
                          <w:r>
                            <w:rPr>
                              <w:color w:val="000000"/>
                            </w:rPr>
                            <w:t>42.4</w:t>
                          </w:r>
                        </w:sdtContent>
                      </w:sdt>
                      <w:r>
                        <w:rPr>
                          <w:color w:val="000000"/>
                        </w:rPr>
                        <w:t>. prieš atliekų vežimą atliekų siuntėjas privalo Lydraštyje nurodyti kiekvienos perduodamos atliekos svorį, kitą Lydraštyje privalomą informaciją ir, jeigu vadovaujantis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 transporto priemonės (-ių) valstybinį registracijos numerį ir 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5441f9c523d44e128d39c8e7a3eeb019"/>
                    <w:lock w:val="sdtLocked"/>
                    <w:richText/>
                  </w:sdtPr>
                  <w:sdtContent>
                    <w:p>
                      <w:pPr>
                        <w:widowControl w:val="0"/>
                        <w:ind w:firstLine="567"/>
                        <w:jc w:val="both"/>
                      </w:pPr>
                      <w:sdt>
                        <w:sdtPr>
                          <w:alias w:val="Numeris"/>
                          <w:tag w:val="nr_5441f9c523d44e128d39c8e7a3eeb019"/>
                          <w:lock w:val="sdtLocked"/>
                          <w:richText/>
                        </w:sdtPr>
                        <w:sdtContent>
                          <w:r>
                            <w:t>42.14</w:t>
                          </w:r>
                        </w:sdtContent>
                      </w:sdt>
                      <w:r>
                        <w:t>. k</w:t>
                      </w:r>
                      <w:r>
                        <w:rPr>
                          <w:color w:val="000000"/>
                          <w:bdr w:val="none" w:sz="0" w:space="0" w:color="auto" w:frame="1"/>
                          <w:shd w:val="clear" w:color="auto" w:fill="FFFFFF"/>
                        </w:rPr>
                        <w:t xml:space="preserve">ai atliekų siuntėjas, naudodamasis GPAIS, patvirtina atliekų gavėjo pasvertą ir Lydraštyje nurodytą atliekų kiekį, šį kiekį galima koreguoti einamąjį metų ketvirtį ir (ar) 10 kalendorinių dienų nuo ketvirčio pabaigos, tik jei buvo padaryta techninė Lydraščio pildymo klaida. 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94453c51d4a64a04a403a918a8668f07"/>
                    <w:lock w:val="sdtLocked"/>
                    <w:richText/>
                  </w:sdtPr>
                  <w:sdtContent>
                    <w:p>
                      <w:pPr>
                        <w:widowControl w:val="0"/>
                        <w:ind w:firstLine="567"/>
                        <w:jc w:val="both"/>
                      </w:pPr>
                      <w:sdt>
                        <w:sdtPr>
                          <w:alias w:val="Numeris"/>
                          <w:tag w:val="nr_94453c51d4a64a04a403a918a8668f07"/>
                          <w:lock w:val="sdtLocked"/>
                          <w:richText/>
                        </w:sdtPr>
                        <w:sdtContent>
                          <w:r>
                            <w:t>45.13</w:t>
                          </w:r>
                        </w:sdtContent>
                      </w:sdt>
                      <w:r>
                        <w:t xml:space="preserve">. patvirtintame Lydraštyje nurodytą atliekų kiekį galima koreguoti einamąjį metų ketvirtį ir (ar) 10 kalendorinių dienų nuo ketvirčio pabaigos, tik jei buvo padaryta techninė Lydraščio pildymo klaida. </w:t>
                      </w:r>
                      <w:r>
                        <w:rPr>
                          <w:color w:val="000000"/>
                          <w:bdr w:val="none" w:sz="0" w:space="0" w:color="auto" w:frame="1"/>
                          <w:shd w:val="clear" w:color="auto" w:fill="FFFFFF"/>
                        </w:rPr>
                        <w:t xml:space="preserve">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180108684e6a4548af1fc46f158be187"/>
                    <w:lock w:val="sdtLocked"/>
                    <w:richText/>
                  </w:sdtPr>
                  <w:sdtContent>
                    <w:p>
                      <w:pPr>
                        <w:widowControl w:val="0"/>
                        <w:ind w:firstLine="567"/>
                        <w:jc w:val="both"/>
                      </w:pPr>
                      <w:sdt>
                        <w:sdtPr>
                          <w:alias w:val="Numeris"/>
                          <w:tag w:val="nr_180108684e6a4548af1fc46f158be187"/>
                          <w:lock w:val="sdtLocked"/>
                          <w:richText/>
                        </w:sdtPr>
                        <w:sdtContent>
                          <w:r>
                            <w:t>49</w:t>
                          </w:r>
                          <w:r>
                            <w:rPr>
                              <w:vertAlign w:val="superscript"/>
                            </w:rPr>
                            <w:t>1</w:t>
                          </w:r>
                          <w:r>
                            <w:t>.10</w:t>
                          </w:r>
                        </w:sdtContent>
                      </w:sdt>
                      <w:r>
                        <w:t xml:space="preserve">. patvirtintame Lydraštyje nurodytą atliekų kiekį galima koreguoti einamąjį metų ketvirtį ir (ar) 10 kalendorinių dienų nuo ketvirčio pabaigos, tik jei buvo padaryta techninė Lydraščio pildymo klaida. </w:t>
                      </w:r>
                      <w:r>
                        <w:rPr>
                          <w:color w:val="000000"/>
                          <w:bdr w:val="none" w:sz="0" w:space="0" w:color="auto" w:frame="1"/>
                          <w:shd w:val="clear" w:color="auto" w:fill="FFFFFF"/>
                        </w:rPr>
                        <w:t xml:space="preserve">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42d6ce9d99184fc08cc33da438e825ca"/>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42d6ce9d99184fc08cc33da438e825ca"/>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7c5a9fa18cca481f95792a0db6155674"/>
                <w:lock w:val="sdtLocked"/>
                <w:richText/>
              </w:sdtPr>
              <w:sdtContent>
                <w:p>
                  <w:pPr>
                    <w:suppressAutoHyphens/>
                    <w:ind w:firstLine="540"/>
                    <w:jc w:val="both"/>
                    <w:textAlignment w:val="baseline"/>
                    <w:rPr>
                      <w:color w:val="000000"/>
                      <w:lang w:eastAsia="lt-LT"/>
                    </w:rPr>
                  </w:pPr>
                  <w:sdt>
                    <w:sdtPr>
                      <w:alias w:val="Numeris"/>
                      <w:tag w:val="nr_7c5a9fa18cca481f95792a0db6155674"/>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spacing w:line="259" w:lineRule="auto"/>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R1001</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spacing w:line="259" w:lineRule="auto"/>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R1003</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R1005</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spacing w:line="259" w:lineRule="auto"/>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15d9cfa8ff2648069ce941dc5551a4dd"/>
        <w:lock w:val="sdtLocked"/>
        <w:richText/>
      </w:sdtPr>
      <w:sdtContent>
        <w:p>
          <w:pPr>
            <w:suppressAutoHyphens/>
            <w:spacing w:line="259" w:lineRule="auto"/>
            <w:ind w:left="5954" w:firstLine="567"/>
            <w:sectPr>
              <w:headerReference w:type="default" r:id="rId28"/>
              <w:footerReference w:type="default" r:id="rId29"/>
              <w:headerReference w:type="first" r:id="rId30"/>
              <w:footerReference w:type="first" r:id="rId31"/>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15d9cfa8ff2648069ce941dc5551a4d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15d9cfa8ff2648069ce941dc5551a4d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18015d604312475cb0a49dd7a1eabcd7"/>
                <w:lock w:val="sdtLocked"/>
                <w:richText/>
              </w:sdtPr>
              <w:sdtContent>
                <w:p>
                  <w:pPr>
                    <w:ind w:firstLine="567"/>
                    <w:jc w:val="both"/>
                    <w:textAlignment w:val="baseline"/>
                    <w:rPr>
                      <w:color w:val="000000"/>
                      <w:szCs w:val="24"/>
                      <w:lang w:eastAsia="lt-LT"/>
                    </w:rPr>
                  </w:pPr>
                  <w:sdt>
                    <w:sdtPr>
                      <w:alias w:val="Numeris"/>
                      <w:tag w:val="nr_18015d604312475cb0a49dd7a1eabcd7"/>
                      <w:lock w:val="sdtLocked"/>
                      <w:richText/>
                    </w:sdtPr>
                    <w:sdtContent>
                      <w:r>
                        <w:rPr>
                          <w:color w:val="000000"/>
                          <w:szCs w:val="24"/>
                          <w:lang w:eastAsia="lt-LT"/>
                        </w:rPr>
                        <w:t>3.1</w:t>
                      </w:r>
                    </w:sdtContent>
                  </w:sdt>
                  <w:r>
                    <w:rPr>
                      <w:color w:val="000000"/>
                      <w:szCs w:val="24"/>
                      <w:lang w:eastAsia="lt-LT"/>
                    </w:rPr>
                    <w:t>. sandėlyje, saugykloje ar kitoje atliekų laikymo vietoje (toliau – atliekų laikymo vieta) laikomos nepavojingosios atliekos pagal atliekų tvarkymo veiklos kodus R13 ir D15:</w:t>
                  </w:r>
                </w:p>
                <w:tbl>
                  <w:tblPr>
                    <w:tblW w:w="5000" w:type="pct"/>
                    <w:tblCellMar>
                      <w:left w:w="0" w:type="dxa"/>
                      <w:right w:w="0" w:type="dxa"/>
                    </w:tblCellMar>
                    <w:tblLook w:val="04A0" w:firstRow="1" w:lastRow="0" w:firstColumn="1" w:lastColumn="0" w:noHBand="0" w:noVBand="1"/>
                  </w:tblPr>
                  <w:tblGrid>
                    <w:gridCol w:w="389"/>
                    <w:gridCol w:w="1658"/>
                    <w:gridCol w:w="1269"/>
                    <w:gridCol w:w="1464"/>
                    <w:gridCol w:w="2049"/>
                    <w:gridCol w:w="975"/>
                    <w:gridCol w:w="1854"/>
                  </w:tblGrid>
                  <w:tr>
                    <w:trPr>
                      <w:trHeight w:val="23"/>
                    </w:trPr>
                    <w:tc>
                      <w:tcPr>
                        <w:tcW w:w="200" w:type="pct"/>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hideMark/>
                      </w:tcPr>
                      <w:p>
                        <w:pPr>
                          <w:jc w:val="center"/>
                          <w:textAlignment w:val="baseline"/>
                          <w:rPr>
                            <w:szCs w:val="24"/>
                            <w:lang w:eastAsia="lt-LT"/>
                          </w:rPr>
                        </w:pPr>
                        <w:r>
                          <w:rPr>
                            <w:sz w:val="22"/>
                            <w:szCs w:val="22"/>
                            <w:lang w:eastAsia="lt-LT"/>
                          </w:rPr>
                          <w:t>Eil. nr.</w:t>
                        </w:r>
                      </w:p>
                    </w:tc>
                    <w:tc>
                      <w:tcPr>
                        <w:tcW w:w="8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Atliekų laikymo vietos apibūdinimas</w:t>
                        </w:r>
                      </w:p>
                    </w:tc>
                    <w:tc>
                      <w:tcPr>
                        <w:tcW w:w="6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Atliekų laikymo vietos plotas, m</w:t>
                        </w:r>
                        <w:r>
                          <w:rPr>
                            <w:sz w:val="22"/>
                            <w:szCs w:val="22"/>
                            <w:vertAlign w:val="superscript"/>
                            <w:lang w:eastAsia="lt-LT"/>
                          </w:rPr>
                          <w:t>2</w:t>
                        </w:r>
                      </w:p>
                    </w:tc>
                    <w:tc>
                      <w:tcPr>
                        <w:tcW w:w="75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Nepavojingųjų atliekų</w:t>
                        </w:r>
                      </w:p>
                      <w:p>
                        <w:pPr>
                          <w:jc w:val="center"/>
                          <w:textAlignment w:val="baseline"/>
                          <w:rPr>
                            <w:szCs w:val="24"/>
                            <w:lang w:eastAsia="lt-LT"/>
                          </w:rPr>
                        </w:pPr>
                        <w:r>
                          <w:rPr>
                            <w:sz w:val="22"/>
                            <w:szCs w:val="22"/>
                            <w:lang w:eastAsia="lt-LT"/>
                          </w:rPr>
                          <w:t>srauto kodas</w:t>
                        </w:r>
                      </w:p>
                    </w:tc>
                    <w:tc>
                      <w:tcPr>
                        <w:tcW w:w="105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Nepavojingųjų atliekų srauto kodo pavadinimas</w:t>
                        </w:r>
                      </w:p>
                    </w:tc>
                    <w:tc>
                      <w:tcPr>
                        <w:tcW w:w="40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Atliekų kodas</w:t>
                        </w:r>
                      </w:p>
                    </w:tc>
                    <w:tc>
                      <w:tcPr>
                        <w:tcW w:w="9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Didžiausias vienu metu laikomas atliekų kiekis, t</w:t>
                        </w:r>
                      </w:p>
                    </w:tc>
                  </w:tr>
                  <w:tr>
                    <w:trPr>
                      <w:trHeight w:val="23"/>
                    </w:trPr>
                    <w:tc>
                      <w:tcPr>
                        <w:tcW w:w="200" w:type="pc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jc w:val="center"/>
                          <w:textAlignment w:val="baseline"/>
                          <w:rPr>
                            <w:szCs w:val="24"/>
                            <w:lang w:eastAsia="lt-LT"/>
                          </w:rPr>
                        </w:pPr>
                        <w:r>
                          <w:rPr>
                            <w:sz w:val="22"/>
                            <w:szCs w:val="22"/>
                            <w:lang w:eastAsia="lt-LT"/>
                          </w:rPr>
                          <w:t>1</w:t>
                        </w:r>
                      </w:p>
                    </w:tc>
                    <w:tc>
                      <w:tcPr>
                        <w:tcW w:w="8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2</w:t>
                        </w:r>
                      </w:p>
                    </w:tc>
                    <w:tc>
                      <w:tcPr>
                        <w:tcW w:w="6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3</w:t>
                        </w:r>
                      </w:p>
                    </w:tc>
                    <w:tc>
                      <w:tcPr>
                        <w:tcW w:w="75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4</w:t>
                        </w:r>
                      </w:p>
                    </w:tc>
                    <w:tc>
                      <w:tcPr>
                        <w:tcW w:w="105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5</w:t>
                        </w: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6</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7</w:t>
                        </w:r>
                      </w:p>
                    </w:tc>
                  </w:tr>
                  <w:tr>
                    <w:trPr>
                      <w:trHeight w:val="23"/>
                    </w:trPr>
                    <w:tc>
                      <w:tcPr>
                        <w:tcW w:w="200" w:type="pct"/>
                        <w:vMerge w:val="restar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57"/>
                          <w:textAlignment w:val="baseline"/>
                          <w:rPr>
                            <w:szCs w:val="24"/>
                            <w:lang w:eastAsia="lt-LT"/>
                          </w:rPr>
                        </w:pPr>
                      </w:p>
                    </w:tc>
                    <w:tc>
                      <w:tcPr>
                        <w:tcW w:w="8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c>
                      <w:tcPr>
                        <w:tcW w:w="6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I dalis (pildoma, jei atliekos nepriklauso nepavojingųjų atliekų srautui, kurio konkrečiam atliekų kodui nustatytas prievolių įvykdymo užtikrinimo sumą mažinantis ar didinantis koeficientas)</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II dalis (pildoma nurodant kiekvieną atliekų srauto atliekų kodą, jei prievolių įvykdymo užtikrinimo sumą mažinantis ar didinantis koeficientas nustatytas ne atliekų srautui, o konkrečiam atliekų kodui)</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trike/>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textAlignment w:val="baseline"/>
                          <w:rPr>
                            <w:strike/>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104"/>
                    </w:trPr>
                    <w:tc>
                      <w:tcPr>
                        <w:tcW w:w="4000" w:type="pct"/>
                        <w:gridSpan w:val="6"/>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jc w:val="right"/>
                          <w:textAlignment w:val="baseline"/>
                          <w:rPr>
                            <w:szCs w:val="24"/>
                            <w:lang w:eastAsia="lt-LT"/>
                          </w:rPr>
                        </w:pPr>
                        <w:r>
                          <w:rPr>
                            <w:sz w:val="22"/>
                            <w:szCs w:val="22"/>
                            <w:lang w:eastAsia="lt-LT"/>
                          </w:rPr>
                          <w:t>Iš viso (I ir II dalys):</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200" w:type="pct"/>
                        <w:vMerge w:val="restar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624"/>
                          <w:jc w:val="both"/>
                          <w:textAlignment w:val="baseline"/>
                          <w:rPr>
                            <w:szCs w:val="24"/>
                            <w:lang w:eastAsia="lt-LT"/>
                          </w:rPr>
                        </w:pPr>
                      </w:p>
                    </w:tc>
                    <w:tc>
                      <w:tcPr>
                        <w:tcW w:w="8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4"/>
                          <w:jc w:val="both"/>
                          <w:textAlignment w:val="baseline"/>
                          <w:rPr>
                            <w:szCs w:val="24"/>
                            <w:lang w:eastAsia="lt-LT"/>
                          </w:rPr>
                        </w:pPr>
                      </w:p>
                    </w:tc>
                    <w:tc>
                      <w:tcPr>
                        <w:tcW w:w="6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4"/>
                          <w:jc w:val="both"/>
                          <w:textAlignment w:val="baseline"/>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ind w:firstLine="567"/>
                          <w:jc w:val="center"/>
                          <w:textAlignment w:val="baseline"/>
                          <w:rPr>
                            <w:szCs w:val="24"/>
                            <w:lang w:eastAsia="lt-LT"/>
                          </w:rPr>
                        </w:pPr>
                        <w:r>
                          <w:rPr>
                            <w:sz w:val="22"/>
                            <w:szCs w:val="22"/>
                            <w:lang w:eastAsia="lt-LT"/>
                          </w:rPr>
                          <w:t>I dalis (pildoma, jei atliekos nepriklauso nepavojingųjų atliekų</w:t>
                        </w:r>
                        <w:r>
                          <w:rPr>
                            <w:strike/>
                            <w:sz w:val="22"/>
                            <w:szCs w:val="22"/>
                            <w:lang w:eastAsia="lt-LT"/>
                          </w:rPr>
                          <w:t xml:space="preserve"> </w:t>
                        </w:r>
                        <w:r>
                          <w:rPr>
                            <w:sz w:val="22"/>
                            <w:szCs w:val="22"/>
                            <w:lang w:eastAsia="lt-LT"/>
                          </w:rPr>
                          <w:t>srautui, kurio konkrečiam atliekų kodui nustatytas prievolių įvykdymo užtikrinimo sumą mažinantis ar didinantis koeficientas)</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 xml:space="preserve">II dalis (pildoma nurodant kiekvieną atliekų srauto atliekų kodą, jei </w:t>
                        </w:r>
                        <w:r>
                          <w:rPr>
                            <w:sz w:val="22"/>
                            <w:szCs w:val="22"/>
                            <w:lang w:eastAsia="ar-SA"/>
                          </w:rPr>
                          <w:t>prievolių įvykdymo užtikrinimo sumą mažinantis ar didinantis koeficientas nustatytas ne atliekų srautui, o konkrečiam atliekų kodui</w:t>
                        </w:r>
                        <w:r>
                          <w:rPr>
                            <w:sz w:val="22"/>
                            <w:szCs w:val="22"/>
                            <w:lang w:eastAsia="lt-LT"/>
                          </w:rPr>
                          <w:t>)</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hanging="10"/>
                          <w:jc w:val="center"/>
                          <w:textAlignment w:val="baseline"/>
                          <w:rPr>
                            <w:strike/>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jc w:val="both"/>
                          <w:textAlignment w:val="baseline"/>
                          <w:rPr>
                            <w:strike/>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4"/>
                          <w:jc w:val="both"/>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4"/>
                          <w:jc w:val="both"/>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4000" w:type="pct"/>
                        <w:gridSpan w:val="6"/>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567"/>
                          <w:jc w:val="right"/>
                          <w:textAlignment w:val="baseline"/>
                          <w:rPr>
                            <w:szCs w:val="24"/>
                            <w:lang w:eastAsia="lt-LT"/>
                          </w:rPr>
                        </w:pPr>
                        <w:r>
                          <w:rPr>
                            <w:sz w:val="22"/>
                            <w:szCs w:val="22"/>
                            <w:lang w:eastAsia="lt-LT"/>
                          </w:rPr>
                          <w:t>Iš viso (I ir II dalys):</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bl>
                <w:p>
                  <w:pPr>
                    <w:widowControl w:val="0"/>
                    <w:suppressAutoHyphens/>
                    <w:ind w:firstLine="549"/>
                    <w:jc w:val="both"/>
                    <w:textAlignment w:val="baseline"/>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3 pr. 3.2 pp."/>
                <w:tag w:val="part_41abb64e0db0497ea226bae1c2098e9d"/>
                <w:lock w:val="sdtLocked"/>
                <w:richText/>
              </w:sdtPr>
              <w:sdtContent>
                <w:p>
                  <w:pPr>
                    <w:widowControl w:val="0"/>
                    <w:suppressAutoHyphens/>
                    <w:ind w:firstLine="567"/>
                    <w:jc w:val="both"/>
                    <w:textAlignment w:val="baseline"/>
                    <w:rPr>
                      <w:lang w:eastAsia="ar-SA"/>
                    </w:rPr>
                  </w:pPr>
                  <w:sdt>
                    <w:sdtPr>
                      <w:alias w:val="Numeris"/>
                      <w:tag w:val="nr_41abb64e0db0497ea226bae1c2098e9d"/>
                      <w:lock w:val="sdtLocked"/>
                      <w:richText/>
                    </w:sdtPr>
                    <w:sdtContent>
                      <w:r>
                        <w:rPr>
                          <w:lang w:eastAsia="ar-SA"/>
                        </w:rPr>
                        <w:t>3.2</w:t>
                      </w:r>
                    </w:sdtContent>
                  </w:sdt>
                  <w:r>
                    <w:rPr>
                      <w:lang w:eastAsia="ar-SA"/>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32"/>
                    <w:gridCol w:w="1196"/>
                    <w:gridCol w:w="732"/>
                    <w:gridCol w:w="1375"/>
                    <w:gridCol w:w="1318"/>
                    <w:gridCol w:w="2873"/>
                    <w:gridCol w:w="1801"/>
                  </w:tblGrid>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Eil. nr.</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apibūdinimas</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plotas, m2</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Pavojingųjų atliekų technologinio srauto (toliau  – technologinis srautas) žymėjimas</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 xml:space="preserve">Technologinio srauto kodo pavadinimas </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Atliekų kodas</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Didžiausias vienu metu laikomas atliekų kiekis, t</w:t>
                        </w:r>
                      </w:p>
                    </w:tc>
                  </w:tr>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1</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2</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3</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4</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5</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6</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7</w:t>
                        </w:r>
                      </w:p>
                    </w:tc>
                  </w:tr>
                  <w:tr>
                    <w:trPr>
                      <w:cantSplit/>
                      <w:trHeight w:val="23"/>
                    </w:trPr>
                    <w:tc>
                      <w:tcPr>
                        <w:tcW w:w="332" w:type="dxa"/>
                        <w:vMerge w:val="restart"/>
                      </w:tcPr>
                      <w:p>
                        <w:pPr>
                          <w:widowControl w:val="0"/>
                          <w:suppressAutoHyphens/>
                          <w:snapToGrid w:val="0"/>
                          <w:textAlignment w:val="baseline"/>
                          <w:rPr>
                            <w:sz w:val="22"/>
                            <w:szCs w:val="22"/>
                            <w:lang w:eastAsia="lt-LT"/>
                          </w:rPr>
                        </w:pPr>
                      </w:p>
                    </w:tc>
                    <w:tc>
                      <w:tcPr>
                        <w:tcW w:w="1196"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technologiniams srautams, nurodytiems II dalyje)</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II dalis (pildoma, jei pavojingosios atliekos priskiriamos technologiniams srautams TS-01, TS-02, TS-05, TS-06, TS-10, TS-13, TS-21,TS-22, TS-29, </w:t>
                        </w:r>
                      </w:p>
                      <w:p>
                        <w:pPr>
                          <w:widowControl w:val="0"/>
                          <w:suppressAutoHyphens/>
                          <w:snapToGrid w:val="0"/>
                          <w:jc w:val="center"/>
                          <w:textAlignment w:val="baseline"/>
                          <w:rPr>
                            <w:sz w:val="22"/>
                            <w:szCs w:val="22"/>
                            <w:lang w:eastAsia="lt-LT"/>
                          </w:rPr>
                        </w:pPr>
                        <w:r>
                          <w:rPr>
                            <w:sz w:val="22"/>
                            <w:szCs w:val="22"/>
                            <w:lang w:eastAsia="lt-LT"/>
                          </w:rPr>
                          <w:t>TS-31,TS-32 arba TS-36)</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7826" w:type="dxa"/>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val="restart"/>
                      </w:tcPr>
                      <w:p>
                        <w:pPr>
                          <w:widowControl w:val="0"/>
                          <w:suppressAutoHyphens/>
                          <w:ind w:firstLine="567"/>
                          <w:jc w:val="both"/>
                          <w:textAlignment w:val="baseline"/>
                          <w:rPr>
                            <w:lang w:eastAsia="ar-SA"/>
                          </w:rPr>
                        </w:pPr>
                      </w:p>
                    </w:tc>
                    <w:tc>
                      <w:tcPr>
                        <w:tcW w:w="1196"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nepriskiriamos technologiniams srautams, nurodytiems II dalyje)</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r>
                          <w:rPr>
                            <w:sz w:val="22"/>
                            <w:szCs w:val="22"/>
                            <w:lang w:eastAsia="lt-LT"/>
                          </w:rPr>
                          <w:t xml:space="preserve"> </w:t>
                        </w:r>
                        <w:r>
                          <w:rPr>
                            <w:sz w:val="22"/>
                            <w:szCs w:val="22"/>
                            <w:lang w:eastAsia="ar-SA"/>
                          </w:rPr>
                          <w:t>(pildoma, jei pavojingosios atliekos priskiriamos technologiniams srautams TS-01, TS-02, TS-05, TS-06, TS-10, TS-13, TS-21,TS-22, TS-29, TS-31,TS-32 arba TS-36)</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7826" w:type="dxa"/>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2a7317cd05cb48829e9a4d71d1601538"/>
        <w:lock w:val="sdtLocked"/>
        <w:richText/>
      </w:sdtPr>
      <w:sdtContent>
        <w:p>
          <w:pPr>
            <w:widowControl w:val="0"/>
            <w:jc w:val="both"/>
            <w:rPr>
              <w:sz w:val="22"/>
              <w:lang w:eastAsia="ar-SA"/>
            </w:rPr>
            <w:sectPr>
              <w:headerReference w:type="default" r:id="rId32"/>
              <w:footerReference w:type="default" r:id="rId33"/>
              <w:headerReference w:type="first" r:id="rId34"/>
              <w:footerReference w:type="first" r:id="rId35"/>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2a7317cd05cb48829e9a4d71d1601538"/>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2a7317cd05cb48829e9a4d71d1601538"/>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65eb45edfdd64fc3bf383c305bfa1757"/>
        <w:lock w:val="sdtLocked"/>
        <w:richText/>
      </w:sdtPr>
      <w:sdtContent>
        <w:p>
          <w:pPr>
            <w:suppressAutoHyphens/>
            <w:ind w:left="5954" w:firstLine="567"/>
            <w:sectPr>
              <w:headerReference w:type="default" r:id="rId36"/>
              <w:footerReference w:type="default" r:id="rId37"/>
              <w:footerReference w:type="first" r:id="rId38"/>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65eb45edfdd64fc3bf383c305bfa1757"/>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65eb45edfdd64fc3bf383c305bfa1757"/>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42bd340cd41742bd8ea25df844523169"/>
                    <w:lock w:val="sdtLocked"/>
                    <w:richText/>
                  </w:sdtPr>
                  <w:sdtContent>
                    <w:p>
                      <w:pPr>
                        <w:widowControl w:val="0"/>
                        <w:suppressAutoHyphens/>
                        <w:ind w:firstLine="549"/>
                        <w:jc w:val="both"/>
                        <w:textAlignment w:val="baseline"/>
                        <w:rPr>
                          <w:lang w:eastAsia="lt-LT"/>
                        </w:rPr>
                      </w:pPr>
                      <w:sdt>
                        <w:sdtPr>
                          <w:alias w:val="Numeris"/>
                          <w:tag w:val="nr_42bd340cd41742bd8ea25df844523169"/>
                          <w:lock w:val="sdtLocked"/>
                          <w:richText/>
                        </w:sdtPr>
                        <w:sdtContent>
                          <w:r>
                            <w:rPr>
                              <w:color w:val="000000"/>
                            </w:rPr>
                            <w:t>3.1.7</w:t>
                          </w:r>
                        </w:sdtContent>
                      </w:sdt>
                      <w:r>
                        <w:rPr>
                          <w:color w:val="000000"/>
                        </w:rPr>
                        <w:t>. Septintoje skiltyje „Didžiausias vienu metu laikomas atliekų kiekis, t“ nurodomas didžiausias kiekvieno nepavojingųjų atliekų srauto kiekis tonomis, kuris bus laikomas konkrečioje atliekų laikymo vietoje, įskaitant atliekas, susidarančias tvarkymo metu. Jei konkrečioje vietoje laikomos nepavojingosios atliekos, priskiriamos nepavojingųjų atliekų srautams 1032 ir 1281,</w:t>
                      </w:r>
                      <w:r>
                        <w:rPr>
                          <w:color w:val="000000"/>
                          <w:lang w:eastAsia="lt-LT"/>
                        </w:rPr>
                        <w:t xml:space="preserve"> </w:t>
                      </w:r>
                      <w:r>
                        <w:rPr>
                          <w:color w:val="000000"/>
                        </w:rPr>
                        <w:t>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 Išimtis nurodyti didžiausią vienu metu laikomą kiekvieno nepavojingųjų atliekų srauto kiekį taikoma atliekas naudojančioms ar šalinančioms įmonėms, eksploatuojančioms didelių gabaritų atliekų surinkimo aikšteles.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CBA0BE"/>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4.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67.xml"/>
  <Relationship Id="rId17" Type="http://schemas.openxmlformats.org/officeDocument/2006/relationships/header" Target="header68.xml"/>
  <Relationship Id="rId18" Type="http://schemas.openxmlformats.org/officeDocument/2006/relationships/footer" Target="footer64.xml"/>
  <Relationship Id="rId19" Type="http://schemas.openxmlformats.org/officeDocument/2006/relationships/footer" Target="footer65.xml"/>
  <Relationship Id="rId2" Type="http://schemas.openxmlformats.org/officeDocument/2006/relationships/header" Target="header15.xml"/>
  <Relationship Id="rId20" Type="http://schemas.openxmlformats.org/officeDocument/2006/relationships/header" Target="header69.xml"/>
  <Relationship Id="rId21" Type="http://schemas.openxmlformats.org/officeDocument/2006/relationships/footer" Target="footer66.xml"/>
  <Relationship Id="rId22" Type="http://schemas.openxmlformats.org/officeDocument/2006/relationships/header" Target="header88.xml"/>
  <Relationship Id="rId23" Type="http://schemas.openxmlformats.org/officeDocument/2006/relationships/header" Target="header89.xml"/>
  <Relationship Id="rId24" Type="http://schemas.openxmlformats.org/officeDocument/2006/relationships/footer" Target="footer85.xml"/>
  <Relationship Id="rId25" Type="http://schemas.openxmlformats.org/officeDocument/2006/relationships/footer" Target="footer86.xml"/>
  <Relationship Id="rId26" Type="http://schemas.openxmlformats.org/officeDocument/2006/relationships/header" Target="header90.xml"/>
  <Relationship Id="rId27" Type="http://schemas.openxmlformats.org/officeDocument/2006/relationships/footer" Target="footer87.xml"/>
  <Relationship Id="rId28" Type="http://schemas.openxmlformats.org/officeDocument/2006/relationships/header" Target="header96.xml"/>
  <Relationship Id="rId29" Type="http://schemas.openxmlformats.org/officeDocument/2006/relationships/footer" Target="footer93.xml"/>
  <Relationship Id="rId3" Type="http://schemas.openxmlformats.org/officeDocument/2006/relationships/footer" Target="footer13.xml"/>
  <Relationship Id="rId30" Type="http://schemas.openxmlformats.org/officeDocument/2006/relationships/header" Target="header97.xml"/>
  <Relationship Id="rId31" Type="http://schemas.openxmlformats.org/officeDocument/2006/relationships/footer" Target="footer94.xml"/>
  <Relationship Id="rId32" Type="http://schemas.openxmlformats.org/officeDocument/2006/relationships/header" Target="header98.xml"/>
  <Relationship Id="rId33" Type="http://schemas.openxmlformats.org/officeDocument/2006/relationships/footer" Target="footer95.xml"/>
  <Relationship Id="rId34" Type="http://schemas.openxmlformats.org/officeDocument/2006/relationships/header" Target="header99.xml"/>
  <Relationship Id="rId35" Type="http://schemas.openxmlformats.org/officeDocument/2006/relationships/footer" Target="footer96.xml"/>
  <Relationship Id="rId36" Type="http://schemas.openxmlformats.org/officeDocument/2006/relationships/header" Target="header103.xml"/>
  <Relationship Id="rId37" Type="http://schemas.openxmlformats.org/officeDocument/2006/relationships/footer" Target="footer101.xml"/>
  <Relationship Id="rId38" Type="http://schemas.openxmlformats.org/officeDocument/2006/relationships/footer" Target="footer102.xml"/>
  <Relationship Id="rId39" Type="http://schemas.openxmlformats.org/officeDocument/2006/relationships/customXml" Target="../customXml/item1.xml"/>
  <Relationship Id="rId4" Type="http://schemas.openxmlformats.org/officeDocument/2006/relationships/footer" Target="footer14.xml"/>
  <Relationship Id="rId5" Type="http://schemas.openxmlformats.org/officeDocument/2006/relationships/header" Target="header16.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af0f104f96c54044aacb2fb2d2f071f1">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b5f3d80b583e41cf9f72ae7b0f99df9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5441f9c523d44e128d39c8e7a3eeb019"/>
        <Part Type="papunktis" Nr="42.15" Abbr="42.15 pp." DocPartId="d942cd7aa759468a9b1e2774cfadbfcc" PartId="2e61bd923976434b8005a1bbf7f803af"/>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94453c51d4a64a04a403a918a8668f07"/>
        <Part Type="papunktis" Nr="45.14" Abbr="45.14 pp." DocPartId="3f83a785e0234eab98b4722daaaa196b" PartId="95bc569a87ea4641ad82243908690855"/>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180108684e6a4548af1fc46f158be187"/>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42d6ce9d99184fc08cc33da438e825ca">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7c5a9fa18cca481f95792a0db6155674"/>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15d9cfa8ff2648069ce941dc5551a4d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18015d604312475cb0a49dd7a1eabcd7"/>
      <Part Type="papunktis" Nr="3.2" Abbr="3 pr. 3.2 pp." DocPartId="80a65e03baac481d9ea2f9006f02505c" PartId="41abb64e0db0497ea226bae1c2098e9d"/>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2a7317cd05cb48829e9a4d71d1601538">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65eb45edfdd64fc3bf383c305bfa1757">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42bd340cd41742bd8ea25df844523169"/>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00C4A11A-5335-4962-835E-4F79D723F70E}">
  <ds:schemaRefs>
    <ds:schemaRef ds:uri="http://lrs.lt/TAIS/DocParts"/>
  </ds:schemaRefs>
</ds:datastoreItem>
</file>

<file path=docProps/app.xml><?xml version="1.0" encoding="utf-8"?>
<Properties xmlns="http://schemas.openxmlformats.org/officeDocument/2006/extended-properties">
  <Template>Normal.dotm</Template>
  <TotalTime>112</TotalTime>
  <Pages>89</Pages>
  <Words>165259</Words>
  <Characters>94199</Characters>
  <Application>Microsoft Office Word</Application>
  <DocSecurity>0</DocSecurity>
  <Lines>784</Lines>
  <Paragraphs>517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258941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2023-05-16T13:41:00Z</dcterms:modified>
  <revision>84</revision>
</coreProperties>
</file>