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6abe9b2b81c43c595d434ded57cd8e3"/>
        <w:lock w:val="sdtLocked"/>
        <w:richText/>
      </w:sdtPr>
      <w:sdtContent>
        <w:p>
          <w:pPr>
            <w:jc w:val="both"/>
            <w:rPr>
              <w:rFonts w:ascii="Times New Roman" w:hAnsi="Times New Roman"/>
            </w:rPr>
          </w:pPr>
          <w:r>
            <w:rPr>
              <w:rFonts w:ascii="Times New Roman" w:hAnsi="Times New Roman"/>
              <w:b/>
              <w:i/>
            </w:rPr>
            <w:t>Suvestinė redakcija nuo 2016-04-07 iki 2016-07-30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12eb5f61844445fe9541e919e0cc1721"/>
                <w:lock w:val="sdtLocked"/>
                <w:richText/>
              </w:sdtPr>
              <w:sdtContent>
                <w:p>
                  <w:pPr>
                    <w:suppressAutoHyphens/>
                    <w:snapToGrid w:val="0"/>
                    <w:ind w:firstLine="567"/>
                    <w:jc w:val="both"/>
                  </w:pPr>
                  <w:sdt>
                    <w:sdtPr>
                      <w:alias w:val="Numeris"/>
                      <w:tag w:val="nr_12eb5f61844445fe9541e919e0cc1721"/>
                      <w:lock w:val="sdtLocked"/>
                      <w:richText/>
                    </w:sdtPr>
                    <w:sdtContent>
                      <w:r>
                        <w:rPr>
                          <w:szCs w:val="24"/>
                          <w:lang w:eastAsia="ar-SA"/>
                        </w:rPr>
                        <w:t>7</w:t>
                      </w:r>
                    </w:sdtContent>
                  </w:sdt>
                  <w:r>
                    <w:rPr>
                      <w:szCs w:val="24"/>
                      <w:lang w:eastAsia="ar-SA"/>
                    </w:rPr>
                    <w:t>. Atliekų turėtojas Atliekų tvarkymo įstatymo ir kitų teisės aktų nustatyta tvarka turi atliekas perduoti atliekų tvarkymo įmonei pagal sutartis dėl šių atliekų naudojimo ir (arba) šalinimo, išskyrus 7</w:t>
                  </w:r>
                  <w:r>
                    <w:rPr>
                      <w:szCs w:val="24"/>
                      <w:vertAlign w:val="superscript"/>
                      <w:lang w:eastAsia="ar-SA"/>
                    </w:rPr>
                    <w:t>1</w:t>
                  </w:r>
                  <w:r>
                    <w:rPr>
                      <w:szCs w:val="24"/>
                      <w:lang w:eastAsia="ar-SA"/>
                    </w:rPr>
                    <w:t xml:space="preserve"> punkte numatytus atvejus, arba gali tvarkyti pats.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77fc74090ea743c9bd2e18cceba19e90"/>
                <w:lock w:val="sdtLocked"/>
                <w:richText/>
              </w:sdtPr>
              <w:sdtContent>
                <w:p>
                  <w:pPr>
                    <w:suppressAutoHyphens/>
                    <w:ind w:firstLine="567"/>
                    <w:jc w:val="both"/>
                  </w:pPr>
                  <w:sdt>
                    <w:sdtPr>
                      <w:alias w:val="Numeris"/>
                      <w:tag w:val="nr_77fc74090ea743c9bd2e18cceba19e90"/>
                      <w:lock w:val="sdtLocked"/>
                      <w:richText/>
                    </w:sdtPr>
                    <w:sdtContent>
                      <w:r>
                        <w:rPr>
                          <w:szCs w:val="24"/>
                          <w:lang w:eastAsia="ar-SA"/>
                        </w:rPr>
                        <w:t>20</w:t>
                      </w:r>
                      <w:r>
                        <w:rPr>
                          <w:szCs w:val="24"/>
                          <w:vertAlign w:val="superscript"/>
                          <w:lang w:eastAsia="ar-SA"/>
                        </w:rPr>
                        <w:t>1</w:t>
                      </w:r>
                    </w:sdtContent>
                  </w:sdt>
                  <w:r>
                    <w:rPr>
                      <w:szCs w:val="24"/>
                      <w:lang w:eastAsia="ar-SA"/>
                    </w:rPr>
                    <w:t>. A</w:t>
                  </w:r>
                  <w:r>
                    <w:rPr>
                      <w:color w:val="000000"/>
                      <w:szCs w:val="24"/>
                      <w:lang w:eastAsia="ar-SA"/>
                    </w:rPr>
                    <w:t>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a61b8df82df44e35a71bdc2e4925857f"/>
                <w:lock w:val="sdtLocked"/>
                <w:richText/>
              </w:sdtPr>
              <w:sdtContent>
                <w:p>
                  <w:pPr>
                    <w:tabs>
                      <w:tab w:val="left" w:pos="14317"/>
                    </w:tabs>
                    <w:suppressAutoHyphens/>
                    <w:ind w:firstLine="567"/>
                    <w:jc w:val="both"/>
                    <w:textAlignment w:val="center"/>
                  </w:pPr>
                  <w:sdt>
                    <w:sdtPr>
                      <w:alias w:val="Numeris"/>
                      <w:tag w:val="nr_a61b8df82df44e35a71bdc2e4925857f"/>
                      <w:lock w:val="sdtLocked"/>
                      <w:richText/>
                    </w:sdtPr>
                    <w:sdtContent>
                      <w:r>
                        <w:rPr>
                          <w:color w:val="000000"/>
                          <w:szCs w:val="24"/>
                          <w:lang w:val="en-US" w:eastAsia="lt-LT"/>
                        </w:rPr>
                        <w:t>51</w:t>
                      </w:r>
                    </w:sdtContent>
                  </w:sdt>
                  <w:r>
                    <w:rPr>
                      <w:color w:val="000000"/>
                      <w:szCs w:val="24"/>
                      <w:lang w:val="en-US"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8bc5dd422c1448f585936fd3d2954b74"/>
                <w:lock w:val="sdtLocked"/>
                <w:richText/>
              </w:sdtPr>
              <w:sdtContent>
                <w:p>
                  <w:pPr>
                    <w:tabs>
                      <w:tab w:val="left" w:pos="14317"/>
                    </w:tabs>
                    <w:suppressAutoHyphens/>
                    <w:ind w:firstLine="567"/>
                    <w:jc w:val="both"/>
                    <w:textAlignment w:val="center"/>
                  </w:pPr>
                  <w:sdt>
                    <w:sdtPr>
                      <w:alias w:val="Numeris"/>
                      <w:tag w:val="nr_8bc5dd422c1448f585936fd3d2954b74"/>
                      <w:lock w:val="sdtLocked"/>
                      <w:richText/>
                    </w:sdtPr>
                    <w:sdtContent>
                      <w:r>
                        <w:rPr>
                          <w:color w:val="000000"/>
                          <w:szCs w:val="24"/>
                          <w:lang w:eastAsia="lt-LT"/>
                        </w:rPr>
                        <w:t>52</w:t>
                      </w:r>
                      <w:r>
                        <w:rPr>
                          <w:color w:val="000000"/>
                          <w:szCs w:val="24"/>
                          <w:vertAlign w:val="superscript"/>
                          <w:lang w:eastAsia="lt-LT"/>
                        </w:rPr>
                        <w:t>1</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35b7577f470c4d3daec675a11fbe118b"/>
                <w:lock w:val="sdtLocked"/>
                <w:richText/>
              </w:sdtPr>
              <w:sdtContent>
                <w:p>
                  <w:pPr>
                    <w:widowControl w:val="0"/>
                    <w:tabs>
                      <w:tab w:val="left" w:pos="993"/>
                    </w:tabs>
                    <w:suppressAutoHyphens/>
                    <w:ind w:firstLine="567"/>
                    <w:jc w:val="both"/>
                  </w:pPr>
                  <w:sdt>
                    <w:sdtPr>
                      <w:alias w:val="Numeris"/>
                      <w:tag w:val="nr_35b7577f470c4d3daec675a11fbe118b"/>
                      <w:lock w:val="sdtLocked"/>
                      <w:richText/>
                    </w:sdtPr>
                    <w:sdtContent>
                      <w:r>
                        <w:rPr>
                          <w:rFonts w:eastAsia="Lucida Sans Unicode" w:cs="Tahoma"/>
                          <w:szCs w:val="24"/>
                        </w:rPr>
                        <w:t>77</w:t>
                      </w:r>
                    </w:sdtContent>
                  </w:sdt>
                  <w:r>
                    <w:rPr>
                      <w:rFonts w:eastAsia="Lucida Sans Unicode" w:cs="Tahoma"/>
                      <w:szCs w:val="24"/>
                    </w:rPr>
                    <w:t>. Identifikuojant pavojingąsias atliekas, reikia vadovautis :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
                      <w:sdtPr>
                        <w:alias w:val="2.2.7 p."/>
                        <w:tag w:val="part_eb978ad7277048c2bb0fed2765492696"/>
                        <w:lock w:val="sdtLocked"/>
                        <w:richText/>
                      </w:sdtPr>
                      <w:sdtContent>
                        <w:p>
                          <w:pPr>
                            <w:widowControl w:val="0"/>
                            <w:tabs>
                              <w:tab w:val="left" w:pos="993"/>
                            </w:tabs>
                            <w:suppressAutoHyphens/>
                            <w:ind w:firstLine="567"/>
                            <w:jc w:val="both"/>
                            <w:rPr>
                              <w:szCs w:val="24"/>
                              <w:lang w:eastAsia="lt-LT"/>
                            </w:rPr>
                          </w:pPr>
                          <w:sdt>
                            <w:sdtPr>
                              <w:alias w:val="Numeris"/>
                              <w:tag w:val="nr_eb978ad7277048c2bb0fed2765492696"/>
                              <w:lock w:val="sdtLocked"/>
                              <w:richText/>
                            </w:sdtPr>
                            <w:sdtContent>
                              <w:r>
                                <w:rPr>
                                  <w:rFonts w:eastAsia="Lucida Sans Unicode" w:cs="Tahoma"/>
                                  <w:szCs w:val="24"/>
                                </w:rPr>
                                <w:t>2.2.7</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4e9460fbf311e5a52397090a2fa158">
                            <w:r w:rsidRPr="00532B9F">
                              <w:rPr>
                                <w:rFonts w:ascii="Times New Roman" w:eastAsia="MS Mincho" w:hAnsi="Times New Roman"/>
                                <w:sz w:val="20"/>
                                <w:i/>
                                <w:iCs/>
                                <w:color w:val="0000FF" w:themeColor="hyperlink"/>
                                <w:u w:val="single"/>
                              </w:rPr>
                              <w:t>D1-238</w:t>
                            </w:r>
                          </w:fldSimple>
                          <w:r>
                            <w:rPr>
                              <w:rFonts w:ascii="Times New Roman" w:eastAsia="MS Mincho" w:hAnsi="Times New Roman"/>
                              <w:sz w:val="20"/>
                              <w:i/>
                              <w:iCs/>
                            </w:rPr>
                            <w:t>,
2016-04-05,
paskelbta TAR 2016-04-06, i. k. 2016-07995        </w:t>
                          </w:r>
                        </w:p>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1283a932a9c74308a4a980ea9a1356ff"/>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283a932a9c74308a4a980ea9a1356ff"/>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1283a932a9c74308a4a980ea9a1356ff"/>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eastAsia="ar-SA"/>
            </w:rPr>
          </w:pPr>
        </w:p>
        <w:p>
          <w:pPr>
            <w:widowControl w:val="0"/>
            <w:ind w:firstLine="567"/>
            <w:jc w:val="both"/>
            <w:rPr>
              <w:lang w:eastAsia="ar-SA"/>
            </w:rPr>
          </w:pPr>
          <w:r>
            <w:rPr>
              <w:lang w:eastAsia="ar-SA"/>
            </w:rPr>
            <w:t>4.1. sandėlio ar saugyklos apibūdinimas: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eastAsia="ar-SA"/>
            </w:rPr>
          </w:pPr>
        </w:p>
        <w:p>
          <w:pPr>
            <w:widowControl w:val="0"/>
            <w:ind w:firstLine="567"/>
            <w:jc w:val="both"/>
            <w:rPr>
              <w:lang w:eastAsia="ar-SA"/>
            </w:rPr>
          </w:pPr>
          <w:r>
            <w:rPr>
              <w:lang w:eastAsia="ar-SA"/>
            </w:rPr>
            <w:t>4.2. sandėlyje ar saugykloje laikomos atliekos: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53540bf9fb874e3f98b402c1a487dc6f"/>
            <w:lock w:val="sdtLocked"/>
            <w:richText/>
          </w:sdtPr>
          <w:sdtContent>
            <w:p>
              <w:pPr>
                <w:widowControl w:val="0"/>
                <w:tabs>
                  <w:tab w:val="left" w:pos="1134"/>
                </w:tabs>
                <w:suppressAutoHyphens/>
                <w:ind w:firstLine="567"/>
                <w:jc w:val="both"/>
              </w:pPr>
              <w:sdt>
                <w:sdtPr>
                  <w:alias w:val="Numeris"/>
                  <w:tag w:val="nr_53540bf9fb874e3f98b402c1a487dc6f"/>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2014 m. gruodžio 18 d. Komisijos reglamentu (ES) Nr. 1357/2014 (OL 2014 L 365, p. 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489D2A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6.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56abe9b2b81c43c595d434ded57cd8e3">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12eb5f61844445fe9541e919e0cc1721"/>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77fc74090ea743c9bd2e18cceba19e90"/>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a61b8df82df44e35a71bdc2e4925857f"/>
      <Part Type="punktas" Nr="52" Abbr="52 p." DocPartId="d4024af5f07a47cab9f54574ede82165" PartId="72b5798dad6d40f392d057dd24c59312"/>
      <Part Type="punktas" Nr="52-1" Abbr="52-1 p." DocPartId="7f4ec18f54d340ce943abaad7602b565" PartId="8bc5dd422c1448f585936fd3d2954b74"/>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35b7577f470c4d3daec675a11fbe118b"/>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Type="punktas" Nr="2.2.7" Abbr="2.2.7 p." DocPartId="c69d8c7985e34f08859e814adf2cd3c8" PartId="eb978ad7277048c2bb0fed2765492696"/>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1283a932a9c74308a4a980ea9a1356ff"/>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53540bf9fb874e3f98b402c1a487dc6f"/>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5350F6C9-5C73-4C12-B651-0F4E8974F3EE}">
  <ds:schemaRefs>
    <ds:schemaRef ds:uri="http://lrs.lt/TAIS/DocParts"/>
  </ds:schemaRefs>
</ds:datastoreItem>
</file>

<file path=docProps/app.xml><?xml version="1.0" encoding="utf-8"?>
<Properties xmlns="http://schemas.openxmlformats.org/officeDocument/2006/extended-properties">
  <Template>Normal.dotm</Template>
  <TotalTime>55</TotalTime>
  <Pages>56</Pages>
  <Words>96205</Words>
  <Characters>54837</Characters>
  <Application>Microsoft Office Word</Application>
  <DocSecurity>0</DocSecurity>
  <Lines>456</Lines>
  <Paragraphs>301</Paragraphs>
  <ScaleCrop>false</ScaleCrop>
  <Company/>
  <LinksUpToDate>false</LinksUpToDate>
  <CharactersWithSpaces>150741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2018-01-26T11:50:00Z</dcterms:modified>
  <revision>59</revision>
</coreProperties>
</file>