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2022-08-18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75583cf0c96d46a7b86ccbd02305e125"/>
            <w:lock w:val="sdtLocked"/>
            <w:richText/>
          </w:sdtPr>
          <w:sdtContent>
            <w:p>
              <w:pPr>
                <w:suppressAutoHyphens/>
                <w:ind w:firstLine="567"/>
                <w:jc w:val="both"/>
                <w:rPr>
                  <w:color w:val="000000"/>
                </w:rPr>
              </w:pPr>
              <w:r>
                <w:rPr>
                  <w:color w:val="000000"/>
                  <w:lang w:val="lt" w:eastAsia="lt-LT"/>
                </w:rPr>
                <w:t>Vadovaudamasis Lietuvos Respublikos atliekų tvarkymo įstatymo 4 straipsnio 1, 8 dalimis, 7</w:t>
              </w:r>
              <w:r>
                <w:rPr>
                  <w:color w:val="000000"/>
                  <w:vertAlign w:val="superscript"/>
                  <w:lang w:val="lt" w:eastAsia="lt-LT"/>
                </w:rPr>
                <w:t>1</w:t>
              </w:r>
              <w:r>
                <w:rPr>
                  <w:color w:val="000000"/>
                  <w:lang w:val="lt" w:eastAsia="lt-LT"/>
                </w:rPr>
                <w:t>, 10 straipsniais, 11</w:t>
              </w:r>
              <w:r>
                <w:rPr>
                  <w:color w:val="000000"/>
                  <w:vertAlign w:val="superscript"/>
                  <w:lang w:val="lt" w:eastAsia="lt-LT"/>
                </w:rPr>
                <w:t>1</w:t>
              </w:r>
              <w:r>
                <w:rPr>
                  <w:color w:val="000000"/>
                  <w:lang w:val="lt" w:eastAsia="lt-LT"/>
                </w:rPr>
                <w:t xml:space="preserve"> straipsnio 3 dalimi, 12</w:t>
              </w:r>
              <w:r>
                <w:rPr>
                  <w:color w:val="000000"/>
                  <w:vertAlign w:val="superscript"/>
                  <w:lang w:val="lt" w:eastAsia="lt-LT"/>
                </w:rPr>
                <w:t>1</w:t>
              </w:r>
              <w:r>
                <w:rPr>
                  <w:color w:val="000000"/>
                  <w:lang w:val="lt" w:eastAsia="lt-LT"/>
                </w:rPr>
                <w:t xml:space="preserve"> straipsnio 2 dalimi, 13, 14, 15 straipsniais ir įgyvendindamas 2008 m. lapkričio 19 d. Europos Parlamento ir Tarybos </w:t>
              </w:r>
              <w:r>
                <w:rPr>
                  <w:lang w:val="lt" w:eastAsia="lt-LT"/>
                </w:rPr>
                <w:t xml:space="preserve">direktyvos 2008/98/EB </w:t>
              </w:r>
              <w:r>
                <w:rPr>
                  <w:color w:val="000000"/>
                  <w:lang w:val="lt" w:eastAsia="lt-LT"/>
                </w:rPr>
                <w:t xml:space="preserve">dėl atliekų ir panaikinančios kai kurias direktyvas </w:t>
              </w:r>
              <w:r>
                <w:t>su paskutiniais pakeitimais, padarytais Europos Parlamento ir Tarybos direktyva (ES) 2018/851</w:t>
              </w:r>
              <w:r>
                <w:rPr>
                  <w:color w:val="000000"/>
                  <w:lang w:val="lt" w:eastAsia="lt-LT"/>
                </w:rPr>
                <w:t>, 1, 2 ir 3 priedus,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675882ea6104cc78a8f896ae0588646"/>
        <w:lock w:val="sdtLocked"/>
        <w:richText/>
      </w:sdtPr>
      <w:sdtContent>
        <w:p>
          <w:pPr>
            <w:widowControl w:val="0"/>
            <w:suppressAutoHyphens/>
            <w:ind w:left="5103"/>
            <w:jc w:val="both"/>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c675882ea6104cc78a8f896ae0588646"/>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556e08a142574d1c831ed2c1591ca83a"/>
                <w:lock w:val="sdtLocked"/>
                <w:richText/>
              </w:sdtPr>
              <w:sdtContent>
                <w:p>
                  <w:pPr>
                    <w:widowControl w:val="0"/>
                    <w:suppressAutoHyphens/>
                    <w:ind w:firstLine="567"/>
                    <w:jc w:val="both"/>
                  </w:pPr>
                  <w:sdt>
                    <w:sdtPr>
                      <w:alias w:val="Numeris"/>
                      <w:tag w:val="nr_556e08a142574d1c831ed2c1591ca83a"/>
                      <w:lock w:val="sdtLocked"/>
                      <w:richText/>
                    </w:sdtPr>
                    <w:sdtContent>
                      <w:r>
                        <w:t>35</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patvirtinimo“ (toliau – Pavojingų atliekų tvarkymo licencijavimo taisyklės), nustatyta tvarka. </w:t>
                  </w:r>
                  <w:r>
                    <w:rPr>
                      <w:spacing w:val="-2"/>
                    </w:rPr>
                    <w:t>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2ebe0ad1844c4d82b6c20faa13976451"/>
                    <w:lock w:val="sdtLocked"/>
                    <w:richText/>
                  </w:sdtPr>
                  <w:sdtContent>
                    <w:p>
                      <w:pPr>
                        <w:tabs>
                          <w:tab w:val="left" w:pos="426"/>
                          <w:tab w:val="left" w:pos="993"/>
                        </w:tabs>
                        <w:ind w:firstLine="567"/>
                        <w:jc w:val="both"/>
                      </w:pPr>
                      <w:sdt>
                        <w:sdtPr>
                          <w:alias w:val="Numeris"/>
                          <w:tag w:val="nr_2ebe0ad1844c4d82b6c20faa13976451"/>
                          <w:lock w:val="sdtLocked"/>
                          <w:richText/>
                        </w:sdtPr>
                        <w:sdtContent>
                          <w:r>
                            <w:rPr>
                              <w:color w:val="000000"/>
                            </w:rPr>
                            <w:t>42.1</w:t>
                          </w:r>
                        </w:sdtContent>
                      </w:sdt>
                      <w:r>
                        <w:rPr>
                          <w:color w:val="000000"/>
                        </w:rP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Siuntėjas gali suteikti teisę per GPAIS Lydraštį formuoti surinkėjui, vežėjui, tarpininkui ar prekiautojui.</w:t>
                      </w:r>
                      <w:r>
                        <w:rPr>
                          <w:b/>
                          <w:color w:val="000000"/>
                        </w:rPr>
                        <w:t xml:space="preserve"> </w:t>
                      </w:r>
                      <w:r>
                        <w:rPr>
                          <w:color w:val="000000"/>
                        </w:rPr>
                        <w:t>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a139f710c53b4a9b91bf90a5db2afa47"/>
                    <w:lock w:val="sdtLocked"/>
                    <w:richText/>
                  </w:sdtPr>
                  <w:sdtContent>
                    <w:p>
                      <w:pPr>
                        <w:tabs>
                          <w:tab w:val="left" w:pos="426"/>
                          <w:tab w:val="left" w:pos="851"/>
                          <w:tab w:val="left" w:pos="993"/>
                        </w:tabs>
                        <w:ind w:firstLine="567"/>
                        <w:jc w:val="both"/>
                      </w:pPr>
                      <w:sdt>
                        <w:sdtPr>
                          <w:alias w:val="Numeris"/>
                          <w:tag w:val="nr_a139f710c53b4a9b91bf90a5db2afa47"/>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Gavėjas gali suteikti teisę per GPAIS Lydraštį formuoti surinkėjui, vežėjui, tarpininkui ar prekiautojui.</w:t>
                      </w:r>
                      <w:r>
                        <w:rPr>
                          <w:b/>
                          <w:color w:val="000000"/>
                        </w:rPr>
                        <w:t xml:space="preserve"> </w:t>
                      </w:r>
                      <w:r>
                        <w:rPr>
                          <w:color w:val="000000"/>
                        </w:rPr>
                        <w:t>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d414830c05e04378892669a9215450cf"/>
                    <w:lock w:val="sdtLocked"/>
                    <w:richText/>
                  </w:sdtPr>
                  <w:sdtContent>
                    <w:p>
                      <w:pPr>
                        <w:ind w:firstLine="567"/>
                        <w:jc w:val="both"/>
                      </w:pPr>
                      <w:sdt>
                        <w:sdtPr>
                          <w:alias w:val="Numeris"/>
                          <w:tag w:val="nr_d414830c05e04378892669a9215450cf"/>
                          <w:lock w:val="sdtLocked"/>
                          <w:richText/>
                        </w:sdtPr>
                        <w:sdtContent>
                          <w:r>
                            <w:rPr>
                              <w:color w:val="000000"/>
                              <w:szCs w:val="24"/>
                              <w:lang w:eastAsia="lt-LT"/>
                            </w:rPr>
                            <w:t>45.1</w:t>
                          </w:r>
                        </w:sdtContent>
                      </w:sdt>
                      <w:r>
                        <w:rPr>
                          <w:color w:val="000000"/>
                          <w:szCs w:val="24"/>
                          <w:lang w:eastAsia="lt-LT"/>
                        </w:rPr>
                        <w:t xml:space="preserve">. jeigu Lydraštį formuoja atliekų gavėjas, jis, naudodamasis GPAIS, Lydraštyje nurodo planuojamų gauti atliekų kodus ir pavadinimus, atliekų siuntėją, vežėją ir kitą Lydraštyje privalomą informaciją. Planuojamas gauti atliekų kiekis nenurodomas. </w:t>
                      </w:r>
                      <w:r>
                        <w:rPr>
                          <w:color w:val="000000"/>
                        </w:rPr>
                        <w:t>Gavėjas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siuntėjas ir atliekų vežėjas;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2 pp."/>
                    <w:tag w:val="part_c0193f4e325b49b99a137dc978e653cc"/>
                    <w:lock w:val="sdtLocked"/>
                    <w:richText/>
                  </w:sdtPr>
                  <w:sdtContent>
                    <w:p>
                      <w:pPr>
                        <w:ind w:firstLine="567"/>
                        <w:jc w:val="both"/>
                      </w:pPr>
                      <w:sdt>
                        <w:sdtPr>
                          <w:alias w:val="Numeris"/>
                          <w:tag w:val="nr_c0193f4e325b49b99a137dc978e653cc"/>
                          <w:lock w:val="sdtLocked"/>
                          <w:richText/>
                        </w:sdtPr>
                        <w:sdtContent>
                          <w:r>
                            <w:rPr>
                              <w:color w:val="000000"/>
                              <w:szCs w:val="24"/>
                              <w:lang w:eastAsia="lt-LT"/>
                            </w:rPr>
                            <w:t>45.2</w:t>
                          </w:r>
                        </w:sdtContent>
                      </w:sdt>
                      <w:r>
                        <w:rPr>
                          <w:color w:val="000000"/>
                          <w:szCs w:val="24"/>
                          <w:lang w:eastAsia="lt-LT"/>
                        </w:rPr>
                        <w:t xml:space="preserve">. jeigu Lydraštį formuoja atliekų siuntėjas, jis, naudodamasis GPAIS, Lydraštyje nurodo planuojamų perduoti atliekų kodus ir pavadinimus, atliekų gavėją, vežėją ir kitą Lydraštyje privalomą informaciją. </w:t>
                      </w:r>
                      <w:r>
                        <w:rPr>
                          <w:color w:val="000000"/>
                        </w:rPr>
                        <w:t>Siuntėjas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69c1fb315a604ce6b8a3e8deec93b310"/>
                <w:lock w:val="sdtLocked"/>
                <w:richText/>
              </w:sdtPr>
              <w:sdtContent>
                <w:p>
                  <w:pPr>
                    <w:tabs>
                      <w:tab w:val="left" w:pos="1134"/>
                      <w:tab w:val="left" w:pos="1304"/>
                      <w:tab w:val="left" w:pos="1604"/>
                      <w:tab w:val="left" w:pos="1757"/>
                    </w:tabs>
                    <w:suppressAutoHyphens/>
                    <w:ind w:firstLine="567"/>
                    <w:jc w:val="both"/>
                    <w:textAlignment w:val="baseline"/>
                    <w:rPr>
                      <w:bCs/>
                      <w:color w:val="000000"/>
                      <w:szCs w:val="24"/>
                    </w:rPr>
                  </w:pPr>
                  <w:sdt>
                    <w:sdtPr>
                      <w:alias w:val="Numeris"/>
                      <w:tag w:val="nr_69c1fb315a604ce6b8a3e8deec93b310"/>
                      <w:lock w:val="sdtLocked"/>
                      <w:richText/>
                    </w:sdtPr>
                    <w:sdtContent>
                      <w:r>
                        <w:rPr>
                          <w:bCs/>
                          <w:color w:val="000000"/>
                          <w:szCs w:val="24"/>
                        </w:rPr>
                        <w:t>49</w:t>
                      </w:r>
                    </w:sdtContent>
                  </w:sdt>
                  <w:r>
                    <w:rPr>
                      <w:bCs/>
                      <w:color w:val="000000"/>
                      <w:szCs w:val="24"/>
                    </w:rPr>
                    <w:t>. Atliekų siuntėjas ir gavėjas privalo užtikrinti, kad Lydraščiuose pateikta informacija būtų teisinga.</w:t>
                  </w:r>
                </w:p>
                <w:p>
                  <w:pPr>
                    <w:tabs>
                      <w:tab w:val="left" w:pos="1134"/>
                      <w:tab w:val="left" w:pos="1304"/>
                      <w:tab w:val="left" w:pos="1604"/>
                      <w:tab w:val="left" w:pos="1757"/>
                    </w:tabs>
                    <w:suppressAutoHyphens/>
                    <w:ind w:firstLine="567"/>
                    <w:jc w:val="both"/>
                    <w:textAlignment w:val="baseline"/>
                  </w:pPr>
                  <w:r>
                    <w:rPr>
                      <w:bCs/>
                      <w:color w:val="000000"/>
                      <w:szCs w:val="24"/>
                    </w:rPr>
                    <w:t xml:space="preserve">Neteisingai užpildžius Lydraštį Taisyklių 42 punkte nustatyta tvarka ir jį patvirtinus (pvz., nurodžius per didelį ar per mažą atliekų kiekį ar ne tą atliekų kodą), galima ištaisyti klaidą užpildant naują Lydraštį ir be realaus atliekų kiekio grąžinimo Taisyklių 42 punkte nustatyta tvarka grąžinti atliekas. Lydraščio pastabų skiltyje nurodydamas neteisingai užpildyto Lydraščio numerį ir atitinkamai „techninis atliekų grąžinimas – atliekų siuntėjas nurodė neteisingą perduodamų atliekų kiekį“ arba „techninis atliekų grąžinimas – atliekų siuntėjas nurodė neteisingą atliekų kodą.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5bd553800deb49de8cca2c6b83d7126b"/>
                <w:lock w:val="sdtLocked"/>
                <w:richText/>
              </w:sdtPr>
              <w:sdtContent>
                <w:p>
                  <w:pPr>
                    <w:ind w:firstLine="567"/>
                    <w:jc w:val="both"/>
                    <w:textAlignment w:val="center"/>
                    <w:rPr>
                      <w:color w:val="000000"/>
                      <w:szCs w:val="24"/>
                      <w:lang w:eastAsia="lt-LT"/>
                    </w:rPr>
                  </w:pPr>
                  <w:sdt>
                    <w:sdtPr>
                      <w:alias w:val="Numeris"/>
                      <w:tag w:val="nr_5bd553800deb49de8cca2c6b83d7126b"/>
                      <w:lock w:val="sdtLocked"/>
                      <w:richText/>
                    </w:sdtPr>
                    <w:sdtContent>
                      <w:r>
                        <w:rPr>
                          <w:color w:val="000000"/>
                          <w:szCs w:val="24"/>
                          <w:lang w:eastAsia="lt-LT"/>
                        </w:rPr>
                        <w:t>61</w:t>
                      </w:r>
                    </w:sdtContent>
                  </w:sdt>
                  <w:r>
                    <w:rPr>
                      <w:color w:val="000000"/>
                      <w:szCs w:val="24"/>
                      <w:lang w:eastAsia="lt-LT"/>
                    </w:rPr>
                    <w:t xml:space="preserve">. Savivaldybės privalo užtikrinti namų ūkiuose susidarančių maisto ir virtuvės atliekų rūšiavimą susidarymo vietoje ir įdiegti rūšiuojamąjį surinkimą miestuose, kuriuose yra daugiau nei 50 000 gyventojų, ir gali užtikrinti namų ūkiuose susidarančių maisto ir virtuvės atliekų rūšiavimą vietoje ir įdiegti rūšiuojamąjį surinkimą </w:t>
                  </w:r>
                  <w:r>
                    <w:rPr>
                      <w:szCs w:val="24"/>
                      <w:lang w:eastAsia="lt-LT"/>
                    </w:rPr>
                    <w:t>kitose teritorijose</w:t>
                  </w:r>
                  <w:r>
                    <w:rPr>
                      <w:color w:val="000000"/>
                      <w:szCs w:val="24"/>
                      <w:lang w:eastAsia="lt-LT"/>
                    </w:rPr>
                    <w:t>, kuriose vykdyti maisto ir virtuvės atliekų rūšiavimą ekonomiškai naudinga ar techniškai įmanoma. Savivaldybės privalo aprūpinti gyventojus Taisyklių 62 punkto reikalavimus atitinkančiomis talpomis, užtikrinti visuomenės sveikatai ir aplinkai saugų laikinąjį šių atliekų laikymą. Teritorijose, kur organizuotas namų ūkių maisto ir virtuvės atliekų rūšiavimas, gyventojai privalo atskirai surinkti namų ūkiuose susidarančias maisto ir virtuvės atliekas ir atiduoti jas tvarkyti savivaldybės nustatyta tvarka.</w:t>
                  </w:r>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91d2e380642d4f8e9a64367201fabb7f"/>
                <w:lock w:val="sdtLocked"/>
                <w:richText/>
              </w:sdtPr>
              <w:sdtContent>
                <w:p>
                  <w:pPr>
                    <w:widowControl w:val="0"/>
                    <w:suppressAutoHyphens/>
                    <w:ind w:firstLine="567"/>
                    <w:jc w:val="both"/>
                    <w:rPr>
                      <w:lang w:eastAsia="lt-LT"/>
                    </w:rPr>
                  </w:pPr>
                  <w:sdt>
                    <w:sdtPr>
                      <w:alias w:val="Numeris"/>
                      <w:tag w:val="nr_91d2e380642d4f8e9a64367201fabb7f"/>
                      <w:lock w:val="sdtLocked"/>
                      <w:richText/>
                    </w:sdtPr>
                    <w:sdtContent>
                      <w:r>
                        <w:rPr>
                          <w:lang w:eastAsia="lt-LT"/>
                        </w:rPr>
                        <w:t>72</w:t>
                      </w:r>
                      <w:r>
                        <w:rPr>
                          <w:vertAlign w:val="superscript"/>
                          <w:lang w:eastAsia="lt-LT"/>
                        </w:rPr>
                        <w:t>4</w:t>
                      </w:r>
                    </w:sdtContent>
                  </w:sdt>
                  <w:r>
                    <w:rPr>
                      <w:lang w:eastAsia="lt-LT"/>
                    </w:rPr>
                    <w:t>.</w:t>
                  </w:r>
                  <w:r>
                    <w:rPr>
                      <w:b/>
                      <w:bCs/>
                      <w:lang w:eastAsia="lt-LT"/>
                    </w:rPr>
                    <w:t xml:space="preserve"> </w:t>
                  </w:r>
                  <w:r>
                    <w:rPr>
                      <w:lang w:eastAsia="lt-LT"/>
                    </w:rPr>
                    <w:t>Agentūra įvertina atnaujintą techninį reglamentą, AAD pastabas ir (ar) pasiūlymus dėl techninio reglamento ir ne vėliau kaip per 15 darbo dienų nuo jo gavimo dienos, kai keičiamas tik techninis reglamentas, neteikiant paraiškos pakeisti Leidimą ar prašymo patikslinti Leidimo rekvizitus, raštu informuoja atliekas naudojančią ar šalinančią įmonę apie sprendimą dėl techninio reglamento suderinimo arba nurodo terminą,</w:t>
                  </w:r>
                  <w:r>
                    <w:rPr>
                      <w:szCs w:val="24"/>
                      <w:lang w:eastAsia="lt-LT"/>
                    </w:rPr>
                    <w:t xml:space="preserve"> ne trumpesnį kaip 3 darbo dienos, trūkumams pašalinti.</w:t>
                  </w:r>
                </w:p>
              </w:sdtContent>
            </w:sdt>
            <w:sdt>
              <w:sdtPr>
                <w:alias w:val="72-5 p."/>
                <w:tag w:val="part_e9b325f8767845bf9d2c68929cdb2bd4"/>
                <w:lock w:val="sdtLocked"/>
                <w:richText/>
              </w:sdtPr>
              <w:sdtContent>
                <w:p>
                  <w:pPr>
                    <w:widowControl w:val="0"/>
                    <w:suppressAutoHyphens/>
                    <w:ind w:firstLine="567"/>
                    <w:jc w:val="both"/>
                    <w:rPr>
                      <w:lang w:eastAsia="lt-LT"/>
                    </w:rPr>
                  </w:pPr>
                  <w:sdt>
                    <w:sdtPr>
                      <w:alias w:val="Numeris"/>
                      <w:tag w:val="nr_e9b325f8767845bf9d2c68929cdb2bd4"/>
                      <w:lock w:val="sdtLocked"/>
                      <w:richText/>
                    </w:sdtPr>
                    <w:sdtContent>
                      <w:r>
                        <w:rPr>
                          <w:lang w:eastAsia="lt-LT"/>
                        </w:rPr>
                        <w:t>72</w:t>
                      </w:r>
                      <w:r>
                        <w:rPr>
                          <w:vertAlign w:val="superscript"/>
                          <w:lang w:eastAsia="lt-LT"/>
                        </w:rPr>
                        <w:t>5</w:t>
                      </w:r>
                    </w:sdtContent>
                  </w:sdt>
                  <w:r>
                    <w:rPr>
                      <w:lang w:eastAsia="lt-LT"/>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w:t>
                  </w:r>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c126c59ef4fe4b9d8e510a3393af877e"/>
            <w:lock w:val="sdtLocked"/>
            <w:richText/>
          </w:sdtPr>
          <w:sdtContent>
            <w:p>
              <w:pPr>
                <w:suppressAutoHyphens/>
                <w:jc w:val="center"/>
                <w:rPr>
                  <w:b/>
                  <w:bCs/>
                  <w:szCs w:val="24"/>
                  <w:lang w:eastAsia="lt-LT"/>
                </w:rPr>
              </w:pPr>
              <w:sdt>
                <w:sdtPr>
                  <w:alias w:val="Numeris"/>
                  <w:tag w:val="nr_c126c59ef4fe4b9d8e510a3393af877e"/>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c126c59ef4fe4b9d8e510a3393af877e"/>
                  <w:lock w:val="sdtLocked"/>
                  <w:richText/>
                </w:sdtPr>
                <w:sdtContent>
                  <w:r>
                    <w:rPr>
                      <w:b/>
                      <w:bCs/>
                      <w:szCs w:val="24"/>
                      <w:lang w:eastAsia="lt-LT"/>
                    </w:rPr>
                    <w:t>ATLIEKŲ NEBELAIKYMAS ATLIEKOMIS</w:t>
                  </w:r>
                </w:sdtContent>
              </w:sdt>
            </w:p>
            <w:p>
              <w:pPr>
                <w:suppressAutoHyphens/>
                <w:spacing w:line="276" w:lineRule="auto"/>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67b734fac3bb40d0a0d89c95af4cbc4a"/>
        <w:lock w:val="sdtLocked"/>
        <w:richText/>
      </w:sdtPr>
      <w:sdtContent>
        <w:p>
          <w:pPr>
            <w:ind w:left="6237"/>
            <w:jc w:val="both"/>
            <w:sectPr>
              <w:headerReference w:type="even" r:id="rId21"/>
              <w:headerReference w:type="default" r:id="rId22"/>
              <w:footerReference w:type="even" r:id="rId23"/>
              <w:footerReference w:type="default" r:id="rId24"/>
              <w:headerReference w:type="first" r:id="rId25"/>
              <w:footerReference w:type="first" r:id="rId26"/>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67b734fac3bb40d0a0d89c95af4cbc4a"/>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a58e2989858b4424bb0eda56833c94f8"/>
                <w:lock w:val="sdtLocked"/>
                <w:richText/>
              </w:sdtPr>
              <w:sdtContent>
                <w:p>
                  <w:pPr>
                    <w:widowControl w:val="0"/>
                    <w:ind w:firstLine="567"/>
                    <w:jc w:val="both"/>
                  </w:pPr>
                  <w:sdt>
                    <w:sdtPr>
                      <w:alias w:val="Numeris"/>
                      <w:tag w:val="nr_a58e2989858b4424bb0eda56833c94f8"/>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704"/>
                  </w:tblGrid>
                  <w:tr>
                    <w:trPr>
                      <w:cantSplit/>
                      <w:trHeight w:val="23"/>
                      <w:tblHeader/>
                    </w:trPr>
                    <w:tc>
                      <w:tcPr>
                        <w:tcW w:w="907" w:type="dxa"/>
                      </w:tcPr>
                      <w:p>
                        <w:pPr>
                          <w:widowControl w:val="0"/>
                          <w:tabs>
                            <w:tab w:val="left" w:pos="567"/>
                          </w:tabs>
                          <w:rPr>
                            <w:b/>
                            <w:bCs/>
                            <w:sz w:val="22"/>
                          </w:rPr>
                        </w:pPr>
                        <w:r>
                          <w:rPr>
                            <w:b/>
                            <w:bCs/>
                            <w:sz w:val="22"/>
                          </w:rPr>
                          <w:t>Kodas</w:t>
                        </w:r>
                      </w:p>
                    </w:tc>
                    <w:tc>
                      <w:tcPr>
                        <w:tcW w:w="3136" w:type="dxa"/>
                      </w:tcPr>
                      <w:p>
                        <w:pPr>
                          <w:widowControl w:val="0"/>
                          <w:tabs>
                            <w:tab w:val="left" w:pos="567"/>
                          </w:tabs>
                          <w:rPr>
                            <w:b/>
                            <w:bCs/>
                            <w:sz w:val="22"/>
                          </w:rPr>
                        </w:pPr>
                        <w:r>
                          <w:rPr>
                            <w:b/>
                            <w:bCs/>
                            <w:sz w:val="22"/>
                          </w:rPr>
                          <w:t>Pavadinimas</w:t>
                        </w:r>
                      </w:p>
                    </w:tc>
                    <w:tc>
                      <w:tcPr>
                        <w:tcW w:w="5704" w:type="dxa"/>
                      </w:tcPr>
                      <w:p>
                        <w:pPr>
                          <w:widowControl w:val="0"/>
                          <w:tabs>
                            <w:tab w:val="left" w:pos="567"/>
                          </w:tabs>
                          <w:rPr>
                            <w:b/>
                            <w:bCs/>
                            <w:sz w:val="22"/>
                          </w:rPr>
                        </w:pPr>
                        <w:r>
                          <w:rPr>
                            <w:b/>
                            <w:bCs/>
                            <w:sz w:val="22"/>
                          </w:rPr>
                          <w:t>Pastabos</w:t>
                        </w:r>
                      </w:p>
                    </w:tc>
                  </w:tr>
                  <w:tr>
                    <w:trPr>
                      <w:cantSplit/>
                      <w:trHeight w:val="23"/>
                    </w:trPr>
                    <w:tc>
                      <w:tcPr>
                        <w:tcW w:w="907" w:type="dxa"/>
                      </w:tcPr>
                      <w:p>
                        <w:pPr>
                          <w:widowControl w:val="0"/>
                          <w:tabs>
                            <w:tab w:val="left" w:pos="567"/>
                          </w:tabs>
                          <w:rPr>
                            <w:b/>
                            <w:bCs/>
                            <w:sz w:val="22"/>
                          </w:rPr>
                        </w:pPr>
                        <w:r>
                          <w:rPr>
                            <w:b/>
                            <w:bCs/>
                            <w:sz w:val="22"/>
                          </w:rPr>
                          <w:t>R1</w:t>
                        </w:r>
                      </w:p>
                    </w:tc>
                    <w:tc>
                      <w:tcPr>
                        <w:tcW w:w="3136" w:type="dxa"/>
                      </w:tcPr>
                      <w:p>
                        <w:pPr>
                          <w:widowControl w:val="0"/>
                          <w:tabs>
                            <w:tab w:val="left" w:pos="567"/>
                          </w:tabs>
                          <w:rPr>
                            <w:b/>
                            <w:bCs/>
                            <w:sz w:val="22"/>
                          </w:rPr>
                        </w:pPr>
                        <w:r>
                          <w:rPr>
                            <w:b/>
                            <w:bCs/>
                            <w:sz w:val="22"/>
                          </w:rPr>
                          <w:t>Iš esmės naudojimas kurui arba kitais būdais energijai gauti</w:t>
                        </w:r>
                      </w:p>
                    </w:tc>
                    <w:tc>
                      <w:tcPr>
                        <w:tcW w:w="5704"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tabs>
                            <w:tab w:val="left" w:pos="567"/>
                          </w:tabs>
                          <w:rPr>
                            <w:b/>
                            <w:bCs/>
                            <w:sz w:val="22"/>
                          </w:rPr>
                        </w:pPr>
                        <w:r>
                          <w:rPr>
                            <w:b/>
                            <w:bCs/>
                            <w:sz w:val="22"/>
                          </w:rPr>
                          <w:t>R2</w:t>
                        </w:r>
                      </w:p>
                    </w:tc>
                    <w:tc>
                      <w:tcPr>
                        <w:tcW w:w="3136" w:type="dxa"/>
                      </w:tcPr>
                      <w:p>
                        <w:pPr>
                          <w:widowControl w:val="0"/>
                          <w:tabs>
                            <w:tab w:val="left" w:pos="567"/>
                          </w:tabs>
                          <w:rPr>
                            <w:b/>
                            <w:bCs/>
                            <w:sz w:val="22"/>
                          </w:rPr>
                        </w:pPr>
                        <w:r>
                          <w:rPr>
                            <w:b/>
                            <w:bCs/>
                            <w:sz w:val="22"/>
                          </w:rPr>
                          <w:t>Tirpiklių atnaujinimas ir (arba)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R3</w:t>
                        </w:r>
                      </w:p>
                    </w:tc>
                    <w:tc>
                      <w:tcPr>
                        <w:tcW w:w="3136"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704"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07" w:type="dxa"/>
                      </w:tcPr>
                      <w:p>
                        <w:pPr>
                          <w:widowControl w:val="0"/>
                          <w:tabs>
                            <w:tab w:val="left" w:pos="567"/>
                          </w:tabs>
                          <w:rPr>
                            <w:b/>
                            <w:bCs/>
                            <w:sz w:val="22"/>
                          </w:rPr>
                        </w:pPr>
                        <w:r>
                          <w:rPr>
                            <w:b/>
                            <w:bCs/>
                            <w:sz w:val="22"/>
                          </w:rPr>
                          <w:t>R4</w:t>
                        </w:r>
                      </w:p>
                    </w:tc>
                    <w:tc>
                      <w:tcPr>
                        <w:tcW w:w="3136" w:type="dxa"/>
                      </w:tcPr>
                      <w:p>
                        <w:pPr>
                          <w:widowControl w:val="0"/>
                          <w:tabs>
                            <w:tab w:val="left" w:pos="567"/>
                          </w:tabs>
                          <w:rPr>
                            <w:b/>
                            <w:bCs/>
                            <w:sz w:val="22"/>
                          </w:rPr>
                        </w:pPr>
                        <w:r>
                          <w:rPr>
                            <w:b/>
                            <w:bCs/>
                            <w:sz w:val="22"/>
                          </w:rPr>
                          <w:t>Metalų ir metalų junginių perdirbimas ir (arba) atnaujinimas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R5</w:t>
                        </w:r>
                      </w:p>
                    </w:tc>
                    <w:tc>
                      <w:tcPr>
                        <w:tcW w:w="3136" w:type="dxa"/>
                      </w:tcPr>
                      <w:p>
                        <w:pPr>
                          <w:widowControl w:val="0"/>
                          <w:tabs>
                            <w:tab w:val="left" w:pos="567"/>
                          </w:tabs>
                          <w:rPr>
                            <w:b/>
                            <w:bCs/>
                            <w:sz w:val="22"/>
                          </w:rPr>
                        </w:pPr>
                        <w:r>
                          <w:rPr>
                            <w:b/>
                            <w:bCs/>
                            <w:sz w:val="22"/>
                          </w:rPr>
                          <w:t>Kitų neorganinių medžiagų perdirbimas ir (arba) atnaujinimas</w:t>
                        </w:r>
                      </w:p>
                    </w:tc>
                    <w:tc>
                      <w:tcPr>
                        <w:tcW w:w="5704"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07" w:type="dxa"/>
                      </w:tcPr>
                      <w:p>
                        <w:pPr>
                          <w:widowControl w:val="0"/>
                          <w:tabs>
                            <w:tab w:val="left" w:pos="567"/>
                          </w:tabs>
                          <w:rPr>
                            <w:b/>
                            <w:bCs/>
                            <w:sz w:val="22"/>
                          </w:rPr>
                        </w:pPr>
                        <w:r>
                          <w:rPr>
                            <w:b/>
                            <w:bCs/>
                            <w:sz w:val="22"/>
                          </w:rPr>
                          <w:t>R6</w:t>
                        </w:r>
                      </w:p>
                    </w:tc>
                    <w:tc>
                      <w:tcPr>
                        <w:tcW w:w="3136" w:type="dxa"/>
                      </w:tcPr>
                      <w:p>
                        <w:pPr>
                          <w:widowControl w:val="0"/>
                          <w:tabs>
                            <w:tab w:val="left" w:pos="567"/>
                          </w:tabs>
                          <w:rPr>
                            <w:b/>
                            <w:bCs/>
                            <w:sz w:val="22"/>
                          </w:rPr>
                        </w:pPr>
                        <w:r>
                          <w:rPr>
                            <w:b/>
                            <w:bCs/>
                            <w:sz w:val="22"/>
                          </w:rPr>
                          <w:t>Rūgščių arba bazių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R7</w:t>
                        </w:r>
                      </w:p>
                    </w:tc>
                    <w:tc>
                      <w:tcPr>
                        <w:tcW w:w="3136" w:type="dxa"/>
                      </w:tcPr>
                      <w:p>
                        <w:pPr>
                          <w:widowControl w:val="0"/>
                          <w:tabs>
                            <w:tab w:val="left" w:pos="567"/>
                          </w:tabs>
                          <w:rPr>
                            <w:b/>
                            <w:bCs/>
                            <w:sz w:val="22"/>
                          </w:rPr>
                        </w:pPr>
                        <w:r>
                          <w:rPr>
                            <w:b/>
                            <w:bCs/>
                            <w:sz w:val="22"/>
                          </w:rPr>
                          <w:t>Taršai mažinti skirtų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R8</w:t>
                        </w:r>
                      </w:p>
                    </w:tc>
                    <w:tc>
                      <w:tcPr>
                        <w:tcW w:w="3136" w:type="dxa"/>
                      </w:tcPr>
                      <w:p>
                        <w:pPr>
                          <w:widowControl w:val="0"/>
                          <w:tabs>
                            <w:tab w:val="left" w:pos="567"/>
                          </w:tabs>
                          <w:rPr>
                            <w:b/>
                            <w:bCs/>
                            <w:sz w:val="22"/>
                          </w:rPr>
                        </w:pPr>
                        <w:r>
                          <w:rPr>
                            <w:b/>
                            <w:bCs/>
                            <w:sz w:val="22"/>
                          </w:rPr>
                          <w:t>Katalizatorių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R9</w:t>
                        </w:r>
                      </w:p>
                    </w:tc>
                    <w:tc>
                      <w:tcPr>
                        <w:tcW w:w="3136" w:type="dxa"/>
                      </w:tcPr>
                      <w:p>
                        <w:pPr>
                          <w:widowControl w:val="0"/>
                          <w:tabs>
                            <w:tab w:val="left" w:pos="567"/>
                          </w:tabs>
                          <w:rPr>
                            <w:b/>
                            <w:bCs/>
                            <w:sz w:val="22"/>
                          </w:rPr>
                        </w:pPr>
                        <w:r>
                          <w:rPr>
                            <w:b/>
                            <w:bCs/>
                            <w:sz w:val="22"/>
                          </w:rPr>
                          <w:t>Pakartotinis naftos rafinavimas arba kitoks pakartotinis naftos produktų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p>
                    </w:tc>
                    <w:tc>
                      <w:tcPr>
                        <w:tcW w:w="3136" w:type="dxa"/>
                      </w:tcPr>
                      <w:p>
                        <w:pPr>
                          <w:widowControl w:val="0"/>
                          <w:tabs>
                            <w:tab w:val="left" w:pos="567"/>
                          </w:tabs>
                          <w:rPr>
                            <w:b/>
                            <w:bCs/>
                            <w:sz w:val="22"/>
                          </w:rPr>
                        </w:pPr>
                        <w:r>
                          <w:rPr>
                            <w:b/>
                            <w:bCs/>
                            <w:sz w:val="22"/>
                          </w:rPr>
                          <w:t>Apdorojimas žemėje, naudingas žemės ūkiui ar gerinantis aplinkos būklę</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r>
                          <w:rPr>
                            <w:b/>
                            <w:bCs/>
                            <w:sz w:val="22"/>
                            <w:vertAlign w:val="superscript"/>
                          </w:rPr>
                          <w:t>1</w:t>
                        </w:r>
                      </w:p>
                    </w:tc>
                    <w:tc>
                      <w:tcPr>
                        <w:tcW w:w="3136" w:type="dxa"/>
                      </w:tcPr>
                      <w:p>
                        <w:pPr>
                          <w:widowControl w:val="0"/>
                          <w:tabs>
                            <w:tab w:val="left" w:pos="567"/>
                          </w:tabs>
                          <w:rPr>
                            <w:b/>
                            <w:bCs/>
                            <w:sz w:val="22"/>
                          </w:rPr>
                        </w:pPr>
                        <w:r>
                          <w:rPr>
                            <w:b/>
                            <w:bCs/>
                            <w:sz w:val="22"/>
                          </w:rPr>
                          <w:t>Paruošimas naudoti pakartotinai</w:t>
                        </w:r>
                      </w:p>
                    </w:tc>
                    <w:tc>
                      <w:tcPr>
                        <w:tcW w:w="5704" w:type="dxa"/>
                      </w:tcPr>
                      <w:p>
                        <w:pPr>
                          <w:widowControl w:val="0"/>
                          <w:tabs>
                            <w:tab w:val="left" w:pos="567"/>
                          </w:tabs>
                          <w:rPr>
                            <w:sz w:val="22"/>
                          </w:rPr>
                        </w:pPr>
                        <w:r>
                          <w:rPr>
                            <w:sz w:val="22"/>
                          </w:rP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tabs>
                            <w:tab w:val="left" w:pos="567"/>
                          </w:tabs>
                          <w:rPr>
                            <w:b/>
                            <w:bCs/>
                            <w:sz w:val="22"/>
                          </w:rPr>
                        </w:pPr>
                        <w:r>
                          <w:rPr>
                            <w:b/>
                            <w:bCs/>
                            <w:sz w:val="22"/>
                          </w:rPr>
                          <w:t>R11</w:t>
                        </w:r>
                      </w:p>
                    </w:tc>
                    <w:tc>
                      <w:tcPr>
                        <w:tcW w:w="3136"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704" w:type="dxa"/>
                        <w:tcBorders>
                          <w:bottom w:val="single" w:sz="4" w:space="0" w:color="auto"/>
                        </w:tcBorders>
                      </w:tcPr>
                      <w:p>
                        <w:pPr>
                          <w:widowControl w:val="0"/>
                          <w:tabs>
                            <w:tab w:val="left" w:pos="567"/>
                          </w:tabs>
                          <w:rPr>
                            <w:sz w:val="22"/>
                          </w:rPr>
                        </w:pPr>
                      </w:p>
                    </w:tc>
                  </w:tr>
                  <w:tr>
                    <w:trPr>
                      <w:cantSplit/>
                      <w:trHeight w:val="23"/>
                    </w:trPr>
                    <w:tc>
                      <w:tcPr>
                        <w:tcW w:w="907" w:type="dxa"/>
                        <w:shd w:val="clear" w:color="auto" w:fill="auto"/>
                      </w:tcPr>
                      <w:p>
                        <w:pPr>
                          <w:widowControl w:val="0"/>
                          <w:tabs>
                            <w:tab w:val="left" w:pos="567"/>
                          </w:tabs>
                          <w:rPr>
                            <w:b/>
                            <w:bCs/>
                            <w:sz w:val="22"/>
                          </w:rPr>
                        </w:pPr>
                        <w:r>
                          <w:rPr>
                            <w:b/>
                            <w:bCs/>
                            <w:sz w:val="22"/>
                          </w:rPr>
                          <w:t>R12</w:t>
                        </w:r>
                      </w:p>
                    </w:tc>
                    <w:tc>
                      <w:tcPr>
                        <w:tcW w:w="3136"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704"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tabs>
                            <w:tab w:val="left" w:pos="567"/>
                          </w:tabs>
                          <w:rPr>
                            <w:b/>
                            <w:bCs/>
                            <w:sz w:val="22"/>
                          </w:rPr>
                        </w:pPr>
                        <w:r>
                          <w:rPr>
                            <w:b/>
                            <w:bCs/>
                            <w:sz w:val="22"/>
                          </w:rPr>
                          <w:t>R13</w:t>
                        </w:r>
                      </w:p>
                    </w:tc>
                    <w:tc>
                      <w:tcPr>
                        <w:tcW w:w="3136" w:type="dxa"/>
                      </w:tcPr>
                      <w:p>
                        <w:pPr>
                          <w:widowControl w:val="0"/>
                          <w:tabs>
                            <w:tab w:val="left" w:pos="567"/>
                          </w:tabs>
                          <w:rPr>
                            <w:b/>
                            <w:bCs/>
                            <w:sz w:val="22"/>
                          </w:rPr>
                        </w:pPr>
                        <w:r>
                          <w:rPr>
                            <w:b/>
                            <w:bCs/>
                            <w:sz w:val="22"/>
                          </w:rPr>
                          <w:t>R1– R12 veiklomis naudoti skirtų atliekų laikymas</w:t>
                        </w:r>
                      </w:p>
                    </w:tc>
                    <w:tc>
                      <w:tcPr>
                        <w:tcW w:w="5704"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a9e315ff1604ab8a5b0d3afa2b36579"/>
        <w:lock w:val="sdtLocked"/>
        <w:richText/>
      </w:sdtPr>
      <w:sdtContent>
        <w:p>
          <w:pPr>
            <w:suppressAutoHyphens/>
            <w:spacing w:line="259" w:lineRule="auto"/>
            <w:ind w:left="5954" w:firstLine="567"/>
            <w:sectPr>
              <w:headerReference w:type="default" r:id="rId27"/>
              <w:footerReference w:type="default" r:id="rId28"/>
              <w:headerReference w:type="first" r:id="rId29"/>
              <w:footerReference w:type="first" r:id="rId30"/>
              <w:footnotePr>
                <w:pos w:val="beneathText"/>
              </w:footnotePr>
              <w:pgSz w:w="11905" w:h="16837"/>
              <w:pgMar w:top="1134" w:right="567" w:bottom="1134" w:left="1701" w:header="567" w:footer="919" w:gutter="0"/>
              <w:pgNumType w:start="1"/>
              <w:cols w:space="1296"/>
              <w:formProt w:val="0"/>
              <w:titlePg/>
              <w:docGrid w:linePitch="360"/>
            </w:sectPr>
          </w:pPr>
        </w:p>
        <w:p>
          <w:pPr>
            <w:suppressAutoHyphens/>
            <w:spacing w:line="259" w:lineRule="auto"/>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6a9e315ff1604ab8a5b0d3afa2b36579"/>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6a9e315ff1604ab8a5b0d3afa2b36579"/>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2a9d1b1ef090445695b412704d41c73c"/>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a9d1b1ef090445695b412704d41c73c"/>
                      <w:lock w:val="sdtLocked"/>
                      <w:richText/>
                    </w:sdtPr>
                    <w:sdtContent>
                      <w:r>
                        <w:rPr>
                          <w:lang w:eastAsia="lt-LT"/>
                        </w:rPr>
                        <w:t>2.6</w:t>
                      </w:r>
                    </w:sdtContent>
                  </w:sdt>
                  <w:r>
                    <w:rPr>
                      <w:lang w:eastAsia="lt-LT"/>
                    </w:rPr>
                    <w:t>. informacija apie atliekas, kurios atliekų apdorojimo procese turi būti daugiau nei vieną savaitę: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7"/>
                    <w:gridCol w:w="2029"/>
                    <w:gridCol w:w="872"/>
                    <w:gridCol w:w="2035"/>
                    <w:gridCol w:w="1794"/>
                    <w:gridCol w:w="2266"/>
                  </w:tblGrid>
                  <w:tr>
                    <w:trPr>
                      <w:cantSplit/>
                      <w:trHeight w:val="1728"/>
                    </w:trPr>
                    <w:tc>
                      <w:tcPr>
                        <w:tcW w:w="411" w:type="pct"/>
                        <w:tcMar>
                          <w:left w:w="57" w:type="dxa"/>
                          <w:right w:w="57" w:type="dxa"/>
                        </w:tcMar>
                      </w:tcPr>
                      <w:p>
                        <w:pPr>
                          <w:widowControl w:val="0"/>
                          <w:tabs>
                            <w:tab w:val="left" w:pos="720"/>
                            <w:tab w:val="left" w:pos="1260"/>
                          </w:tabs>
                          <w:suppressAutoHyphens/>
                          <w:jc w:val="both"/>
                          <w:textAlignment w:val="baseline"/>
                          <w:rPr>
                            <w:sz w:val="22"/>
                            <w:szCs w:val="22"/>
                            <w:lang w:eastAsia="lt-LT"/>
                          </w:rPr>
                        </w:pPr>
                        <w:r>
                          <w:rPr>
                            <w:sz w:val="22"/>
                            <w:szCs w:val="22"/>
                            <w:lang w:eastAsia="lt-LT"/>
                          </w:rPr>
                          <w:t xml:space="preserve">Eil. nr. </w:t>
                        </w:r>
                      </w:p>
                    </w:tc>
                    <w:tc>
                      <w:tcPr>
                        <w:tcW w:w="1035" w:type="pct"/>
                      </w:tcPr>
                      <w:p>
                        <w:pPr>
                          <w:widowControl w:val="0"/>
                          <w:tabs>
                            <w:tab w:val="left" w:pos="720"/>
                            <w:tab w:val="left" w:pos="1260"/>
                          </w:tabs>
                          <w:suppressAutoHyphens/>
                          <w:ind w:hanging="4"/>
                          <w:jc w:val="both"/>
                          <w:textAlignment w:val="baseline"/>
                          <w:rPr>
                            <w:sz w:val="22"/>
                            <w:szCs w:val="22"/>
                            <w:lang w:eastAsia="lt-LT"/>
                          </w:rPr>
                        </w:pPr>
                        <w:r>
                          <w:rPr>
                            <w:sz w:val="22"/>
                            <w:szCs w:val="22"/>
                            <w:lang w:eastAsia="lt-LT"/>
                          </w:rPr>
                          <w:t>Nepavojingųjų atliekų srauto kodas arba pavojingųjų atliekų technologinio srauto žymėjimas (toliau – srautas)</w:t>
                        </w:r>
                      </w:p>
                    </w:tc>
                    <w:tc>
                      <w:tcPr>
                        <w:tcW w:w="445" w:type="pct"/>
                        <w:tcMar>
                          <w:left w:w="57" w:type="dxa"/>
                          <w:right w:w="57" w:type="dxa"/>
                        </w:tcMar>
                      </w:tcPr>
                      <w:p>
                        <w:pPr>
                          <w:widowControl w:val="0"/>
                          <w:tabs>
                            <w:tab w:val="left" w:pos="720"/>
                            <w:tab w:val="left" w:pos="1260"/>
                          </w:tabs>
                          <w:suppressAutoHyphens/>
                          <w:ind w:hanging="4"/>
                          <w:jc w:val="both"/>
                          <w:textAlignment w:val="baseline"/>
                          <w:rPr>
                            <w:sz w:val="22"/>
                            <w:szCs w:val="22"/>
                            <w:lang w:eastAsia="lt-LT"/>
                          </w:rPr>
                        </w:pPr>
                        <w:r>
                          <w:rPr>
                            <w:sz w:val="22"/>
                            <w:szCs w:val="22"/>
                            <w:lang w:eastAsia="lt-LT"/>
                          </w:rPr>
                          <w:t>Atliekos kodas</w:t>
                        </w:r>
                      </w:p>
                    </w:tc>
                    <w:tc>
                      <w:tcPr>
                        <w:tcW w:w="1038" w:type="pct"/>
                        <w:tcMar>
                          <w:left w:w="57" w:type="dxa"/>
                          <w:right w:w="57" w:type="dxa"/>
                        </w:tcMar>
                      </w:tcPr>
                      <w:p>
                        <w:pPr>
                          <w:widowControl w:val="0"/>
                          <w:tabs>
                            <w:tab w:val="left" w:pos="720"/>
                            <w:tab w:val="left" w:pos="1260"/>
                          </w:tabs>
                          <w:suppressAutoHyphens/>
                          <w:jc w:val="both"/>
                          <w:textAlignment w:val="baseline"/>
                          <w:rPr>
                            <w:sz w:val="22"/>
                            <w:szCs w:val="22"/>
                            <w:lang w:eastAsia="lt-LT"/>
                          </w:rPr>
                        </w:pPr>
                        <w:r>
                          <w:rPr>
                            <w:sz w:val="22"/>
                            <w:szCs w:val="22"/>
                            <w:lang w:eastAsia="lt-LT"/>
                          </w:rPr>
                          <w:t>Atliekų tvarkymo veiklos kodas</w:t>
                        </w:r>
                      </w:p>
                    </w:tc>
                    <w:tc>
                      <w:tcPr>
                        <w:tcW w:w="915" w:type="pct"/>
                      </w:tcPr>
                      <w:p>
                        <w:pPr>
                          <w:widowControl w:val="0"/>
                          <w:tabs>
                            <w:tab w:val="left" w:pos="720"/>
                            <w:tab w:val="left" w:pos="1260"/>
                          </w:tabs>
                          <w:suppressAutoHyphens/>
                          <w:jc w:val="both"/>
                          <w:textAlignment w:val="baseline"/>
                          <w:rPr>
                            <w:sz w:val="22"/>
                            <w:szCs w:val="22"/>
                            <w:lang w:eastAsia="lt-LT"/>
                          </w:rPr>
                        </w:pPr>
                        <w:r>
                          <w:rPr>
                            <w:sz w:val="22"/>
                            <w:szCs w:val="22"/>
                            <w:lang w:eastAsia="lt-LT"/>
                          </w:rPr>
                          <w:t>Didžiausias vienu metu atliekų apdorojimo technologiniame procese</w:t>
                        </w:r>
                        <w:r>
                          <w:rPr>
                            <w:lang w:eastAsia="lt-LT"/>
                          </w:rPr>
                          <w:t xml:space="preserve"> </w:t>
                        </w:r>
                        <w:r>
                          <w:rPr>
                            <w:sz w:val="22"/>
                            <w:szCs w:val="22"/>
                            <w:lang w:eastAsia="lt-LT"/>
                          </w:rPr>
                          <w:t xml:space="preserve">esantis nepavojingųjų atliekų kiekis, t </w:t>
                        </w:r>
                      </w:p>
                    </w:tc>
                    <w:tc>
                      <w:tcPr>
                        <w:tcW w:w="1156" w:type="pct"/>
                      </w:tcPr>
                      <w:p>
                        <w:pPr>
                          <w:widowControl w:val="0"/>
                          <w:tabs>
                            <w:tab w:val="left" w:pos="720"/>
                            <w:tab w:val="left" w:pos="1260"/>
                          </w:tabs>
                          <w:suppressAutoHyphens/>
                          <w:jc w:val="both"/>
                          <w:textAlignment w:val="baseline"/>
                          <w:rPr>
                            <w:sz w:val="22"/>
                            <w:szCs w:val="22"/>
                            <w:lang w:eastAsia="lt-LT"/>
                          </w:rPr>
                        </w:pPr>
                        <w:r>
                          <w:rPr>
                            <w:sz w:val="22"/>
                            <w:szCs w:val="22"/>
                            <w:lang w:eastAsia="lt-LT"/>
                          </w:rPr>
                          <w:t>Didžiausias vienu metu atliekų apdorojimo technologiniame procese esantis pavojingųjų atliekų kiekis, t</w:t>
                        </w:r>
                      </w:p>
                    </w:tc>
                  </w:tr>
                  <w:tr>
                    <w:trPr>
                      <w:cantSplit/>
                      <w:trHeight w:val="287"/>
                    </w:trPr>
                    <w:tc>
                      <w:tcPr>
                        <w:tcW w:w="411" w:type="pct"/>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1</w:t>
                        </w:r>
                      </w:p>
                    </w:tc>
                    <w:tc>
                      <w:tcPr>
                        <w:tcW w:w="1035" w:type="pct"/>
                      </w:tcPr>
                      <w:p>
                        <w:pPr>
                          <w:widowControl w:val="0"/>
                          <w:tabs>
                            <w:tab w:val="left" w:pos="720"/>
                            <w:tab w:val="left" w:pos="1260"/>
                          </w:tabs>
                          <w:suppressAutoHyphens/>
                          <w:ind w:hanging="4"/>
                          <w:jc w:val="center"/>
                          <w:textAlignment w:val="baseline"/>
                          <w:rPr>
                            <w:sz w:val="22"/>
                            <w:szCs w:val="22"/>
                            <w:lang w:eastAsia="lt-LT"/>
                          </w:rPr>
                        </w:pPr>
                        <w:r>
                          <w:rPr>
                            <w:sz w:val="22"/>
                            <w:szCs w:val="22"/>
                            <w:lang w:eastAsia="lt-LT"/>
                          </w:rPr>
                          <w:t>2</w:t>
                        </w:r>
                      </w:p>
                    </w:tc>
                    <w:tc>
                      <w:tcPr>
                        <w:tcW w:w="445" w:type="pct"/>
                        <w:tcMar>
                          <w:left w:w="57" w:type="dxa"/>
                          <w:right w:w="57" w:type="dxa"/>
                        </w:tcMar>
                      </w:tcPr>
                      <w:p>
                        <w:pPr>
                          <w:widowControl w:val="0"/>
                          <w:tabs>
                            <w:tab w:val="left" w:pos="720"/>
                            <w:tab w:val="left" w:pos="1260"/>
                          </w:tabs>
                          <w:suppressAutoHyphens/>
                          <w:ind w:hanging="4"/>
                          <w:jc w:val="center"/>
                          <w:textAlignment w:val="baseline"/>
                          <w:rPr>
                            <w:sz w:val="22"/>
                            <w:szCs w:val="22"/>
                            <w:lang w:eastAsia="lt-LT"/>
                          </w:rPr>
                        </w:pPr>
                        <w:r>
                          <w:rPr>
                            <w:sz w:val="22"/>
                            <w:szCs w:val="22"/>
                            <w:lang w:eastAsia="lt-LT"/>
                          </w:rPr>
                          <w:t>3</w:t>
                        </w:r>
                      </w:p>
                    </w:tc>
                    <w:tc>
                      <w:tcPr>
                        <w:tcW w:w="1038" w:type="pct"/>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4</w:t>
                        </w:r>
                      </w:p>
                    </w:tc>
                    <w:tc>
                      <w:tcPr>
                        <w:tcW w:w="915" w:type="pct"/>
                      </w:tcPr>
                      <w:p>
                        <w:pPr>
                          <w:widowControl w:val="0"/>
                          <w:tabs>
                            <w:tab w:val="left" w:pos="720"/>
                            <w:tab w:val="left" w:pos="1260"/>
                          </w:tabs>
                          <w:suppressAutoHyphens/>
                          <w:jc w:val="center"/>
                          <w:textAlignment w:val="baseline"/>
                          <w:rPr>
                            <w:sz w:val="22"/>
                            <w:szCs w:val="22"/>
                            <w:lang w:eastAsia="lt-LT"/>
                          </w:rPr>
                        </w:pPr>
                        <w:r>
                          <w:rPr>
                            <w:sz w:val="22"/>
                            <w:szCs w:val="22"/>
                            <w:lang w:eastAsia="lt-LT"/>
                          </w:rPr>
                          <w:t>5</w:t>
                        </w:r>
                      </w:p>
                    </w:tc>
                    <w:tc>
                      <w:tcPr>
                        <w:tcW w:w="1156" w:type="pct"/>
                      </w:tcPr>
                      <w:p>
                        <w:pPr>
                          <w:widowControl w:val="0"/>
                          <w:tabs>
                            <w:tab w:val="left" w:pos="720"/>
                            <w:tab w:val="left" w:pos="1260"/>
                          </w:tabs>
                          <w:suppressAutoHyphens/>
                          <w:jc w:val="center"/>
                          <w:textAlignment w:val="baseline"/>
                          <w:rPr>
                            <w:sz w:val="22"/>
                            <w:szCs w:val="22"/>
                            <w:lang w:eastAsia="lt-LT"/>
                          </w:rPr>
                        </w:pPr>
                        <w:r>
                          <w:rPr>
                            <w:sz w:val="22"/>
                            <w:szCs w:val="22"/>
                            <w:lang w:eastAsia="lt-LT"/>
                          </w:rPr>
                          <w:t>6</w:t>
                        </w:r>
                      </w:p>
                    </w:tc>
                  </w:tr>
                  <w:tr>
                    <w:trPr>
                      <w:cantSplit/>
                      <w:trHeight w:val="287"/>
                    </w:trPr>
                    <w:tc>
                      <w:tcPr>
                        <w:tcW w:w="5000" w:type="pct"/>
                        <w:gridSpan w:val="6"/>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I dalis</w:t>
                        </w:r>
                      </w:p>
                      <w:p>
                        <w:pPr>
                          <w:widowControl w:val="0"/>
                          <w:tabs>
                            <w:tab w:val="left" w:pos="720"/>
                            <w:tab w:val="left" w:pos="1260"/>
                          </w:tabs>
                          <w:suppressAutoHyphens/>
                          <w:jc w:val="center"/>
                          <w:textAlignment w:val="baseline"/>
                          <w:rPr>
                            <w:sz w:val="22"/>
                            <w:szCs w:val="22"/>
                            <w:lang w:eastAsia="lt-LT"/>
                          </w:rPr>
                        </w:pPr>
                        <w:r>
                          <w:rPr>
                            <w:sz w:val="22"/>
                            <w:szCs w:val="22"/>
                            <w:lang w:eastAsia="lt-LT"/>
                          </w:rPr>
                          <w:t>Informacija apie didžiausią vienu metu laikomą atliekų kiekį atskirai pagal konkretų srautą, išskyrus srautus, nurodytus šios lentelės II dalyje</w:t>
                        </w:r>
                      </w:p>
                    </w:tc>
                  </w:tr>
                  <w:tr>
                    <w:trPr>
                      <w:cantSplit/>
                      <w:trHeight w:val="242"/>
                    </w:trPr>
                    <w:tc>
                      <w:tcPr>
                        <w:tcW w:w="411"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1156" w:type="pct"/>
                        <w:vMerge w:val="restar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vMerge/>
                      </w:tcPr>
                      <w:p>
                        <w:pPr>
                          <w:widowControl w:val="0"/>
                          <w:tabs>
                            <w:tab w:val="left" w:pos="720"/>
                            <w:tab w:val="left" w:pos="1260"/>
                          </w:tabs>
                          <w:suppressAutoHyphens/>
                          <w:ind w:firstLine="567"/>
                          <w:jc w:val="both"/>
                          <w:textAlignment w:val="baseline"/>
                          <w:rPr>
                            <w:sz w:val="22"/>
                            <w:lang w:eastAsia="lt-LT"/>
                          </w:rPr>
                        </w:pPr>
                      </w:p>
                    </w:tc>
                    <w:tc>
                      <w:tcPr>
                        <w:tcW w:w="1156" w:type="pct"/>
                        <w:vMerge/>
                      </w:tcPr>
                      <w:p>
                        <w:pPr>
                          <w:widowControl w:val="0"/>
                          <w:tabs>
                            <w:tab w:val="left" w:pos="720"/>
                            <w:tab w:val="left" w:pos="1260"/>
                          </w:tabs>
                          <w:suppressAutoHyphens/>
                          <w:ind w:firstLine="567"/>
                          <w:jc w:val="both"/>
                          <w:textAlignment w:val="baseline"/>
                          <w:rPr>
                            <w:sz w:val="22"/>
                            <w:lang w:eastAsia="lt-LT"/>
                          </w:rPr>
                        </w:pPr>
                      </w:p>
                    </w:tc>
                  </w:tr>
                  <w:tr>
                    <w:trPr>
                      <w:cantSplit/>
                      <w:trHeight w:val="243"/>
                    </w:trPr>
                    <w:tc>
                      <w:tcPr>
                        <w:tcW w:w="411"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1156" w:type="pct"/>
                        <w:vMerge w:val="restar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vMerge/>
                      </w:tcPr>
                      <w:p>
                        <w:pPr>
                          <w:widowControl w:val="0"/>
                          <w:tabs>
                            <w:tab w:val="left" w:pos="720"/>
                            <w:tab w:val="left" w:pos="1260"/>
                          </w:tabs>
                          <w:suppressAutoHyphens/>
                          <w:ind w:firstLine="567"/>
                          <w:jc w:val="both"/>
                          <w:textAlignment w:val="baseline"/>
                          <w:rPr>
                            <w:sz w:val="22"/>
                            <w:lang w:eastAsia="lt-LT"/>
                          </w:rPr>
                        </w:pPr>
                      </w:p>
                    </w:tc>
                    <w:tc>
                      <w:tcPr>
                        <w:tcW w:w="1156" w:type="pct"/>
                        <w:vMerge/>
                      </w:tcPr>
                      <w:p>
                        <w:pPr>
                          <w:widowControl w:val="0"/>
                          <w:tabs>
                            <w:tab w:val="left" w:pos="720"/>
                            <w:tab w:val="left" w:pos="1260"/>
                          </w:tabs>
                          <w:suppressAutoHyphens/>
                          <w:ind w:firstLine="567"/>
                          <w:jc w:val="both"/>
                          <w:textAlignment w:val="baseline"/>
                          <w:rPr>
                            <w:sz w:val="22"/>
                            <w:lang w:eastAsia="lt-LT"/>
                          </w:rPr>
                        </w:pPr>
                      </w:p>
                    </w:tc>
                  </w:tr>
                  <w:tr>
                    <w:trPr>
                      <w:cantSplit/>
                      <w:trHeight w:val="243"/>
                    </w:trPr>
                    <w:tc>
                      <w:tcPr>
                        <w:tcW w:w="5000" w:type="pct"/>
                        <w:gridSpan w:val="6"/>
                        <w:tcMar>
                          <w:left w:w="57" w:type="dxa"/>
                          <w:right w:w="57" w:type="dxa"/>
                        </w:tcMar>
                        <w:vAlign w:val="center"/>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II dalis</w:t>
                        </w:r>
                      </w:p>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 xml:space="preserve">Informacija apie didžiausią vienu metu laikomą atliekų kiekį atskirai pagal konkretų atliekų kodą, jei nepavojingosios atliekos priskiriamos nepavojingųjų atliekų srautui 1032 arba jei pavojingosios atliekos priskiriamos technologiniams srautams TS-01, TS-02, TS-05, TS-06, TS-10, TS-13, TS - 21,TS -22, TS-29, TS-31,TS-32 arba TS-36 </w:t>
                        </w:r>
                      </w:p>
                    </w:tc>
                  </w:tr>
                  <w:tr>
                    <w:trPr>
                      <w:cantSplit/>
                      <w:trHeight w:val="243"/>
                    </w:trPr>
                    <w:tc>
                      <w:tcPr>
                        <w:tcW w:w="411" w:type="pct"/>
                        <w:tcMar>
                          <w:left w:w="57" w:type="dxa"/>
                          <w:right w:w="57" w:type="dxa"/>
                        </w:tcMar>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1</w:t>
                        </w:r>
                      </w:p>
                    </w:tc>
                    <w:tc>
                      <w:tcPr>
                        <w:tcW w:w="1035" w:type="pct"/>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2</w:t>
                        </w:r>
                      </w:p>
                    </w:tc>
                    <w:tc>
                      <w:tcPr>
                        <w:tcW w:w="445" w:type="pct"/>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3</w:t>
                        </w:r>
                      </w:p>
                    </w:tc>
                    <w:tc>
                      <w:tcPr>
                        <w:tcW w:w="1038" w:type="pct"/>
                        <w:tcMar>
                          <w:left w:w="57" w:type="dxa"/>
                          <w:right w:w="57" w:type="dxa"/>
                        </w:tcMar>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4</w:t>
                        </w:r>
                      </w:p>
                    </w:tc>
                    <w:tc>
                      <w:tcPr>
                        <w:tcW w:w="915" w:type="pct"/>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5</w:t>
                        </w:r>
                      </w:p>
                    </w:tc>
                    <w:tc>
                      <w:tcPr>
                        <w:tcW w:w="1156" w:type="pct"/>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6</w:t>
                        </w: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2929" w:type="pct"/>
                        <w:gridSpan w:val="4"/>
                      </w:tcPr>
                      <w:p>
                        <w:pPr>
                          <w:widowControl w:val="0"/>
                          <w:tabs>
                            <w:tab w:val="left" w:pos="720"/>
                            <w:tab w:val="left" w:pos="1260"/>
                          </w:tabs>
                          <w:suppressAutoHyphens/>
                          <w:ind w:firstLine="567"/>
                          <w:jc w:val="right"/>
                          <w:textAlignment w:val="baseline"/>
                          <w:rPr>
                            <w:sz w:val="22"/>
                            <w:szCs w:val="22"/>
                            <w:lang w:eastAsia="lt-LT"/>
                          </w:rPr>
                        </w:pPr>
                        <w:r>
                          <w:rPr>
                            <w:sz w:val="22"/>
                            <w:szCs w:val="22"/>
                            <w:lang w:eastAsia="lt-LT"/>
                          </w:rPr>
                          <w:t>Iš viso (I ir II dalys):</w:t>
                        </w: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bl>
                <w:p>
                  <w:pPr>
                    <w:widowControl w:val="0"/>
                    <w:tabs>
                      <w:tab w:val="left" w:pos="720"/>
                      <w:tab w:val="left" w:pos="1260"/>
                    </w:tabs>
                    <w:suppressAutoHyphens/>
                    <w:ind w:firstLine="567"/>
                    <w:jc w:val="both"/>
                    <w:textAlignment w:val="baseline"/>
                    <w:rPr>
                      <w:lang w:eastAsia="lt-LT"/>
                    </w:rPr>
                  </w:pPr>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a2201d5400674c69bcb44036c49712ea"/>
                <w:lock w:val="sdtLocked"/>
                <w:richText/>
              </w:sdtPr>
              <w:sdtContent>
                <w:p>
                  <w:pPr>
                    <w:widowControl w:val="0"/>
                    <w:suppressAutoHyphens/>
                    <w:ind w:firstLine="567"/>
                    <w:jc w:val="both"/>
                    <w:textAlignment w:val="baseline"/>
                    <w:rPr>
                      <w:lang w:eastAsia="lt-LT"/>
                    </w:rPr>
                  </w:pPr>
                  <w:sdt>
                    <w:sdtPr>
                      <w:alias w:val="Numeris"/>
                      <w:tag w:val="nr_a2201d5400674c69bcb44036c49712ea"/>
                      <w:lock w:val="sdtLocked"/>
                      <w:richText/>
                    </w:sdtPr>
                    <w:sdtContent>
                      <w:r>
                        <w:rPr>
                          <w:lang w:eastAsia="ar-SA"/>
                        </w:rPr>
                        <w:t>3.1</w:t>
                      </w:r>
                    </w:sdtContent>
                  </w:sdt>
                  <w:r>
                    <w:rPr>
                      <w:lang w:eastAsia="ar-SA"/>
                    </w:rPr>
                    <w:t>. sandėlyje, saugykloje ar kitoje atliekų laikymo vietoje (toliau – atliekų laikymo vieta) laikomos nepavojingosios atliekos pagal atliekų tvarkymo veiklos kodus R13 ir D15: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03"/>
                    <w:gridCol w:w="1722"/>
                    <w:gridCol w:w="1297"/>
                    <w:gridCol w:w="1487"/>
                    <w:gridCol w:w="2056"/>
                    <w:gridCol w:w="817"/>
                    <w:gridCol w:w="1871"/>
                  </w:tblGrid>
                  <w:tr>
                    <w:trPr>
                      <w:cantSplit/>
                      <w:trHeight w:val="23"/>
                    </w:trPr>
                    <w:tc>
                      <w:tcPr>
                        <w:tcW w:w="209" w:type="pct"/>
                      </w:tcPr>
                      <w:p>
                        <w:pPr>
                          <w:widowControl w:val="0"/>
                          <w:suppressAutoHyphens/>
                          <w:snapToGrid w:val="0"/>
                          <w:jc w:val="center"/>
                          <w:textAlignment w:val="baseline"/>
                          <w:rPr>
                            <w:sz w:val="22"/>
                            <w:szCs w:val="22"/>
                            <w:lang w:eastAsia="lt-LT"/>
                          </w:rPr>
                        </w:pPr>
                        <w:r>
                          <w:rPr>
                            <w:sz w:val="22"/>
                            <w:szCs w:val="22"/>
                            <w:lang w:eastAsia="lt-LT"/>
                          </w:rPr>
                          <w:t>Eil. nr.</w:t>
                        </w:r>
                      </w:p>
                    </w:tc>
                    <w:tc>
                      <w:tcPr>
                        <w:tcW w:w="89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Atliekų laikymo vietos apibūdinimas</w:t>
                        </w:r>
                      </w:p>
                    </w:tc>
                    <w:tc>
                      <w:tcPr>
                        <w:tcW w:w="67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Atliekų laikymo vietos plotas, m</w:t>
                        </w:r>
                        <w:r>
                          <w:rPr>
                            <w:sz w:val="22"/>
                            <w:szCs w:val="22"/>
                            <w:vertAlign w:val="superscript"/>
                            <w:lang w:eastAsia="lt-LT"/>
                          </w:rPr>
                          <w:t>2</w:t>
                        </w:r>
                      </w:p>
                    </w:tc>
                    <w:tc>
                      <w:tcPr>
                        <w:tcW w:w="770"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Nepavojingųjų atliekų</w:t>
                        </w:r>
                      </w:p>
                      <w:p>
                        <w:pPr>
                          <w:widowControl w:val="0"/>
                          <w:suppressAutoHyphens/>
                          <w:snapToGrid w:val="0"/>
                          <w:jc w:val="center"/>
                          <w:textAlignment w:val="baseline"/>
                          <w:rPr>
                            <w:sz w:val="22"/>
                            <w:szCs w:val="22"/>
                            <w:lang w:eastAsia="lt-LT"/>
                          </w:rPr>
                        </w:pPr>
                        <w:r>
                          <w:rPr>
                            <w:sz w:val="22"/>
                            <w:szCs w:val="22"/>
                            <w:lang w:eastAsia="lt-LT"/>
                          </w:rPr>
                          <w:t xml:space="preserve">srauto kodas </w:t>
                        </w:r>
                      </w:p>
                    </w:tc>
                    <w:tc>
                      <w:tcPr>
                        <w:tcW w:w="1065"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 xml:space="preserve">Nepavojingųjų atliekų srauto kodo pavadinimas </w:t>
                        </w:r>
                      </w:p>
                    </w:tc>
                    <w:tc>
                      <w:tcPr>
                        <w:tcW w:w="423"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Atliekų kodas</w:t>
                        </w:r>
                      </w:p>
                    </w:tc>
                    <w:tc>
                      <w:tcPr>
                        <w:tcW w:w="969"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Didžiausias vienu metu laikomas atliekų kiekis, t</w:t>
                        </w:r>
                      </w:p>
                    </w:tc>
                  </w:tr>
                  <w:tr>
                    <w:trPr>
                      <w:cantSplit/>
                      <w:trHeight w:val="23"/>
                    </w:trPr>
                    <w:tc>
                      <w:tcPr>
                        <w:tcW w:w="209" w:type="pct"/>
                      </w:tcPr>
                      <w:p>
                        <w:pPr>
                          <w:widowControl w:val="0"/>
                          <w:suppressAutoHyphens/>
                          <w:snapToGrid w:val="0"/>
                          <w:jc w:val="center"/>
                          <w:textAlignment w:val="baseline"/>
                          <w:rPr>
                            <w:sz w:val="22"/>
                            <w:szCs w:val="22"/>
                            <w:lang w:eastAsia="lt-LT"/>
                          </w:rPr>
                        </w:pPr>
                        <w:r>
                          <w:rPr>
                            <w:sz w:val="22"/>
                            <w:szCs w:val="22"/>
                            <w:lang w:eastAsia="lt-LT"/>
                          </w:rPr>
                          <w:t>1</w:t>
                        </w:r>
                      </w:p>
                    </w:tc>
                    <w:tc>
                      <w:tcPr>
                        <w:tcW w:w="89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2</w:t>
                        </w:r>
                      </w:p>
                    </w:tc>
                    <w:tc>
                      <w:tcPr>
                        <w:tcW w:w="67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3</w:t>
                        </w:r>
                      </w:p>
                    </w:tc>
                    <w:tc>
                      <w:tcPr>
                        <w:tcW w:w="770"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4</w:t>
                        </w:r>
                      </w:p>
                    </w:tc>
                    <w:tc>
                      <w:tcPr>
                        <w:tcW w:w="1065"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5</w:t>
                        </w:r>
                      </w:p>
                    </w:tc>
                    <w:tc>
                      <w:tcPr>
                        <w:tcW w:w="423"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6</w:t>
                        </w:r>
                      </w:p>
                    </w:tc>
                    <w:tc>
                      <w:tcPr>
                        <w:tcW w:w="969"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7</w:t>
                        </w:r>
                      </w:p>
                    </w:tc>
                  </w:tr>
                  <w:tr>
                    <w:trPr>
                      <w:cantSplit/>
                      <w:trHeight w:val="23"/>
                    </w:trPr>
                    <w:tc>
                      <w:tcPr>
                        <w:tcW w:w="209" w:type="pct"/>
                        <w:vMerge w:val="restart"/>
                      </w:tcPr>
                      <w:p>
                        <w:pPr>
                          <w:widowControl w:val="0"/>
                          <w:suppressAutoHyphens/>
                          <w:snapToGrid w:val="0"/>
                          <w:textAlignment w:val="baseline"/>
                          <w:rPr>
                            <w:sz w:val="22"/>
                            <w:szCs w:val="22"/>
                            <w:lang w:eastAsia="lt-LT"/>
                          </w:rPr>
                        </w:pPr>
                      </w:p>
                    </w:tc>
                    <w:tc>
                      <w:tcPr>
                        <w:tcW w:w="892"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3227" w:type="pct"/>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nepriklauso nepavojingųjų atliekų srautui 1032)</w:t>
                        </w: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3227" w:type="pct"/>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II dalis (pildoma, jei atliekos priklauso nepavojingųjų atliekų srautui 1032)</w:t>
                        </w: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val="restar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1032</w:t>
                        </w:r>
                      </w:p>
                    </w:tc>
                    <w:tc>
                      <w:tcPr>
                        <w:tcW w:w="1065"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r>
                          <w:rPr>
                            <w:sz w:val="22"/>
                            <w:szCs w:val="22"/>
                            <w:lang w:eastAsia="lt-LT"/>
                          </w:rPr>
                          <w:t>Kitos rūšiavimo atliekos</w:t>
                        </w: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4031" w:type="pct"/>
                        <w:gridSpan w:val="6"/>
                      </w:tcPr>
                      <w:p>
                        <w:pPr>
                          <w:widowControl w:val="0"/>
                          <w:suppressAutoHyphens/>
                          <w:snapToGrid w:val="0"/>
                          <w:jc w:val="right"/>
                          <w:textAlignment w:val="baseline"/>
                          <w:rPr>
                            <w:sz w:val="22"/>
                            <w:szCs w:val="22"/>
                            <w:lang w:eastAsia="lt-LT"/>
                          </w:rPr>
                        </w:pPr>
                        <w:r>
                          <w:rPr>
                            <w:sz w:val="22"/>
                            <w:szCs w:val="22"/>
                            <w:lang w:eastAsia="lt-LT"/>
                          </w:rPr>
                          <w:t>Iš viso (I ir II dalys):</w:t>
                        </w:r>
                      </w:p>
                    </w:tc>
                    <w:tc>
                      <w:tcPr>
                        <w:tcW w:w="969" w:type="pc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val="restart"/>
                      </w:tcPr>
                      <w:p>
                        <w:pPr>
                          <w:widowControl w:val="0"/>
                          <w:suppressAutoHyphens/>
                          <w:ind w:firstLine="567"/>
                          <w:jc w:val="both"/>
                          <w:textAlignment w:val="baseline"/>
                          <w:rPr>
                            <w:sz w:val="22"/>
                            <w:szCs w:val="22"/>
                            <w:lang w:eastAsia="ar-SA"/>
                          </w:rPr>
                        </w:pPr>
                      </w:p>
                    </w:tc>
                    <w:tc>
                      <w:tcPr>
                        <w:tcW w:w="892"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sz w:val="22"/>
                            <w:szCs w:val="22"/>
                            <w:lang w:eastAsia="ar-SA"/>
                          </w:rPr>
                        </w:pPr>
                      </w:p>
                    </w:tc>
                    <w:tc>
                      <w:tcPr>
                        <w:tcW w:w="672"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sz w:val="22"/>
                            <w:szCs w:val="22"/>
                            <w:lang w:eastAsia="ar-SA"/>
                          </w:rPr>
                        </w:pPr>
                      </w:p>
                    </w:tc>
                    <w:tc>
                      <w:tcPr>
                        <w:tcW w:w="3227" w:type="pct"/>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 dalis (pildoma, jei atliekos nepriklauso nepavojingųjų atliekų srautui 1032)</w:t>
                        </w: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3227" w:type="pct"/>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II dalis</w:t>
                        </w:r>
                      </w:p>
                      <w:p>
                        <w:pPr>
                          <w:widowControl w:val="0"/>
                          <w:suppressAutoHyphens/>
                          <w:jc w:val="center"/>
                          <w:textAlignment w:val="baseline"/>
                          <w:rPr>
                            <w:sz w:val="22"/>
                            <w:szCs w:val="22"/>
                            <w:lang w:eastAsia="ar-SA"/>
                          </w:rPr>
                        </w:pPr>
                        <w:r>
                          <w:rPr>
                            <w:sz w:val="22"/>
                            <w:szCs w:val="22"/>
                            <w:lang w:eastAsia="ar-SA"/>
                          </w:rPr>
                          <w:t>(pildoma, jei atliekos priklauso nepavojingųjų atliekų srautui 1032)</w:t>
                        </w: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val="restart"/>
                        <w:shd w:val="clear" w:color="auto" w:fill="auto"/>
                        <w:tcMar>
                          <w:top w:w="28" w:type="dxa"/>
                          <w:left w:w="0" w:type="dxa"/>
                          <w:bottom w:w="0" w:type="dxa"/>
                          <w:right w:w="0" w:type="dxa"/>
                        </w:tcMar>
                      </w:tcPr>
                      <w:p>
                        <w:pPr>
                          <w:widowControl w:val="0"/>
                          <w:suppressAutoHyphens/>
                          <w:ind w:hanging="10"/>
                          <w:jc w:val="center"/>
                          <w:textAlignment w:val="baseline"/>
                          <w:rPr>
                            <w:sz w:val="22"/>
                            <w:szCs w:val="22"/>
                            <w:lang w:eastAsia="ar-SA"/>
                          </w:rPr>
                        </w:pPr>
                        <w:r>
                          <w:rPr>
                            <w:sz w:val="22"/>
                            <w:szCs w:val="22"/>
                            <w:lang w:eastAsia="ar-SA"/>
                          </w:rPr>
                          <w:t>1032</w:t>
                        </w:r>
                      </w:p>
                    </w:tc>
                    <w:tc>
                      <w:tcPr>
                        <w:tcW w:w="1065" w:type="pct"/>
                        <w:vMerge w:val="restart"/>
                        <w:shd w:val="clear" w:color="auto" w:fill="auto"/>
                        <w:tcMar>
                          <w:top w:w="28" w:type="dxa"/>
                          <w:left w:w="0" w:type="dxa"/>
                          <w:bottom w:w="0" w:type="dxa"/>
                          <w:right w:w="0" w:type="dxa"/>
                        </w:tcMar>
                      </w:tcPr>
                      <w:p>
                        <w:pPr>
                          <w:widowControl w:val="0"/>
                          <w:suppressAutoHyphens/>
                          <w:jc w:val="both"/>
                          <w:textAlignment w:val="baseline"/>
                          <w:rPr>
                            <w:sz w:val="22"/>
                            <w:szCs w:val="22"/>
                            <w:lang w:eastAsia="ar-SA"/>
                          </w:rPr>
                        </w:pPr>
                        <w:r>
                          <w:rPr>
                            <w:sz w:val="22"/>
                            <w:szCs w:val="22"/>
                            <w:lang w:eastAsia="ar-SA"/>
                          </w:rPr>
                          <w:t>Kitos rūšiavimo atliekos</w:t>
                        </w: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sz w:val="22"/>
                            <w:szCs w:val="22"/>
                            <w:lang w:eastAsia="ar-SA"/>
                          </w:rPr>
                        </w:pPr>
                      </w:p>
                    </w:tc>
                    <w:tc>
                      <w:tcPr>
                        <w:tcW w:w="969" w:type="pc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tcMar>
                          <w:top w:w="28" w:type="dxa"/>
                          <w:left w:w="0" w:type="dxa"/>
                          <w:bottom w:w="0" w:type="dxa"/>
                          <w:right w:w="0" w:type="dxa"/>
                        </w:tcMar>
                      </w:tcPr>
                      <w:p>
                        <w:pPr>
                          <w:widowControl w:val="0"/>
                          <w:suppressAutoHyphens/>
                          <w:ind w:firstLine="567"/>
                          <w:jc w:val="both"/>
                          <w:textAlignment w:val="baseline"/>
                          <w:rPr>
                            <w:sz w:val="22"/>
                            <w:szCs w:val="22"/>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sz w:val="22"/>
                            <w:szCs w:val="22"/>
                            <w:lang w:eastAsia="ar-SA"/>
                          </w:rPr>
                        </w:pPr>
                      </w:p>
                    </w:tc>
                    <w:tc>
                      <w:tcPr>
                        <w:tcW w:w="969" w:type="pc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4031" w:type="pct"/>
                        <w:gridSpan w:val="6"/>
                      </w:tcPr>
                      <w:p>
                        <w:pPr>
                          <w:widowControl w:val="0"/>
                          <w:suppressAutoHyphens/>
                          <w:ind w:firstLine="567"/>
                          <w:jc w:val="right"/>
                          <w:textAlignment w:val="baseline"/>
                          <w:rPr>
                            <w:sz w:val="22"/>
                            <w:szCs w:val="22"/>
                            <w:lang w:eastAsia="ar-SA"/>
                          </w:rPr>
                        </w:pPr>
                        <w:r>
                          <w:rPr>
                            <w:sz w:val="22"/>
                            <w:szCs w:val="22"/>
                            <w:lang w:eastAsia="ar-SA"/>
                          </w:rPr>
                          <w:t>Iš viso (I ir II dalys):</w:t>
                        </w:r>
                      </w:p>
                    </w:tc>
                    <w:tc>
                      <w:tcPr>
                        <w:tcW w:w="969" w:type="pc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bl>
                <w:p>
                  <w:pPr>
                    <w:widowControl w:val="0"/>
                    <w:suppressAutoHyphens/>
                    <w:ind w:firstLine="567"/>
                    <w:jc w:val="both"/>
                    <w:textAlignment w:val="baseline"/>
                    <w:rPr>
                      <w:lang w:eastAsia="ar-SA"/>
                    </w:rPr>
                  </w:pPr>
                </w:p>
                <w:p>
                  <w:pPr>
                    <w:widowControl w:val="0"/>
                    <w:suppressAutoHyphens/>
                    <w:jc w:val="both"/>
                    <w:textAlignment w:val="baseline"/>
                    <w:rPr>
                      <w:lang w:eastAsia="ar-SA"/>
                    </w:rPr>
                  </w:pPr>
                </w:p>
              </w:sdtContent>
            </w:sdt>
            <w:sdt>
              <w:sdtPr>
                <w:alias w:val="3 pr. 3.2 pp."/>
                <w:tag w:val="part_1bad611e8af24d789375a12c6ba96992"/>
                <w:lock w:val="sdtLocked"/>
                <w:richText/>
              </w:sdtPr>
              <w:sdtContent>
                <w:p>
                  <w:pPr>
                    <w:widowControl w:val="0"/>
                    <w:suppressAutoHyphens/>
                    <w:ind w:firstLine="567"/>
                    <w:jc w:val="both"/>
                    <w:textAlignment w:val="baseline"/>
                    <w:rPr>
                      <w:lang w:eastAsia="ar-SA"/>
                    </w:rPr>
                  </w:pPr>
                  <w:sdt>
                    <w:sdtPr>
                      <w:alias w:val="Numeris"/>
                      <w:tag w:val="nr_1bad611e8af24d789375a12c6ba96992"/>
                      <w:lock w:val="sdtLocked"/>
                      <w:richText/>
                    </w:sdtPr>
                    <w:sdtContent>
                      <w:r>
                        <w:rPr>
                          <w:lang w:eastAsia="ar-SA"/>
                        </w:rPr>
                        <w:t>3.2</w:t>
                      </w:r>
                    </w:sdtContent>
                  </w:sdt>
                  <w:r>
                    <w:rPr>
                      <w:lang w:eastAsia="ar-SA"/>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32"/>
                    <w:gridCol w:w="1196"/>
                    <w:gridCol w:w="732"/>
                    <w:gridCol w:w="1375"/>
                    <w:gridCol w:w="1318"/>
                    <w:gridCol w:w="2873"/>
                    <w:gridCol w:w="1801"/>
                  </w:tblGrid>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Eil. nr.</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apibūdinimas</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plotas, m2</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Pavojingųjų atliekų technologinio srauto (toliau  – technologinis srautas) žymėjimas</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 xml:space="preserve">Technologinio srauto kodo pavadinimas </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Atliekų kodas</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Didžiausias vienu metu laikomas atliekų kiekis, t</w:t>
                        </w:r>
                      </w:p>
                    </w:tc>
                  </w:tr>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1</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2</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3</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4</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5</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6</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7</w:t>
                        </w:r>
                      </w:p>
                    </w:tc>
                  </w:tr>
                  <w:tr>
                    <w:trPr>
                      <w:cantSplit/>
                      <w:trHeight w:val="23"/>
                    </w:trPr>
                    <w:tc>
                      <w:tcPr>
                        <w:tcW w:w="332" w:type="dxa"/>
                        <w:vMerge w:val="restart"/>
                      </w:tcPr>
                      <w:p>
                        <w:pPr>
                          <w:widowControl w:val="0"/>
                          <w:suppressAutoHyphens/>
                          <w:snapToGrid w:val="0"/>
                          <w:textAlignment w:val="baseline"/>
                          <w:rPr>
                            <w:sz w:val="22"/>
                            <w:szCs w:val="22"/>
                            <w:lang w:eastAsia="lt-LT"/>
                          </w:rPr>
                        </w:pPr>
                      </w:p>
                    </w:tc>
                    <w:tc>
                      <w:tcPr>
                        <w:tcW w:w="1196"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nepriklauso technologiniams srautams, nurodytiems II dalyje)</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 xml:space="preserve">II dalis (pildoma, jei pavojingosios atliekos priskiriamos technologiniams srautams TS-01, TS-02, TS-05, TS-06, TS-10, TS-13, TS-21,TS-22, TS-29, </w:t>
                        </w:r>
                      </w:p>
                      <w:p>
                        <w:pPr>
                          <w:widowControl w:val="0"/>
                          <w:suppressAutoHyphens/>
                          <w:snapToGrid w:val="0"/>
                          <w:jc w:val="center"/>
                          <w:textAlignment w:val="baseline"/>
                          <w:rPr>
                            <w:sz w:val="22"/>
                            <w:szCs w:val="22"/>
                            <w:lang w:eastAsia="lt-LT"/>
                          </w:rPr>
                        </w:pPr>
                        <w:r>
                          <w:rPr>
                            <w:sz w:val="22"/>
                            <w:szCs w:val="22"/>
                            <w:lang w:eastAsia="lt-LT"/>
                          </w:rPr>
                          <w:t>TS-31,TS-32 arba TS-36)</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7826" w:type="dxa"/>
                        <w:gridSpan w:val="6"/>
                      </w:tcPr>
                      <w:p>
                        <w:pPr>
                          <w:widowControl w:val="0"/>
                          <w:suppressAutoHyphens/>
                          <w:snapToGrid w:val="0"/>
                          <w:jc w:val="right"/>
                          <w:textAlignment w:val="baseline"/>
                          <w:rPr>
                            <w:sz w:val="22"/>
                            <w:szCs w:val="22"/>
                            <w:lang w:eastAsia="lt-LT"/>
                          </w:rPr>
                        </w:pPr>
                        <w:r>
                          <w:rPr>
                            <w:sz w:val="22"/>
                            <w:szCs w:val="22"/>
                            <w:lang w:eastAsia="lt-LT"/>
                          </w:rPr>
                          <w:t>Iš viso (I ir II dalys):</w:t>
                        </w: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val="restart"/>
                      </w:tcPr>
                      <w:p>
                        <w:pPr>
                          <w:widowControl w:val="0"/>
                          <w:suppressAutoHyphens/>
                          <w:ind w:firstLine="567"/>
                          <w:jc w:val="both"/>
                          <w:textAlignment w:val="baseline"/>
                          <w:rPr>
                            <w:lang w:eastAsia="ar-SA"/>
                          </w:rPr>
                        </w:pPr>
                      </w:p>
                    </w:tc>
                    <w:tc>
                      <w:tcPr>
                        <w:tcW w:w="1196"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nepriskiriamos technologiniams srautams, nurodytiems II dalyje)</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II dalis</w:t>
                        </w:r>
                        <w:r>
                          <w:rPr>
                            <w:sz w:val="22"/>
                            <w:szCs w:val="22"/>
                            <w:lang w:eastAsia="lt-LT"/>
                          </w:rPr>
                          <w:t xml:space="preserve"> </w:t>
                        </w:r>
                        <w:r>
                          <w:rPr>
                            <w:sz w:val="22"/>
                            <w:szCs w:val="22"/>
                            <w:lang w:eastAsia="ar-SA"/>
                          </w:rPr>
                          <w:t>(pildoma, jei pavojingosios atliekos priskiriamos technologiniams srautams TS-01, TS-02, TS-05, TS-06, TS-10, TS-13, TS-21,TS-22, TS-29, TS-31,TS-32 arba TS-36)</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7826" w:type="dxa"/>
                        <w:gridSpan w:val="6"/>
                      </w:tcPr>
                      <w:p>
                        <w:pPr>
                          <w:widowControl w:val="0"/>
                          <w:suppressAutoHyphens/>
                          <w:ind w:firstLine="567"/>
                          <w:jc w:val="right"/>
                          <w:textAlignment w:val="baseline"/>
                          <w:rPr>
                            <w:sz w:val="22"/>
                            <w:szCs w:val="22"/>
                            <w:lang w:eastAsia="ar-SA"/>
                          </w:rPr>
                        </w:pPr>
                        <w:r>
                          <w:rPr>
                            <w:sz w:val="22"/>
                            <w:szCs w:val="22"/>
                            <w:lang w:eastAsia="ar-SA"/>
                          </w:rPr>
                          <w:t>Iš viso (I ir II dalys):</w:t>
                        </w: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bl>
                <w:p>
                  <w:pPr/>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2a7317cd05cb48829e9a4d71d1601538"/>
        <w:lock w:val="sdtLocked"/>
        <w:richText/>
      </w:sdtPr>
      <w:sdtContent>
        <w:p>
          <w:pPr>
            <w:widowControl w:val="0"/>
            <w:jc w:val="both"/>
            <w:rPr>
              <w:sz w:val="22"/>
              <w:lang w:eastAsia="ar-SA"/>
            </w:rPr>
            <w:sectPr>
              <w:headerReference w:type="default" r:id="rId31"/>
              <w:footerReference w:type="default" r:id="rId32"/>
              <w:headerReference w:type="first" r:id="rId33"/>
              <w:footerReference w:type="first" r:id="rId34"/>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2a7317cd05cb48829e9a4d71d1601538"/>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2a7317cd05cb48829e9a4d71d1601538"/>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pr."/>
        <w:tag w:val="part_56dc9bcfffe942bf97ba405330ebf143"/>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56dc9bcfffe942bf97ba405330ebf143"/>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56dc9bcfffe942bf97ba405330ebf143"/>
            <w:lock w:val="sdtLocked"/>
            <w:richText/>
          </w:sdtPr>
          <w:sdtContent>
            <w:p>
              <w:pPr>
                <w:suppressAutoHyphens/>
                <w:spacing w:line="276" w:lineRule="auto"/>
                <w:jc w:val="center"/>
                <w:rPr>
                  <w:b/>
                  <w:lang w:eastAsia="lt-LT"/>
                </w:rPr>
              </w:pPr>
              <w:r>
                <w:rPr>
                  <w:b/>
                  <w:lang w:eastAsia="lt-LT"/>
                </w:rPr>
                <w:t>NEPAVOJINGŲJŲ ATLIEKŲ SRAUTAI</w:t>
              </w:r>
            </w:p>
          </w:sdtContent>
        </w:sdt>
        <w:p>
          <w:pPr>
            <w:suppressAutoHyphens/>
            <w:spacing w:line="276" w:lineRule="auto"/>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spacing w:line="276" w:lineRule="auto"/>
            <w:jc w:val="center"/>
            <w:rPr>
              <w:b/>
              <w:lang w:eastAsia="lt-LT"/>
            </w:rPr>
          </w:pPr>
        </w:p>
        <w:p>
          <w:pPr>
            <w:suppressAutoHyphens/>
            <w:spacing w:line="276" w:lineRule="auto"/>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c86b498a543241c7b9cc11da67b1e534"/>
        <w:lock w:val="sdtLocked"/>
        <w:richText/>
      </w:sdtPr>
      <w:sdtContent>
        <w:p>
          <w:pPr>
            <w:suppressAutoHyphens/>
            <w:ind w:left="5954" w:firstLine="567"/>
            <w:sectPr>
              <w:headerReference w:type="default" r:id="rId35"/>
              <w:footerReference w:type="default" r:id="rId36"/>
              <w:footerReference w:type="first" r:id="rId37"/>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c86b498a543241c7b9cc11da67b1e534"/>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c86b498a543241c7b9cc11da67b1e534"/>
              <w:lock w:val="sdtLocked"/>
              <w:richText/>
            </w:sdtPr>
            <w:sdtContent>
              <w:r>
                <w:rPr>
                  <w:b/>
                  <w:bCs/>
                  <w:lang w:eastAsia="lt-LT"/>
                </w:rPr>
                <w:t>ATLIEKŲ NAUDOJIMO AR ŠALINIMO TECHNINIO REGLAMENTO RENGIMO INSTRUKCIJA</w:t>
              </w:r>
            </w:sdtContent>
          </w:sdt>
        </w:p>
        <w:p>
          <w:pPr/>
        </w:p>
        <w:sdt>
          <w:sdtPr>
            <w:alias w:val="7 pr. 1 p."/>
            <w:tag w:val="part_e9253f23df72453aba6cef1c4f599101"/>
            <w:lock w:val="sdtLocked"/>
            <w:richText/>
          </w:sdtPr>
          <w:sdtContent>
            <w:p>
              <w:pPr>
                <w:widowControl w:val="0"/>
                <w:tabs>
                  <w:tab w:val="left" w:pos="1260"/>
                </w:tabs>
                <w:suppressAutoHyphens/>
                <w:ind w:firstLine="567"/>
                <w:jc w:val="both"/>
                <w:rPr>
                  <w:lang w:eastAsia="lt-LT"/>
                </w:rPr>
              </w:pPr>
              <w:sdt>
                <w:sdtPr>
                  <w:alias w:val="Numeris"/>
                  <w:tag w:val="nr_e9253f23df72453aba6cef1c4f599101"/>
                  <w:lock w:val="sdtLocked"/>
                  <w:richText/>
                </w:sdtPr>
                <w:sdtContent>
                  <w:r>
                    <w:rPr>
                      <w:lang w:eastAsia="lt-LT"/>
                    </w:rPr>
                    <w:t>1</w:t>
                  </w:r>
                </w:sdtContent>
              </w:sdt>
              <w:r>
                <w:rPr>
                  <w:lang w:eastAsia="lt-LT"/>
                </w:rPr>
                <w:t>. Pirmajame Atliekų naudojimo ar šalinimo techninio reglamento (toliau – techninis reglamentas) punkte pateikiama informacija apie įmonę:</w:t>
              </w:r>
              <w:r>
                <w:rPr>
                  <w:color w:val="000000"/>
                  <w:lang w:eastAsia="lt-LT"/>
                </w:rPr>
                <w:t xml:space="preserve"> </w:t>
              </w:r>
              <w:r>
                <w:rPr>
                  <w:lang w:eastAsia="lt-LT"/>
                </w:rPr>
                <w:t>įmonės teisinė forma, pavadinimas, buveinės adresas, telefono numeris, elektroninis paštas.</w:t>
              </w:r>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c0110b621f1246b685473cfdbf41bf4c"/>
                <w:lock w:val="sdtLocked"/>
                <w:richText/>
              </w:sdtPr>
              <w:sdtContent>
                <w:p>
                  <w:pPr>
                    <w:suppressAutoHyphens/>
                    <w:ind w:firstLine="567"/>
                    <w:jc w:val="both"/>
                    <w:rPr>
                      <w:lang w:eastAsia="lt-LT"/>
                    </w:rPr>
                  </w:pPr>
                  <w:sdt>
                    <w:sdtPr>
                      <w:alias w:val="Numeris"/>
                      <w:tag w:val="nr_c0110b621f1246b685473cfdbf41bf4c"/>
                      <w:lock w:val="sdtLocked"/>
                      <w:richText/>
                    </w:sdtPr>
                    <w:sdtContent>
                      <w:r>
                        <w:rPr>
                          <w:lang w:eastAsia="lt-LT"/>
                        </w:rPr>
                        <w:t>2.2</w:t>
                      </w:r>
                    </w:sdtContent>
                  </w:sdt>
                  <w:r>
                    <w:rPr>
                      <w:lang w:eastAsia="lt-LT"/>
                    </w:rPr>
                    <w:t>.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atliekų laikymo zonos, kita įrenginį apibūdinanti informacija. Nurodant įrenginio projektinį pajėgumą būtina pateikti dokumentą, pvz., įrenginio techninę specifikaciją, pagrindžiančią nurodomą įrenginio projektinį pajėgumą, ar raštu pagrįsti projektinį įrenginio pajėgumą. Išimtis nurodyti įrenginio projektinį pajėgumą taikoma didelių gabaritų atliekų surinkimo aikštelėms.</w:t>
                  </w:r>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2091213a2302458299109ee224046f7a"/>
                <w:lock w:val="sdtLocked"/>
                <w:richText/>
              </w:sdtPr>
              <w:sdtContent>
                <w:p>
                  <w:pPr>
                    <w:suppressAutoHyphens/>
                    <w:ind w:firstLine="567"/>
                    <w:jc w:val="both"/>
                    <w:rPr>
                      <w:lang w:eastAsia="lt-LT"/>
                    </w:rPr>
                  </w:pPr>
                  <w:sdt>
                    <w:sdtPr>
                      <w:alias w:val="Numeris"/>
                      <w:tag w:val="nr_2091213a2302458299109ee224046f7a"/>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atskirai kiekvienam 2.1 papunktyje nurodytam galutiniam atliekų naudojimo ar šalinimo technologiniam procesui pagal atliekų tvarkymo veiklos kodus D1–D7; D10–D11; R1–R10. Pateikiamas 1 t atliekų naudojimo ar šalinimo technologinio proceso medžiagų ir (ar) žaliavų ir (ar) energijos bei išmetimų (teršalų ir (ar) išlakų ir (ar) nuotekų) balansas:</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2531a890825c4271b65df8ebb23a123f"/>
                <w:lock w:val="sdtLocked"/>
                <w:richText/>
              </w:sdtPr>
              <w:sdtContent>
                <w:p>
                  <w:pPr>
                    <w:suppressAutoHyphens/>
                    <w:ind w:firstLine="567"/>
                    <w:jc w:val="both"/>
                    <w:rPr>
                      <w:lang w:eastAsia="lt-LT"/>
                    </w:rPr>
                  </w:pPr>
                  <w:sdt>
                    <w:sdtPr>
                      <w:alias w:val="Numeris"/>
                      <w:tag w:val="nr_2531a890825c4271b65df8ebb23a123f"/>
                      <w:lock w:val="sdtLocked"/>
                      <w:richText/>
                    </w:sdtPr>
                    <w:sdtContent>
                      <w:r>
                        <w:rPr>
                          <w:lang w:eastAsia="lt-LT"/>
                        </w:rPr>
                        <w:t>2.6</w:t>
                      </w:r>
                    </w:sdtContent>
                  </w:sdt>
                  <w:r>
                    <w:rPr>
                      <w:lang w:eastAsia="lt-LT"/>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vertAlign w:val="superscript"/>
                      <w:lang w:eastAsia="lt-LT"/>
                    </w:rPr>
                    <w:t>1</w:t>
                  </w:r>
                  <w:r>
                    <w:rPr>
                      <w:lang w:eastAsia="lt-LT"/>
                    </w:rPr>
                    <w:t xml:space="preserve">, R11 ir R13. Lentelės I dalyje „Informacija apie didžiausią vienu metu laikomą atliekų kiekį atskirai pagal konkretų srautą, išskyrus srautus, nurodytus šios lentelės II dalyje“ nurodoma informacija apie nepavojingąsias ir pavojingąsias atliekas, kurios atliekų apdorojimo technologiniame procese turi būti daugiau nei vieną savaitę, išskyrus atliekas, kurios priskiriamos srautams, nurodytiems šios lentelės II dalyje. </w:t>
                  </w:r>
                  <w:r>
                    <w:rPr>
                      <w:sz w:val="22"/>
                      <w:szCs w:val="22"/>
                      <w:lang w:eastAsia="lt-LT"/>
                    </w:rPr>
                    <w:t xml:space="preserve">Lentelės </w:t>
                  </w:r>
                  <w:r>
                    <w:rPr>
                      <w:lang w:eastAsia="lt-LT"/>
                    </w:rPr>
                    <w:t xml:space="preserve">II dalyje „ Informacija apie didžiausią vienu metu laikomą atliekų kiekį atskirai pagal konkretų atliekų kodą, jei nepavojingosios atliekos priskiriamos nepavojingųjų atliekų srautui 1032 arba jei pavojingosios atliekos priskiriamos technologiniams srautams TS-01, TS-02, TS-05, TS-06, TS-10, TS-13, TS-21, TS-22,      TS-29, TS-31,TS-32 arba TS-36“ nurodoma informacija apie nepavojingąsias ir pavojingąsias atliekas, kurios atliekų apdorojimo technologiniame procese turi būti daugiau nei vieną savaitę ir priskiriamos nepavojingųjų atliekų srautui 1032 arba pavojingųjų atliekų technologiniams srautams TS-01, TS-02, TS-05, TS-06, TS-10, TS-13, TS-21,TS-22, TS-29, TS-31,TS-32 arba </w:t>
                  </w:r>
                  <w:r>
                    <w:t>TS</w:t>
                  </w:r>
                  <w:r>
                    <w:rPr>
                      <w:lang w:eastAsia="lt-LT"/>
                    </w:rPr>
                    <w:t>-</w:t>
                  </w:r>
                  <w:r>
                    <w:t>36</w:t>
                  </w:r>
                  <w:r>
                    <w:rPr>
                      <w:lang w:eastAsia="lt-LT"/>
                    </w:rPr>
                    <w:t>. Lentelėje:</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61bb557874bb47149b3192771d842ecc"/>
                    <w:lock w:val="sdtLocked"/>
                    <w:richText/>
                  </w:sdtPr>
                  <w:sdtContent>
                    <w:p>
                      <w:pPr>
                        <w:suppressAutoHyphens/>
                        <w:ind w:firstLine="567"/>
                        <w:jc w:val="both"/>
                        <w:rPr>
                          <w:lang w:eastAsia="lt-LT"/>
                        </w:rPr>
                      </w:pPr>
                      <w:sdt>
                        <w:sdtPr>
                          <w:alias w:val="Numeris"/>
                          <w:tag w:val="nr_61bb557874bb47149b3192771d842ecc"/>
                          <w:lock w:val="sdtLocked"/>
                          <w:richText/>
                        </w:sdtPr>
                        <w:sdtContent>
                          <w:r>
                            <w:rPr>
                              <w:color w:val="000000"/>
                              <w:lang w:eastAsia="lt-LT"/>
                            </w:rPr>
                            <w:t>3.1.7</w:t>
                          </w:r>
                        </w:sdtContent>
                      </w:sdt>
                      <w:r>
                        <w:rPr>
                          <w:color w:val="000000"/>
                          <w:lang w:eastAsia="lt-LT"/>
                        </w:rPr>
                        <w:t>. Septintoje skiltyje „Didžiausias vienu metu laikomas atliekų kiekis, t“ nurodomas didžiausias kiekvieno nepavojingųjų atliekų srauto kiekis tonomis, kuris bus laikomas konkrečioje atliekų laikymo vietoje, įskaitant atliekas, susidarančias tvarkymo metu. Jei konkrečioje vietoje laikomos nepavojingosios atliekos, priskiriamos nepavojingųjų atliekų srautui 1032,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 Išimtis nurodyti didžiausią vienu metu laikomą kiekvieno nepavojingųjų atliekų srauto kiekį taikoma</w:t>
                      </w:r>
                      <w:r>
                        <w:rPr>
                          <w:lang w:eastAsia="lt-LT"/>
                        </w:rPr>
                        <w:t xml:space="preserve"> </w:t>
                      </w:r>
                      <w:r>
                        <w:rPr>
                          <w:color w:val="000000"/>
                          <w:lang w:eastAsia="lt-LT"/>
                        </w:rPr>
                        <w:t>atliekas naudojančioms ar šalinančioms įmonėms, eksploatuojančioms didelių gabaritų atliekų surinkimo aikšteles.</w:t>
                      </w:r>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070516"/>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34.wmf"/>
  <Relationship Id="rId15" Type="http://schemas.openxmlformats.org/officeDocument/2006/relationships/header" Target="header58.xml"/>
  <Relationship Id="rId16" Type="http://schemas.openxmlformats.org/officeDocument/2006/relationships/header" Target="header59.xml"/>
  <Relationship Id="rId17" Type="http://schemas.openxmlformats.org/officeDocument/2006/relationships/footer" Target="footer55.xml"/>
  <Relationship Id="rId18" Type="http://schemas.openxmlformats.org/officeDocument/2006/relationships/footer" Target="footer56.xml"/>
  <Relationship Id="rId19" Type="http://schemas.openxmlformats.org/officeDocument/2006/relationships/header" Target="header60.xml"/>
  <Relationship Id="rId2" Type="http://schemas.openxmlformats.org/officeDocument/2006/relationships/header" Target="header12.xml"/>
  <Relationship Id="rId20" Type="http://schemas.openxmlformats.org/officeDocument/2006/relationships/footer" Target="footer57.xml"/>
  <Relationship Id="rId21" Type="http://schemas.openxmlformats.org/officeDocument/2006/relationships/header" Target="header76.xml"/>
  <Relationship Id="rId22" Type="http://schemas.openxmlformats.org/officeDocument/2006/relationships/header" Target="header77.xml"/>
  <Relationship Id="rId23" Type="http://schemas.openxmlformats.org/officeDocument/2006/relationships/footer" Target="footer73.xml"/>
  <Relationship Id="rId24" Type="http://schemas.openxmlformats.org/officeDocument/2006/relationships/footer" Target="footer74.xml"/>
  <Relationship Id="rId25" Type="http://schemas.openxmlformats.org/officeDocument/2006/relationships/header" Target="header78.xml"/>
  <Relationship Id="rId26" Type="http://schemas.openxmlformats.org/officeDocument/2006/relationships/footer" Target="footer75.xml"/>
  <Relationship Id="rId27" Type="http://schemas.openxmlformats.org/officeDocument/2006/relationships/header" Target="header79.xml"/>
  <Relationship Id="rId28" Type="http://schemas.openxmlformats.org/officeDocument/2006/relationships/footer" Target="footer76.xml"/>
  <Relationship Id="rId29" Type="http://schemas.openxmlformats.org/officeDocument/2006/relationships/header" Target="header80.xml"/>
  <Relationship Id="rId3" Type="http://schemas.openxmlformats.org/officeDocument/2006/relationships/footer" Target="footer10.xml"/>
  <Relationship Id="rId30" Type="http://schemas.openxmlformats.org/officeDocument/2006/relationships/footer" Target="footer77.xml"/>
  <Relationship Id="rId31" Type="http://schemas.openxmlformats.org/officeDocument/2006/relationships/header" Target="header81.xml"/>
  <Relationship Id="rId32" Type="http://schemas.openxmlformats.org/officeDocument/2006/relationships/footer" Target="footer78.xml"/>
  <Relationship Id="rId33" Type="http://schemas.openxmlformats.org/officeDocument/2006/relationships/header" Target="header82.xml"/>
  <Relationship Id="rId34" Type="http://schemas.openxmlformats.org/officeDocument/2006/relationships/footer" Target="footer79.xml"/>
  <Relationship Id="rId35" Type="http://schemas.openxmlformats.org/officeDocument/2006/relationships/header" Target="header83.xml"/>
  <Relationship Id="rId36" Type="http://schemas.openxmlformats.org/officeDocument/2006/relationships/footer" Target="footer80.xml"/>
  <Relationship Id="rId37" Type="http://schemas.openxmlformats.org/officeDocument/2006/relationships/footer" Target="footer81.xml"/>
  <Relationship Id="rId38" Type="http://schemas.openxmlformats.org/officeDocument/2006/relationships/customXml" Target="../customXml/item1.xml"/>
  <Relationship Id="rId4" Type="http://schemas.openxmlformats.org/officeDocument/2006/relationships/footer" Target="footer11.xml"/>
  <Relationship Id="rId5" Type="http://schemas.openxmlformats.org/officeDocument/2006/relationships/header" Target="header13.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75583cf0c96d46a7b86ccbd02305e125"/>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c675882ea6104cc78a8f896ae0588646">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556e08a142574d1c831ed2c1591ca83a"/>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2ebe0ad1844c4d82b6c20faa13976451"/>
        <Part Type="papunktis" Nr="42.2" Abbr="42.2 pp." DocPartId="33bb08611c8f4813859fd0045c055dd8" PartId="f380f3d037e844cfa924e7009566e4c4"/>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a139f710c53b4a9b91bf90a5db2afa47"/>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d414830c05e04378892669a9215450cf"/>
        <Part Type="papunktis" Nr="45.2" Abbr="45.2 pp." DocPartId="9b824e6eaf734f638ab683a67712761e" PartId="c0193f4e325b49b99a137dc978e653cc"/>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69c1fb315a604ce6b8a3e8deec93b310"/>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5bd553800deb49de8cca2c6b83d7126b"/>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91d2e380642d4f8e9a64367201fabb7f"/>
      <Part Type="punktas" Nr="72-5" Abbr="72-5 p." DocPartId="07242d8977984d78b3a5667c1b3d131e" PartId="e9b325f8767845bf9d2c68929cdb2bd4"/>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c126c59ef4fe4b9d8e510a3393af877e">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67b734fac3bb40d0a0d89c95af4cbc4a">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a58e2989858b4424bb0eda56833c94f8"/>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6a9e315ff1604ab8a5b0d3afa2b36579">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2a9d1b1ef090445695b412704d41c73c"/>
    </Part>
    <Part Type="punktas" Nr="3" Abbr="3 pr. 3 p." DocPartId="066f7a0709d5464f9ee0002eeafc8ac7" PartId="6de6abbe506340a69251e349102bf570">
      <Part Type="papunktis" Nr="3.1" Abbr="3 pr. 3.1 pp." DocPartId="6888f0c5c6d6434fa6cfd01c854f7ede" PartId="a2201d5400674c69bcb44036c49712ea"/>
      <Part Type="papunktis" Nr="3.2" Abbr="3 pr. 3.2 pp." DocPartId="80a65e03baac481d9ea2f9006f02505c" PartId="1bad611e8af24d789375a12c6ba96992"/>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2a7317cd05cb48829e9a4d71d1601538">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6" Abbr="pr." Title="NEPAVOJINGŲJŲ ATLIEKŲ SRAUTAI" DocPartId="8c0268c7a38543cf808e1fe26f87f97f" PartId="56dc9bcfffe942bf97ba405330ebf143"/>
  <Part Type="priedas" Nr="7" Abbr="7 pr." Title="ATLIEKŲ NAUDOJIMO AR ŠALINIMO TECHNINIO REGLAMENTO RENGIMO INSTRUKCIJA" DocPartId="6a637483b9894703a69a20760345186a" PartId="c86b498a543241c7b9cc11da67b1e534">
    <Part Type="punktas" Nr="1" Abbr="7 pr. 1 p." DocPartId="d7cbb372fbc34f89b011ae22f0f1c59b" PartId="e9253f23df72453aba6cef1c4f599101"/>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c0110b621f1246b685473cfdbf41bf4c"/>
      <Part Type="papunktis" Nr="2.3" Abbr="7 pr. 2.3 pp." DocPartId="b469b205bb0b4a56b55cede8dc8c04d2" PartId="62efb57b442a49f1b680ce0a2077118a"/>
      <Part Type="papunktis" Nr="2.4" Abbr="7 pr. 2.4 pp." DocPartId="0acb3f5183ee4e06894511756f160d7a" PartId="2091213a2302458299109ee224046f7a">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2531a890825c4271b65df8ebb23a123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61bb557874bb47149b3192771d842ecc"/>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A7AC6960-41E2-4B28-BC5A-361ED8A1F4AE}">
  <ds:schemaRefs>
    <ds:schemaRef ds:uri="http://lrs.lt/TAIS/DocParts"/>
  </ds:schemaRefs>
</ds:datastoreItem>
</file>

<file path=docProps/app.xml><?xml version="1.0" encoding="utf-8"?>
<Properties xmlns="http://schemas.openxmlformats.org/officeDocument/2006/extended-properties">
  <Template>Normal.dotm</Template>
  <TotalTime>109</TotalTime>
  <Pages>93</Pages>
  <Words>171464</Words>
  <Characters>97735</Characters>
  <Application>Microsoft Office Word</Application>
  <DocSecurity>0</DocSecurity>
  <Lines>814</Lines>
  <Paragraphs>537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268662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2022-08-18T17:15:00Z</dcterms:modified>
  <revision>83</revision>
</coreProperties>
</file>