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2020-01-01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5"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6"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1b7314d275174ca491b4bba307b2ec59"/>
                <w:lock w:val="sdtLocked"/>
                <w:richText/>
              </w:sdtPr>
              <w:sdtContent>
                <w:p>
                  <w:pPr>
                    <w:ind w:right="-1" w:firstLine="720"/>
                    <w:jc w:val="both"/>
                    <w:rPr>
                      <w:b/>
                      <w:sz w:val="22"/>
                    </w:rPr>
                  </w:pPr>
                  <w:sdt>
                    <w:sdtPr>
                      <w:alias w:val="Numeris"/>
                      <w:tag w:val="nr_1b7314d275174ca491b4bba307b2ec59"/>
                      <w:lock w:val="sdtLocked"/>
                      <w:richText/>
                    </w:sdtPr>
                    <w:sdtContent>
                      <w:r>
                        <w:rPr>
                          <w:b/>
                          <w:sz w:val="22"/>
                        </w:rPr>
                        <w:t>2</w:t>
                      </w:r>
                    </w:sdtContent>
                  </w:sdt>
                  <w:r>
                    <w:rPr>
                      <w:b/>
                      <w:sz w:val="22"/>
                    </w:rPr>
                    <w:t xml:space="preserve"> straipsnis. </w:t>
                  </w:r>
                  <w:sdt>
                    <w:sdtPr>
                      <w:alias w:val="Pavadinimas"/>
                      <w:tag w:val="title_1b7314d275174ca491b4bba307b2ec59"/>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8"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9"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20"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1"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f66bcfd1572468ba42ab14c7ca92957"/>
                        <w:lock w:val="sdtLocked"/>
                        <w:richText/>
                      </w:sdtPr>
                      <w:sdtContent>
                        <w:p>
                          <w:pPr>
                            <w:ind w:firstLine="720"/>
                            <w:jc w:val="both"/>
                          </w:pPr>
                          <w:sdt>
                            <w:sdtPr>
                              <w:alias w:val="Numeris"/>
                              <w:tag w:val="nr_2f66bcfd1572468ba42ab14c7ca92957"/>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 p."/>
                        <w:tag w:val="part_6eb28812fc934fb194a30b29469999d7"/>
                        <w:lock w:val="sdtLocked"/>
                        <w:richText/>
                      </w:sdtPr>
                      <w:sdtContent>
                        <w:p>
                          <w:pPr>
                            <w:ind w:firstLine="720"/>
                            <w:jc w:val="both"/>
                            <w:rPr>
                              <w:sz w:val="22"/>
                              <w:szCs w:val="22"/>
                            </w:rPr>
                          </w:pPr>
                          <w:sdt>
                            <w:sdtPr>
                              <w:alias w:val="Numeris"/>
                              <w:tag w:val="nr_6eb28812fc934fb194a30b29469999d7"/>
                              <w:lock w:val="sdtLocked"/>
                              <w:richText/>
                            </w:sdtPr>
                            <w:sdtContent>
                              <w:r>
                                <w:rPr>
                                  <w:sz w:val="22"/>
                                  <w:szCs w:val="22"/>
                                </w:rPr>
                                <w:t>14</w:t>
                              </w:r>
                            </w:sdtContent>
                          </w:sdt>
                          <w:r>
                            <w:rPr>
                              <w:sz w:val="22"/>
                              <w:szCs w:val="22"/>
                            </w:rPr>
                            <w:t>) draudimo keisti į blogąją pusę (</w:t>
                          </w:r>
                          <w:r>
                            <w:rPr>
                              <w:i/>
                              <w:iCs/>
                              <w:sz w:val="22"/>
                              <w:szCs w:val="22"/>
                            </w:rPr>
                            <w:t>non reformatio in peius</w:t>
                          </w:r>
                          <w:r>
                            <w:rPr>
                              <w:sz w:val="22"/>
                              <w:szCs w:val="22"/>
                            </w:rPr>
                            <w:t xml:space="preserve">). Šis principas reiškia, kad viešojo administravimo subjektas, priimdamas administracinės procedūros sprendimą, negali pabloginti asmens, dėl kurio yra pradėta administracinė procedūra, padėties. </w:t>
                          </w:r>
                        </w:p>
                        <w:p>
                          <w:pPr>
                            <w:jc w:val="both"/>
                            <w:rPr>
                              <w:sz w:val="22"/>
                              <w:szCs w:val="22"/>
                            </w:rPr>
                          </w:pPr>
                          <w:r>
                            <w:rPr>
                              <w:b/>
                              <w:i/>
                              <w:sz w:val="20"/>
                            </w:rPr>
                            <w:t>TAR pastaba.</w:t>
                          </w:r>
                          <w:r>
                            <w:rPr>
                              <w:i/>
                              <w:sz w:val="20"/>
                            </w:rPr>
                            <w:t xml:space="preserve"> Skundai, pradėti nagrinėti iki įstatymo Nr. XIII-2239 įsigaliojimo (2020-01-01), baigiami nagrinėti laikantis šio įstatymo nuostatų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9576098c611e9ae2e9d61b1f977b3">
                            <w:r w:rsidRPr="00532B9F">
                              <w:rPr>
                                <w:rFonts w:ascii="Times New Roman" w:eastAsia="MS Mincho" w:hAnsi="Times New Roman"/>
                                <w:sz w:val="20"/>
                                <w:i/>
                                <w:iCs/>
                                <w:color w:val="0000FF" w:themeColor="hyperlink"/>
                                <w:u w:val="single"/>
                              </w:rPr>
                              <w:t>XIII-2239</w:t>
                            </w:r>
                          </w:fldSimple>
                          <w:r>
                            <w:rPr>
                              <w:rFonts w:ascii="Times New Roman" w:eastAsia="MS Mincho" w:hAnsi="Times New Roman"/>
                              <w:sz w:val="20"/>
                              <w:i/>
                              <w:iCs/>
                            </w:rPr>
                            <w:t>,
2019-06-13,
paskelbta TAR 2019-06-27, i. k. 2019-10362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3"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4"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5"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6"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7"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8"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9"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30"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8"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2"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3"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4"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5"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e36ef048e0024ff796d7344d7a6351ef"/>
                <w:lock w:val="sdtLocked"/>
                <w:richText/>
              </w:sdtPr>
              <w:sdtContent>
                <w:p>
                  <w:pPr>
                    <w:ind w:firstLine="709"/>
                    <w:jc w:val="both"/>
                    <w:rPr>
                      <w:sz w:val="22"/>
                      <w:szCs w:val="22"/>
                      <w:lang w:eastAsia="lt-LT"/>
                    </w:rPr>
                  </w:pPr>
                  <w:sdt>
                    <w:sdtPr>
                      <w:alias w:val="Numeris"/>
                      <w:tag w:val="nr_e36ef048e0024ff796d7344d7a6351ef"/>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e36ef048e0024ff796d7344d7a6351ef"/>
                      <w:lock w:val="sdtLocked"/>
                      <w:richText/>
                    </w:sdtPr>
                    <w:sdtContent>
                      <w:r>
                        <w:rPr>
                          <w:b/>
                          <w:bCs/>
                          <w:sz w:val="22"/>
                          <w:szCs w:val="22"/>
                          <w:lang w:eastAsia="lt-LT"/>
                        </w:rPr>
                        <w:t>Vidaus administravimas</w:t>
                      </w:r>
                      <w:r>
                        <w:rPr>
                          <w:bCs/>
                          <w:sz w:val="22"/>
                          <w:szCs w:val="22"/>
                          <w:lang w:eastAsia="lt-LT"/>
                        </w:rPr>
                        <w:t xml:space="preserve"> </w:t>
                      </w:r>
                    </w:sdtContent>
                  </w:sdt>
                </w:p>
                <w:sdt>
                  <w:sdtPr>
                    <w:alias w:val="11 str. 1 d."/>
                    <w:tag w:val="part_2e552b143e36460cae93df047828f7ff"/>
                    <w:lock w:val="sdtLocked"/>
                    <w:richText/>
                  </w:sdtPr>
                  <w:sdtContent>
                    <w:p>
                      <w:pPr>
                        <w:ind w:firstLine="709"/>
                        <w:jc w:val="both"/>
                        <w:rPr>
                          <w:sz w:val="22"/>
                          <w:szCs w:val="22"/>
                          <w:lang w:eastAsia="lt-LT"/>
                        </w:rPr>
                      </w:pPr>
                      <w:sdt>
                        <w:sdtPr>
                          <w:alias w:val="Numeris"/>
                          <w:tag w:val="nr_2e552b143e36460cae93df047828f7ff"/>
                          <w:lock w:val="sdtLocked"/>
                          <w:richText/>
                        </w:sdtPr>
                        <w:sdtContent>
                          <w:r>
                            <w:rPr>
                              <w:sz w:val="22"/>
                              <w:szCs w:val="22"/>
                              <w:lang w:eastAsia="lt-LT"/>
                            </w:rPr>
                            <w:t>1</w:t>
                          </w:r>
                        </w:sdtContent>
                      </w:sdt>
                      <w:r>
                        <w:rPr>
                          <w:sz w:val="22"/>
                          <w:szCs w:val="22"/>
                          <w:lang w:eastAsia="lt-LT"/>
                        </w:rPr>
                        <w:t>. Vidaus administravimo tikslas – užtikrinti, kad viešojo administravimo subjektas galėtų tinkamai atlikti viešojo administravimo funkcijas.</w:t>
                      </w:r>
                    </w:p>
                  </w:sdtContent>
                </w:sdt>
                <w:sdt>
                  <w:sdtPr>
                    <w:alias w:val="11 str. 2 d."/>
                    <w:tag w:val="part_62ab50d3e71747af8c84492240e8abf8"/>
                    <w:lock w:val="sdtLocked"/>
                    <w:richText/>
                  </w:sdtPr>
                  <w:sdtContent>
                    <w:p>
                      <w:pPr>
                        <w:ind w:firstLine="709"/>
                        <w:jc w:val="both"/>
                        <w:rPr>
                          <w:sz w:val="22"/>
                          <w:szCs w:val="22"/>
                          <w:lang w:eastAsia="lt-LT"/>
                        </w:rPr>
                      </w:pPr>
                      <w:sdt>
                        <w:sdtPr>
                          <w:alias w:val="Numeris"/>
                          <w:tag w:val="nr_62ab50d3e71747af8c84492240e8abf8"/>
                          <w:lock w:val="sdtLocked"/>
                          <w:richText/>
                        </w:sdtPr>
                        <w:sdtContent>
                          <w:r>
                            <w:rPr>
                              <w:sz w:val="22"/>
                              <w:szCs w:val="22"/>
                              <w:lang w:eastAsia="lt-LT"/>
                            </w:rPr>
                            <w:t>2</w:t>
                          </w:r>
                        </w:sdtContent>
                      </w:sdt>
                      <w:r>
                        <w:rPr>
                          <w:sz w:val="22"/>
                          <w:szCs w:val="22"/>
                          <w:lang w:eastAsia="lt-LT"/>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f0e2a1efa8464e48bb45b22d26b20050"/>
                    <w:lock w:val="sdtLocked"/>
                    <w:richText/>
                  </w:sdtPr>
                  <w:sdtContent>
                    <w:p>
                      <w:pPr>
                        <w:ind w:firstLine="709"/>
                        <w:jc w:val="both"/>
                        <w:rPr>
                          <w:sz w:val="22"/>
                          <w:szCs w:val="22"/>
                          <w:lang w:eastAsia="lt-LT"/>
                        </w:rPr>
                      </w:pPr>
                      <w:sdt>
                        <w:sdtPr>
                          <w:alias w:val="Numeris"/>
                          <w:tag w:val="nr_f0e2a1efa8464e48bb45b22d26b20050"/>
                          <w:lock w:val="sdtLocked"/>
                          <w:richText/>
                        </w:sdtPr>
                        <w:sdtContent>
                          <w:r>
                            <w:rPr>
                              <w:sz w:val="22"/>
                              <w:szCs w:val="22"/>
                              <w:lang w:eastAsia="lt-LT"/>
                            </w:rPr>
                            <w:t>3</w:t>
                          </w:r>
                        </w:sdtContent>
                      </w:sdt>
                      <w:r>
                        <w:rPr>
                          <w:sz w:val="22"/>
                          <w:szCs w:val="22"/>
                          <w:lang w:eastAsia="lt-LT"/>
                        </w:rPr>
                        <w:t>. Viešojo administravimo įstaigos administracijos padaliniais gali būti grupė,</w:t>
                      </w:r>
                      <w:r>
                        <w:rPr>
                          <w:b/>
                          <w:sz w:val="22"/>
                          <w:szCs w:val="22"/>
                          <w:lang w:eastAsia="lt-LT"/>
                        </w:rPr>
                        <w:t xml:space="preserve"> </w:t>
                      </w:r>
                      <w:r>
                        <w:rPr>
                          <w:sz w:val="22"/>
                          <w:szCs w:val="22"/>
                          <w:lang w:eastAsia="lt-LT"/>
                        </w:rPr>
                        <w:t>departamentas (valdyba), skyrius (biuras, tarnyba), o savivaldybės viešojo administravimo įstaigoje – ir</w:t>
                      </w:r>
                      <w:r>
                        <w:rPr>
                          <w:b/>
                          <w:sz w:val="22"/>
                          <w:szCs w:val="22"/>
                          <w:lang w:eastAsia="lt-LT"/>
                        </w:rPr>
                        <w:t xml:space="preserve"> </w:t>
                      </w:r>
                      <w:r>
                        <w:rPr>
                          <w:sz w:val="22"/>
                          <w:szCs w:val="22"/>
                          <w:lang w:eastAsia="lt-LT"/>
                        </w:rPr>
                        <w:t>poskyris.</w:t>
                      </w:r>
                    </w:p>
                  </w:sdtContent>
                </w:sdt>
                <w:sdt>
                  <w:sdtPr>
                    <w:alias w:val="11 str. 4 d."/>
                    <w:tag w:val="part_edc6a7fb93194260b0a98b501b9fc9b6"/>
                    <w:lock w:val="sdtLocked"/>
                    <w:richText/>
                  </w:sdtPr>
                  <w:sdtContent>
                    <w:p>
                      <w:pPr>
                        <w:ind w:firstLine="709"/>
                        <w:jc w:val="both"/>
                        <w:rPr>
                          <w:sz w:val="22"/>
                          <w:szCs w:val="22"/>
                        </w:rPr>
                      </w:pPr>
                      <w:sdt>
                        <w:sdtPr>
                          <w:alias w:val="Numeris"/>
                          <w:tag w:val="nr_edc6a7fb93194260b0a98b501b9fc9b6"/>
                          <w:lock w:val="sdtLocked"/>
                          <w:richText/>
                        </w:sdtPr>
                        <w:sdtContent>
                          <w:r>
                            <w:rPr>
                              <w:sz w:val="22"/>
                              <w:szCs w:val="22"/>
                              <w:lang w:eastAsia="lt-LT"/>
                            </w:rPr>
                            <w:t>4</w:t>
                          </w:r>
                        </w:sdtContent>
                      </w:sdt>
                      <w:r>
                        <w:rPr>
                          <w:sz w:val="22"/>
                          <w:szCs w:val="22"/>
                          <w:lang w:eastAsia="lt-LT"/>
                        </w:rPr>
                        <w:t>. Grupė steigiama sudėtingiems, kompleksiniams, su politikos formavimu susijusiems viešojo administravimo įstaigos uždaviniams spręsti. Grupei vadovauja grupės vadovas. Grupės veiklą reglamentuojančius teisės aktus (nuostatus, pareigybių aprašymus ir kt.) tvirtina viešojo administravimo įstaigos vadovas.</w:t>
                      </w:r>
                    </w:p>
                  </w:sdtContent>
                </w:sdt>
                <w:sdt>
                  <w:sdtPr>
                    <w:alias w:val="11 str. 5 d."/>
                    <w:tag w:val="part_2d033d78d3a14423853b8c649837f6a0"/>
                    <w:lock w:val="sdtLocked"/>
                    <w:richText/>
                  </w:sdtPr>
                  <w:sdtContent>
                    <w:p>
                      <w:pPr>
                        <w:ind w:firstLine="709"/>
                        <w:jc w:val="both"/>
                        <w:rPr>
                          <w:sz w:val="22"/>
                          <w:szCs w:val="22"/>
                        </w:rPr>
                      </w:pPr>
                      <w:sdt>
                        <w:sdtPr>
                          <w:alias w:val="Numeris"/>
                          <w:tag w:val="nr_2d033d78d3a14423853b8c649837f6a0"/>
                          <w:lock w:val="sdtLocked"/>
                          <w:richText/>
                        </w:sdtPr>
                        <w:sdtContent>
                          <w:r>
                            <w:rPr>
                              <w:sz w:val="22"/>
                              <w:szCs w:val="22"/>
                              <w:lang w:eastAsia="lt-LT"/>
                            </w:rPr>
                            <w:t>5</w:t>
                          </w:r>
                        </w:sdtContent>
                      </w:sdt>
                      <w:r>
                        <w:rPr>
                          <w:sz w:val="22"/>
                          <w:szCs w:val="22"/>
                          <w:lang w:eastAsia="lt-LT"/>
                        </w:rPr>
                        <w:t>.</w:t>
                      </w:r>
                      <w:r>
                        <w:rPr>
                          <w:b/>
                          <w:sz w:val="22"/>
                          <w:szCs w:val="22"/>
                          <w:lang w:eastAsia="lt-LT"/>
                        </w:rPr>
                        <w:t xml:space="preserve"> </w:t>
                      </w:r>
                      <w:r>
                        <w:rPr>
                          <w:sz w:val="22"/>
                          <w:szCs w:val="22"/>
                          <w:lang w:eastAsia="lt-LT"/>
                        </w:rPr>
                        <w:t>Departamentas (valdyba)</w:t>
                      </w:r>
                      <w:r>
                        <w:rPr>
                          <w:b/>
                          <w:sz w:val="22"/>
                          <w:szCs w:val="22"/>
                          <w:lang w:eastAsia="lt-LT"/>
                        </w:rPr>
                        <w:t xml:space="preserve"> </w:t>
                      </w:r>
                      <w:r>
                        <w:rPr>
                          <w:sz w:val="22"/>
                          <w:szCs w:val="22"/>
                          <w:lang w:eastAsia="lt-LT"/>
                        </w:rPr>
                        <w:t>steigiamas nevienarūšių viešojo administravimo įstaigos funkcijų įgyvenimui administruoti. Departamentą (valdybą) sudaro ne mažiau kaip du skyriai (biurai, tarnybos). Departamentui vadovauja direktorius (valdybai – viršininkas). Departamento (valdybos) veiklą reglamentuojančius teisės aktus (nuostatus, pareigybių aprašymus ir kt.) tvirtina viešojo administravimo įstaigos vadovas.</w:t>
                      </w:r>
                    </w:p>
                  </w:sdtContent>
                </w:sdt>
                <w:sdt>
                  <w:sdtPr>
                    <w:alias w:val="11 str. 6 d."/>
                    <w:tag w:val="part_df9e3c1d58494925a2a005b75a1a59b4"/>
                    <w:lock w:val="sdtLocked"/>
                    <w:richText/>
                  </w:sdtPr>
                  <w:sdtContent>
                    <w:p>
                      <w:pPr>
                        <w:ind w:firstLine="709"/>
                        <w:jc w:val="both"/>
                        <w:rPr>
                          <w:sz w:val="22"/>
                          <w:szCs w:val="22"/>
                          <w:lang w:eastAsia="lt-LT"/>
                        </w:rPr>
                      </w:pPr>
                      <w:sdt>
                        <w:sdtPr>
                          <w:alias w:val="Numeris"/>
                          <w:tag w:val="nr_df9e3c1d58494925a2a005b75a1a59b4"/>
                          <w:lock w:val="sdtLocked"/>
                          <w:richText/>
                        </w:sdtPr>
                        <w:sdtContent>
                          <w:r>
                            <w:rPr>
                              <w:sz w:val="22"/>
                              <w:szCs w:val="22"/>
                              <w:lang w:eastAsia="lt-LT"/>
                            </w:rPr>
                            <w:t>6</w:t>
                          </w:r>
                        </w:sdtContent>
                      </w:sdt>
                      <w:r>
                        <w:rPr>
                          <w:sz w:val="22"/>
                          <w:szCs w:val="22"/>
                          <w:lang w:eastAsia="lt-LT"/>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sudaro ne mažiau kaip 4 pareigybės</w:t>
                      </w:r>
                      <w:r>
                        <w:rPr>
                          <w:bCs/>
                          <w:sz w:val="22"/>
                          <w:szCs w:val="22"/>
                          <w:lang w:eastAsia="lt-LT"/>
                        </w:rPr>
                        <w:t>,</w:t>
                      </w:r>
                      <w:r>
                        <w:rPr>
                          <w:b/>
                          <w:bCs/>
                          <w:sz w:val="22"/>
                          <w:szCs w:val="22"/>
                          <w:lang w:eastAsia="lt-LT"/>
                        </w:rPr>
                        <w:t xml:space="preserve"> </w:t>
                      </w:r>
                      <w:r>
                        <w:rPr>
                          <w:bCs/>
                          <w:sz w:val="22"/>
                          <w:szCs w:val="22"/>
                          <w:lang w:eastAsia="lt-LT"/>
                        </w:rPr>
                        <w:t xml:space="preserve">išskyrus </w:t>
                      </w:r>
                      <w:r>
                        <w:rPr>
                          <w:bCs/>
                          <w:sz w:val="22"/>
                          <w:szCs w:val="22"/>
                        </w:rPr>
                        <w:t>vidaus audito tarnybas ir centralizuotas vidaus audito tarnybas, kurias sudaro ne mažiau kaip 2 pareigybės</w:t>
                      </w:r>
                      <w:r>
                        <w:rPr>
                          <w:bCs/>
                          <w:sz w:val="22"/>
                          <w:szCs w:val="22"/>
                          <w:lang w:eastAsia="lt-LT"/>
                        </w:rPr>
                        <w:t>.</w:t>
                      </w:r>
                      <w:r>
                        <w:rPr>
                          <w:sz w:val="22"/>
                          <w:szCs w:val="22"/>
                          <w:lang w:eastAsia="lt-LT"/>
                        </w:rPr>
                        <w:t xml:space="preserve"> Skyriui (biurui, tarnybai) vadovauja vedėjas (viršininkas). Skyriaus (biuro, tarnybos) vedėjas (viršininkas) savivaldybių viešojo administravimo įstaigose gali turėti pavaduotojų. Skyriaus (biuro, tarnybos) veiklą reglamentuojančius teisės aktus (nuostatus, pareigybių aprašymus ir kt.) tvirtina viešojo administravimo įstaigos vadovas.</w:t>
                      </w:r>
                    </w:p>
                  </w:sdtContent>
                </w:sdt>
                <w:sdt>
                  <w:sdtPr>
                    <w:alias w:val="11 str. 7 d."/>
                    <w:tag w:val="part_aa694f20b3d84bccb2383c65fd363c52"/>
                    <w:lock w:val="sdtLocked"/>
                    <w:richText/>
                  </w:sdtPr>
                  <w:sdtContent>
                    <w:p>
                      <w:pPr>
                        <w:ind w:firstLine="709"/>
                        <w:jc w:val="both"/>
                        <w:rPr>
                          <w:sz w:val="22"/>
                          <w:szCs w:val="22"/>
                          <w:lang w:eastAsia="lt-LT"/>
                        </w:rPr>
                      </w:pPr>
                      <w:sdt>
                        <w:sdtPr>
                          <w:alias w:val="Numeris"/>
                          <w:tag w:val="nr_aa694f20b3d84bccb2383c65fd363c52"/>
                          <w:lock w:val="sdtLocked"/>
                          <w:richText/>
                        </w:sdtPr>
                        <w:sdtContent>
                          <w:r>
                            <w:rPr>
                              <w:sz w:val="22"/>
                              <w:szCs w:val="22"/>
                              <w:lang w:eastAsia="lt-LT"/>
                            </w:rPr>
                            <w:t>7</w:t>
                          </w:r>
                        </w:sdtContent>
                      </w:sdt>
                      <w:r>
                        <w:rPr>
                          <w:sz w:val="22"/>
                          <w:szCs w:val="22"/>
                          <w:lang w:eastAsia="lt-LT"/>
                        </w:rPr>
                        <w:t>. Savivaldybių viešojo administravimo įstaigose skyrių (biurą, tarnybą) gali sudaryti poskyriai. Poskyris sudaromas iš ne mažiau kaip 3 pareigybių. Poskyriui vadovauja vedėjas. Poskyrio veiklą reglamentuojančius teisės aktus (nuostatus, pareigybių aprašymus ir kt.) tvirtina viešojo administravimo įstaigos vadovas.</w:t>
                      </w:r>
                    </w:p>
                  </w:sdtContent>
                </w:sdt>
                <w:sdt>
                  <w:sdtPr>
                    <w:alias w:val="11 str. 8 d."/>
                    <w:tag w:val="part_5e9d32d7dcb84745b0f6b3cc6dd44cd3"/>
                    <w:lock w:val="sdtLocked"/>
                    <w:richText/>
                  </w:sdtPr>
                  <w:sdtContent>
                    <w:p>
                      <w:pPr>
                        <w:ind w:firstLine="709"/>
                        <w:jc w:val="both"/>
                        <w:rPr>
                          <w:sz w:val="22"/>
                          <w:szCs w:val="22"/>
                          <w:lang w:eastAsia="lt-LT"/>
                        </w:rPr>
                      </w:pPr>
                      <w:sdt>
                        <w:sdtPr>
                          <w:alias w:val="Numeris"/>
                          <w:tag w:val="nr_5e9d32d7dcb84745b0f6b3cc6dd44cd3"/>
                          <w:lock w:val="sdtLocked"/>
                          <w:richText/>
                        </w:sdtPr>
                        <w:sdtContent>
                          <w:r>
                            <w:rPr>
                              <w:sz w:val="22"/>
                              <w:szCs w:val="22"/>
                              <w:lang w:eastAsia="lt-LT"/>
                            </w:rPr>
                            <w:t>8</w:t>
                          </w:r>
                        </w:sdtContent>
                      </w:sdt>
                      <w:r>
                        <w:rPr>
                          <w:sz w:val="22"/>
                          <w:szCs w:val="22"/>
                          <w:lang w:eastAsia="lt-LT"/>
                        </w:rPr>
                        <w:t>. Uždaviniams ir f</w:t>
                      </w:r>
                      <w:r>
                        <w:rPr>
                          <w:color w:val="000000"/>
                          <w:sz w:val="22"/>
                          <w:szCs w:val="22"/>
                          <w:lang w:eastAsia="lt-LT"/>
                        </w:rPr>
                        <w:t xml:space="preserve">unkcijoms, kurie nepriskirti atskiriems viešojo administravimo </w:t>
                      </w:r>
                      <w:r>
                        <w:rPr>
                          <w:sz w:val="22"/>
                          <w:szCs w:val="22"/>
                          <w:lang w:eastAsia="lt-LT"/>
                        </w:rPr>
                        <w:t>įstaigos</w:t>
                      </w:r>
                      <w:r>
                        <w:rPr>
                          <w:color w:val="000000"/>
                          <w:sz w:val="22"/>
                          <w:szCs w:val="22"/>
                          <w:lang w:eastAsia="lt-LT"/>
                        </w:rPr>
                        <w:t xml:space="preserve"> administracijos padaliniams, įgyvendinti gali būti steigiama pareigybė (pareigybės), nepriklausanti (nepriklausančios) skyriui (biurui, tarnybai), departamentui (valdybai) ar grupei. </w:t>
                      </w:r>
                      <w:r>
                        <w:rPr>
                          <w:sz w:val="22"/>
                          <w:szCs w:val="22"/>
                          <w:lang w:eastAsia="lt-LT"/>
                        </w:rPr>
                        <w:t>Tokios pareigybės aprašą tvirtina ir pavedamas atlikti funkcijas nustato viešojo administravimo įstaigos vadovas.</w:t>
                      </w:r>
                    </w:p>
                  </w:sdtContent>
                </w:sdt>
                <w:sdt>
                  <w:sdtPr>
                    <w:alias w:val="11 str. 9 d."/>
                    <w:tag w:val="part_934c23ddce2c4847a9f3a8335dd1ba04"/>
                    <w:lock w:val="sdtLocked"/>
                    <w:richText/>
                  </w:sdtPr>
                  <w:sdtContent>
                    <w:p>
                      <w:pPr>
                        <w:ind w:firstLine="709"/>
                        <w:jc w:val="both"/>
                        <w:rPr>
                          <w:sz w:val="22"/>
                          <w:szCs w:val="22"/>
                          <w:lang w:eastAsia="lt-LT"/>
                        </w:rPr>
                      </w:pPr>
                      <w:sdt>
                        <w:sdtPr>
                          <w:alias w:val="Numeris"/>
                          <w:tag w:val="nr_934c23ddce2c4847a9f3a8335dd1ba04"/>
                          <w:lock w:val="sdtLocked"/>
                          <w:richText/>
                        </w:sdtPr>
                        <w:sdtContent>
                          <w:r>
                            <w:rPr>
                              <w:sz w:val="22"/>
                              <w:szCs w:val="22"/>
                              <w:lang w:eastAsia="lt-LT"/>
                            </w:rPr>
                            <w:t>9</w:t>
                          </w:r>
                        </w:sdtContent>
                      </w:sdt>
                      <w:r>
                        <w:rPr>
                          <w:sz w:val="22"/>
                          <w:szCs w:val="22"/>
                          <w:lang w:eastAsia="lt-LT"/>
                        </w:rPr>
                        <w:t>. Šio straipsnio 3, 4, 5, 6, 7 ir 8 dalių nuostatos viešojo administravimo įstaigoms taikomos tiek, kiek jų nereglamentuoja statutai ar kiti įstatymai.</w:t>
                      </w:r>
                    </w:p>
                    <w:p>
                      <w:pPr>
                        <w:jc w:val="both"/>
                        <w:rPr>
                          <w:bCs/>
                          <w:i/>
                          <w:iCs/>
                          <w:sz w:val="20"/>
                        </w:rPr>
                      </w:pPr>
                      <w:r>
                        <w:rPr>
                          <w:bCs/>
                          <w:i/>
                          <w:iCs/>
                          <w:sz w:val="20"/>
                        </w:rPr>
                        <w:t>Straipsnio pakeitimai:</w:t>
                      </w:r>
                    </w:p>
                    <w:p>
                      <w:pPr>
                        <w:jc w:val="both"/>
                        <w:rPr>
                          <w:bCs/>
                          <w:i/>
                          <w:iCs/>
                          <w:sz w:val="20"/>
                        </w:rPr>
                      </w:pPr>
                      <w:r>
                        <w:rPr>
                          <w:bCs/>
                          <w:i/>
                          <w:iCs/>
                          <w:sz w:val="20"/>
                        </w:rPr>
                        <w:t xml:space="preserve">Nr. </w:t>
                      </w:r>
                      <w:hyperlink r:id="rId82" w:history="1">
                        <w:r>
                          <w:rPr>
                            <w:rStyle w:val="Hipersaitas"/>
                            <w:bCs/>
                            <w:i/>
                            <w:iCs/>
                            <w:sz w:val="20"/>
                          </w:rPr>
                          <w:t>X-1036</w:t>
                        </w:r>
                      </w:hyperlink>
                      <w:r>
                        <w:rPr>
                          <w:bCs/>
                          <w:i/>
                          <w:iCs/>
                          <w:sz w:val="20"/>
                        </w:rPr>
                        <w:t>, 2007-01-18, Žin., 2007, Nr. 12-497 (2007-01-30)</w:t>
                      </w:r>
                    </w:p>
                    <w:p>
                      <w:pPr>
                        <w:jc w:val="both"/>
                        <w:rPr>
                          <w:i/>
                          <w:iCs/>
                          <w:sz w:val="20"/>
                        </w:rPr>
                      </w:pPr>
                      <w:r>
                        <w:rPr>
                          <w:i/>
                          <w:iCs/>
                          <w:sz w:val="20"/>
                        </w:rPr>
                        <w:t xml:space="preserve">Nr. </w:t>
                      </w:r>
                      <w:hyperlink r:id="rId83" w:history="1">
                        <w:r>
                          <w:rPr>
                            <w:rStyle w:val="Hipersaitas"/>
                            <w:i/>
                            <w:iCs/>
                            <w:sz w:val="20"/>
                          </w:rPr>
                          <w:t>X-1035</w:t>
                        </w:r>
                      </w:hyperlink>
                      <w:r>
                        <w:rPr>
                          <w:i/>
                          <w:iCs/>
                          <w:sz w:val="20"/>
                        </w:rPr>
                        <w:t>, 2007-01-18, Žin., 2007, Nr. 17-628 (2007-02-08)</w:t>
                      </w:r>
                    </w:p>
                    <w:p>
                      <w:pPr>
                        <w:jc w:val="both"/>
                        <w:rPr>
                          <w:i/>
                          <w:iCs/>
                          <w:sz w:val="20"/>
                        </w:rPr>
                      </w:pPr>
                      <w:r>
                        <w:rPr>
                          <w:i/>
                          <w:iCs/>
                          <w:sz w:val="20"/>
                        </w:rPr>
                        <w:t xml:space="preserve">Nr. </w:t>
                      </w:r>
                      <w:hyperlink r:id="rId84" w:history="1">
                        <w:r>
                          <w:rPr>
                            <w:rStyle w:val="Hipersaitas"/>
                            <w:i/>
                            <w:iCs/>
                            <w:sz w:val="20"/>
                          </w:rPr>
                          <w:t>X-1725</w:t>
                        </w:r>
                      </w:hyperlink>
                      <w:r>
                        <w:rPr>
                          <w:i/>
                          <w:iCs/>
                          <w:sz w:val="20"/>
                        </w:rPr>
                        <w:t>, 2008-09-22, Žin., 2008, Nr. 117-4441 (2008-10-11)</w:t>
                      </w:r>
                    </w:p>
                    <w:p>
                      <w:pPr>
                        <w:jc w:val="both"/>
                        <w:rPr>
                          <w:b/>
                          <w:sz w:val="22"/>
                        </w:rPr>
                      </w:pPr>
                      <w:r>
                        <w:rPr>
                          <w:i/>
                          <w:sz w:val="20"/>
                        </w:rPr>
                        <w:t xml:space="preserve">Nr. </w:t>
                      </w:r>
                      <w:hyperlink r:id="rId85" w:history="1">
                        <w:r>
                          <w:rPr>
                            <w:rStyle w:val="Hipersaitas"/>
                            <w:i/>
                            <w:sz w:val="20"/>
                          </w:rPr>
                          <w:t>XI-1259</w:t>
                        </w:r>
                      </w:hyperlink>
                      <w:r>
                        <w:rPr>
                          <w:i/>
                          <w:sz w:val="20"/>
                        </w:rPr>
                        <w:t>, 2010-12-23, Žin., 2011, Nr. 4-125 (2011-01-10)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b0ae088f311e8af589337bf1eb893">
                    <w:r w:rsidRPr="00532B9F">
                      <w:rPr>
                        <w:rFonts w:ascii="Times New Roman" w:eastAsia="MS Mincho" w:hAnsi="Times New Roman"/>
                        <w:sz w:val="20"/>
                        <w:i/>
                        <w:iCs/>
                        <w:color w:val="0000FF" w:themeColor="hyperlink"/>
                        <w:u w:val="single"/>
                      </w:rPr>
                      <w:t>XIII-1372</w:t>
                    </w:r>
                  </w:fldSimple>
                  <w:r>
                    <w:rPr>
                      <w:rFonts w:ascii="Times New Roman" w:eastAsia="MS Mincho" w:hAnsi="Times New Roman"/>
                      <w:sz w:val="20"/>
                      <w:i/>
                      <w:iCs/>
                    </w:rPr>
                    <w:t>,
2018-06-29,
paskelbta TAR 2018-07-16, i. k. 2018-12040            </w:t>
                  </w:r>
                </w:p>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46"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47"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48"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49"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5-1 str."/>
                <w:tag w:val="part_d1b92e6d1727431c8439d67c26471937"/>
                <w:lock w:val="sdtLocked"/>
                <w:richText/>
              </w:sdtPr>
              <w:sdtContent>
                <w:p>
                  <w:pPr>
                    <w:ind w:left="2410" w:hanging="1690"/>
                    <w:jc w:val="both"/>
                    <w:rPr>
                      <w:b/>
                      <w:color w:val="000000"/>
                      <w:sz w:val="22"/>
                      <w:szCs w:val="22"/>
                    </w:rPr>
                  </w:pPr>
                  <w:sdt>
                    <w:sdtPr>
                      <w:alias w:val="Numeris"/>
                      <w:tag w:val="nr_d1b92e6d1727431c8439d67c26471937"/>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d1b92e6d1727431c8439d67c26471937"/>
                      <w:lock w:val="sdtLocked"/>
                      <w:richText/>
                    </w:sdtPr>
                    <w:sdtContent>
                      <w:r>
                        <w:rPr>
                          <w:b/>
                          <w:color w:val="000000"/>
                          <w:sz w:val="22"/>
                          <w:szCs w:val="22"/>
                          <w:lang w:eastAsia="ko-KR"/>
                        </w:rPr>
                        <w:t xml:space="preserve">Administracinės paslaugos – licencijų, leidimų arba jų išdavimo, tikslinimo, keitimo, galiojimo sustabdymo, galiojimo sustabdymo panaikinimo ar galiojimo panaikinimo </w:t>
                      </w:r>
                      <w:r>
                        <w:rPr>
                          <w:b/>
                          <w:bCs/>
                          <w:color w:val="000000"/>
                          <w:sz w:val="22"/>
                          <w:szCs w:val="22"/>
                        </w:rPr>
                        <w:t>duomenų įrašymas Licencijų informacinėje sistemoje</w:t>
                      </w:r>
                    </w:sdtContent>
                  </w:sdt>
                </w:p>
                <w:sdt>
                  <w:sdtPr>
                    <w:alias w:val="15-1 str. 1 d."/>
                    <w:tag w:val="part_04a0d38f97c0454aafd18e98af562efa"/>
                    <w:lock w:val="sdtLocked"/>
                    <w:richText/>
                  </w:sdtPr>
                  <w:sdtContent>
                    <w:p>
                      <w:pPr>
                        <w:ind w:firstLine="720"/>
                        <w:jc w:val="both"/>
                        <w:rPr>
                          <w:color w:val="000000"/>
                          <w:sz w:val="22"/>
                          <w:szCs w:val="22"/>
                        </w:rPr>
                      </w:pPr>
                      <w:sdt>
                        <w:sdtPr>
                          <w:alias w:val="Numeris"/>
                          <w:tag w:val="nr_04a0d38f97c0454aafd18e98af562efa"/>
                          <w:lock w:val="sdtLocked"/>
                          <w:richText/>
                        </w:sdtPr>
                        <w:sdtContent>
                          <w:r>
                            <w:rPr>
                              <w:color w:val="000000"/>
                              <w:sz w:val="22"/>
                              <w:szCs w:val="22"/>
                            </w:rPr>
                            <w:t>1</w:t>
                          </w:r>
                        </w:sdtContent>
                      </w:sdt>
                      <w:r>
                        <w:rPr>
                          <w:color w:val="000000"/>
                          <w:sz w:val="22"/>
                          <w:szCs w:val="22"/>
                        </w:rPr>
                        <w:t>. Viešojo administravimo subjektas, teikdamas a</w:t>
                      </w:r>
                      <w:r>
                        <w:rPr>
                          <w:bCs/>
                          <w:color w:val="000000"/>
                          <w:sz w:val="22"/>
                          <w:szCs w:val="22"/>
                        </w:rPr>
                        <w:t xml:space="preserve">dministracinę paslaugą ir priėmęs sprendimą dėl licencijos, leidimo, reikalingų tam tikrai ūkinei veiklai pradėti ar vykdyti (toliau šiame straipsnyje – licencija), išdavimo, tikslinimo, keitimo, jų galiojimo sustabdymo, galiojimo sustabdymo panaikinimo ar galiojimo panaikinimo, </w:t>
                      </w:r>
                      <w:r>
                        <w:rPr>
                          <w:color w:val="000000"/>
                          <w:sz w:val="22"/>
                          <w:szCs w:val="22"/>
                        </w:rPr>
                        <w:t xml:space="preserve">licencijos arba licencijos išdavimo, licencijos patikslinimo ar pakeitimo, galiojimo sustabdymo, galiojimo sustabdymo panaikinimo ir galiojimo panaikinimo duomenis įrašo Lietuvos Respublikos Vyriausybės įgaliotos institucijos valdomoje ir tvarkomoje, vadovaujantis Lietuvos Respublikos valstybės informacinių išteklių valdymo įstatymu įsteigtoje Licencijų informacinėje sistemoje, skirtoje licencijų duomenims ir informacijai tvarkyti vienoje vietoje, šio įstatymo 8 straipsnyje nurodyto individualaus administracinio akto priėmimo dieną. </w:t>
                      </w:r>
                    </w:p>
                  </w:sdtContent>
                </w:sdt>
                <w:sdt>
                  <w:sdtPr>
                    <w:alias w:val="15-1 str. 2 d."/>
                    <w:tag w:val="part_9efb3ae7be97421385e1b1a34d8b5945"/>
                    <w:lock w:val="sdtLocked"/>
                    <w:richText/>
                  </w:sdtPr>
                  <w:sdtContent>
                    <w:p>
                      <w:pPr>
                        <w:ind w:firstLine="720"/>
                        <w:jc w:val="both"/>
                        <w:rPr>
                          <w:color w:val="000000"/>
                          <w:sz w:val="22"/>
                          <w:szCs w:val="22"/>
                        </w:rPr>
                      </w:pPr>
                      <w:sdt>
                        <w:sdtPr>
                          <w:alias w:val="Numeris"/>
                          <w:tag w:val="nr_9efb3ae7be97421385e1b1a34d8b5945"/>
                          <w:lock w:val="sdtLocked"/>
                          <w:richText/>
                        </w:sdtPr>
                        <w:sdtContent>
                          <w:r>
                            <w:rPr>
                              <w:color w:val="000000"/>
                              <w:sz w:val="22"/>
                              <w:szCs w:val="22"/>
                            </w:rPr>
                            <w:t>2</w:t>
                          </w:r>
                        </w:sdtContent>
                      </w:sdt>
                      <w:r>
                        <w:rPr>
                          <w:color w:val="000000"/>
                          <w:sz w:val="22"/>
                          <w:szCs w:val="22"/>
                        </w:rPr>
                        <w:t xml:space="preserve">. </w:t>
                      </w:r>
                      <w:r>
                        <w:rPr>
                          <w:bCs/>
                          <w:sz w:val="22"/>
                          <w:szCs w:val="22"/>
                          <w:lang w:eastAsia="lt-LT"/>
                        </w:rPr>
                        <w:t xml:space="preserve">Jeigu </w:t>
                      </w:r>
                      <w:r>
                        <w:rPr>
                          <w:sz w:val="22"/>
                          <w:szCs w:val="22"/>
                        </w:rPr>
                        <w:t xml:space="preserve">licencijuojamą veiklą reglamentuojančiuose įstatymuose </w:t>
                      </w:r>
                      <w:r>
                        <w:rPr>
                          <w:bCs/>
                          <w:sz w:val="22"/>
                          <w:szCs w:val="22"/>
                          <w:lang w:eastAsia="lt-LT"/>
                        </w:rPr>
                        <w:t xml:space="preserve">nustatyta, kad </w:t>
                      </w:r>
                      <w:r>
                        <w:rPr>
                          <w:sz w:val="22"/>
                          <w:szCs w:val="22"/>
                        </w:rPr>
                        <w:t>licencijos išduodamos</w:t>
                      </w:r>
                      <w:r>
                        <w:rPr>
                          <w:bCs/>
                          <w:sz w:val="22"/>
                          <w:szCs w:val="22"/>
                          <w:lang w:eastAsia="lt-LT"/>
                        </w:rPr>
                        <w:t xml:space="preserve"> naudojant kitą </w:t>
                      </w:r>
                      <w:r>
                        <w:rPr>
                          <w:sz w:val="22"/>
                          <w:szCs w:val="22"/>
                        </w:rPr>
                        <w:t>negu šio straipsnio 1 dalyje nurodytą</w:t>
                      </w:r>
                      <w:r>
                        <w:rPr>
                          <w:bCs/>
                          <w:sz w:val="22"/>
                          <w:szCs w:val="22"/>
                          <w:lang w:eastAsia="lt-LT"/>
                        </w:rPr>
                        <w:t xml:space="preserve"> valstybės informacinę sistemą, registrą, kitais Europos Sąjungos teisės aktuose ar jų įgyvendinamuosiuose Lietuvos Respublikos teisės aktuose nustatytais būdais ar </w:t>
                      </w:r>
                      <w:r>
                        <w:rPr>
                          <w:sz w:val="22"/>
                          <w:szCs w:val="22"/>
                        </w:rPr>
                        <w:t xml:space="preserve">Lietuvos Respublikos </w:t>
                      </w:r>
                      <w:r>
                        <w:rPr>
                          <w:bCs/>
                          <w:sz w:val="22"/>
                          <w:szCs w:val="22"/>
                        </w:rPr>
                        <w:t xml:space="preserve">tarptautinėse sutartyse </w:t>
                      </w:r>
                      <w:r>
                        <w:rPr>
                          <w:bCs/>
                          <w:sz w:val="22"/>
                          <w:szCs w:val="22"/>
                          <w:lang w:eastAsia="lt-LT"/>
                        </w:rPr>
                        <w:t>nustatytais būdais,</w:t>
                      </w:r>
                      <w:r>
                        <w:rPr>
                          <w:sz w:val="22"/>
                          <w:szCs w:val="22"/>
                        </w:rPr>
                        <w:t xml:space="preserve"> licencijos išdavimo arba licencijos patikslinimo ar pakeitimo, galiojimo sustabdymo, galiojimo sustabdymo panaikinimo ir galiojimo panaikinimo duomenys privalo būti įrašyti Licencijų informacinėje sistemoje šio įstatymo 8 straipsnyje nurodyto individualaus administracinio akto priėmimo dieną.</w:t>
                      </w:r>
                    </w:p>
                  </w:sdtContent>
                </w:sdt>
                <w:sdt>
                  <w:sdtPr>
                    <w:alias w:val="15-1 str. 3 d."/>
                    <w:tag w:val="part_9b0ba0619dc14f2abcf7d80b2b585b3a"/>
                    <w:lock w:val="sdtLocked"/>
                    <w:richText/>
                  </w:sdtPr>
                  <w:sdtContent>
                    <w:p>
                      <w:pPr>
                        <w:ind w:firstLine="720"/>
                        <w:jc w:val="both"/>
                        <w:rPr>
                          <w:color w:val="000000"/>
                          <w:sz w:val="22"/>
                          <w:szCs w:val="22"/>
                        </w:rPr>
                      </w:pPr>
                      <w:sdt>
                        <w:sdtPr>
                          <w:alias w:val="Numeris"/>
                          <w:tag w:val="nr_9b0ba0619dc14f2abcf7d80b2b585b3a"/>
                          <w:lock w:val="sdtLocked"/>
                          <w:richText/>
                        </w:sdtPr>
                        <w:sdtContent>
                          <w:r>
                            <w:rPr>
                              <w:color w:val="000000"/>
                              <w:sz w:val="22"/>
                              <w:szCs w:val="22"/>
                            </w:rPr>
                            <w:t>3</w:t>
                          </w:r>
                        </w:sdtContent>
                      </w:sdt>
                      <w:r>
                        <w:rPr>
                          <w:color w:val="000000"/>
                          <w:sz w:val="22"/>
                          <w:szCs w:val="22"/>
                        </w:rPr>
                        <w:t>. Jeigu licencijuojamą veiklą reglamentuojančiame įstatym</w:t>
                      </w:r>
                      <w:r>
                        <w:rPr>
                          <w:bCs/>
                          <w:color w:val="000000"/>
                          <w:sz w:val="22"/>
                          <w:szCs w:val="22"/>
                          <w:lang w:eastAsia="lt-LT"/>
                        </w:rPr>
                        <w:t xml:space="preserve">e nustatyta, kad, </w:t>
                      </w:r>
                      <w:r>
                        <w:rPr>
                          <w:color w:val="000000"/>
                          <w:sz w:val="22"/>
                          <w:szCs w:val="22"/>
                        </w:rPr>
                        <w:t>pateikus tinkamai įformintą prašymą išduoti licenciją kartu su visais licencijai išduoti reikalingais dokumentais ir informacija, licencija</w:t>
                      </w:r>
                      <w:r>
                        <w:rPr>
                          <w:bCs/>
                          <w:color w:val="000000"/>
                          <w:sz w:val="22"/>
                          <w:szCs w:val="22"/>
                        </w:rPr>
                        <w:t xml:space="preserve"> </w:t>
                      </w:r>
                      <w:r>
                        <w:rPr>
                          <w:color w:val="000000"/>
                          <w:sz w:val="22"/>
                          <w:szCs w:val="22"/>
                        </w:rPr>
                        <w:t>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15-1 str. 4 d."/>
                    <w:tag w:val="part_55d81305aa824f73bc71593e241fab98"/>
                    <w:lock w:val="sdtLocked"/>
                    <w:richText/>
                  </w:sdtPr>
                  <w:sdtContent>
                    <w:p>
                      <w:pPr>
                        <w:ind w:firstLine="720"/>
                        <w:jc w:val="both"/>
                        <w:rPr>
                          <w:sz w:val="22"/>
                        </w:rPr>
                      </w:pPr>
                      <w:sdt>
                        <w:sdtPr>
                          <w:alias w:val="Numeris"/>
                          <w:tag w:val="nr_55d81305aa824f73bc71593e241fab98"/>
                          <w:lock w:val="sdtLocked"/>
                          <w:richText/>
                        </w:sdtPr>
                        <w:sdtContent>
                          <w:r>
                            <w:rPr>
                              <w:color w:val="000000"/>
                              <w:sz w:val="22"/>
                              <w:szCs w:val="22"/>
                            </w:rPr>
                            <w:t>4</w:t>
                          </w:r>
                        </w:sdtContent>
                      </w:sdt>
                      <w:r>
                        <w:rPr>
                          <w:color w:val="000000"/>
                          <w:sz w:val="22"/>
                          <w:szCs w:val="22"/>
                        </w:rPr>
                        <w:t xml:space="preserve">. Jeigu licencijuojamą veiklą </w:t>
                      </w:r>
                      <w:r>
                        <w:rPr>
                          <w:sz w:val="22"/>
                          <w:szCs w:val="22"/>
                        </w:rPr>
                        <w:t xml:space="preserve">reglamentuojančiuose įstatymuose </w:t>
                      </w:r>
                      <w:r>
                        <w:rPr>
                          <w:bCs/>
                          <w:color w:val="000000"/>
                          <w:sz w:val="22"/>
                          <w:szCs w:val="22"/>
                          <w:lang w:eastAsia="lt-LT"/>
                        </w:rPr>
                        <w:t xml:space="preserve">nustatyta, kad </w:t>
                      </w:r>
                      <w:r>
                        <w:rPr>
                          <w:color w:val="000000"/>
                          <w:sz w:val="22"/>
                          <w:szCs w:val="22"/>
                        </w:rPr>
                        <w:t>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79570811411e98436e02a0124fc68">
                    <w:r w:rsidRPr="00532B9F">
                      <w:rPr>
                        <w:rFonts w:ascii="Times New Roman" w:eastAsia="MS Mincho" w:hAnsi="Times New Roman"/>
                        <w:sz w:val="20"/>
                        <w:i/>
                        <w:iCs/>
                        <w:color w:val="0000FF" w:themeColor="hyperlink"/>
                        <w:u w:val="single"/>
                      </w:rPr>
                      <w:t>XIII-2123</w:t>
                    </w:r>
                  </w:fldSimple>
                  <w:r>
                    <w:rPr>
                      <w:rFonts w:ascii="Times New Roman" w:eastAsia="MS Mincho" w:hAnsi="Times New Roman"/>
                      <w:sz w:val="20"/>
                      <w:i/>
                      <w:iCs/>
                    </w:rPr>
                    <w:t>,
2019-05-16,
paskelbta TAR 2019-05-28, i. k. 2019-08421        </w:t>
                  </w:r>
                </w:p>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0"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2"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7c6e0f0f5d2a4daa99137e136cae1d29"/>
                    <w:lock w:val="sdtLocked"/>
                    <w:richText/>
                  </w:sdtPr>
                  <w:sdtContent>
                    <w:p>
                      <w:pPr>
                        <w:ind w:firstLine="720"/>
                        <w:jc w:val="both"/>
                        <w:rPr>
                          <w:sz w:val="22"/>
                        </w:rPr>
                      </w:pPr>
                      <w:sdt>
                        <w:sdtPr>
                          <w:alias w:val="Numeris"/>
                          <w:tag w:val="nr_7c6e0f0f5d2a4daa99137e136cae1d29"/>
                          <w:lock w:val="sdtLocked"/>
                          <w:richText/>
                        </w:sdtPr>
                        <w:sdtContent>
                          <w:r>
                            <w:rPr>
                              <w:sz w:val="22"/>
                              <w:szCs w:val="22"/>
                              <w:lang w:eastAsia="lt-LT"/>
                            </w:rPr>
                            <w:t>2</w:t>
                          </w:r>
                        </w:sdtContent>
                      </w:sdt>
                      <w:r>
                        <w:rPr>
                          <w:sz w:val="22"/>
                          <w:szCs w:val="22"/>
                          <w:lang w:eastAsia="lt-LT"/>
                        </w:rPr>
                        <w:t>.</w:t>
                      </w:r>
                      <w:r>
                        <w:rPr>
                          <w:bCs/>
                          <w:sz w:val="22"/>
                          <w:szCs w:val="22"/>
                          <w:lang w:eastAsia="lt-LT"/>
                        </w:rPr>
                        <w:t xml:space="preserve"> </w:t>
                      </w:r>
                      <w:r>
                        <w:rPr>
                          <w:sz w:val="22"/>
                          <w:szCs w:val="22"/>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31ae0d06611e7910a89ac20768b0f">
                        <w:r w:rsidRPr="00532B9F">
                          <w:rPr>
                            <w:rFonts w:ascii="Times New Roman" w:eastAsia="MS Mincho" w:hAnsi="Times New Roman"/>
                            <w:sz w:val="20"/>
                            <w:i/>
                            <w:iCs/>
                            <w:color w:val="0000FF" w:themeColor="hyperlink"/>
                            <w:u w:val="single"/>
                          </w:rPr>
                          <w:t>XIII-733</w:t>
                        </w:r>
                      </w:fldSimple>
                      <w:r>
                        <w:rPr>
                          <w:rFonts w:ascii="Times New Roman" w:eastAsia="MS Mincho" w:hAnsi="Times New Roman"/>
                          <w:sz w:val="20"/>
                          <w:i/>
                          <w:iCs/>
                        </w:rPr>
                        <w:t>,
2017-11-16,
paskelbta TAR 2017-11-23, i. k. 2017-18516            </w:t>
                      </w:r>
                    </w:p>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0b96e465a9f845c8b74956255cc41543"/>
                    <w:lock w:val="sdtLocked"/>
                    <w:richText/>
                  </w:sdtPr>
                  <w:sdtContent>
                    <w:p>
                      <w:pPr>
                        <w:ind w:firstLine="720"/>
                        <w:jc w:val="both"/>
                        <w:rPr>
                          <w:sz w:val="22"/>
                          <w:szCs w:val="22"/>
                        </w:rPr>
                      </w:pPr>
                      <w:sdt>
                        <w:sdtPr>
                          <w:alias w:val="Numeris"/>
                          <w:tag w:val="nr_0b96e465a9f845c8b74956255cc41543"/>
                          <w:lock w:val="sdtLocked"/>
                          <w:richText/>
                        </w:sdtPr>
                        <w:sdtContent>
                          <w:r>
                            <w:rPr>
                              <w:sz w:val="22"/>
                              <w:szCs w:val="22"/>
                            </w:rPr>
                            <w:t>1</w:t>
                          </w:r>
                        </w:sdtContent>
                      </w:sdt>
                      <w:r>
                        <w:rPr>
                          <w:sz w:val="22"/>
                          <w:szCs w:val="22"/>
                        </w:rPr>
                        <w:t xml:space="preserve">. Administracinė procedūra baigiama administracinės procedūros sprendimo priėmimu. </w:t>
                      </w:r>
                      <w:r>
                        <w:rPr>
                          <w:bCs/>
                          <w:sz w:val="22"/>
                          <w:szCs w:val="22"/>
                        </w:rPr>
                        <w:t>Viešojo administravimo subjektas, priimdamas administracinės procedūros sprendimą, negali pabloginti asmens, dėl kurio buvo pradėta administracinė procedūra, padėties.</w:t>
                      </w:r>
                      <w:r>
                        <w:rPr>
                          <w:b/>
                          <w:bCs/>
                          <w:sz w:val="22"/>
                          <w:szCs w:val="22"/>
                        </w:rPr>
                        <w:t xml:space="preserve"> </w:t>
                      </w:r>
                      <w:r>
                        <w:rPr>
                          <w:sz w:val="22"/>
                          <w:szCs w:val="22"/>
                        </w:rPr>
                        <w:t xml:space="preserve">Asmeniui, dėl kurio pradėta administracinė procedūra, ne vėliau kaip per 3 darbo dienas nuo administracinės procedūros sprendimo priėmimo dienos 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 </w:t>
                      </w:r>
                    </w:p>
                    <w:p>
                      <w:pPr>
                        <w:jc w:val="both"/>
                        <w:rPr>
                          <w:bCs/>
                          <w:color w:val="000000"/>
                          <w:spacing w:val="-4"/>
                          <w:sz w:val="22"/>
                          <w:szCs w:val="22"/>
                        </w:rPr>
                      </w:pPr>
                      <w:r>
                        <w:rPr>
                          <w:b/>
                          <w:i/>
                          <w:sz w:val="20"/>
                        </w:rPr>
                        <w:t>TAR pastaba.</w:t>
                      </w:r>
                      <w:r>
                        <w:rPr>
                          <w:i/>
                          <w:sz w:val="20"/>
                        </w:rPr>
                        <w:t xml:space="preserve"> Skundai, pradėti nagrinėti iki įstatymo Nr. XIII-2239 įsigaliojimo (2020-01-01), baigiami nagrinėti laikantis šio įstatymo nuostatų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9576098c611e9ae2e9d61b1f977b3">
                        <w:r w:rsidRPr="00532B9F">
                          <w:rPr>
                            <w:rFonts w:ascii="Times New Roman" w:eastAsia="MS Mincho" w:hAnsi="Times New Roman"/>
                            <w:sz w:val="20"/>
                            <w:i/>
                            <w:iCs/>
                            <w:color w:val="0000FF" w:themeColor="hyperlink"/>
                            <w:u w:val="single"/>
                          </w:rPr>
                          <w:t>XIII-2239</w:t>
                        </w:r>
                      </w:fldSimple>
                      <w:r>
                        <w:rPr>
                          <w:rFonts w:ascii="Times New Roman" w:eastAsia="MS Mincho" w:hAnsi="Times New Roman"/>
                          <w:sz w:val="20"/>
                          <w:i/>
                          <w:iCs/>
                        </w:rPr>
                        <w:t>,
2019-06-13,
paskelbta TAR 2019-06-27, i. k. 2019-10362            </w:t>
                      </w:r>
                    </w:p>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5"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1f3250439bc44042ae4be3f47d0a4d7d"/>
                    <w:lock w:val="sdtLocked"/>
                    <w:richText/>
                  </w:sdtPr>
                  <w:sdtContent>
                    <w:p>
                      <w:pPr>
                        <w:ind w:firstLine="720"/>
                        <w:jc w:val="both"/>
                        <w:rPr>
                          <w:color w:val="000000"/>
                          <w:szCs w:val="24"/>
                        </w:rPr>
                      </w:pPr>
                      <w:sdt>
                        <w:sdtPr>
                          <w:alias w:val="Numeris"/>
                          <w:tag w:val="nr_1f3250439bc44042ae4be3f47d0a4d7d"/>
                          <w:lock w:val="sdtLocked"/>
                          <w:richText/>
                        </w:sdtPr>
                        <w:sdtContent>
                          <w:r>
                            <w:rPr>
                              <w:color w:val="000000"/>
                              <w:sz w:val="22"/>
                              <w:szCs w:val="22"/>
                            </w:rPr>
                            <w:t>16</w:t>
                          </w:r>
                        </w:sdtContent>
                      </w:sdt>
                      <w:r>
                        <w:rPr>
                          <w:color w:val="000000"/>
                          <w:sz w:val="22"/>
                          <w:szCs w:val="22"/>
                        </w:rPr>
                        <w:t xml:space="preserve">. </w:t>
                      </w:r>
                      <w:r>
                        <w:rPr>
                          <w:sz w:val="22"/>
                          <w:szCs w:val="22"/>
                        </w:rPr>
                        <w:t xml:space="preserve">Šis straipsnis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netaikomas. Šioje dalyje nurodytiems subjektams šio straipsnio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e6903b34e3fb4f0da246e943b983a199"/>
                        <w:lock w:val="sdtLocked"/>
                        <w:richText/>
                      </w:sdtPr>
                      <w:sdtContent>
                        <w:p>
                          <w:pPr>
                            <w:ind w:firstLine="720"/>
                            <w:jc w:val="both"/>
                            <w:rPr>
                              <w:color w:val="000000"/>
                              <w:sz w:val="22"/>
                              <w:szCs w:val="22"/>
                              <w:lang w:eastAsia="lt-LT"/>
                            </w:rPr>
                          </w:pPr>
                          <w:sdt>
                            <w:sdtPr>
                              <w:alias w:val="Numeris"/>
                              <w:tag w:val="nr_e6903b34e3fb4f0da246e943b983a199"/>
                              <w:lock w:val="sdtLocked"/>
                              <w:richText/>
                            </w:sdtPr>
                            <w:sdtContent>
                              <w:r>
                                <w:rPr>
                                  <w:color w:val="000000"/>
                                  <w:sz w:val="22"/>
                                  <w:szCs w:val="22"/>
                                </w:rPr>
                                <w:t>7</w:t>
                              </w:r>
                            </w:sdtContent>
                          </w:sdt>
                          <w:r>
                            <w:rPr>
                              <w:color w:val="000000"/>
                              <w:sz w:val="22"/>
                              <w:szCs w:val="22"/>
                            </w:rPr>
                            <w:t xml:space="preserve">. </w:t>
                          </w:r>
                          <w:r>
                            <w:rPr>
                              <w:sz w:val="22"/>
                              <w:szCs w:val="22"/>
                            </w:rPr>
                            <w:t xml:space="preserve">Šio straipsnio 1, 2, 3, 4 ir 5 dalys netaikomos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Šioje dalyje nurodytiems subjektams šio straipsnio 1, 2, 3, 4 ir 5 dalių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7757443b9dd349bd9b750a0bb68213f0"/>
                <w:lock w:val="sdtLocked"/>
                <w:richText/>
              </w:sdtPr>
              <w:sdtContent>
                <w:p>
                  <w:pPr>
                    <w:ind w:firstLine="720"/>
                    <w:jc w:val="both"/>
                    <w:rPr>
                      <w:color w:val="000000"/>
                      <w:sz w:val="22"/>
                      <w:szCs w:val="22"/>
                    </w:rPr>
                  </w:pPr>
                  <w:sdt>
                    <w:sdtPr>
                      <w:alias w:val="Numeris"/>
                      <w:tag w:val="nr_7757443b9dd349bd9b750a0bb68213f0"/>
                      <w:lock w:val="sdtLocked"/>
                      <w:richText/>
                    </w:sdtPr>
                    <w:sdtContent>
                      <w:r>
                        <w:rPr>
                          <w:bCs/>
                          <w:sz w:val="22"/>
                          <w:szCs w:val="22"/>
                        </w:rPr>
                        <w:t>3</w:t>
                      </w:r>
                    </w:sdtContent>
                  </w:sdt>
                  <w:r>
                    <w:rPr>
                      <w:bCs/>
                      <w:sz w:val="22"/>
                      <w:szCs w:val="22"/>
                    </w:rPr>
                    <w:t xml:space="preserve">. </w:t>
                  </w:r>
                  <w:r>
                    <w:rPr>
                      <w:color w:val="000000"/>
                      <w:sz w:val="22"/>
                      <w:szCs w:val="22"/>
                    </w:rPr>
                    <w:t>Šis straipsnis netaikomas mokesčių administratoriui, muitinei, finansų rinkos priežiūrą, asmens duomenų apsaugos priežiūrą, energetikos kontrolę, taip pat konkurencijos priežiūrą atliekantiems subjektams.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6"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57"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8"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1"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2"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3"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4"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5"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6"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7"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8"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9"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0"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1"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2"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3"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4"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5"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76"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7"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8"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9"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0"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1"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58DBF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279823&amp;b="/>
  <Relationship Id="rId16" Type="http://schemas.openxmlformats.org/officeDocument/2006/relationships/hyperlink" TargetMode="External" Target="http://www3.lrs.lt/cgi-bin/preps2?a=376711&amp;b="/>
  <Relationship Id="rId17" Type="http://schemas.openxmlformats.org/officeDocument/2006/relationships/hyperlink" TargetMode="External" Target="http://www3.lrs.lt/cgi-bin/preps2?a=329195&amp;b="/>
  <Relationship Id="rId18" Type="http://schemas.openxmlformats.org/officeDocument/2006/relationships/hyperlink" TargetMode="External" Target="http://www3.lrs.lt/cgi-bin/preps2?a=346897&amp;b="/>
  <Relationship Id="rId19" Type="http://schemas.openxmlformats.org/officeDocument/2006/relationships/hyperlink" TargetMode="External" Target="http://www3.lrs.lt/cgi-bin/preps2?a=376711&amp;b="/>
  <Relationship Id="rId2" Type="http://schemas.openxmlformats.org/officeDocument/2006/relationships/header" Target="header23.xml"/>
  <Relationship Id="rId20" Type="http://schemas.openxmlformats.org/officeDocument/2006/relationships/hyperlink" TargetMode="External" Target="http://www3.lrs.lt/cgi-bin/preps2?a=389993&amp;b="/>
  <Relationship Id="rId21" Type="http://schemas.openxmlformats.org/officeDocument/2006/relationships/hyperlink" TargetMode="External" Target="http://www3.lrs.lt/pls/inter/dokpaieska.showdoc_l?p_id=474671&amp;p_tr2=2"/>
  <Relationship Id="rId22" Type="http://schemas.openxmlformats.org/officeDocument/2006/relationships/hyperlink" TargetMode="External" Target="http://www3.lrs.lt/cgi-bin/preps2?a=346897&amp;b="/>
  <Relationship Id="rId23" Type="http://schemas.openxmlformats.org/officeDocument/2006/relationships/hyperlink" TargetMode="External" Target="http://www3.lrs.lt/cgi-bin/preps2?a=389993&amp;b="/>
  <Relationship Id="rId24" Type="http://schemas.openxmlformats.org/officeDocument/2006/relationships/hyperlink" TargetMode="External" Target="http://www3.lrs.lt/pls/inter/dokpaieska.showdoc_l?p_id=474671&amp;p_tr2=2"/>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89993&amp;b="/>
  <Relationship Id="rId27" Type="http://schemas.openxmlformats.org/officeDocument/2006/relationships/hyperlink" TargetMode="External" Target="http://www3.lrs.lt/cgi-bin/preps2?a=346897&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cgi-bin/preps2?a=449276&amp;b="/>
  <Relationship Id="rId3" Type="http://schemas.openxmlformats.org/officeDocument/2006/relationships/footer" Target="footer19.xml"/>
  <Relationship Id="rId30" Type="http://schemas.openxmlformats.org/officeDocument/2006/relationships/hyperlink" TargetMode="External" Target="http://www3.lrs.lt/cgi-bin/preps2?a=473301&amp;b="/>
  <Relationship Id="rId31" Type="http://schemas.openxmlformats.org/officeDocument/2006/relationships/hyperlink" TargetMode="External" Target="http://www3.lrs.lt/cgi-bin/preps2?a=329195&amp;b="/>
  <Relationship Id="rId32" Type="http://schemas.openxmlformats.org/officeDocument/2006/relationships/hyperlink" TargetMode="External" Target="http://www3.lrs.lt/cgi-bin/preps2?a=346897&amp;b="/>
  <Relationship Id="rId33" Type="http://schemas.openxmlformats.org/officeDocument/2006/relationships/hyperlink" TargetMode="External" Target="http://www3.lrs.lt/cgi-bin/preps2?a=389993&amp;b="/>
  <Relationship Id="rId34" Type="http://schemas.openxmlformats.org/officeDocument/2006/relationships/hyperlink" TargetMode="External" Target="http://www3.lrs.lt/cgi-bin/preps2?a=329195&amp;b="/>
  <Relationship Id="rId35" Type="http://schemas.openxmlformats.org/officeDocument/2006/relationships/hyperlink" TargetMode="External" Target="http://www3.lrs.lt/cgi-bin/preps2?a=389993&amp;b="/>
  <Relationship Id="rId36" Type="http://schemas.openxmlformats.org/officeDocument/2006/relationships/hyperlink" TargetMode="External" Target="http://www3.lrs.lt/cgi-bin/preps2?a=329195&amp;b="/>
  <Relationship Id="rId37" Type="http://schemas.openxmlformats.org/officeDocument/2006/relationships/hyperlink" TargetMode="External" Target="http://www3.lrs.lt/cgi-bin/preps2?a=389993&amp;b="/>
  <Relationship Id="rId38" Type="http://schemas.openxmlformats.org/officeDocument/2006/relationships/hyperlink" TargetMode="External" Target="http://www3.lrs.lt/cgi-bin/preps2?a=453268&amp;b="/>
  <Relationship Id="rId39" Type="http://schemas.openxmlformats.org/officeDocument/2006/relationships/hyperlink" TargetMode="External" Target="http://www3.lrs.lt/cgi-bin/preps2?a=376711&amp;b="/>
  <Relationship Id="rId4" Type="http://schemas.openxmlformats.org/officeDocument/2006/relationships/footer" Target="footer20.xml"/>
  <Relationship Id="rId40" Type="http://schemas.openxmlformats.org/officeDocument/2006/relationships/hyperlink" TargetMode="External" Target="http://www3.lrs.lt/cgi-bin/preps2?a=329195&amp;b="/>
  <Relationship Id="rId41" Type="http://schemas.openxmlformats.org/officeDocument/2006/relationships/hyperlink" TargetMode="External" Target="http://www3.lrs.lt/cgi-bin/preps2?a=346897&amp;b="/>
  <Relationship Id="rId42" Type="http://schemas.openxmlformats.org/officeDocument/2006/relationships/hyperlink" TargetMode="External" Target="http://www3.lrs.lt/cgi-bin/preps2?a=376711&amp;b="/>
  <Relationship Id="rId43" Type="http://schemas.openxmlformats.org/officeDocument/2006/relationships/hyperlink" TargetMode="External" Target="http://www3.lrs.lt/cgi-bin/preps2?a=328287&amp;b="/>
  <Relationship Id="rId44" Type="http://schemas.openxmlformats.org/officeDocument/2006/relationships/hyperlink" TargetMode="External" Target="http://www3.lrs.lt/cgi-bin/preps2?a=389993&amp;b="/>
  <Relationship Id="rId45" Type="http://schemas.openxmlformats.org/officeDocument/2006/relationships/hyperlink" TargetMode="External" Target="http://www3.lrs.lt/cgi-bin/preps2?a=453341&amp;b="/>
  <Relationship Id="rId46" Type="http://schemas.openxmlformats.org/officeDocument/2006/relationships/hyperlink" TargetMode="External" Target="http://www3.lrs.lt/cgi-bin/preps2?a=346897&amp;b="/>
  <Relationship Id="rId47" Type="http://schemas.openxmlformats.org/officeDocument/2006/relationships/hyperlink" TargetMode="External" Target="http://www3.lrs.lt/cgi-bin/preps2?a=389993&amp;b="/>
  <Relationship Id="rId48" Type="http://schemas.openxmlformats.org/officeDocument/2006/relationships/hyperlink" TargetMode="External" Target="http://www3.lrs.lt/pls/inter/dokpaieska.showdoc_l?p_id=474671&amp;p_tr2=2"/>
  <Relationship Id="rId49" Type="http://schemas.openxmlformats.org/officeDocument/2006/relationships/hyperlink" TargetMode="External" Target="http://www3.lrs.lt/cgi-bin/preps2?a=389993&amp;b="/>
  <Relationship Id="rId5" Type="http://schemas.openxmlformats.org/officeDocument/2006/relationships/header" Target="header24.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pls/inter/dokpaieska.showdoc_l?p_id=474671&amp;p_tr2=2"/>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cgi-bin/preps2?a=376711&amp;b="/>
  <Relationship Id="rId56" Type="http://schemas.openxmlformats.org/officeDocument/2006/relationships/hyperlink" TargetMode="External" Target="http://www3.lrs.lt/cgi-bin/preps2?a=376711&amp;b="/>
  <Relationship Id="rId57" Type="http://schemas.openxmlformats.org/officeDocument/2006/relationships/hyperlink" TargetMode="External" Target="http://www3.lrs.lt/cgi-bin/preps2?a=361997&amp;b="/>
  <Relationship Id="rId58" Type="http://schemas.openxmlformats.org/officeDocument/2006/relationships/hyperlink" TargetMode="External" Target="http://www3.lrs.lt/cgi-bin/preps2?a=376711&amp;b="/>
  <Relationship Id="rId59" Type="http://schemas.openxmlformats.org/officeDocument/2006/relationships/hyperlink" TargetMode="External" Target="http://www3.lrs.lt/cgi-bin/preps2?a=329195&amp;b="/>
  <Relationship Id="rId6" Type="http://schemas.openxmlformats.org/officeDocument/2006/relationships/footer" Target="footer21.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89993&amp;b="/>
  <Relationship Id="rId62" Type="http://schemas.openxmlformats.org/officeDocument/2006/relationships/hyperlink" TargetMode="External" Target="http://www3.lrs.lt/cgi-bin/preps2?a=197578&amp;b="/>
  <Relationship Id="rId63" Type="http://schemas.openxmlformats.org/officeDocument/2006/relationships/hyperlink" TargetMode="External" Target="http://www3.lrs.lt/cgi-bin/preps2?a=220276&amp;b="/>
  <Relationship Id="rId64" Type="http://schemas.openxmlformats.org/officeDocument/2006/relationships/hyperlink" TargetMode="External" Target="http://www3.lrs.lt/cgi-bin/preps2?a=257682&amp;b="/>
  <Relationship Id="rId65" Type="http://schemas.openxmlformats.org/officeDocument/2006/relationships/hyperlink" TargetMode="External" Target="http://www3.lrs.lt/cgi-bin/preps2?a=279823&amp;b="/>
  <Relationship Id="rId66" Type="http://schemas.openxmlformats.org/officeDocument/2006/relationships/hyperlink" TargetMode="External" Target="http://www3.lrs.lt/cgi-bin/preps2?a=287854&amp;b="/>
  <Relationship Id="rId67" Type="http://schemas.openxmlformats.org/officeDocument/2006/relationships/hyperlink" TargetMode="External" Target="http://www3.lrs.lt/cgi-bin/preps2?a=291528&amp;b="/>
  <Relationship Id="rId68" Type="http://schemas.openxmlformats.org/officeDocument/2006/relationships/hyperlink" TargetMode="External" Target="http://www3.lrs.lt/cgi-bin/preps2?a=291528&amp;b="/>
  <Relationship Id="rId69" Type="http://schemas.openxmlformats.org/officeDocument/2006/relationships/hyperlink" TargetMode="External" Target="http://www3.lrs.lt/cgi-bin/preps2?a=291836&amp;b="/>
  <Relationship Id="rId7" Type="http://schemas.openxmlformats.org/officeDocument/2006/relationships/endnotes" Target="endnotes.xml"/>
  <Relationship Id="rId70" Type="http://schemas.openxmlformats.org/officeDocument/2006/relationships/hyperlink" TargetMode="External" Target="http://www3.lrs.lt/cgi-bin/preps2?a=328287&amp;b="/>
  <Relationship Id="rId71" Type="http://schemas.openxmlformats.org/officeDocument/2006/relationships/hyperlink" TargetMode="External" Target="http://www3.lrs.lt/cgi-bin/preps2?a=329195&amp;b="/>
  <Relationship Id="rId72" Type="http://schemas.openxmlformats.org/officeDocument/2006/relationships/hyperlink" TargetMode="External" Target="http://www3.lrs.lt/cgi-bin/preps2?a=346897&amp;b="/>
  <Relationship Id="rId73" Type="http://schemas.openxmlformats.org/officeDocument/2006/relationships/hyperlink" TargetMode="External" Target="http://www3.lrs.lt/cgi-bin/preps2?a=361997&amp;b="/>
  <Relationship Id="rId74" Type="http://schemas.openxmlformats.org/officeDocument/2006/relationships/hyperlink" TargetMode="External" Target="http://www3.lrs.lt/cgi-bin/preps2?a=376711&amp;b="/>
  <Relationship Id="rId75" Type="http://schemas.openxmlformats.org/officeDocument/2006/relationships/hyperlink" TargetMode="External" Target="http://www3.lrs.lt/cgi-bin/preps2?a=389993&amp;b="/>
  <Relationship Id="rId76" Type="http://schemas.openxmlformats.org/officeDocument/2006/relationships/hyperlink" TargetMode="External" Target="http://www3.lrs.lt/pls/inter/dokpaieska.showdoc_l?p_id=425517&amp;p_query=&amp;p_tr2=2"/>
  <Relationship Id="rId77" Type="http://schemas.openxmlformats.org/officeDocument/2006/relationships/hyperlink" TargetMode="External" Target="http://www3.lrs.lt/cgi-bin/preps2?a=449276&amp;b="/>
  <Relationship Id="rId78" Type="http://schemas.openxmlformats.org/officeDocument/2006/relationships/hyperlink" TargetMode="External" Target="http://www3.lrs.lt/cgi-bin/preps2?a=453268&amp;b="/>
  <Relationship Id="rId79" Type="http://schemas.openxmlformats.org/officeDocument/2006/relationships/hyperlink" TargetMode="External" Target="http://www3.lrs.lt/cgi-bin/preps2?a=453341&amp;b="/>
  <Relationship Id="rId8" Type="http://schemas.openxmlformats.org/officeDocument/2006/relationships/fontTable" Target="fontTable.xml"/>
  <Relationship Id="rId80" Type="http://schemas.openxmlformats.org/officeDocument/2006/relationships/hyperlink" TargetMode="External" Target="http://www3.lrs.lt/cgi-bin/preps2?a=473301&amp;b="/>
  <Relationship Id="rId81" Type="http://schemas.openxmlformats.org/officeDocument/2006/relationships/hyperlink" TargetMode="External" Target="http://www3.lrs.lt/pls/inter/dokpaieska.showdoc_l?p_id=474671&amp;p_tr2=2"/>
  <Relationship Id="rId82" Type="http://schemas.openxmlformats.org/officeDocument/2006/relationships/hyperlink" TargetMode="External" Target="http://www3.lrs.lt/cgi-bin/preps2?a=291528&amp;b="/>
  <Relationship Id="rId83" Type="http://schemas.openxmlformats.org/officeDocument/2006/relationships/hyperlink" TargetMode="External" Target="http://www3.lrs.lt/cgi-bin/preps2?a=291836&amp;b="/>
  <Relationship Id="rId84" Type="http://schemas.openxmlformats.org/officeDocument/2006/relationships/hyperlink" TargetMode="External" Target="http://www3.lrs.lt/cgi-bin/preps2?a=328287&amp;b="/>
  <Relationship Id="rId85" Type="http://schemas.openxmlformats.org/officeDocument/2006/relationships/hyperlink" TargetMode="External" Target="http://www3.lrs.lt/cgi-bin/preps2?a=389993&amp;b="/>
  <Relationship Id="rId86" Type="http://schemas.openxmlformats.org/officeDocument/2006/relationships/customXml" Target="../customXml/item1.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1b7314d275174ca491b4bba307b2ec59">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f66bcfd1572468ba42ab14c7ca92957"/>
          <Part Type="strPunktas" Nr="14" Abbr="14 p." DocPartId="d11d0393d9b043e292d0e8a8f6806641" PartId="6eb28812fc934fb194a30b29469999d7"/>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e36ef048e0024ff796d7344d7a6351ef">
        <Part Type="strDalis" Nr="1" Abbr="11 str. 1 d." DocPartId="bda98298043443d38d3867f3956c9332" PartId="2e552b143e36460cae93df047828f7ff"/>
        <Part Type="strDalis" Nr="2" Abbr="11 str. 2 d." DocPartId="066ee91f4ae8470db9ba794f26ff230a" PartId="62ab50d3e71747af8c84492240e8abf8"/>
        <Part Type="strDalis" Nr="3" Abbr="11 str. 3 d." DocPartId="5f255077cb6d400ea0f6d503de528680" PartId="f0e2a1efa8464e48bb45b22d26b20050"/>
        <Part Type="strDalis" Nr="4" Abbr="11 str. 4 d." DocPartId="c4fbac0cd3e2430ca17a645ebb95ffdd" PartId="edc6a7fb93194260b0a98b501b9fc9b6"/>
        <Part Type="strDalis" Nr="5" Abbr="11 str. 5 d." DocPartId="ad98e7c6e2e24da2afce88c39334cff2" PartId="2d033d78d3a14423853b8c649837f6a0"/>
        <Part Type="strDalis" Nr="6" Abbr="11 str. 6 d." DocPartId="026fc1444e3e481da5f5d535506499c0" PartId="df9e3c1d58494925a2a005b75a1a59b4"/>
        <Part Type="strDalis" Nr="7" Abbr="11 str. 7 d." DocPartId="a8cc1e606879434e839d199bc62dba31" PartId="aa694f20b3d84bccb2383c65fd363c52"/>
        <Part Type="strDalis" Nr="8" Abbr="11 str. 8 d." DocPartId="f904790948c04a47976fa2663db03eeb" PartId="5e9d32d7dcb84745b0f6b3cc6dd44cd3"/>
        <Part Type="strDalis" Nr="9" Abbr="11 str. 9 d." DocPartId="183eb8038f4c4aca96acc52bc894a900" PartId="934c23ddce2c4847a9f3a8335dd1ba04"/>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5-1" Abbr="15-1 str." Title="Administracinės paslaugos – licencijų, leidimų arba jų išdavimo, tikslinimo, keitimo, galiojimo sustabdymo, galiojimo sustabdymo panaikinimo ar galiojimo panaikinimo duomenų įrašymas Licencijų informacinėje sistemoje" DocPartId="0b69a73af5b64437b1e983fefe7480b3" PartId="d1b92e6d1727431c8439d67c26471937">
        <Part Type="strDalis" Nr="1" Abbr="15-1 str. 1 d." DocPartId="0763ff02dcd1426ebca767c442b0a3d2" PartId="04a0d38f97c0454aafd18e98af562efa"/>
        <Part Type="strDalis" Nr="2" Abbr="15-1 str. 2 d." DocPartId="a58ffda568f0438c87d4592378febefd" PartId="9efb3ae7be97421385e1b1a34d8b5945"/>
        <Part Type="strDalis" Nr="3" Abbr="15-1 str. 3 d." DocPartId="2d1c30cff0f44211b07e31a47f3d47ff" PartId="9b0ba0619dc14f2abcf7d80b2b585b3a"/>
        <Part Type="strDalis" Nr="4" Abbr="15-1 str. 4 d." DocPartId="6cc2399ac8c241aa82fc52ff5b9025bc" PartId="55d81305aa824f73bc71593e241fab98"/>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7c6e0f0f5d2a4daa99137e136cae1d29"/>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0b96e465a9f845c8b74956255cc41543"/>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1f3250439bc44042ae4be3f47d0a4d7d"/>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e6903b34e3fb4f0da246e943b983a199"/>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7757443b9dd349bd9b750a0bb68213f0"/>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E1258B76-295D-45F0-90FA-B53721A07D7E}">
  <ds:schemaRefs>
    <ds:schemaRef ds:uri="http://lrs.lt/TAIS/DocParts"/>
  </ds:schemaRefs>
</ds:datastoreItem>
</file>

<file path=docProps/app.xml><?xml version="1.0" encoding="utf-8"?>
<Properties xmlns="http://schemas.openxmlformats.org/officeDocument/2006/extended-properties">
  <Template>Normal.dotm</Template>
  <TotalTime>73</TotalTime>
  <Pages>23</Pages>
  <Words>62242</Words>
  <Characters>35479</Characters>
  <Application>Microsoft Office Word</Application>
  <DocSecurity>0</DocSecurity>
  <Lines>295</Lines>
  <Paragraphs>195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97526</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2019-07-01T12:51:00Z</dcterms:modified>
  <revision>27</revision>
</coreProperties>
</file>