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2019-09-01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0 p."/>
                        <w:tag w:val="part_23742920c3234864b72d60355c6204ab"/>
                        <w:lock w:val="sdtLocked"/>
                        <w:richText/>
                      </w:sdtPr>
                      <w:sdtContent>
                        <w:p>
                          <w:pPr>
                            <w:spacing w:line="360" w:lineRule="auto"/>
                            <w:ind w:firstLine="720"/>
                            <w:jc w:val="both"/>
                          </w:pPr>
                          <w:sdt>
                            <w:sdtPr>
                              <w:alias w:val="Numeris"/>
                              <w:tag w:val="nr_23742920c3234864b72d60355c6204ab"/>
                              <w:lock w:val="sdtLocked"/>
                              <w:richText/>
                            </w:sdtPr>
                            <w:sdtContent>
                              <w:r>
                                <w:rPr>
                                  <w:rFonts w:eastAsia="Arial Unicode MS"/>
                                  <w:bCs/>
                                  <w:szCs w:val="24"/>
                                </w:rPr>
                                <w:t>10</w:t>
                              </w:r>
                            </w:sdtContent>
                          </w:sdt>
                          <w:r>
                            <w:rPr>
                              <w:rFonts w:eastAsia="Arial Unicode MS"/>
                              <w:bCs/>
                              <w:szCs w:val="24"/>
                            </w:rPr>
                            <w:t>) Australijos, Japonijos,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w:t>
                          </w:r>
                          <w:r>
                            <w:rPr>
                              <w:bCs/>
                              <w:color w:val="000000"/>
                            </w:rPr>
                            <w:t xml:space="preserve"> asmenims</w:t>
                          </w:r>
                          <w:r>
                            <w:rPr>
                              <w:rFonts w:eastAsia="Arial Unicode MS"/>
                              <w:bCs/>
                              <w:szCs w:val="24"/>
                            </w:rPr>
                            <w:t>) ir jų šeimos nariams reikalavimas ne mažiau kaip 3 mėnesius gyventi Lietuvos Respublikoje netaikomas.</w:t>
                          </w:r>
                          <w:r>
                            <w:t xml:space="preserve"> </w:t>
                          </w:r>
                        </w:p>
                        <w:p>
                          <w:pPr>
                            <w:jc w:val="both"/>
                          </w:pPr>
                          <w:r>
                            <w:rPr>
                              <w:b/>
                              <w:i/>
                              <w:sz w:val="20"/>
                            </w:rPr>
                            <w:t xml:space="preserve">10 punkto redakcija, įsigaliojanti </w:t>
                          </w:r>
                          <w:r>
                            <w:rPr>
                              <w:b/>
                              <w:i/>
                              <w:color w:val="000000"/>
                              <w:sz w:val="20"/>
                            </w:rPr>
                            <w:t>Jungtinės Didžiosios Britanijos ir Šiaurės Airijos Karalystės išstojimo iš Europos Sąjungos dieną:</w:t>
                          </w:r>
                        </w:p>
                        <w:p>
                          <w:pPr>
                            <w:spacing w:line="360" w:lineRule="auto"/>
                            <w:ind w:firstLine="720"/>
                            <w:jc w:val="both"/>
                          </w:pPr>
                          <w:r>
                            <w:t xml:space="preserve">10) Australijos, </w:t>
                          </w:r>
                          <w:r>
                            <w:rPr>
                              <w:rFonts w:eastAsia="Arial Unicode MS"/>
                              <w:bCs/>
                              <w:szCs w:val="24"/>
                            </w:rPr>
                            <w:t xml:space="preserve">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e8ecdfdc89e343278a3ae4a80176cac8"/>
                    <w:lock w:val="sdtLocked"/>
                    <w:richText/>
                  </w:sdtPr>
                  <w:sdtContent>
                    <w:p>
                      <w:pPr>
                        <w:spacing w:line="360" w:lineRule="auto"/>
                        <w:ind w:firstLine="720"/>
                        <w:jc w:val="both"/>
                        <w:rPr>
                          <w:szCs w:val="24"/>
                        </w:rPr>
                      </w:pPr>
                      <w:sdt>
                        <w:sdtPr>
                          <w:alias w:val="Numeris"/>
                          <w:tag w:val="nr_e8ecdfdc89e343278a3ae4a80176cac8"/>
                          <w:lock w:val="sdtLocked"/>
                          <w:richText/>
                        </w:sdtPr>
                        <w:sdtContent>
                          <w:r>
                            <w:rPr>
                              <w:szCs w:val="24"/>
                            </w:rPr>
                            <w:t>2</w:t>
                          </w:r>
                        </w:sdtContent>
                      </w:sdt>
                      <w:r>
                        <w:rPr>
                          <w:szCs w:val="24"/>
                        </w:rPr>
                        <w:t xml:space="preserve">. </w:t>
                      </w:r>
                      <w:r>
                        <w:rPr>
                          <w:b/>
                          <w:szCs w:val="24"/>
                        </w:rPr>
                        <w:t>Globojamas vaikas</w:t>
                      </w:r>
                      <w:r>
                        <w:rPr>
                          <w:szCs w:val="24"/>
                        </w:rPr>
                        <w:t xml:space="preserve"> – vaikas, kuriam Lietuvos Respublikos civilinio kodekso nustatyta tvarka nustatyta vaiko laikinoji ar nuolatinė globa (rūpyba).</w:t>
                      </w:r>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db6c0e35670344d9b9ce2fa012454f31"/>
                    <w:lock w:val="sdtLocked"/>
                    <w:richText/>
                  </w:sdtPr>
                  <w:sdtContent>
                    <w:p>
                      <w:pPr>
                        <w:spacing w:line="360" w:lineRule="auto"/>
                        <w:ind w:firstLine="720"/>
                        <w:jc w:val="both"/>
                      </w:pPr>
                      <w:sdt>
                        <w:sdtPr>
                          <w:alias w:val="Numeris"/>
                          <w:tag w:val="nr_db6c0e35670344d9b9ce2fa012454f31"/>
                          <w:lock w:val="sdtLocked"/>
                          <w:richText/>
                        </w:sdtPr>
                        <w:sdtContent>
                          <w:r>
                            <w:rPr>
                              <w:szCs w:val="24"/>
                            </w:rPr>
                            <w:t>5</w:t>
                          </w:r>
                        </w:sdtContent>
                      </w:sdt>
                      <w:r>
                        <w:rPr>
                          <w:szCs w:val="24"/>
                        </w:rPr>
                        <w:t xml:space="preserve">. </w:t>
                      </w:r>
                      <w:r>
                        <w:rPr>
                          <w:b/>
                          <w:szCs w:val="24"/>
                        </w:rPr>
                        <w:t>Vaiko globėjas (rūpintojas)</w:t>
                      </w:r>
                      <w:r>
                        <w:rPr>
                          <w:szCs w:val="24"/>
                        </w:rPr>
                        <w:t xml:space="preserve"> – fizinis ar juridinis asmuo, kuriam Civilinio kodekso nustatyta tvarka pavesta be tėvų globos likusio vaiko priežiūra, auklėjimas, teisių bei interesų gynimas ir atstovavimas jam. </w:t>
                      </w:r>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3 str. 1 d. 9 p."/>
                        <w:tag w:val="part_444d1d4b1b4940aba1f88721dd756832"/>
                        <w:lock w:val="sdtLocked"/>
                        <w:richText/>
                      </w:sdtPr>
                      <w:sdtContent>
                        <w:p>
                          <w:pPr>
                            <w:spacing w:line="360" w:lineRule="auto"/>
                            <w:ind w:firstLine="720"/>
                            <w:jc w:val="both"/>
                            <w:rPr>
                              <w:szCs w:val="24"/>
                            </w:rPr>
                          </w:pPr>
                          <w:sdt>
                            <w:sdtPr>
                              <w:alias w:val="Numeris"/>
                              <w:tag w:val="nr_444d1d4b1b4940aba1f88721dd756832"/>
                              <w:lock w:val="sdtLocked"/>
                              <w:richText/>
                            </w:sdtPr>
                            <w:sdtContent>
                              <w:r>
                                <w:rPr>
                                  <w:szCs w:val="24"/>
                                </w:rPr>
                                <w:t>9</w:t>
                              </w:r>
                            </w:sdtContent>
                          </w:sdt>
                          <w:r>
                            <w:rPr>
                              <w:szCs w:val="24"/>
                            </w:rPr>
                            <w:t>) vienkartinė išmoka įsikurti;</w:t>
                          </w:r>
                        </w:p>
                      </w:sdtContent>
                    </w:sdt>
                    <w:sdt>
                      <w:sdtPr>
                        <w:alias w:val="3 str. 1 d. 10 p."/>
                        <w:tag w:val="part_eda3ad524ead4d86ab87ddfe5446c36f"/>
                        <w:lock w:val="sdtLocked"/>
                        <w:richText/>
                      </w:sdtPr>
                      <w:sdtContent>
                        <w:p>
                          <w:pPr>
                            <w:spacing w:line="360" w:lineRule="auto"/>
                            <w:ind w:firstLine="720"/>
                            <w:jc w:val="both"/>
                            <w:rPr>
                              <w:szCs w:val="24"/>
                            </w:rPr>
                          </w:pPr>
                          <w:sdt>
                            <w:sdtPr>
                              <w:alias w:val="Numeris"/>
                              <w:tag w:val="nr_eda3ad524ead4d86ab87ddfe5446c36f"/>
                              <w:lock w:val="sdtLocked"/>
                              <w:richText/>
                            </w:sdtPr>
                            <w:sdtContent>
                              <w:r>
                                <w:rPr>
                                  <w:szCs w:val="24"/>
                                </w:rPr>
                                <w:t>10</w:t>
                              </w:r>
                            </w:sdtContent>
                          </w:sdt>
                          <w:r>
                            <w:rPr>
                              <w:szCs w:val="24"/>
                            </w:rPr>
                            <w:t>) išmoka įvaikinus vaiką.</w:t>
                          </w:r>
                        </w:p>
                        <w:p>
                          <w:pPr>
                            <w:spacing w:line="360" w:lineRule="auto"/>
                            <w:ind w:firstLine="720"/>
                            <w:jc w:val="both"/>
                            <w:rPr>
                              <w:szCs w:val="24"/>
                            </w:rPr>
                          </w:pPr>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2ef58b47cae74b70b2c0e4005b65cd02"/>
                <w:lock w:val="sdtLocked"/>
                <w:richText/>
              </w:sdtPr>
              <w:sdtContent>
                <w:p>
                  <w:pPr>
                    <w:tabs>
                      <w:tab w:val="left" w:pos="851"/>
                      <w:tab w:val="left" w:pos="1134"/>
                    </w:tabs>
                    <w:spacing w:line="360" w:lineRule="auto"/>
                    <w:ind w:firstLine="709"/>
                    <w:jc w:val="both"/>
                    <w:rPr>
                      <w:b/>
                      <w:bCs/>
                      <w:color w:val="000000"/>
                      <w:szCs w:val="24"/>
                      <w:lang w:eastAsia="lt-LT"/>
                    </w:rPr>
                  </w:pPr>
                  <w:sdt>
                    <w:sdtPr>
                      <w:alias w:val="Numeris"/>
                      <w:tag w:val="nr_2ef58b47cae74b70b2c0e4005b65cd02"/>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ef58b47cae74b70b2c0e4005b65cd02"/>
                      <w:lock w:val="sdtLocked"/>
                      <w:richText/>
                    </w:sdtPr>
                    <w:sdtContent>
                      <w:r>
                        <w:rPr>
                          <w:b/>
                          <w:bCs/>
                          <w:color w:val="000000"/>
                          <w:szCs w:val="24"/>
                          <w:lang w:eastAsia="lt-LT"/>
                        </w:rPr>
                        <w:t xml:space="preserve">Išmoka vaikui </w:t>
                      </w:r>
                    </w:sdtContent>
                  </w:sdt>
                </w:p>
                <w:sdt>
                  <w:sdtPr>
                    <w:alias w:val="6 str. 1 d."/>
                    <w:tag w:val="part_2b7c052487914c22b1efdc860d61f01a"/>
                    <w:lock w:val="sdtLocked"/>
                    <w:richText/>
                  </w:sdtPr>
                  <w:sdtContent>
                    <w:p>
                      <w:pPr>
                        <w:tabs>
                          <w:tab w:val="left" w:pos="851"/>
                        </w:tabs>
                        <w:spacing w:line="360" w:lineRule="auto"/>
                        <w:ind w:firstLine="709"/>
                        <w:jc w:val="both"/>
                        <w:rPr>
                          <w:szCs w:val="24"/>
                        </w:rPr>
                      </w:pPr>
                      <w:sdt>
                        <w:sdtPr>
                          <w:alias w:val="Numeris"/>
                          <w:tag w:val="nr_2b7c052487914c22b1efdc860d61f01a"/>
                          <w:lock w:val="sdtLocked"/>
                          <w:richText/>
                        </w:sdtPr>
                        <w:sdtContent>
                          <w:r>
                            <w:rPr>
                              <w:szCs w:val="24"/>
                            </w:rPr>
                            <w:t>1</w:t>
                          </w:r>
                        </w:sdtContent>
                      </w:sdt>
                      <w:r>
                        <w:rPr>
                          <w:szCs w:val="24"/>
                        </w:rPr>
                        <w:t>. Kiekvienam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 1,32 bazinės socialinės išmokos dydžio išmoka per mėnesį, o neįgaliam vaikui – 1,84 bazinės socialinės išmokos dydžio išmoka per mėnesį.</w:t>
                      </w:r>
                    </w:p>
                  </w:sdtContent>
                </w:sdt>
                <w:sdt>
                  <w:sdtPr>
                    <w:alias w:val="6 str. 2 d."/>
                    <w:tag w:val="part_c73b4ca9868649b1bbb558e7c68abebe"/>
                    <w:lock w:val="sdtLocked"/>
                    <w:richText/>
                  </w:sdtPr>
                  <w:sdtContent>
                    <w:p>
                      <w:pPr>
                        <w:tabs>
                          <w:tab w:val="left" w:pos="851"/>
                        </w:tabs>
                        <w:spacing w:line="360" w:lineRule="auto"/>
                        <w:ind w:firstLine="709"/>
                        <w:jc w:val="both"/>
                        <w:rPr>
                          <w:szCs w:val="24"/>
                        </w:rPr>
                      </w:pPr>
                      <w:sdt>
                        <w:sdtPr>
                          <w:alias w:val="Numeris"/>
                          <w:tag w:val="nr_c73b4ca9868649b1bbb558e7c68abebe"/>
                          <w:lock w:val="sdtLocked"/>
                          <w:richText/>
                        </w:sdtPr>
                        <w:sdtContent>
                          <w:r>
                            <w:rPr>
                              <w:szCs w:val="24"/>
                            </w:rPr>
                            <w:t>2</w:t>
                          </w:r>
                        </w:sdtContent>
                      </w:sdt>
                      <w:r>
                        <w:rPr>
                          <w:szCs w:val="24"/>
                        </w:rPr>
                        <w:t>. Papildomai išmoka vaikui skiriama ir mokama:</w:t>
                      </w:r>
                    </w:p>
                    <w:sdt>
                      <w:sdtPr>
                        <w:alias w:val="6 str. 2 d. 1 p."/>
                        <w:tag w:val="part_4ac62b3d031548799f9fe850a33f17dc"/>
                        <w:lock w:val="sdtLocked"/>
                        <w:richText/>
                      </w:sdtPr>
                      <w:sdtContent>
                        <w:p>
                          <w:pPr>
                            <w:tabs>
                              <w:tab w:val="left" w:pos="851"/>
                            </w:tabs>
                            <w:spacing w:line="360" w:lineRule="auto"/>
                            <w:ind w:firstLine="709"/>
                            <w:jc w:val="both"/>
                            <w:rPr>
                              <w:szCs w:val="24"/>
                            </w:rPr>
                          </w:pPr>
                          <w:sdt>
                            <w:sdtPr>
                              <w:alias w:val="Numeris"/>
                              <w:tag w:val="nr_4ac62b3d031548799f9fe850a33f17dc"/>
                              <w:lock w:val="sdtLocked"/>
                              <w:richText/>
                            </w:sdtPr>
                            <w:sdtContent>
                              <w:r>
                                <w:rPr>
                                  <w:szCs w:val="24"/>
                                </w:rPr>
                                <w:t>1</w:t>
                              </w:r>
                            </w:sdtContent>
                          </w:sdt>
                          <w:r>
                            <w:rPr>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1,5 valstybės remiamų pajamų dydžio.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bet ne ilgiau, iki jam sukaks 21 metai, yra skiriama ir mokama 0,53 bazinės socialinės išmokos dydžio išmoka per mėnesį;</w:t>
                          </w:r>
                        </w:p>
                      </w:sdtContent>
                    </w:sdt>
                    <w:sdt>
                      <w:sdtPr>
                        <w:alias w:val="6 str. 2 d. 2 p."/>
                        <w:tag w:val="part_91a61af246e648b299f873549374e007"/>
                        <w:lock w:val="sdtLocked"/>
                        <w:richText/>
                      </w:sdtPr>
                      <w:sdtContent>
                        <w:p>
                          <w:pPr>
                            <w:tabs>
                              <w:tab w:val="left" w:pos="851"/>
                            </w:tabs>
                            <w:spacing w:line="360" w:lineRule="auto"/>
                            <w:ind w:firstLine="709"/>
                            <w:jc w:val="both"/>
                            <w:rPr>
                              <w:szCs w:val="24"/>
                            </w:rPr>
                          </w:pPr>
                          <w:sdt>
                            <w:sdtPr>
                              <w:alias w:val="Numeris"/>
                              <w:tag w:val="nr_91a61af246e648b299f873549374e007"/>
                              <w:lock w:val="sdtLocked"/>
                              <w:richText/>
                            </w:sdtPr>
                            <w:sdtContent>
                              <w:r>
                                <w:rPr>
                                  <w:szCs w:val="24"/>
                                </w:rPr>
                                <w:t>2</w:t>
                              </w:r>
                            </w:sdtContent>
                          </w:sdt>
                          <w:r>
                            <w:rPr>
                              <w:szCs w:val="24"/>
                            </w:rPr>
                            <w:t>) kiekvienam bendrai gyvenančių asmenų arba globėjo (rūpintojo), kurie augina ir (ar) globoja tris ar daugiau vaikų, auginamam ir (ar) globojamam vaikui, kuriam globa (rūpyba) nustatyta šeimoje.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w:t>
                          </w:r>
                          <w:r>
                            <w:rPr>
                              <w:b/>
                              <w:szCs w:val="24"/>
                            </w:rPr>
                            <w:t xml:space="preserve"> </w:t>
                          </w:r>
                          <w:r>
                            <w:rPr>
                              <w:szCs w:val="24"/>
                            </w:rPr>
                            <w:t>0,53 bazinės socialinės išmokos dydžio išmoka per mėnesį.</w:t>
                          </w:r>
                        </w:p>
                      </w:sdtContent>
                    </w:sdt>
                  </w:sdtContent>
                </w:sdt>
                <w:sdt>
                  <w:sdtPr>
                    <w:alias w:val="6 str. 3 d."/>
                    <w:tag w:val="part_1a129a72df75439f8ad6cf6543e40ba7"/>
                    <w:lock w:val="sdtLocked"/>
                    <w:richText/>
                  </w:sdtPr>
                  <w:sdtContent>
                    <w:p>
                      <w:pPr>
                        <w:spacing w:line="360" w:lineRule="auto"/>
                        <w:ind w:firstLine="720"/>
                        <w:jc w:val="both"/>
                        <w:rPr>
                          <w:szCs w:val="24"/>
                        </w:rPr>
                      </w:pPr>
                      <w:sdt>
                        <w:sdtPr>
                          <w:alias w:val="Numeris"/>
                          <w:tag w:val="nr_1a129a72df75439f8ad6cf6543e40ba7"/>
                          <w:lock w:val="sdtLocked"/>
                          <w:richText/>
                        </w:sdtPr>
                        <w:sdtContent>
                          <w:r>
                            <w:rPr>
                              <w:color w:val="000000"/>
                              <w:szCs w:val="24"/>
                              <w:lang w:eastAsia="lt-LT"/>
                            </w:rPr>
                            <w:t>3</w:t>
                          </w:r>
                        </w:sdtContent>
                      </w:sdt>
                      <w:r>
                        <w:rPr>
                          <w:color w:val="000000"/>
                          <w:szCs w:val="24"/>
                          <w:lang w:eastAsia="lt-LT"/>
                        </w:rPr>
                        <w:t>. Išmoka vaikui, kai vaikas auginamas ir (ar) globojamas šeimoje, skiriama, jeigu nors vienas iš vaiko tėvų (įtėvių) ar globėjas (rūpintojas) ir vaikas (asmuo) atitinka šio įstatymo 1 straipsnio 2 dalies 1, 2, 7, 9 ar 10</w:t>
                      </w:r>
                      <w:r>
                        <w:rPr>
                          <w:b/>
                          <w:color w:val="000000"/>
                          <w:szCs w:val="24"/>
                          <w:lang w:eastAsia="lt-LT"/>
                        </w:rPr>
                        <w:t xml:space="preserve"> </w:t>
                      </w:r>
                      <w:r>
                        <w:rPr>
                          <w:color w:val="000000"/>
                          <w:szCs w:val="24"/>
                          <w:lang w:eastAsia="lt-LT"/>
                        </w:rPr>
                        <w:t>punkto nuostatas arba jeigu nors vienas iš vaiko tėvų (įtėvių) ar globėjas (rūpintojas) atitinka šio įstatymo 1 straipsnio 2 dalies 4, 5</w:t>
                      </w:r>
                      <w:r>
                        <w:rPr>
                          <w:b/>
                          <w:color w:val="000000"/>
                          <w:szCs w:val="24"/>
                          <w:lang w:eastAsia="lt-LT"/>
                        </w:rPr>
                        <w:t xml:space="preserve"> </w:t>
                      </w:r>
                      <w:r>
                        <w:rPr>
                          <w:color w:val="000000"/>
                          <w:szCs w:val="24"/>
                          <w:lang w:eastAsia="lt-LT"/>
                        </w:rPr>
                        <w:t>ar 8 punkto nuostatas, o vaikui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w:t>
                      </w:r>
                      <w:r>
                        <w:rPr>
                          <w:szCs w:val="24"/>
                          <w:lang w:eastAsia="lt-LT"/>
                        </w:rPr>
                        <w:t xml:space="preserve"> </w:t>
                      </w:r>
                      <w:r>
                        <w:rPr>
                          <w:color w:val="000000"/>
                          <w:szCs w:val="24"/>
                          <w:lang w:eastAsia="lt-LT"/>
                        </w:rPr>
                        <w:t>Kai vaikui globa (rūpyba) nustatyta šeimynoje ar vaikų globos institucijoje ar kai vaiko globėjo (rūpintojo) teises ir pareigas įgyvendina globos centras, išmoka vaikui skiriama,</w:t>
                      </w:r>
                      <w:r>
                        <w:rPr>
                          <w:bCs/>
                          <w:color w:val="000000"/>
                          <w:szCs w:val="24"/>
                          <w:lang w:eastAsia="lt-LT"/>
                        </w:rPr>
                        <w:t xml:space="preserve"> </w:t>
                      </w:r>
                      <w:r>
                        <w:rPr>
                          <w:color w:val="000000"/>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6 str. 4 d."/>
                    <w:tag w:val="part_c2e5c0f61de24dff964f24a3679b4d67"/>
                    <w:lock w:val="sdtLocked"/>
                    <w:richText/>
                  </w:sdtPr>
                  <w:sdtContent>
                    <w:p>
                      <w:pPr>
                        <w:spacing w:line="360" w:lineRule="auto"/>
                        <w:ind w:firstLine="720"/>
                        <w:jc w:val="both"/>
                        <w:rPr>
                          <w:szCs w:val="24"/>
                        </w:rPr>
                      </w:pPr>
                      <w:sdt>
                        <w:sdtPr>
                          <w:alias w:val="Numeris"/>
                          <w:tag w:val="nr_c2e5c0f61de24dff964f24a3679b4d67"/>
                          <w:lock w:val="sdtLocked"/>
                          <w:richText/>
                        </w:sdtPr>
                        <w:sdtContent>
                          <w:r>
                            <w:rPr>
                              <w:color w:val="000000"/>
                              <w:szCs w:val="24"/>
                              <w:lang w:eastAsia="lt-LT"/>
                            </w:rPr>
                            <w:t>4</w:t>
                          </w:r>
                        </w:sdtContent>
                      </w:sdt>
                      <w:r>
                        <w:rPr>
                          <w:color w:val="000000"/>
                          <w:szCs w:val="24"/>
                          <w:lang w:eastAsia="lt-LT"/>
                        </w:rPr>
                        <w:t>. Kai vaikas (asmuo) mokosi užsienio valstybės mokymo įstaigoje pagal mokymo programas, atitinkančias šio straipsnio 1 dalyje nustatytas mokymo programas, išmoka vaikui skiriama, jeigu nors vienas iš vaiko tėvų (įtėvių) (ar turimas vienintelis iš tėvų (įtėvių) ar globėjas (rūpintojas) ir vaikas (asmuo) atitinka šio įstatymo 1 straipsnio 2 dalies 1, 2, 7, 9 ar 10</w:t>
                      </w:r>
                      <w:r>
                        <w:rPr>
                          <w:b/>
                          <w:color w:val="000000"/>
                          <w:szCs w:val="24"/>
                          <w:lang w:eastAsia="lt-LT"/>
                        </w:rPr>
                        <w:t xml:space="preserve"> </w:t>
                      </w:r>
                      <w:r>
                        <w:rPr>
                          <w:color w:val="000000"/>
                          <w:szCs w:val="24"/>
                          <w:lang w:eastAsia="lt-LT"/>
                        </w:rPr>
                        <w:t>punkto nuostatas, o kitas iš vaiko tėvų (įtėvių) ar globėjas (rūpintojas) gyvena Lietuvos Respublikoje, arba jeigu nors vienas iš vaiko tėvų (įtėvių) (ar turimas vienintelis iš tėvų (įtėvių) ar globėjas (rūpintojas) atitinka šio įstatymo 1 straipsnio 2 dalies 4, 5 ar 8 punkto nuostatas ir vaikui yra išduoti dokumentai, patvirtinantys teisę gyventi Lietuvos Respublikoje, o kitas iš vaiko tėvų (įtėvių) ar globėjas (rūpintojas) gyvena Lietuvos Respublikoje. Kai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(toliau – Išmokų vaikams skyrimo ir mokėjimo nuostatai)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6 str. 5 d."/>
                    <w:tag w:val="part_6fd3f27bd2434af3834716a7cf431aab"/>
                    <w:lock w:val="sdtLocked"/>
                    <w:richText/>
                  </w:sdtPr>
                  <w:sdtContent>
                    <w:p>
                      <w:pPr>
                        <w:spacing w:line="360" w:lineRule="auto"/>
                        <w:ind w:firstLine="709"/>
                        <w:jc w:val="both"/>
                      </w:pPr>
                      <w:sdt>
                        <w:sdtPr>
                          <w:alias w:val="Numeris"/>
                          <w:tag w:val="nr_6fd3f27bd2434af3834716a7cf431aab"/>
                          <w:lock w:val="sdtLocked"/>
                          <w:richText/>
                        </w:sdtPr>
                        <w:sdtContent>
                          <w:r>
                            <w:rPr>
                              <w:szCs w:val="24"/>
                            </w:rPr>
                            <w:t>5</w:t>
                          </w:r>
                        </w:sdtContent>
                      </w:sdt>
                      <w:r>
                        <w:rPr>
                          <w:szCs w:val="24"/>
                        </w:rPr>
                        <w:t>.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r>
                        <w:t xml:space="preserve"> </w:t>
                      </w:r>
                    </w:p>
                    <w:p>
                      <w:pPr>
                        <w:spacing w:line="360" w:lineRule="auto"/>
                        <w:jc w:val="both"/>
                        <w:rPr>
                          <w:sz w:val="16"/>
                          <w:szCs w:val="16"/>
                        </w:rPr>
                      </w:pPr>
                      <w:r>
                        <w:rPr>
                          <w:b/>
                          <w:i/>
                          <w:sz w:val="20"/>
                          <w:lang w:eastAsia="lt-LT"/>
                        </w:rPr>
                        <w:t>TAR pastaba.</w:t>
                      </w:r>
                      <w:r>
                        <w:rPr>
                          <w:i/>
                          <w:sz w:val="20"/>
                          <w:lang w:eastAsia="lt-LT"/>
                        </w:rPr>
                        <w:t xml:space="preserve"> Jeigu išmoka vaikui paskirta iki įstatymo Nr. XIII-1699 įsigaliojimo (2019-01-01) ir jos mokėjimo laikotarpis nepasibaigęs, įsigaliojus šiam įstatymui išmokos vaikui mokėjimas tęsiamas iki paskirtos išmokos nustatyto mokėjimo laikotarpio pabaigos, mokant 6 </w:t>
                      </w:r>
                      <w:r>
                        <w:rPr>
                          <w:i/>
                          <w:sz w:val="20"/>
                        </w:rPr>
                        <w:t xml:space="preserve">straipsnyje </w:t>
                      </w:r>
                      <w:r>
                        <w:rPr>
                          <w:i/>
                          <w:sz w:val="20"/>
                          <w:lang w:eastAsia="lt-LT"/>
                        </w:rPr>
                        <w:t>nustatyto dydžio išmoką vaikui.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6d7a29fce9be4ada8be7fa385a4ca93b"/>
                    <w:lock w:val="sdtLocked"/>
                    <w:richText/>
                  </w:sdtPr>
                  <w:sdtContent>
                    <w:p>
                      <w:pPr>
                        <w:spacing w:line="360" w:lineRule="auto"/>
                        <w:ind w:firstLine="720"/>
                        <w:jc w:val="both"/>
                        <w:rPr>
                          <w:szCs w:val="24"/>
                        </w:rPr>
                      </w:pPr>
                      <w:sdt>
                        <w:sdtPr>
                          <w:alias w:val="Numeris"/>
                          <w:tag w:val="nr_6d7a29fce9be4ada8be7fa385a4ca93b"/>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6c51b68393534b21b5ec4257579ff4f4"/>
                    <w:lock w:val="sdtLocked"/>
                    <w:richText/>
                  </w:sdtPr>
                  <w:sdtContent>
                    <w:p>
                      <w:pPr>
                        <w:spacing w:line="360" w:lineRule="auto"/>
                        <w:ind w:firstLine="709"/>
                        <w:jc w:val="both"/>
                        <w:rPr>
                          <w:bCs/>
                          <w:color w:val="000000"/>
                          <w:szCs w:val="24"/>
                        </w:rPr>
                      </w:pPr>
                      <w:sdt>
                        <w:sdtPr>
                          <w:alias w:val="Numeris"/>
                          <w:tag w:val="nr_6c51b68393534b21b5ec4257579ff4f4"/>
                          <w:lock w:val="sdtLocked"/>
                          <w:richText/>
                        </w:sdtPr>
                        <w:sdtContent>
                          <w:r>
                            <w:rPr>
                              <w:bCs/>
                              <w:color w:val="000000"/>
                              <w:szCs w:val="24"/>
                            </w:rPr>
                            <w:t>1</w:t>
                          </w:r>
                        </w:sdtContent>
                      </w:sdt>
                      <w:r>
                        <w:rPr>
                          <w:bCs/>
                          <w:color w:val="000000"/>
                          <w:szCs w:val="24"/>
                        </w:rPr>
                        <w:t>. Auginančiam vaiką vienam iš vaiko tėvų (ar turimam vieninteliam iš tėvų) (įtėvių) ar vaiko globėjui mokymosi ar studijų laikotarpiu ir 12 mėnesių po mokymosi ar studijų baigimo dienos, jeigu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teisės gauti vaiko priežiūros išmokos, skiriama 6 bazinių socialinių išmokų dydžio išmoka per mėnesį. Ši išmoka mokama nuo vaiko gimimo dienos, iki vaikui sukaks vieni metai.</w:t>
                      </w:r>
                    </w:p>
                  </w:sdtContent>
                </w:sdt>
                <w:sdt>
                  <w:sdtPr>
                    <w:alias w:val="9 str. 2 d."/>
                    <w:tag w:val="part_c48f84a5ee9845caacb4a3a9bd50aaa1"/>
                    <w:lock w:val="sdtLocked"/>
                    <w:richText/>
                  </w:sdtPr>
                  <w:sdtContent>
                    <w:p>
                      <w:pPr>
                        <w:spacing w:line="360" w:lineRule="auto"/>
                        <w:ind w:firstLine="720"/>
                        <w:jc w:val="both"/>
                        <w:rPr>
                          <w:bCs/>
                          <w:color w:val="000000"/>
                          <w:szCs w:val="24"/>
                        </w:rPr>
                      </w:pPr>
                      <w:sdt>
                        <w:sdtPr>
                          <w:alias w:val="Numeris"/>
                          <w:tag w:val="nr_c48f84a5ee9845caacb4a3a9bd50aaa1"/>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42fdc815c49c4538ba852a770e04fba7"/>
                        <w:lock w:val="sdtLocked"/>
                        <w:richText/>
                      </w:sdtPr>
                      <w:sdtContent>
                        <w:p>
                          <w:pPr>
                            <w:spacing w:line="360" w:lineRule="auto"/>
                            <w:ind w:firstLine="709"/>
                            <w:jc w:val="both"/>
                            <w:rPr>
                              <w:bCs/>
                              <w:color w:val="000000"/>
                              <w:szCs w:val="24"/>
                            </w:rPr>
                          </w:pPr>
                          <w:sdt>
                            <w:sdtPr>
                              <w:alias w:val="Numeris"/>
                              <w:tag w:val="nr_42fdc815c49c4538ba852a770e04fba7"/>
                              <w:lock w:val="sdtLocked"/>
                              <w:richText/>
                            </w:sdtPr>
                            <w:sdtContent>
                              <w:r>
                                <w:rPr>
                                  <w:color w:val="000000"/>
                                  <w:szCs w:val="24"/>
                                </w:rPr>
                                <w:t>2</w:t>
                              </w:r>
                            </w:sdtContent>
                          </w:sdt>
                          <w:r>
                            <w:rPr>
                              <w:color w:val="000000"/>
                              <w:szCs w:val="24"/>
                            </w:rPr>
                            <w:t>) kitam iš vaiko tėvų (įtėvių) ar globėjui, ar vienam iš vaiko senelių už tą patį vaiką paskirta vaiko priežiūros išmoka pagal Ligos ir motinystės socialinio draudimo įstatymą;</w:t>
                          </w:r>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fa799d12e73b449da5f40e2603a1e932"/>
                    <w:lock w:val="sdtLocked"/>
                    <w:richText/>
                  </w:sdtPr>
                  <w:sdtContent>
                    <w:p>
                      <w:pPr>
                        <w:spacing w:line="360" w:lineRule="auto"/>
                        <w:ind w:firstLine="720"/>
                        <w:jc w:val="both"/>
                        <w:rPr>
                          <w:szCs w:val="24"/>
                        </w:rPr>
                      </w:pPr>
                      <w:sdt>
                        <w:sdtPr>
                          <w:alias w:val="Numeris"/>
                          <w:tag w:val="nr_fa799d12e73b449da5f40e2603a1e932"/>
                          <w:lock w:val="sdtLocked"/>
                          <w:richText/>
                        </w:sdtPr>
                        <w:sdtContent>
                          <w:r>
                            <w:rPr>
                              <w:szCs w:val="24"/>
                            </w:rPr>
                            <w:t>1</w:t>
                          </w:r>
                        </w:sdtContent>
                      </w:sdt>
                      <w:r>
                        <w:rPr>
                          <w:szCs w:val="24"/>
                        </w:rPr>
                        <w:t>. Moteriai, pagal Ligos ir motinystės socialinio draudimo įstatymą neturinčiai teisės gauti motinystės išmokos, likus 70 kalendorinių dienų iki numatomos gimdymo datos skiriama 2 bazinių socialinių išmokų dydžio vienkartinė išmoka nėščiai moteriai.</w:t>
                      </w:r>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8a5efe6a8c384286905d98a24a5914c2"/>
            <w:lock w:val="sdtLocked"/>
            <w:richText/>
          </w:sdtPr>
          <w:sdtContent>
            <w:p>
              <w:pPr>
                <w:spacing w:line="360" w:lineRule="auto"/>
                <w:jc w:val="center"/>
                <w:rPr>
                  <w:b/>
                  <w:szCs w:val="24"/>
                </w:rPr>
              </w:pPr>
              <w:sdt>
                <w:sdtPr>
                  <w:alias w:val="Numeris"/>
                  <w:tag w:val="nr_8a5efe6a8c384286905d98a24a5914c2"/>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a5efe6a8c384286905d98a24a5914c2"/>
                  <w:lock w:val="sdtLocked"/>
                  <w:richText/>
                </w:sdtPr>
                <w:sdtContent>
                  <w:r>
                    <w:rPr>
                      <w:b/>
                      <w:szCs w:val="24"/>
                    </w:rPr>
                    <w:t>GLOBOS (RŪPYBOS) IŠMOKA, GLOBOS (RŪPYBOS) IŠMOKOS TIKSLINIS PRIEDAS, VIENKARTINĖ IŠMOKA ĮSIKURTI IR IŠMOKA ĮVAIKINUS VAIKĄ</w:t>
                  </w:r>
                </w:sdtContent>
              </w:sdt>
            </w:p>
            <w:p>
              <w:pPr>
                <w:spacing w:line="360" w:lineRule="auto"/>
                <w:ind w:firstLine="720"/>
                <w:jc w:val="both"/>
                <w:rPr>
                  <w:sz w:val="16"/>
                  <w:szCs w:val="16"/>
                </w:rPr>
              </w:pPr>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997b434bc26045a99eb8d2fcd5604146"/>
                    <w:lock w:val="sdtLocked"/>
                    <w:richText/>
                  </w:sdtPr>
                  <w:sdtContent>
                    <w:p>
                      <w:pPr>
                        <w:spacing w:line="360" w:lineRule="auto"/>
                        <w:ind w:firstLine="709"/>
                        <w:jc w:val="both"/>
                        <w:rPr>
                          <w:szCs w:val="24"/>
                          <w:lang w:eastAsia="lt-LT"/>
                        </w:rPr>
                      </w:pPr>
                      <w:sdt>
                        <w:sdtPr>
                          <w:alias w:val="Numeris"/>
                          <w:tag w:val="nr_997b434bc26045a99eb8d2fcd5604146"/>
                          <w:lock w:val="sdtLocked"/>
                          <w:richText/>
                        </w:sdtPr>
                        <w:sdtContent>
                          <w:r>
                            <w:rPr>
                              <w:szCs w:val="24"/>
                              <w:lang w:eastAsia="lt-LT"/>
                            </w:rPr>
                            <w:t>1</w:t>
                          </w:r>
                        </w:sdtContent>
                      </w:sdt>
                      <w:r>
                        <w:rPr>
                          <w:szCs w:val="24"/>
                          <w:lang w:eastAsia="lt-LT"/>
                        </w:rPr>
                        <w:t>. Išmokas skiria ir moka savivaldybių administracijos, vadovaudamosi šiuo įstatymu ir Išmokų vaikams skyrimo ir mokėjimo nuostatais:</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c8ea9b1c291442cfb5b17ec1ddd783f1"/>
                    <w:lock w:val="sdtLocked"/>
                    <w:richText/>
                  </w:sdtPr>
                  <w:sdtContent>
                    <w:p>
                      <w:pPr>
                        <w:spacing w:line="360" w:lineRule="auto"/>
                        <w:ind w:firstLine="709"/>
                        <w:jc w:val="both"/>
                        <w:rPr>
                          <w:szCs w:val="24"/>
                          <w:lang w:eastAsia="lt-LT"/>
                        </w:rPr>
                      </w:pPr>
                      <w:sdt>
                        <w:sdtPr>
                          <w:alias w:val="Numeris"/>
                          <w:tag w:val="nr_c8ea9b1c291442cfb5b17ec1ddd783f1"/>
                          <w:lock w:val="sdtLocked"/>
                          <w:richText/>
                        </w:sdtPr>
                        <w:sdtContent>
                          <w:r>
                            <w:rPr>
                              <w:szCs w:val="24"/>
                              <w:lang w:eastAsia="lt-LT"/>
                            </w:rPr>
                            <w:t>2</w:t>
                          </w:r>
                        </w:sdtContent>
                      </w:sdt>
                      <w:r>
                        <w:rPr>
                          <w:szCs w:val="24"/>
                          <w:lang w:eastAsia="lt-LT"/>
                        </w:rPr>
                        <w:t xml:space="preserve">. Jeigu išmokos gavėjas persikelia gyventi į kitą savivaldybę, išmokos mokėjimas ankstesnėje savivaldybėje nutraukiamas nuo mėnesio, kurį asmuo pakeitė gyvenamąją vietą, paskutinės dienos. Kitoje savivaldybėje ši išmoka skiriama ir mokama ne anksčiau kaip nuo kito mėnesio po to, kai asmens gyvenamoji vieta buvo pakeista. </w:t>
                      </w:r>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88e5688f284442c84e0186553f9c596"/>
                    <w:lock w:val="sdtLocked"/>
                    <w:richText/>
                  </w:sdtPr>
                  <w:sdtContent>
                    <w:p>
                      <w:pPr>
                        <w:spacing w:line="360" w:lineRule="auto"/>
                        <w:ind w:firstLine="720"/>
                        <w:jc w:val="both"/>
                        <w:rPr>
                          <w:szCs w:val="24"/>
                        </w:rPr>
                      </w:pPr>
                      <w:sdt>
                        <w:sdtPr>
                          <w:alias w:val="Numeris"/>
                          <w:tag w:val="nr_e88e5688f284442c84e0186553f9c596"/>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p>
                      <w:pPr>
                        <w:spacing w:line="360" w:lineRule="auto"/>
                        <w:ind w:firstLine="720"/>
                        <w:jc w:val="both"/>
                        <w:rPr>
                          <w:szCs w:val="24"/>
                        </w:rPr>
                      </w:pPr>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fbda6241d262415f9db8089fefd24e04"/>
                    <w:lock w:val="sdtLocked"/>
                    <w:richText/>
                  </w:sdtPr>
                  <w:sdtContent>
                    <w:p>
                      <w:pPr>
                        <w:spacing w:line="360" w:lineRule="auto"/>
                        <w:ind w:firstLine="709"/>
                        <w:jc w:val="both"/>
                        <w:rPr>
                          <w:szCs w:val="24"/>
                        </w:rPr>
                      </w:pPr>
                      <w:sdt>
                        <w:sdtPr>
                          <w:alias w:val="Numeris"/>
                          <w:tag w:val="nr_fbda6241d262415f9db8089fefd24e04"/>
                          <w:lock w:val="sdtLocked"/>
                          <w:richText/>
                        </w:sdtPr>
                        <w:sdtContent>
                          <w:r>
                            <w:rPr>
                              <w:color w:val="000000"/>
                              <w:szCs w:val="24"/>
                              <w:lang w:eastAsia="lt-LT"/>
                            </w:rPr>
                            <w:t>1</w:t>
                          </w:r>
                        </w:sdtContent>
                      </w:sdt>
                      <w:r>
                        <w:rPr>
                          <w:color w:val="000000"/>
                          <w:szCs w:val="24"/>
                          <w:lang w:eastAsia="lt-LT"/>
                        </w:rPr>
                        <w:t>. Sprendimas dėl išmokos, išskyrus vienkartinę išmoką vaikui ir vienkartinę išmoką nėščiai moteriai,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2 d."/>
                    <w:tag w:val="part_ab433464c2394b4e84788a2c9e298fe6"/>
                    <w:lock w:val="sdtLocked"/>
                    <w:richText/>
                  </w:sdtPr>
                  <w:sdtContent>
                    <w:p>
                      <w:pPr>
                        <w:spacing w:line="360" w:lineRule="auto"/>
                        <w:ind w:firstLine="720"/>
                        <w:jc w:val="both"/>
                        <w:rPr>
                          <w:szCs w:val="24"/>
                        </w:rPr>
                      </w:pPr>
                      <w:sdt>
                        <w:sdtPr>
                          <w:alias w:val="Numeris"/>
                          <w:tag w:val="nr_ab433464c2394b4e84788a2c9e298fe6"/>
                          <w:lock w:val="sdtLocked"/>
                          <w:richText/>
                        </w:sdtPr>
                        <w:sdtContent>
                          <w:r>
                            <w:rPr>
                              <w:szCs w:val="24"/>
                            </w:rPr>
                            <w:t>2</w:t>
                          </w:r>
                        </w:sdtContent>
                      </w:sdt>
                      <w:r>
                        <w:rPr>
                          <w:szCs w:val="24"/>
                        </w:rPr>
                        <w:t xml:space="preserve">. Prašymą pateikęs asmuo apie priimtą sprendimą dėl išmokos skyrimo, išskyrus atvejus, kai paskirta vienkartinė išmoka vaikui ir vienkartinė išmoka nėščiai moteriai išmokėta, yra informuojamas asmens prašyme nurodytu informavimo būdu ne vėliau kaip per 5 darbo dienas nuo šio sprendimo priėmimo dienos. Sprendimo skirti išmoką nuorašas siunčiamas tik asmens prašymu. Kai priimamas sprendimas neskirti išmokos, sprendime nurodomos neskyrimo priežastys, jo apskundimo tvarka ir terminai, asmens pateikti dokumentai grąžinami prašymą pateikusiam asmeniui, o išmoką skiriančioje savivaldybės administracijoje paliekamos šių dokumentų kopijos. </w:t>
                      </w:r>
                    </w:p>
                  </w:sdtContent>
                </w:sdt>
                <w:sdt>
                  <w:sdtPr>
                    <w:alias w:val="17 str. 3 d."/>
                    <w:tag w:val="part_2ae59e4bc114432d9c371fa8b822c574"/>
                    <w:lock w:val="sdtLocked"/>
                    <w:richText/>
                  </w:sdtPr>
                  <w:sdtContent>
                    <w:p>
                      <w:pPr>
                        <w:spacing w:line="360" w:lineRule="auto"/>
                        <w:ind w:firstLine="720"/>
                        <w:jc w:val="both"/>
                        <w:rPr>
                          <w:szCs w:val="24"/>
                        </w:rPr>
                      </w:pPr>
                      <w:sdt>
                        <w:sdtPr>
                          <w:alias w:val="Numeris"/>
                          <w:tag w:val="nr_2ae59e4bc114432d9c371fa8b822c574"/>
                          <w:lock w:val="sdtLocked"/>
                          <w:richText/>
                        </w:sdt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p>
                  </w:sdtContent>
                </w:sdt>
                <w:sdt>
                  <w:sdtPr>
                    <w:alias w:val="17 str. 4 d."/>
                    <w:tag w:val="part_094b2ea46db44693952ea84d3b8cc2a7"/>
                    <w:lock w:val="sdtLocked"/>
                    <w:richText/>
                  </w:sdtPr>
                  <w:sdtContent>
                    <w:p>
                      <w:pPr>
                        <w:spacing w:line="360" w:lineRule="auto"/>
                        <w:ind w:firstLine="720"/>
                        <w:jc w:val="both"/>
                        <w:rPr>
                          <w:szCs w:val="24"/>
                        </w:rPr>
                      </w:pPr>
                      <w:sdt>
                        <w:sdtPr>
                          <w:alias w:val="Numeris"/>
                          <w:tag w:val="nr_094b2ea46db44693952ea84d3b8cc2a7"/>
                          <w:lock w:val="sdtLocked"/>
                          <w:richText/>
                        </w:sdtPr>
                        <w:sdtContent>
                          <w:r>
                            <w:rPr>
                              <w:szCs w:val="24"/>
                            </w:rPr>
                            <w:t>4</w:t>
                          </w:r>
                        </w:sdtContent>
                      </w:sdt>
                      <w:r>
                        <w:rPr>
                          <w:szCs w:val="24"/>
                        </w:rPr>
                        <w:t xml:space="preserve">. Išmokos, išskyrus vienkartinę išmoką vaikui, vienkartinę išmoką nėščiai moteriai ir vienkartinę išmoką įsikurti,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 </w:t>
                      </w:r>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77bca157bdd74ab2ab896145a9c8d058"/>
                    <w:lock w:val="sdtLocked"/>
                    <w:richText/>
                  </w:sdtPr>
                  <w:sdtContent>
                    <w:p>
                      <w:pPr>
                        <w:spacing w:line="360" w:lineRule="auto"/>
                        <w:ind w:firstLine="709"/>
                        <w:jc w:val="both"/>
                        <w:rPr>
                          <w:szCs w:val="24"/>
                        </w:rPr>
                      </w:pPr>
                      <w:sdt>
                        <w:sdtPr>
                          <w:alias w:val="Numeris"/>
                          <w:tag w:val="nr_77bca157bdd74ab2ab896145a9c8d058"/>
                          <w:lock w:val="sdtLocked"/>
                          <w:richText/>
                        </w:sdtPr>
                        <w:sdtContent>
                          <w:r>
                            <w:rPr>
                              <w:color w:val="000000"/>
                              <w:szCs w:val="24"/>
                              <w:lang w:eastAsia="lt-LT"/>
                            </w:rPr>
                            <w:t>7</w:t>
                          </w:r>
                        </w:sdtContent>
                      </w:sdt>
                      <w:r>
                        <w:rPr>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color w:val="000000"/>
                          <w:szCs w:val="24"/>
                          <w:lang w:eastAsia="lt-LT"/>
                        </w:rPr>
                        <w:t xml:space="preserve"> </w:t>
                      </w:r>
                      <w:r>
                        <w:rPr>
                          <w:color w:val="000000"/>
                          <w:szCs w:val="24"/>
                          <w:lang w:eastAsia="lt-LT"/>
                        </w:rPr>
                        <w:t>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0a3e400e87b459d8bcc835dfdd8a225"/>
                    <w:lock w:val="sdtLocked"/>
                    <w:richText/>
                  </w:sdtPr>
                  <w:sdtContent>
                    <w:p>
                      <w:pPr>
                        <w:spacing w:line="360" w:lineRule="auto"/>
                        <w:ind w:firstLine="720"/>
                        <w:jc w:val="both"/>
                        <w:rPr>
                          <w:szCs w:val="24"/>
                        </w:rPr>
                      </w:pPr>
                      <w:sdt>
                        <w:sdtPr>
                          <w:alias w:val="Numeris"/>
                          <w:tag w:val="nr_10a3e400e87b459d8bcc835dfdd8a225"/>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p>
                      <w:pPr>
                        <w:spacing w:line="360" w:lineRule="auto"/>
                        <w:ind w:firstLine="720"/>
                        <w:jc w:val="both"/>
                        <w:rPr>
                          <w:szCs w:val="24"/>
                        </w:rPr>
                      </w:pPr>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ed209ea2666b4176a8ebc682b0de464d"/>
                    <w:lock w:val="sdtLocked"/>
                    <w:richText/>
                  </w:sdtPr>
                  <w:sdtContent>
                    <w:p>
                      <w:pPr>
                        <w:spacing w:line="360" w:lineRule="auto"/>
                        <w:ind w:firstLine="709"/>
                        <w:jc w:val="both"/>
                        <w:rPr>
                          <w:szCs w:val="24"/>
                        </w:rPr>
                      </w:pPr>
                      <w:sdt>
                        <w:sdtPr>
                          <w:alias w:val="Numeris"/>
                          <w:tag w:val="nr_ed209ea2666b4176a8ebc682b0de464d"/>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w:t>
                      </w:r>
                      <w:r>
                        <w:rPr>
                          <w:b/>
                          <w:szCs w:val="24"/>
                          <w:lang w:eastAsia="lt-LT"/>
                        </w:rPr>
                        <w:t xml:space="preserve"> </w:t>
                      </w:r>
                      <w:r>
                        <w:rPr>
                          <w:szCs w:val="24"/>
                          <w:lang w:eastAsia="lt-LT"/>
                        </w:rPr>
                        <w:t>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5 d."/>
                    <w:tag w:val="part_5abfcdd1d23b4b6d93e12972b0d1f4ca"/>
                    <w:lock w:val="sdtLocked"/>
                    <w:richText/>
                  </w:sdtPr>
                  <w:sdtContent>
                    <w:p>
                      <w:pPr>
                        <w:spacing w:line="360" w:lineRule="auto"/>
                        <w:ind w:firstLine="709"/>
                        <w:jc w:val="both"/>
                        <w:rPr>
                          <w:szCs w:val="24"/>
                        </w:rPr>
                      </w:pPr>
                      <w:sdt>
                        <w:sdtPr>
                          <w:alias w:val="Numeris"/>
                          <w:tag w:val="nr_5abfcdd1d23b4b6d93e12972b0d1f4ca"/>
                          <w:lock w:val="sdtLocked"/>
                          <w:richText/>
                        </w:sdtPr>
                        <w:sdtContent>
                          <w:r>
                            <w:rPr>
                              <w:szCs w:val="24"/>
                            </w:rPr>
                            <w:t>5</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6 d."/>
                    <w:tag w:val="part_067d6d0d16e64d4581c94ba01e05fd92"/>
                    <w:lock w:val="sdtLocked"/>
                    <w:richText/>
                  </w:sdtPr>
                  <w:sdtContent>
                    <w:p>
                      <w:pPr>
                        <w:spacing w:line="360" w:lineRule="auto"/>
                        <w:ind w:firstLine="709"/>
                        <w:jc w:val="both"/>
                        <w:rPr>
                          <w:szCs w:val="24"/>
                        </w:rPr>
                      </w:pPr>
                      <w:sdt>
                        <w:sdtPr>
                          <w:alias w:val="Numeris"/>
                          <w:tag w:val="nr_067d6d0d16e64d4581c94ba01e05fd92"/>
                          <w:lock w:val="sdtLocked"/>
                          <w:richText/>
                        </w:sdtPr>
                        <w:sdtContent>
                          <w:r>
                            <w:rPr>
                              <w:szCs w:val="24"/>
                            </w:rPr>
                            <w:t>6</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7 d."/>
                    <w:tag w:val="part_190f8516934f430eb24c6a5b4317d4e6"/>
                    <w:lock w:val="sdtLocked"/>
                    <w:richText/>
                  </w:sdtPr>
                  <w:sdtContent>
                    <w:p>
                      <w:pPr>
                        <w:spacing w:line="360" w:lineRule="auto"/>
                        <w:ind w:firstLine="720"/>
                        <w:jc w:val="both"/>
                        <w:rPr>
                          <w:szCs w:val="24"/>
                        </w:rPr>
                      </w:pPr>
                      <w:sdt>
                        <w:sdtPr>
                          <w:alias w:val="Numeris"/>
                          <w:tag w:val="nr_190f8516934f430eb24c6a5b4317d4e6"/>
                          <w:lock w:val="sdtLocked"/>
                          <w:richText/>
                        </w:sdtPr>
                        <w:sdtContent>
                          <w:r>
                            <w:rPr>
                              <w:szCs w:val="24"/>
                            </w:rPr>
                            <w:t>7</w:t>
                          </w:r>
                        </w:sdtContent>
                      </w:sdt>
                      <w:r>
                        <w:rPr>
                          <w:szCs w:val="24"/>
                        </w:rPr>
                        <w:t>. Vienkartinė išmoka įsikurti išmokos gavėjo turi būti panaudota per 24 mėnesius nuo savivaldybės administracijos sprendimo skirti išmoką priėmimo dienos.</w:t>
                      </w:r>
                    </w:p>
                    <w:p>
                      <w:pPr>
                        <w:spacing w:line="360" w:lineRule="auto"/>
                        <w:ind w:firstLine="720"/>
                        <w:jc w:val="both"/>
                        <w:rPr>
                          <w:szCs w:val="24"/>
                        </w:rPr>
                      </w:pPr>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f6eeebae6ef04c868277bc0e8f73c27d"/>
                    <w:lock w:val="sdtLocked"/>
                    <w:richText/>
                  </w:sdtPr>
                  <w:sdtContent>
                    <w:p>
                      <w:pPr>
                        <w:spacing w:line="360" w:lineRule="auto"/>
                        <w:ind w:firstLine="720"/>
                        <w:jc w:val="both"/>
                        <w:rPr>
                          <w:szCs w:val="24"/>
                        </w:rPr>
                      </w:pPr>
                      <w:sdt>
                        <w:sdtPr>
                          <w:alias w:val="Numeris"/>
                          <w:tag w:val="nr_f6eeebae6ef04c868277bc0e8f73c27d"/>
                          <w:lock w:val="sdtLocked"/>
                          <w:richText/>
                        </w:sdtPr>
                        <w:sdtContent>
                          <w:r>
                            <w:rPr>
                              <w:szCs w:val="24"/>
                            </w:rPr>
                            <w:t>4</w:t>
                          </w:r>
                        </w:sdtContent>
                      </w:sdt>
                      <w:r>
                        <w:rPr>
                          <w:szCs w:val="24"/>
                        </w:rPr>
                        <w:t>. Asmenims, patiriantiems socialinę riziką, išmokos dydis piniginėmis lėšomis negali viršyti 50 procentų paskirtos išmokos dydžio, išskyrus atvejus, kai atvejo vadybininkas, koordinuojantis atvejo vadybos procesą, rekomenduoja didesnę kaip 50 procentų paskirtos išmokos dydžio sumą mokėti piniginėmis lėšomis, o kai atvejo vadyba netaikoma, – atsižvelgiant į socialinio darbuotojo, dirbančio su asmenimis, patiriančiais socialinę riziką, rekomendaciją.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f4aaa131ff564237b83c5d9e7284d57e"/>
                    <w:lock w:val="sdtLocked"/>
                    <w:richText/>
                  </w:sdtPr>
                  <w:sdtContent>
                    <w:p>
                      <w:pPr>
                        <w:spacing w:line="360" w:lineRule="auto"/>
                        <w:ind w:firstLine="720"/>
                        <w:jc w:val="both"/>
                        <w:rPr>
                          <w:szCs w:val="24"/>
                        </w:rPr>
                      </w:pPr>
                      <w:sdt>
                        <w:sdtPr>
                          <w:alias w:val="Numeris"/>
                          <w:tag w:val="nr_f4aaa131ff564237b83c5d9e7284d57e"/>
                          <w:lock w:val="sdtLocked"/>
                          <w:richText/>
                        </w:sdtPr>
                        <w:sdtContent>
                          <w:r>
                            <w:rPr>
                              <w:szCs w:val="24"/>
                            </w:rPr>
                            <w:t>2</w:t>
                          </w:r>
                        </w:sdtContent>
                      </w:sdt>
                      <w:r>
                        <w:rPr>
                          <w:szCs w:val="24"/>
                        </w:rPr>
                        <w:t xml:space="preserve">. Išmokos gavėjas privalo pranešti savivaldybės administracijai apie šio įstatymo 21 straipsnio 1 dalyje nurodytas aplinkybes, turinčias įtakos išmokų dydžiui ar mokėjimui, ne vėliau kaip per mėnesį nuo dienos, kurią sužinojo ar turėjo sužinoti apie šių aplinkybių atsiradimą. </w:t>
                      </w:r>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36cd55deeb364456b0154f0e8e13f9e6"/>
                        <w:lock w:val="sdtLocked"/>
                        <w:richText/>
                      </w:sdtPr>
                      <w:sdtContent>
                        <w:p>
                          <w:pPr>
                            <w:tabs>
                              <w:tab w:val="left" w:pos="0"/>
                            </w:tabs>
                            <w:spacing w:line="360" w:lineRule="auto"/>
                            <w:ind w:firstLine="709"/>
                            <w:jc w:val="both"/>
                            <w:rPr>
                              <w:szCs w:val="24"/>
                            </w:rPr>
                          </w:pPr>
                          <w:sdt>
                            <w:sdtPr>
                              <w:alias w:val="Numeris"/>
                              <w:tag w:val="nr_36cd55deeb364456b0154f0e8e13f9e6"/>
                              <w:lock w:val="sdtLocked"/>
                              <w:richText/>
                            </w:sdtPr>
                            <w:sdtContent>
                              <w:r>
                                <w:rPr>
                                  <w:szCs w:val="24"/>
                                </w:rPr>
                                <w:t>16</w:t>
                              </w:r>
                            </w:sdtContent>
                          </w:sdt>
                          <w:r>
                            <w:rPr>
                              <w:szCs w:val="24"/>
                            </w:rPr>
                            <w:t>) išmokos gavėjui persikėlus nuolat gyventi į kitą valstybę, – nuo mėnesio, kurį asmuo persikėlė nuolat gyventi į kitą valstybę, paskutinės dienos, jeigu Lietuvos Respublikos</w:t>
                          </w:r>
                          <w:r>
                            <w:rPr>
                              <w:b/>
                              <w:szCs w:val="24"/>
                            </w:rPr>
                            <w:t xml:space="preserve"> </w:t>
                          </w:r>
                          <w:r>
                            <w:rPr>
                              <w:szCs w:val="24"/>
                            </w:rPr>
                            <w:t>tarptautinėse sutartyse ar Europos Sąjungos teisės aktuose nenustatyta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373975b42bcc425684056cecfb9a5e20"/>
                    <w:lock w:val="sdtLocked"/>
                    <w:richText/>
                  </w:sdtPr>
                  <w:sdtContent>
                    <w:p>
                      <w:pPr>
                        <w:spacing w:line="360" w:lineRule="auto"/>
                        <w:ind w:firstLine="720"/>
                        <w:jc w:val="both"/>
                        <w:rPr>
                          <w:szCs w:val="24"/>
                        </w:rPr>
                      </w:pPr>
                      <w:sdt>
                        <w:sdtPr>
                          <w:alias w:val="Numeris"/>
                          <w:tag w:val="nr_373975b42bcc425684056cecfb9a5e20"/>
                          <w:lock w:val="sdtLocked"/>
                          <w:richText/>
                        </w:sdtPr>
                        <w:sdtContent>
                          <w:r>
                            <w:rPr>
                              <w:szCs w:val="24"/>
                            </w:rPr>
                            <w:t>2</w:t>
                          </w:r>
                        </w:sdtContent>
                      </w:sdt>
                      <w:r>
                        <w:rPr>
                          <w:szCs w:val="24"/>
                        </w:rPr>
                        <w:t xml:space="preserve">. Savivaldybės administracija sustabdo išmokų mokėjimą, jeigu išmokos gavėjas nevykdo šio įstatymo 22 straipsnyje nustatytų pareigų, nuo faktinių aplinkybių atsiradimo dienos, iki pareigos bus įvykdytos. </w:t>
                      </w:r>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4EE561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0 p." DocPartId="ee2aa16af8c347939a00cb46a4867d01" PartId="23742920c3234864b72d60355c6204ab"/>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e8ecdfdc89e343278a3ae4a80176cac8"/>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db6c0e35670344d9b9ce2fa012454f31"/>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3 str. 1 d. 9 p." DocPartId="9fc714ec810448029e1b1a293f6faf00" PartId="444d1d4b1b4940aba1f88721dd756832"/>
          <Part Type="strPunktas" Nr="10" Abbr="3 str. 1 d. 10 p." DocPartId="f573eda47d294d2c8ab8a40e4ee01445" PartId="eda3ad524ead4d86ab87ddfe5446c36f"/>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2ef58b47cae74b70b2c0e4005b65cd02">
        <Part Type="strDalis" Nr="1" Abbr="6 str. 1 d." DocPartId="06884b9f650e41cea9e8030d0c3d45e9" PartId="2b7c052487914c22b1efdc860d61f01a"/>
        <Part Type="strDalis" Nr="2" Abbr="6 str. 2 d." DocPartId="c21e30d496aa4561ae7781320bc529fc" PartId="c73b4ca9868649b1bbb558e7c68abebe">
          <Part Type="strPunktas" Nr="1" Abbr="6 str. 2 d. 1 p." DocPartId="a24f2d9dc09d48d9afb817e26f995546" PartId="4ac62b3d031548799f9fe850a33f17dc"/>
          <Part Type="strPunktas" Nr="2" Abbr="6 str. 2 d. 2 p." DocPartId="a12f59378c2e4a86b4cdb127a7b4b9ad" PartId="91a61af246e648b299f873549374e007"/>
        </Part>
        <Part Type="strDalis" Nr="3" Abbr="6 str. 3 d." DocPartId="22459385bef2488291f7dc8383f795bf" PartId="1a129a72df75439f8ad6cf6543e40ba7"/>
        <Part Type="strDalis" Nr="4" Abbr="6 str. 4 d." DocPartId="71eaa563856348298db5c21c5b09e799" PartId="c2e5c0f61de24dff964f24a3679b4d67"/>
        <Part Type="strDalis" Nr="5" Abbr="6 str. 5 d." DocPartId="1798c1dd546d4127b4f5a1f2602f69e5" PartId="6fd3f27bd2434af3834716a7cf431aa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6d7a29fce9be4ada8be7fa385a4ca93b"/>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6c51b68393534b21b5ec4257579ff4f4"/>
        <Part Type="strDalis" Nr="2" Abbr="9 str. 2 d." DocPartId="1301dac3f9964419a0dc28509acf8227" PartId="c48f84a5ee9845caacb4a3a9bd50aaa1"/>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42fdc815c49c4538ba852a770e04fba7"/>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fa799d12e73b449da5f40e2603a1e932"/>
        <Part Type="strDalis" Nr="2" Abbr="10 str. 2 d." DocPartId="2b1628e82070457d84f56de7f7c4f93d" PartId="bdf45c86384444ebbda3d14c159d6f82"/>
      </Part>
    </Part>
    <Part Type="skyrius" Nr="3" Title="GLOBOS (RŪPYBOS) IŠMOKA, GLOBOS (RŪPYBOS) IŠMOKOS TIKSLINIS PRIEDAS, VIENKARTINĖ IŠMOKA ĮSIKURTI IR IŠMOKA ĮVAIKINUS VAIKĄ" DocPartId="85b5a242352146f78955d5172bc335b6" PartId="8a5efe6a8c384286905d98a24a5914c2">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997b434bc26045a99eb8d2fcd5604146">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c8ea9b1c291442cfb5b17ec1ddd783f1"/>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88e5688f284442c84e0186553f9c596"/>
      </Part>
      <Part Type="straipsnis" Nr="17" Abbr="17 str." Title="Išmokų skyrimas ir mokėjimas" DocPartId="cad1782b18854557bbf23e2457926e03" PartId="9a26f282cca04016b1be775218c2a630">
        <Part Type="strDalis" Nr="1" Abbr="17 str. 1 d." DocPartId="2f7bc73961a64146b288bce1bbd3efc3" PartId="fbda6241d262415f9db8089fefd24e04"/>
        <Part Type="strDalis" Nr="2" Abbr="17 str. 2 d." DocPartId="4f5a8255fedc4032ba7e93c006a6b096" PartId="ab433464c2394b4e84788a2c9e298fe6"/>
        <Part Type="strDalis" Nr="3" Abbr="17 str. 3 d." DocPartId="e1370f8362694fd090b20669cf999dd3" PartId="2ae59e4bc114432d9c371fa8b822c574"/>
        <Part Type="strDalis" Nr="4" Abbr="17 str. 4 d." DocPartId="a498d5e280b94b6aa493f8597a8c9459" PartId="094b2ea46db44693952ea84d3b8cc2a7"/>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77bca157bdd74ab2ab896145a9c8d058"/>
        <Part Type="strDalis" Nr="8" Abbr="17 str. 8 d." DocPartId="7db188595453487d97a7300b781c38e8" PartId="12bf07e1dc4d473fb56fc547ff3c041e"/>
        <Part Type="strDalis" Nr="9" Abbr="17 str. 9 d." DocPartId="6f2c9c52616b4805998a725d44484990" PartId="10a3e400e87b459d8bcc835dfdd8a225"/>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ed209ea2666b4176a8ebc682b0de464d"/>
        <Part Type="strDalis" Nr="5" Abbr="18 str. 5 d." DocPartId="51dd9651fa34479c8e977ef87bb5e12c" PartId="5abfcdd1d23b4b6d93e12972b0d1f4ca"/>
        <Part Type="strDalis" Nr="6" Abbr="18 str. 6 d." DocPartId="e9f1d2ca6da04ff1b5eb71f2d1e5a216" PartId="067d6d0d16e64d4581c94ba01e05fd92"/>
        <Part Type="strDalis" Nr="7" Abbr="18 str. 7 d." DocPartId="3d6a7f51f56d43cb9214d710d9dd4931" PartId="190f8516934f430eb24c6a5b4317d4e6"/>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f6eeebae6ef04c868277bc0e8f73c27d"/>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f4aaa131ff564237b83c5d9e7284d57e"/>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36cd55deeb364456b0154f0e8e13f9e6"/>
        </Part>
        <Part Type="strDalis" Nr="2" Abbr="21 str. 2 d." DocPartId="95ef5500043748ddbb4a00c3cb126083" PartId="373975b42bcc425684056cecfb9a5e20"/>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BD925559-396B-4FF9-9552-CA5407595F8D}">
  <ds:schemaRefs>
    <ds:schemaRef ds:uri="http://lrs.lt/TAIS/DocParts"/>
  </ds:schemaRefs>
</ds:datastoreItem>
</file>

<file path=docProps/app.xml><?xml version="1.0" encoding="utf-8"?>
<Properties xmlns="http://schemas.openxmlformats.org/officeDocument/2006/extended-properties">
  <Template>Normal.dotm</Template>
  <TotalTime>37</TotalTime>
  <Pages>28</Pages>
  <Words>47556</Words>
  <Characters>27108</Characters>
  <Application>Microsoft Office Word</Application>
  <DocSecurity>0</DocSecurity>
  <Lines>225</Lines>
  <Paragraphs>149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74515</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2019-09-02T05:16:00Z</dcterms:modified>
  <revision>31</revision>
  <dc:title>LIETUVOS RESPUBLIKOS</dc:title>
</coreProperties>
</file>