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2024-10-10 iki 2024-11-30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320e4557bf834d7199e7d9f6f031a6ed"/>
                    <w:lock w:val="sdtLocked"/>
                    <w:richText/>
                  </w:sdtPr>
                  <w:sdtContent>
                    <w:p>
                      <w:pPr>
                        <w:widowControl w:val="0"/>
                        <w:spacing w:line="400" w:lineRule="atLeast"/>
                        <w:ind w:firstLine="720"/>
                        <w:jc w:val="both"/>
                        <w:rPr>
                          <w:szCs w:val="24"/>
                        </w:rPr>
                      </w:pPr>
                      <w:sdt>
                        <w:sdtPr>
                          <w:alias w:val="Numeris"/>
                          <w:tag w:val="nr_320e4557bf834d7199e7d9f6f031a6ed"/>
                          <w:lock w:val="sdtLocked"/>
                          <w:richText/>
                        </w:sdtPr>
                        <w:sdtContent>
                          <w:r>
                            <w:rPr>
                              <w:szCs w:val="24"/>
                            </w:rPr>
                            <w:t>7</w:t>
                          </w:r>
                        </w:sdtContent>
                      </w:sdt>
                      <w:r>
                        <w:rPr>
                          <w:szCs w:val="24"/>
                        </w:rPr>
                        <w:t xml:space="preserve">. </w:t>
                      </w:r>
                      <w:r>
                        <w:rPr>
                          <w:bCs/>
                          <w:szCs w:val="24"/>
                          <w:lang w:eastAsia="lt-LT"/>
                        </w:rPr>
                        <w:t xml:space="preserve">Savivaldybės tarybos komisijų posėdžių metu daromas garso ir vaizdo įrašas. </w:t>
                      </w:r>
                      <w:r>
                        <w:rPr>
                          <w:szCs w:val="24"/>
                        </w:rPr>
                        <w:t>Komisijų posėdžiai, išskyrus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e9e0fb7080f54117801dfed792c37044"/>
                    <w:lock w:val="sdtLocked"/>
                    <w:richText/>
                  </w:sdtPr>
                  <w:sdtContent>
                    <w:p>
                      <w:pPr>
                        <w:widowControl w:val="0"/>
                        <w:tabs>
                          <w:tab w:val="left" w:pos="709"/>
                        </w:tabs>
                        <w:spacing w:line="400" w:lineRule="atLeast"/>
                        <w:ind w:firstLine="720"/>
                        <w:jc w:val="both"/>
                        <w:rPr>
                          <w:szCs w:val="24"/>
                        </w:rPr>
                      </w:pPr>
                      <w:sdt>
                        <w:sdtPr>
                          <w:alias w:val="Numeris"/>
                          <w:tag w:val="nr_e9e0fb7080f54117801dfed792c37044"/>
                          <w:lock w:val="sdtLocked"/>
                          <w:richText/>
                        </w:sdtPr>
                        <w:sdtContent>
                          <w:r>
                            <w:rPr>
                              <w:szCs w:val="24"/>
                              <w:shd w:val="clear" w:color="auto" w:fill="FFFFFF"/>
                            </w:rPr>
                            <w:t>5</w:t>
                          </w:r>
                        </w:sdtContent>
                      </w:sdt>
                      <w:r>
                        <w:rPr>
                          <w:szCs w:val="24"/>
                          <w:shd w:val="clear" w:color="auto" w:fill="FFFFFF"/>
                        </w:rPr>
                        <w:t>. Mero sprendimai įforminami potvarkiais</w:t>
                      </w:r>
                      <w:r>
                        <w:rPr>
                          <w:bCs/>
                          <w:szCs w:val="24"/>
                          <w:shd w:val="clear" w:color="auto" w:fill="FFFFFF"/>
                        </w:rPr>
                        <w:t>.</w:t>
                      </w:r>
                      <w:r>
                        <w:rPr>
                          <w:bCs/>
                          <w:szCs w:val="24"/>
                        </w:rPr>
                        <w:t xml:space="preserve"> Mero potvarkiai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5db9fe23cebd40dd8d11149987dc1bd3"/>
                        <w:lock w:val="sdtLocked"/>
                        <w:richText/>
                      </w:sdtPr>
                      <w:sdtContent>
                        <w:p>
                          <w:pPr>
                            <w:widowControl w:val="0"/>
                            <w:tabs>
                              <w:tab w:val="left" w:pos="567"/>
                            </w:tabs>
                            <w:spacing w:line="400" w:lineRule="atLeast"/>
                            <w:ind w:firstLine="720"/>
                            <w:jc w:val="both"/>
                          </w:pPr>
                          <w:sdt>
                            <w:sdtPr>
                              <w:alias w:val="Numeris"/>
                              <w:tag w:val="nr_5db9fe23cebd40dd8d11149987dc1bd3"/>
                              <w:lock w:val="sdtLocked"/>
                              <w:richText/>
                            </w:sdtPr>
                            <w:sdtContent>
                              <w:r>
                                <w:rPr>
                                  <w:bCs/>
                                  <w:szCs w:val="24"/>
                                </w:rPr>
                                <w:t>29</w:t>
                              </w:r>
                            </w:sdtContent>
                          </w:sdt>
                          <w:r>
                            <w:rPr>
                              <w:bCs/>
                              <w:szCs w:val="24"/>
                            </w:rPr>
                            <w:t xml:space="preserve">) išduoda sutikimus ir priima sprendimus dėl savivaldybės patikėjimo teise valdomos valstybinės žemės naudojimo, susijusius su statytojo teisės įgyvendinimu, susisiekimo komunikacijų, inžinerinių tinklų tiesimu, veikla vandens telkiniuose ir žemės gelmių tyrimu; </w:t>
                          </w:r>
                          <w:r>
                            <w:rPr>
                              <w:bCs/>
                              <w:szCs w:val="24"/>
                              <w:lang w:eastAsia="ja-JP"/>
                            </w:rPr>
                            <w:t xml:space="preserve">valstybinės žemės nuomos teisės perleidimo ar įkeitimo; teritorijų, kuriose taikomos specialiosios žemės naudojimo sąlygos, nustatymo; </w:t>
                          </w:r>
                          <w:r>
                            <w:rPr>
                              <w:bCs/>
                              <w:szCs w:val="24"/>
                            </w:rPr>
                            <w:t>sandoriu nustatomų servitutų patikėjimo teise valdomuose valstybinės žemės sklypuose nustatymo</w:t>
                          </w:r>
                          <w:r>
                            <w:rPr>
                              <w:bCs/>
                              <w:iCs/>
                              <w:szCs w:val="24"/>
                            </w:rPr>
                            <w:t>, bendraturčio teisių įgyvendinimo</w:t>
                          </w:r>
                          <w:r>
                            <w:rPr>
                              <w:iCs/>
                              <w:szCs w:val="24"/>
                            </w:rPr>
                            <w:t xml:space="preserve"> </w:t>
                          </w:r>
                          <w:r>
                            <w:rPr>
                              <w:bCs/>
                              <w:iCs/>
                              <w:szCs w:val="24"/>
                            </w:rPr>
                            <w:t>ir pasirašymo žemės sklypo ribų paženklinimo akte ir (ar) žemės sklypo plane</w:t>
                          </w:r>
                          <w:r>
                            <w:rPr>
                              <w:iCs/>
                              <w:szCs w:val="24"/>
                            </w:rPr>
                            <w:t>;</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p."/>
                        <w:tag w:val="part_ec590c2eb91646448d8649818ca06986"/>
                        <w:lock w:val="sdtLocked"/>
                        <w:richText/>
                      </w:sdtPr>
                      <w:sdtContent>
                        <w:p>
                          <w:pPr>
                            <w:tabs>
                              <w:tab w:val="left" w:pos="709"/>
                            </w:tabs>
                            <w:spacing w:line="360" w:lineRule="auto"/>
                            <w:ind w:firstLine="720"/>
                            <w:jc w:val="both"/>
                            <w:rPr>
                              <w:szCs w:val="24"/>
                            </w:rPr>
                          </w:pPr>
                          <w:sdt>
                            <w:sdtPr>
                              <w:alias w:val="Numeris"/>
                              <w:tag w:val="nr_ec590c2eb91646448d8649818ca069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pPr>
                          <w:r>
                            <w:rPr>
                              <w:szCs w:val="24"/>
                            </w:rPr>
                            <w:t xml:space="preserve">30) </w:t>
                          </w:r>
                          <w:r>
                            <w:rPr>
                              <w:i/>
                              <w:sz w:val="22"/>
                              <w:szCs w:val="22"/>
                            </w:rPr>
                            <w:t>netenka galios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81fc2276900b429788d0b6485321850a"/>
                    <w:lock w:val="sdtLocked"/>
                    <w:richText/>
                  </w:sdtPr>
                  <w:sdtContent>
                    <w:p>
                      <w:pPr>
                        <w:tabs>
                          <w:tab w:val="left" w:pos="709"/>
                        </w:tabs>
                        <w:spacing w:line="360" w:lineRule="auto"/>
                        <w:ind w:firstLine="720"/>
                        <w:jc w:val="both"/>
                        <w:rPr>
                          <w:szCs w:val="24"/>
                        </w:rPr>
                      </w:pPr>
                      <w:sdt>
                        <w:sdtPr>
                          <w:alias w:val="Numeris"/>
                          <w:tag w:val="nr_81fc2276900b429788d0b6485321850a"/>
                          <w:lock w:val="sdtLocked"/>
                          <w:richText/>
                        </w:sdtPr>
                        <w:sdtContent>
                          <w:r>
                            <w:t>4</w:t>
                          </w:r>
                        </w:sdtContent>
                      </w:sdt>
                      <w:r>
                        <w:t>. Šio straipsnio 2 dalies 12, 13, 28</w:t>
                      </w:r>
                      <w:r>
                        <w:rPr>
                          <w:bCs/>
                        </w:rPr>
                        <w:t>,</w:t>
                      </w:r>
                      <w:r>
                        <w:t xml:space="preserve"> 29 </w:t>
                      </w:r>
                      <w:r>
                        <w:rPr>
                          <w:bCs/>
                        </w:rPr>
                        <w:t>ir 30</w:t>
                      </w:r>
                      <w:r>
                        <w:t xml:space="preserve"> punktuose nustatytas funkcijas meras, merą pavaduojantis vicemeras arba laikinai mero pareigas einantis savivaldybės tarybos narys turi teisę įgalioti atlikti savivaldybės administracijos direktorių.</w:t>
                      </w:r>
                      <w:r>
                        <w:rPr>
                          <w:szCs w:val="24"/>
                        </w:rPr>
                        <w:t xml:space="preserve"> </w:t>
                      </w:r>
                    </w:p>
                    <w:p>
                      <w:pPr>
                        <w:tabs>
                          <w:tab w:val="left" w:pos="709"/>
                        </w:tabs>
                        <w:jc w:val="both"/>
                        <w:rPr>
                          <w:szCs w:val="24"/>
                        </w:rPr>
                      </w:pPr>
                    </w:p>
                    <w:p>
                      <w:pPr>
                        <w:tabs>
                          <w:tab w:val="left" w:pos="709"/>
                        </w:tabs>
                        <w:jc w:val="both"/>
                        <w:rPr>
                          <w:b/>
                          <w:i/>
                          <w:sz w:val="20"/>
                        </w:rPr>
                      </w:pPr>
                      <w:r>
                        <w:rPr>
                          <w:rFonts w:ascii="Arial" w:hAnsi="Arial" w:cs="Arial"/>
                          <w:b/>
                          <w:i/>
                          <w:sz w:val="20"/>
                        </w:rPr>
                        <w:t>Straipsnio dalies redakcija nuo 2027-01-01</w:t>
                      </w:r>
                      <w:r>
                        <w:rPr>
                          <w:b/>
                          <w:i/>
                          <w:sz w:val="20"/>
                        </w:rPr>
                        <w:t>:</w:t>
                      </w:r>
                    </w:p>
                    <w:p>
                      <w:pPr>
                        <w:tabs>
                          <w:tab w:val="left" w:pos="709"/>
                        </w:tabs>
                        <w:spacing w:line="360" w:lineRule="auto"/>
                        <w:ind w:firstLine="851"/>
                        <w:jc w:val="both"/>
                        <w:rPr>
                          <w:szCs w:val="24"/>
                        </w:rPr>
                      </w:pPr>
                      <w:r>
                        <w:rPr>
                          <w:szCs w:val="24"/>
                        </w:rPr>
                        <w:t xml:space="preserve">4. </w:t>
                      </w:r>
                      <w:r>
                        <w:t xml:space="preserve">Šio straipsnio 2 dalies 12, 13, 28 </w:t>
                      </w:r>
                      <w:r>
                        <w:rPr>
                          <w:bCs/>
                        </w:rPr>
                        <w:t>ir</w:t>
                      </w:r>
                      <w:r>
                        <w:t xml:space="preserve"> 29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b23ec316885c4a73a527d412c5e8d19f"/>
                    <w:lock w:val="sdtLocked"/>
                    <w:richText/>
                  </w:sdtPr>
                  <w:sdtContent>
                    <w:p>
                      <w:pPr>
                        <w:spacing w:line="360" w:lineRule="auto"/>
                        <w:ind w:firstLine="720"/>
                        <w:jc w:val="both"/>
                        <w:rPr>
                          <w:szCs w:val="24"/>
                          <w:lang w:eastAsia="lt-LT"/>
                        </w:rPr>
                      </w:pPr>
                      <w:sdt>
                        <w:sdtPr>
                          <w:alias w:val="Numeris"/>
                          <w:tag w:val="nr_b23ec316885c4a73a527d412c5e8d19f"/>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jc w:val="both"/>
                        <w:rPr>
                          <w:szCs w:val="24"/>
                        </w:rPr>
                      </w:pPr>
                      <w:r>
                        <w:rPr>
                          <w:b/>
                          <w:i/>
                          <w:sz w:val="20"/>
                          <w:lang w:eastAsia="lt-LT"/>
                        </w:rPr>
                        <w:t>TAR pastaba</w:t>
                      </w:r>
                      <w:r>
                        <w:rPr>
                          <w:i/>
                          <w:sz w:val="20"/>
                          <w:lang w:eastAsia="lt-LT"/>
                        </w:rPr>
                        <w:t xml:space="preserve">. </w:t>
                      </w:r>
                      <w:r>
                        <w:rPr>
                          <w:i/>
                          <w:sz w:val="20"/>
                        </w:rPr>
                        <w:t xml:space="preserve">Pripažinti, kad Lietuvos Respublikos vietos savivaldos įstatymo 55 straipsnio 3 dalies (2023 m. birželio 29 d. redakcija, TAR, 2023-07-05, Nr. 14000) nuostata „[Š]io straipsnio 2 dalies 1, 2 ir 4 punktuose nurodytais atvejais šio įstatymo 56 straipsnyje nustatyti reikalavimai ir Konkurencijos įstatymo 4 straipsnyje nustatyti reikalavimai ir draudimai nėra taikomi“ prieštarauja Lietuvos Respublikos Konstitucijos 46 straipsnio 1, 3, 4 dalims, 120 straipsnio 2 daliai, konstituciniam teisinės valstybės principui.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12a82870311efabdbb4a1fc8b0b63">
                        <w:r w:rsidRPr="00532B9F">
                          <w:rPr>
                            <w:rFonts w:ascii="Times New Roman" w:eastAsia="MS Mincho" w:hAnsi="Times New Roman"/>
                            <w:sz w:val="20"/>
                            <w:i/>
                            <w:iCs/>
                            <w:color w:val="0000FF" w:themeColor="hyperlink"/>
                            <w:u w:val="single"/>
                          </w:rPr>
                          <w:t>KT80-N11/2024</w:t>
                        </w:r>
                      </w:fldSimple>
                      <w:r>
                        <w:rPr>
                          <w:rFonts w:ascii="Times New Roman" w:eastAsia="MS Mincho" w:hAnsi="Times New Roman"/>
                          <w:sz w:val="20"/>
                          <w:i/>
                          <w:iCs/>
                        </w:rPr>
                        <w:t>,
2024-10-10,
paskelbta TAR 2024-10-10, i. k. 2024-17806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faf1187fb6ef49d3a7286949bf4044c0"/>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faf1187fb6ef49d3a7286949bf4044c0"/>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212a82870311efabdbb4a1fc8b0b63">
            <w:r w:rsidRPr="00532B9F">
              <w:rPr>
                <w:rFonts w:ascii="Times New Roman" w:eastAsia="MS Mincho" w:hAnsi="Times New Roman"/>
                <w:sz w:val="20"/>
                <w:iCs/>
                <w:color w:val="0000FF" w:themeColor="hyperlink"/>
                <w:u w:val="single"/>
              </w:rPr>
              <w:t>KT80-N11/2024</w:t>
            </w:r>
          </w:fldSimple>
          <w:r>
            <w:rPr>
              <w:rFonts w:ascii="Times New Roman" w:eastAsia="MS Mincho" w:hAnsi="Times New Roman"/>
              <w:sz w:val="20"/>
              <w:iCs/>
            </w:rPr>
            <w:t>,
2024-10-10,
paskelbta TAR 2024-10-10, i. k. 2024-17806                </w:t>
          </w:r>
        </w:p>
        <w:p>
          <w:pPr>
            <w:jc w:val="both"/>
            <w:rPr>
              <w:rFonts w:ascii="Times New Roman" w:hAnsi="Times New Roman"/>
            </w:rPr>
          </w:pPr>
          <w:r>
            <w:rPr>
              <w:rFonts w:ascii="Times New Roman" w:hAnsi="Times New Roman"/>
              <w:sz w:val="20"/>
            </w:rPr>
            <w:t>Dėl Lietuvos Respublikos vietos savivaldos įstatymo 55 straipsnio 3 dalies (2023 m. birželio 29 d. redakcija)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98B6D6E"/>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75.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76.xml"/>
  <Relationship Id="rId12" Type="http://schemas.openxmlformats.org/officeDocument/2006/relationships/footer" Target="footer175.xml"/>
  <Relationship Id="rId13" Type="http://schemas.openxmlformats.org/officeDocument/2006/relationships/footer" Target="footer176.xml"/>
  <Relationship Id="rId14" Type="http://schemas.openxmlformats.org/officeDocument/2006/relationships/header" Target="header177.xml"/>
  <Relationship Id="rId15" Type="http://schemas.openxmlformats.org/officeDocument/2006/relationships/footer" Target="footer177.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320e4557bf834d7199e7d9f6f031a6ed"/>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e9e0fb7080f54117801dfed792c37044"/>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5db9fe23cebd40dd8d11149987dc1bd3"/>
          <Part Type="strPunktas" Nr="30" Abbr="30 p." DocPartId="fc9279214cb14a7099a5a1c75d709208" PartId="ec590c2eb91646448d8649818ca06986"/>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81fc2276900b429788d0b648532185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b23ec316885c4a73a527d412c5e8d19f"/>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4" Abbr="67 str. 14 d." DocPartId="d02b7eaade4e4023bf727b1e53f56f2d" PartId="13b2c1ec47f54374a1ea4e6ebb92cdd8"/>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faf1187fb6ef49d3a7286949bf4044c0">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FF64B8B-F1E0-4ADE-ABFE-D590BA0E7C35}">
  <ds:schemaRefs>
    <ds:schemaRef ds:uri="http://lrs.lt/TAIS/DocParts"/>
  </ds:schemaRefs>
</ds:datastoreItem>
</file>

<file path=customXml/itemProps3.xml><?xml version="1.0" encoding="utf-8"?>
<ds:datastoreItem xmlns:ds="http://schemas.openxmlformats.org/officeDocument/2006/customXml" ds:itemID="{CB582787-3794-43DD-BE21-B5F4C73804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356</TotalTime>
  <Pages>86</Pages>
  <Words>26111</Words>
  <Characters>200238</Characters>
  <Application>Microsoft Office Word</Application>
  <DocSecurity>0</DocSecurity>
  <Lines>1668</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225898</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2024-10-30T14:50:00Z</dcterms:modified>
  <revision>145</revision>
  <dc:title>Redagavo: Ramunė Lūžaitė (1997</dc:title>
</coreProperties>
</file>