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2021-07-01 iki 2022-04-14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1f8d33f5a68b447c84e43fa89957bf69"/>
        <w:lock w:val="sdtLocked"/>
        <w:richText/>
      </w:sdtPr>
      <w:sdtContent>
        <w:p>
          <w:pPr>
            <w:widowControl w:val="0"/>
            <w:suppressAutoHyphens/>
            <w:ind w:firstLine="5394"/>
          </w:pPr>
        </w:p>
        <w:p>
          <w:pPr>
            <w:widowControl w:val="0"/>
            <w:suppressAutoHyphens/>
            <w:ind w:firstLine="3261"/>
            <w:rPr>
              <w:szCs w:val="24"/>
            </w:rP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1f8d33f5a68b447c84e43fa89957bf69"/>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054aeeafdee241ba97a55397f2ddd81e"/>
                <w:lock w:val="sdtLocked"/>
                <w:richText/>
              </w:sdtPr>
              <w:sdtContent>
                <w:p>
                  <w:pPr>
                    <w:ind w:firstLine="567"/>
                    <w:jc w:val="both"/>
                    <w:rPr>
                      <w:szCs w:val="24"/>
                    </w:rPr>
                  </w:pPr>
                  <w:sdt>
                    <w:sdtPr>
                      <w:alias w:val="Numeris"/>
                      <w:tag w:val="nr_054aeeafdee241ba97a55397f2ddd81e"/>
                      <w:lock w:val="sdtLocked"/>
                      <w:richText/>
                    </w:sdt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4-1 p."/>
                <w:tag w:val="part_9382b31dfff64e7ea289e0a6f415d312"/>
                <w:lock w:val="sdtLocked"/>
                <w:richText/>
              </w:sdtPr>
              <w:sdtContent>
                <w:p>
                  <w:pPr>
                    <w:ind w:firstLine="567"/>
                    <w:jc w:val="both"/>
                    <w:rPr>
                      <w:szCs w:val="24"/>
                    </w:rPr>
                  </w:pPr>
                  <w:sdt>
                    <w:sdtPr>
                      <w:alias w:val="Numeris"/>
                      <w:tag w:val="nr_9382b31dfff64e7ea289e0a6f415d312"/>
                      <w:lock w:val="sdtLocked"/>
                      <w:richText/>
                    </w:sdtPr>
                    <w:sdtContent>
                      <w:r>
                        <w:rPr>
                          <w:lang w:eastAsia="lt-LT"/>
                        </w:rPr>
                        <w:t>4</w:t>
                      </w:r>
                      <w:r>
                        <w:rPr>
                          <w:vertAlign w:val="superscript"/>
                          <w:lang w:eastAsia="lt-LT"/>
                        </w:rPr>
                        <w:t>1</w:t>
                      </w:r>
                    </w:sdtContent>
                  </w:sdt>
                  <w:r>
                    <w:rPr>
                      <w:color w:val="000000"/>
                      <w:lang w:eastAsia="lt-LT"/>
                    </w:rPr>
                    <w:t xml:space="preserve">. </w:t>
                  </w:r>
                  <w:r>
                    <w:rPr>
                      <w:szCs w:val="24"/>
                      <w:lang w:eastAsia="lt-LT"/>
                    </w:rPr>
                    <w:t xml:space="preserve">NKSC prie KAM turi filialą – Regioninį kibernetinės gynybos centrą (toliau – RKGC). RKGC buveinė – Savanorių pr. 349, 49425 Kaunas. RKGC turi antspaudą su Lietuvos Respublikos herbu ir pavadinimu, skiriamąjį ženklą, rengiamų dokumentų formas. RKGC nuostatus tvirtina NKSC prie KAM direktorius.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fdcbb7de6a404567a006684b986e296d"/>
                <w:lock w:val="sdtLocked"/>
                <w:richText/>
              </w:sdtPr>
              <w:sdtContent>
                <w:p>
                  <w:pPr>
                    <w:tabs>
                      <w:tab w:val="left" w:pos="1134"/>
                    </w:tabs>
                    <w:ind w:firstLine="567"/>
                    <w:jc w:val="both"/>
                    <w:rPr>
                      <w:spacing w:val="-10"/>
                      <w:szCs w:val="24"/>
                    </w:rPr>
                  </w:pPr>
                  <w:sdt>
                    <w:sdtPr>
                      <w:alias w:val="Numeris"/>
                      <w:tag w:val="nr_fdcbb7de6a404567a006684b986e296d"/>
                      <w:lock w:val="sdtLocked"/>
                      <w:richText/>
                    </w:sdtPr>
                    <w:sdtContent>
                      <w:r>
                        <w:rPr>
                          <w:szCs w:val="24"/>
                          <w:lang w:eastAsia="lt-LT"/>
                        </w:rPr>
                        <w:t>6</w:t>
                      </w:r>
                    </w:sdtContent>
                  </w:sdt>
                  <w:r>
                    <w:rPr>
                      <w:szCs w:val="24"/>
                      <w:lang w:eastAsia="lt-LT"/>
                    </w:rPr>
                    <w:t xml:space="preserve">. </w:t>
                  </w:r>
                  <w:r>
                    <w:rPr>
                      <w:spacing w:val="-2"/>
                      <w:szCs w:val="24"/>
                      <w:lang w:eastAsia="lt-LT"/>
                    </w:rPr>
                    <w:t xml:space="preserve">NKSC prie KAM </w:t>
                  </w:r>
                  <w:r>
                    <w:rPr>
                      <w:szCs w:val="24"/>
                      <w:lang w:eastAsia="lt-LT"/>
                    </w:rPr>
                    <w:t xml:space="preserve">vieši pranešimai skelbiami interneto svetainėje adresu </w:t>
                  </w:r>
                  <w:r>
                    <w:rPr>
                      <w:color w:val="000000"/>
                      <w:szCs w:val="24"/>
                      <w:lang w:eastAsia="lt-LT"/>
                    </w:rPr>
                    <w:t>www.nksc.lt,</w:t>
                  </w:r>
                  <w:r>
                    <w:rPr>
                      <w:szCs w:val="24"/>
                      <w:lang w:eastAsia="lt-LT"/>
                    </w:rPr>
                    <w:t xml:space="preserve"> </w:t>
                  </w:r>
                  <w:r>
                    <w:rPr>
                      <w:lang w:eastAsia="lt-LT"/>
                    </w:rPr>
                    <w:t>o įstatymų ir kitų teisės aktų nustatytais atvejais – ir kitose visuomenės informavimo priemonėse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bb7c408593994babb4ebe31d2f46c1c3"/>
                    <w:lock w:val="sdtLocked"/>
                    <w:richText/>
                  </w:sdtPr>
                  <w:sdtContent>
                    <w:p>
                      <w:pPr>
                        <w:ind w:firstLine="567"/>
                        <w:jc w:val="both"/>
                        <w:rPr>
                          <w:spacing w:val="-1"/>
                          <w:szCs w:val="24"/>
                          <w:lang w:eastAsia="lt-LT"/>
                        </w:rPr>
                      </w:pPr>
                      <w:sdt>
                        <w:sdtPr>
                          <w:alias w:val="Numeris"/>
                          <w:tag w:val="nr_bb7c408593994babb4ebe31d2f46c1c3"/>
                          <w:lock w:val="sdtLocked"/>
                          <w:richText/>
                        </w:sdtPr>
                        <w:sdtContent>
                          <w:r>
                            <w:rPr>
                              <w:szCs w:val="24"/>
                              <w:lang w:eastAsia="lt-LT"/>
                            </w:rPr>
                            <w:t>9.5</w:t>
                          </w:r>
                        </w:sdtContent>
                      </w:sdt>
                      <w:r>
                        <w:rPr>
                          <w:szCs w:val="24"/>
                          <w:lang w:eastAsia="lt-LT"/>
                        </w:rPr>
                        <w:t>. plėtoti tarptautinį bendradarbiavimą kibernetinio saugumo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46fa461e6bdd4134938c0c5096d9af48"/>
                    <w:lock w:val="sdtLocked"/>
                    <w:richText/>
                  </w:sdtPr>
                  <w:sdtContent>
                    <w:p>
                      <w:pPr>
                        <w:tabs>
                          <w:tab w:val="left" w:pos="1134"/>
                        </w:tabs>
                        <w:ind w:firstLine="567"/>
                        <w:jc w:val="both"/>
                      </w:pPr>
                      <w:sdt>
                        <w:sdtPr>
                          <w:alias w:val="Numeris"/>
                          <w:tag w:val="nr_46fa461e6bdd4134938c0c5096d9af48"/>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sdt>
                  <w:sdtPr>
                    <w:alias w:val="9.8 pp."/>
                    <w:tag w:val="part_5e67b2c4dfcf47b1a76ae0b629be8c41"/>
                    <w:lock w:val="sdtLocked"/>
                    <w:richText/>
                  </w:sdtPr>
                  <w:sdtContent>
                    <w:p>
                      <w:pPr>
                        <w:ind w:firstLine="567"/>
                        <w:jc w:val="both"/>
                      </w:pPr>
                      <w:sdt>
                        <w:sdtPr>
                          <w:alias w:val="Numeris"/>
                          <w:tag w:val="nr_5e67b2c4dfcf47b1a76ae0b629be8c41"/>
                          <w:lock w:val="sdtLocked"/>
                          <w:richText/>
                        </w:sdtPr>
                        <w:sdtContent>
                          <w:r>
                            <w:rPr>
                              <w:spacing w:val="-1"/>
                              <w:szCs w:val="24"/>
                              <w:lang w:eastAsia="lt-LT"/>
                            </w:rPr>
                            <w:t>9.8</w:t>
                          </w:r>
                        </w:sdtContent>
                      </w:sdt>
                      <w:r>
                        <w:rPr>
                          <w:spacing w:val="-1"/>
                          <w:szCs w:val="24"/>
                          <w:lang w:eastAsia="lt-LT"/>
                        </w:rPr>
                        <w:t>. atlikti</w:t>
                      </w:r>
                      <w:r>
                        <w:rPr>
                          <w:lang w:eastAsia="lt-LT"/>
                        </w:rPr>
                        <w:t xml:space="preserve"> nacionalinės kibernetinio saugumo sertifikavimo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9 pp."/>
                    <w:tag w:val="part_a2f2d3bd22914e5ab5603d5a7805ef4a"/>
                    <w:lock w:val="sdtLocked"/>
                    <w:richText/>
                  </w:sdtPr>
                  <w:sdtContent>
                    <w:p>
                      <w:pPr>
                        <w:ind w:firstLine="567"/>
                        <w:jc w:val="both"/>
                        <w:rPr>
                          <w:spacing w:val="-1"/>
                          <w:szCs w:val="24"/>
                        </w:rPr>
                      </w:pPr>
                      <w:sdt>
                        <w:sdtPr>
                          <w:alias w:val="Numeris"/>
                          <w:tag w:val="nr_a2f2d3bd22914e5ab5603d5a7805ef4a"/>
                          <w:lock w:val="sdtLocked"/>
                          <w:richText/>
                        </w:sdtPr>
                        <w:sdtContent>
                          <w:r>
                            <w:rPr>
                              <w:spacing w:val="-1"/>
                              <w:szCs w:val="24"/>
                              <w:lang w:eastAsia="lt-LT"/>
                            </w:rPr>
                            <w:t>9.9</w:t>
                          </w:r>
                        </w:sdtContent>
                      </w:sdt>
                      <w:r>
                        <w:rPr>
                          <w:spacing w:val="-1"/>
                          <w:szCs w:val="24"/>
                          <w:lang w:eastAsia="lt-LT"/>
                        </w:rPr>
                        <w:t>. koordinuoti kibernetinio saugumo subjektų ryšių ir informacinių sistemų spragų atsakingą atskleidimą.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1 p."/>
                <w:tag w:val="part_127ebc9a337d4426bcfdb0e5a8f757ae"/>
                <w:lock w:val="sdtLocked"/>
                <w:richText/>
              </w:sdtPr>
              <w:sdtContent>
                <w:p>
                  <w:pPr>
                    <w:ind w:firstLine="567"/>
                    <w:jc w:val="both"/>
                  </w:pPr>
                  <w:sdt>
                    <w:sdtPr>
                      <w:alias w:val="Numeris"/>
                      <w:tag w:val="nr_127ebc9a337d4426bcfdb0e5a8f757ae"/>
                      <w:lock w:val="sdtLocked"/>
                      <w:richText/>
                    </w:sdtPr>
                    <w:sdtContent>
                      <w:r>
                        <w:rPr>
                          <w:lang w:eastAsia="lt-LT"/>
                        </w:rPr>
                        <w:t>16</w:t>
                      </w:r>
                      <w:r>
                        <w:rPr>
                          <w:vertAlign w:val="superscript"/>
                          <w:lang w:eastAsia="lt-LT"/>
                        </w:rPr>
                        <w:t>1</w:t>
                      </w:r>
                    </w:sdtContent>
                  </w:sdt>
                  <w:r>
                    <w:rPr>
                      <w:spacing w:val="-5"/>
                      <w:szCs w:val="24"/>
                      <w:lang w:eastAsia="lt-LT"/>
                    </w:rPr>
                    <w:t xml:space="preserve">. </w:t>
                  </w:r>
                  <w:r>
                    <w:rPr>
                      <w:spacing w:val="-1"/>
                      <w:szCs w:val="24"/>
                      <w:lang w:eastAsia="lt-LT"/>
                    </w:rPr>
                    <w:t xml:space="preserve">Įgyvendindamas 9.8 papunktyje nurodytą tikslą, NKSC prie KAM </w:t>
                  </w:r>
                  <w:r>
                    <w:rPr>
                      <w:szCs w:val="24"/>
                      <w:lang w:eastAsia="lt-LT"/>
                    </w:rPr>
                    <w:t>atlieka KSĮ 18 straipsnio 2 dalyje jam nustatytas funkcijas</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2 p."/>
                <w:tag w:val="part_da5be18f6cb1458ab849111fb5f194fc"/>
                <w:lock w:val="sdtLocked"/>
                <w:richText/>
              </w:sdtPr>
              <w:sdtContent>
                <w:p>
                  <w:pPr>
                    <w:ind w:firstLine="567"/>
                    <w:jc w:val="both"/>
                    <w:rPr>
                      <w:spacing w:val="-1"/>
                      <w:szCs w:val="24"/>
                    </w:rPr>
                  </w:pPr>
                  <w:sdt>
                    <w:sdtPr>
                      <w:alias w:val="Numeris"/>
                      <w:tag w:val="nr_da5be18f6cb1458ab849111fb5f194fc"/>
                      <w:lock w:val="sdtLocked"/>
                      <w:richText/>
                    </w:sdtPr>
                    <w:sdtContent>
                      <w:r>
                        <w:rPr>
                          <w:lang w:eastAsia="lt-LT"/>
                        </w:rPr>
                        <w:t>16</w:t>
                      </w:r>
                      <w:r>
                        <w:rPr>
                          <w:vertAlign w:val="superscript"/>
                          <w:lang w:eastAsia="lt-LT"/>
                        </w:rPr>
                        <w:t>2</w:t>
                      </w:r>
                    </w:sdtContent>
                  </w:sdt>
                  <w:r>
                    <w:rPr>
                      <w:spacing w:val="-1"/>
                      <w:szCs w:val="24"/>
                      <w:lang w:eastAsia="lt-LT"/>
                    </w:rPr>
                    <w:t xml:space="preserve">. Įgyvendindamas 9.9 papunktyje nurodytą tikslą, NKSC prie KAM </w:t>
                  </w:r>
                  <w:r>
                    <w:rPr>
                      <w:szCs w:val="24"/>
                      <w:lang w:eastAsia="lt-LT"/>
                    </w:rPr>
                    <w:t xml:space="preserve">atlieka </w:t>
                  </w:r>
                  <w:r>
                    <w:rPr>
                      <w:lang w:eastAsia="lt-LT"/>
                    </w:rPr>
                    <w:t>KSĮ 8 straipsnio 2 dalies 16</w:t>
                  </w:r>
                  <w:r>
                    <w:rPr>
                      <w:vertAlign w:val="superscript"/>
                      <w:lang w:eastAsia="lt-LT"/>
                    </w:rPr>
                    <w:t xml:space="preserve">1 </w:t>
                  </w:r>
                  <w:r>
                    <w:rPr>
                      <w:lang w:eastAsia="lt-LT"/>
                    </w:rPr>
                    <w:t>punkte jam nustatytas funkcijas</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f92aa31facd44fc5b2cbc34f21fbff13"/>
                    <w:lock w:val="sdtLocked"/>
                    <w:richText/>
                  </w:sdtPr>
                  <w:sdtContent>
                    <w:p>
                      <w:pPr>
                        <w:widowControl w:val="0"/>
                        <w:tabs>
                          <w:tab w:val="left" w:pos="1134"/>
                        </w:tabs>
                        <w:suppressAutoHyphens/>
                        <w:ind w:firstLine="567"/>
                        <w:jc w:val="both"/>
                        <w:rPr>
                          <w:szCs w:val="24"/>
                        </w:rPr>
                      </w:pPr>
                      <w:sdt>
                        <w:sdtPr>
                          <w:alias w:val="Numeris"/>
                          <w:tag w:val="nr_f92aa31facd44fc5b2cbc34f21fbff13"/>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
                  <w:sdtPr>
                    <w:alias w:val="18.7 pp."/>
                    <w:tag w:val="part_f4848c2003e94b94b4342606821e8f59"/>
                    <w:lock w:val="sdtLocked"/>
                    <w:richText/>
                  </w:sdtPr>
                  <w:sdtContent>
                    <w:p>
                      <w:pPr>
                        <w:ind w:firstLine="567"/>
                        <w:jc w:val="both"/>
                        <w:rPr>
                          <w:szCs w:val="24"/>
                        </w:rPr>
                      </w:pPr>
                      <w:sdt>
                        <w:sdtPr>
                          <w:alias w:val="Numeris"/>
                          <w:tag w:val="nr_f4848c2003e94b94b4342606821e8f59"/>
                          <w:lock w:val="sdtLocked"/>
                          <w:richText/>
                        </w:sdtPr>
                        <w:sdtContent>
                          <w:r>
                            <w:rPr>
                              <w:szCs w:val="24"/>
                              <w:lang w:eastAsia="lt-LT"/>
                            </w:rPr>
                            <w:t>18.7</w:t>
                          </w:r>
                        </w:sdtContent>
                      </w:sdt>
                      <w:r>
                        <w:rPr>
                          <w:szCs w:val="24"/>
                          <w:lang w:eastAsia="lt-LT"/>
                        </w:rPr>
                        <w:t>. gauti paramą Lietuvos Respublikos labdaros ir paramos įstatymo ir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1 p."/>
                <w:tag w:val="part_d99ea7f2a61b4c71929d1c452743f34e"/>
                <w:lock w:val="sdtLocked"/>
                <w:richText/>
              </w:sdtPr>
              <w:sdtContent>
                <w:p>
                  <w:pPr>
                    <w:ind w:firstLine="567"/>
                    <w:jc w:val="both"/>
                    <w:rPr>
                      <w:szCs w:val="24"/>
                    </w:rPr>
                  </w:pPr>
                  <w:sdt>
                    <w:sdtPr>
                      <w:alias w:val="Numeris"/>
                      <w:tag w:val="nr_d99ea7f2a61b4c71929d1c452743f34e"/>
                      <w:lock w:val="sdtLocked"/>
                      <w:richText/>
                    </w:sdtPr>
                    <w:sdtContent>
                      <w:r>
                        <w:rPr>
                          <w:color w:val="000000"/>
                          <w:lang w:eastAsia="lt-LT"/>
                        </w:rPr>
                        <w:t>21</w:t>
                      </w:r>
                    </w:sdtContent>
                  </w:sdt>
                  <w:r>
                    <w:rPr>
                      <w:color w:val="000000"/>
                      <w:lang w:eastAsia="lt-LT"/>
                    </w:rPr>
                    <w:t xml:space="preserve">. </w:t>
                  </w:r>
                  <w:r>
                    <w:rPr>
                      <w:szCs w:val="24"/>
                      <w:lang w:eastAsia="lt-LT"/>
                    </w:rPr>
                    <w:t xml:space="preserve">NKSC prie KAM vadovauja direktorius, kurį </w:t>
                  </w:r>
                  <w:r>
                    <w:rPr>
                      <w:iCs/>
                      <w:szCs w:val="24"/>
                      <w:lang w:eastAsia="lt-LT"/>
                    </w:rPr>
                    <w:t xml:space="preserve">Lietuvos Respublikos valstybės tarnybos įstatymo nustatyta tvarka </w:t>
                  </w:r>
                  <w:r>
                    <w:rPr>
                      <w:szCs w:val="24"/>
                      <w:lang w:eastAsia="lt-LT"/>
                    </w:rPr>
                    <w:t xml:space="preserve">priima į pareigas ir iš jų atleidžia krašto apsaugos ministras. Laikinai nesant direktoriaus, jo funkcijas atlieka </w:t>
                  </w:r>
                  <w:r>
                    <w:rPr>
                      <w:iCs/>
                      <w:szCs w:val="24"/>
                      <w:lang w:eastAsia="lt-LT"/>
                    </w:rPr>
                    <w:t>krašto apsaugos ministro paskirtas NKSC prie KAM padalinio vadovas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1e187491d86d47ba9d8b90814d208f7b"/>
                <w:lock w:val="sdtLocked"/>
                <w:richText/>
              </w:sdtPr>
              <w:sdtContent>
                <w:p>
                  <w:pPr>
                    <w:widowControl w:val="0"/>
                    <w:tabs>
                      <w:tab w:val="left" w:pos="993"/>
                    </w:tabs>
                    <w:suppressAutoHyphens/>
                    <w:ind w:firstLine="567"/>
                    <w:jc w:val="both"/>
                    <w:rPr>
                      <w:szCs w:val="24"/>
                    </w:rPr>
                  </w:pPr>
                  <w:sdt>
                    <w:sdtPr>
                      <w:alias w:val="Numeris"/>
                      <w:tag w:val="nr_1e187491d86d47ba9d8b90814d208f7b"/>
                      <w:lock w:val="sdtLocked"/>
                      <w:richText/>
                    </w:sdtPr>
                    <w:sdtContent>
                      <w:r>
                        <w:rPr>
                          <w:szCs w:val="24"/>
                        </w:rPr>
                        <w:t>22</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605efea364c84710adbb26eb5623d064"/>
                    <w:lock w:val="sdtLocked"/>
                    <w:richText/>
                  </w:sdtPr>
                  <w:sdtContent>
                    <w:p>
                      <w:pPr>
                        <w:widowControl w:val="0"/>
                        <w:tabs>
                          <w:tab w:val="left" w:pos="1134"/>
                        </w:tabs>
                        <w:suppressAutoHyphens/>
                        <w:ind w:firstLine="567"/>
                        <w:jc w:val="both"/>
                        <w:rPr>
                          <w:szCs w:val="24"/>
                        </w:rPr>
                      </w:pPr>
                      <w:sdt>
                        <w:sdtPr>
                          <w:alias w:val="Numeris"/>
                          <w:tag w:val="nr_605efea364c84710adbb26eb5623d064"/>
                          <w:lock w:val="sdtLocked"/>
                          <w:richText/>
                        </w:sdtPr>
                        <w:sdtContent>
                          <w:r>
                            <w:rPr>
                              <w:szCs w:val="24"/>
                            </w:rPr>
                            <w:t>25.13</w:t>
                          </w:r>
                        </w:sdtContent>
                      </w:sdt>
                      <w:r>
                        <w:rPr>
                          <w:szCs w:val="24"/>
                        </w:rPr>
                        <w:t>.</w:t>
                        <w:tab/>
                        <w:t>pagal kompetenciją pasirašo teismo procesinius ir kitus dokumentus arba įstatymų nustatyta tvarka suteikia įgaliojimus juos pasirašyti;</w:t>
                      </w:r>
                    </w:p>
                  </w:sdtContent>
                </w:sdt>
                <w:sdt>
                  <w:sdtPr>
                    <w:alias w:val="25.14 pp."/>
                    <w:tag w:val="part_ea4759dc2ca14436871e5a10317f1881"/>
                    <w:lock w:val="sdtLocked"/>
                    <w:richText/>
                  </w:sdtPr>
                  <w:sdtContent>
                    <w:p>
                      <w:pPr>
                        <w:ind w:firstLine="567"/>
                        <w:jc w:val="both"/>
                        <w:rPr>
                          <w:szCs w:val="24"/>
                        </w:rPr>
                      </w:pPr>
                      <w:sdt>
                        <w:sdtPr>
                          <w:alias w:val="Numeris"/>
                          <w:tag w:val="nr_ea4759dc2ca14436871e5a10317f1881"/>
                          <w:lock w:val="sdtLocked"/>
                          <w:richText/>
                        </w:sdtPr>
                        <w:sdtContent>
                          <w:r>
                            <w:rPr>
                              <w:color w:val="000000"/>
                              <w:lang w:eastAsia="lt-LT"/>
                            </w:rPr>
                            <w:t>25.14</w:t>
                          </w:r>
                        </w:sdtContent>
                      </w:sdt>
                      <w:r>
                        <w:rPr>
                          <w:color w:val="000000"/>
                          <w:lang w:eastAsia="lt-LT"/>
                        </w:rPr>
                        <w:t xml:space="preserve">. </w:t>
                      </w:r>
                      <w:r>
                        <w:rPr>
                          <w:szCs w:val="24"/>
                          <w:lang w:eastAsia="lt-LT"/>
                        </w:rPr>
                        <w:t xml:space="preserve">skiria užduotis NKSC prie KAM vyriausiajam patarėjui, departamentams ir skyriams, nustato jų atsakomybę ir kontroliuoja, kaip jos vykdomos;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9c25e48c72e5428e800c43e98efe1ebf"/>
                    <w:lock w:val="sdtLocked"/>
                    <w:richText/>
                  </w:sdtPr>
                  <w:sdtContent>
                    <w:p>
                      <w:pPr>
                        <w:tabs>
                          <w:tab w:val="left" w:pos="1276"/>
                        </w:tabs>
                        <w:ind w:firstLine="567"/>
                        <w:jc w:val="both"/>
                        <w:rPr>
                          <w:szCs w:val="24"/>
                        </w:rPr>
                      </w:pPr>
                      <w:sdt>
                        <w:sdtPr>
                          <w:alias w:val="Numeris"/>
                          <w:tag w:val="nr_9c25e48c72e5428e800c43e98efe1ebf"/>
                          <w:lock w:val="sdtLocked"/>
                          <w:richText/>
                        </w:sdtPr>
                        <w:sdtContent>
                          <w:r>
                            <w:rPr>
                              <w:szCs w:val="24"/>
                            </w:rPr>
                            <w:t>25.16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9629cc19f7d459b84ea180701f30930"/>
                    <w:lock w:val="sdtLocked"/>
                    <w:richText/>
                  </w:sdtPr>
                  <w:sdtContent>
                    <w:p>
                      <w:pPr>
                        <w:widowControl w:val="0"/>
                        <w:tabs>
                          <w:tab w:val="left" w:pos="1134"/>
                        </w:tabs>
                        <w:suppressAutoHyphens/>
                        <w:ind w:firstLine="567"/>
                        <w:jc w:val="both"/>
                      </w:pPr>
                      <w:sdt>
                        <w:sdtPr>
                          <w:alias w:val="Numeris"/>
                          <w:tag w:val="nr_29629cc19f7d459b84ea180701f30930"/>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
                  <w:sdtPr>
                    <w:alias w:val="26.7 pp."/>
                    <w:tag w:val="part_f79a43d6af55454a8361415b08e4ee0f"/>
                    <w:lock w:val="sdtLocked"/>
                    <w:richText/>
                  </w:sdtPr>
                  <w:sdtContent>
                    <w:p>
                      <w:pPr>
                        <w:ind w:firstLine="567"/>
                        <w:jc w:val="both"/>
                        <w:rPr>
                          <w:dstrike/>
                          <w:szCs w:val="24"/>
                          <w:highlight w:val="lightGray"/>
                        </w:rPr>
                      </w:pPr>
                      <w:sdt>
                        <w:sdtPr>
                          <w:alias w:val="Numeris"/>
                          <w:tag w:val="nr_f79a43d6af55454a8361415b08e4ee0f"/>
                          <w:lock w:val="sdtLocked"/>
                          <w:richText/>
                        </w:sdtPr>
                        <w:sdtContent>
                          <w:r>
                            <w:rPr>
                              <w:lang w:eastAsia="lt-LT"/>
                            </w:rPr>
                            <w:t>26.7</w:t>
                          </w:r>
                        </w:sdtContent>
                      </w:sdt>
                      <w:r>
                        <w:rPr>
                          <w:lang w:eastAsia="lt-LT"/>
                        </w:rPr>
                        <w:t xml:space="preserve">. </w:t>
                      </w:r>
                      <w:r>
                        <w:rPr>
                          <w:szCs w:val="24"/>
                          <w:lang w:eastAsia="lt-LT"/>
                        </w:rPr>
                        <w:t>kontroliuoja Lietuvos Respublikos įstatymų, tarptautinių sutarčių, Seimo ir Vyriausybės nutarimų, krašto apsaugos ministro įsakymų ir kitų teisės aktų vykdymą, taip pat KAM vadovybės pavedimų įgyvendinimą NKSC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4c27d92a8810483abcfeab6767cde25f"/>
                <w:lock w:val="sdtLocked"/>
                <w:richText/>
              </w:sdtPr>
              <w:sdtContent>
                <w:p>
                  <w:pPr>
                    <w:widowControl w:val="0"/>
                    <w:tabs>
                      <w:tab w:val="left" w:pos="993"/>
                    </w:tabs>
                    <w:suppressAutoHyphens/>
                    <w:ind w:firstLine="567"/>
                    <w:jc w:val="both"/>
                    <w:rPr>
                      <w:szCs w:val="24"/>
                    </w:rPr>
                  </w:pPr>
                  <w:sdt>
                    <w:sdtPr>
                      <w:alias w:val="Numeris"/>
                      <w:tag w:val="nr_4c27d92a8810483abcfeab6767cde25f"/>
                      <w:lock w:val="sdtLocked"/>
                      <w:richText/>
                    </w:sdtPr>
                    <w:sdtContent>
                      <w:r>
                        <w:rPr>
                          <w:szCs w:val="24"/>
                        </w:rPr>
                        <w:t>30</w:t>
                      </w:r>
                    </w:sdtContent>
                  </w:sdt>
                  <w:r>
                    <w:rPr>
                      <w:szCs w:val="24"/>
                    </w:rPr>
                    <w:t>.</w:t>
                    <w:tab/>
                    <w:t>NKSC prie KAM buhalterinę apskaitą tvarko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1 p."/>
                <w:tag w:val="part_03456df92cfb42f1860a1f80230c366e"/>
                <w:lock w:val="sdtLocked"/>
                <w:richText/>
              </w:sdtPr>
              <w:sdtContent>
                <w:p>
                  <w:pPr>
                    <w:ind w:firstLine="567"/>
                    <w:jc w:val="both"/>
                  </w:pPr>
                  <w:sdt>
                    <w:sdtPr>
                      <w:alias w:val="Numeris"/>
                      <w:tag w:val="nr_03456df92cfb42f1860a1f80230c366e"/>
                      <w:lock w:val="sdtLocked"/>
                      <w:richText/>
                    </w:sdtPr>
                    <w:sdtContent>
                      <w:r>
                        <w:rPr>
                          <w:lang w:eastAsia="lt-LT"/>
                        </w:rPr>
                        <w:t>30</w:t>
                      </w:r>
                      <w:r>
                        <w:rPr>
                          <w:vertAlign w:val="superscript"/>
                          <w:lang w:eastAsia="lt-LT"/>
                        </w:rPr>
                        <w:t>1</w:t>
                      </w:r>
                    </w:sdtContent>
                  </w:sdt>
                  <w:r>
                    <w:rPr>
                      <w:szCs w:val="24"/>
                      <w:lang w:eastAsia="lt-LT"/>
                    </w:rPr>
                    <w:t>. NKSC prie KAM padalinių vadovai yra atskaitingi NKSC prie KAM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30-2 p."/>
                <w:tag w:val="part_73c0f19d891e4a52bd5e434bc7b78b54"/>
                <w:lock w:val="sdtLocked"/>
                <w:richText/>
              </w:sdtPr>
              <w:sdtContent>
                <w:p>
                  <w:pPr>
                    <w:ind w:firstLine="567"/>
                    <w:jc w:val="both"/>
                    <w:rPr>
                      <w:szCs w:val="24"/>
                    </w:rPr>
                  </w:pPr>
                  <w:sdt>
                    <w:sdtPr>
                      <w:alias w:val="Numeris"/>
                      <w:tag w:val="nr_73c0f19d891e4a52bd5e434bc7b78b54"/>
                      <w:lock w:val="sdtLocked"/>
                      <w:richText/>
                    </w:sdtPr>
                    <w:sdtContent>
                      <w:r>
                        <w:rPr>
                          <w:lang w:eastAsia="lt-LT"/>
                        </w:rPr>
                        <w:t>30</w:t>
                      </w:r>
                      <w:r>
                        <w:rPr>
                          <w:vertAlign w:val="superscript"/>
                          <w:lang w:eastAsia="lt-LT"/>
                        </w:rPr>
                        <w:t>2</w:t>
                      </w:r>
                    </w:sdtContent>
                  </w:sdt>
                  <w:r>
                    <w:rPr>
                      <w:szCs w:val="24"/>
                      <w:lang w:eastAsia="lt-LT"/>
                    </w:rPr>
                    <w:t>.</w:t>
                  </w:r>
                  <w:r>
                    <w:rPr>
                      <w:lang w:eastAsia="lt-LT"/>
                    </w:rPr>
                    <w:t xml:space="preserve"> NKSC prie KAM metinių veiklos planų įgyvendinimas kontroliuojamas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V-459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right"/>
      <w:rPr>
        <w:sz w:val="16"/>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xml"/>
  <Relationship Id="rId11" Type="http://schemas.openxmlformats.org/officeDocument/2006/relationships/header" Target="header13.xml"/>
  <Relationship Id="rId12" Type="http://schemas.openxmlformats.org/officeDocument/2006/relationships/footer" Target="footer12.xml"/>
  <Relationship Id="rId13" Type="http://schemas.openxmlformats.org/officeDocument/2006/relationships/footer" Target="footer13.xml"/>
  <Relationship Id="rId14" Type="http://schemas.openxmlformats.org/officeDocument/2006/relationships/header" Target="header14.xml"/>
  <Relationship Id="rId15" Type="http://schemas.openxmlformats.org/officeDocument/2006/relationships/footer" Target="footer1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1f8d33f5a68b447c84e43fa89957bf69">
    <Part Type="skyrius" Nr="1" Title="BENDROSIOS NUOSTATOS" DocPartId="2103708aed554a7bacd36bbd46ddbe39" PartId="8b7f40c9c1b74af6a02f8aa848d640ae">
      <Part Type="punktas" Nr="1" Abbr="1 p." DocPartId="7d17ccf13b214d4cb7acf64b59b9b665" PartId="054aeeafdee241ba97a55397f2ddd81e"/>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4-1" Abbr="4-1 p." DocPartId="7f01982a42f644c195e943df9c7fcf2b" PartId="9382b31dfff64e7ea289e0a6f415d312"/>
      <Part Type="punktas" Nr="5" Abbr="5 p." DocPartId="a3de7fc3d81e4f2794fe4f445ae9e03b" PartId="4c2532847910440d87ae13f730a8cdf3"/>
      <Part Type="punktas" Nr="6" Abbr="6 p." DocPartId="039a587472ec41cb9dfc445963f542a5" PartId="fdcbb7de6a404567a006684b986e296d"/>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bb7c408593994babb4ebe31d2f46c1c3"/>
        <Part Type="papunktis" Nr="9.6" Abbr="9.6 pp." DocPartId="d0c81cab398941ceb18aa1a6b1207aa9" PartId="70be588d85d34ae58d31223d5b0bff9a"/>
        <Part Type="papunktis" Nr="9.7" Abbr="9.7 pp." DocPartId="50974b0cf2594871aee4715b290d2308" PartId="46fa461e6bdd4134938c0c5096d9af48"/>
        <Part Type="papunktis" Nr="9.8" Abbr="9.8 pp." DocPartId="542fd5b9573e430d9699ff105ac8ae29" PartId="5e67b2c4dfcf47b1a76ae0b629be8c41"/>
        <Part Type="papunktis" Nr="9.9" Abbr="9.9 pp." DocPartId="935b6446ed584ace9652e07800e420be" PartId="a2f2d3bd22914e5ab5603d5a7805ef4a"/>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6-1" Abbr="16-1 p." DocPartId="5a59ecb553804bd3a97f333dae82ff02" PartId="127ebc9a337d4426bcfdb0e5a8f757ae"/>
      <Part Type="punktas" Nr="16-2" Abbr="16-2 p." DocPartId="615673cc7e8e485c9d655c39c2a3d131" PartId="da5be18f6cb1458ab849111fb5f194fc"/>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f92aa31facd44fc5b2cbc34f21fbff13"/>
        <Part Type="papunktis" Nr="18.7" Abbr="18.7 pp." DocPartId="a5f13cb051494ccc8dad835220f2445e" PartId="f4848c2003e94b94b4342606821e8f59"/>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1" Abbr="21 p." DocPartId="c70e05e2ba94479b8920dc8be25cfbfa" PartId="d99ea7f2a61b4c71929d1c452743f34e"/>
      <Part Type="punktas" Nr="22" Abbr="22 p." DocPartId="b42553220e954ae28a66863c511238bd" PartId="1e187491d86d47ba9d8b90814d208f7b"/>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605efea364c84710adbb26eb5623d064"/>
        <Part Type="papunktis" Nr="25.14" Abbr="25.14 pp." DocPartId="6ba3c998255e4c69a30d8b4c0faad58b" PartId="ea4759dc2ca14436871e5a10317f1881"/>
        <Part Type="papunktis" Nr="25.15" Abbr="25.15 pp." DocPartId="d6d67900c51e41a5802e81013292a7dc" PartId="5d370a55b8dc473988b394d88f4598c8"/>
        <Part Type="papunktis" Nr="25.16" Abbr="25.16 pp." DocPartId="536cfe82d04346cc8ee988b1b98f00a8" PartId="9c25e48c72e5428e800c43e98efe1ebf"/>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9629cc19f7d459b84ea180701f30930"/>
        <Part Type="papunktis" Nr="26.7" Abbr="26.7 pp." DocPartId="8b8f667e157f40508dfab3b9f9e009e5" PartId="f79a43d6af55454a8361415b08e4ee0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4c27d92a8810483abcfeab6767cde25f"/>
      <Part Type="punktas" Nr="30-1" Abbr="30-1 p." DocPartId="4bbacde93ddf4d9a8d05cad1a9087b2b" PartId="03456df92cfb42f1860a1f80230c366e"/>
      <Part Type="punktas" Nr="30-2" Abbr="30-2 p." DocPartId="b7ed5e756c8b421a8ca545b0db8f5507" PartId="73c0f19d891e4a52bd5e434bc7b78b54"/>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F85AF28B-5C14-452C-9180-38ECE8EC8308}">
  <ds:schemaRefs>
    <ds:schemaRef ds:uri="http://lrs.lt/TAIS/DocParts"/>
  </ds:schemaRefs>
</ds:datastoreItem>
</file>

<file path=docProps/app.xml><?xml version="1.0" encoding="utf-8"?>
<Properties xmlns="http://schemas.openxmlformats.org/officeDocument/2006/extended-properties">
  <Template>Normal.dotm</Template>
  <TotalTime>61</TotalTime>
  <Pages>7</Pages>
  <Words>12677</Words>
  <Characters>7227</Characters>
  <Application>Microsoft Office Word</Application>
  <DocSecurity>0</DocSecurity>
  <Lines>60</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19865</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DRAZDAUSKIENĖ Nijolė</lastModifiedBy>
  <lastPrinted>2013-12-31T09:24:00Z</lastPrinted>
  <dcterms:modified xsi:type="dcterms:W3CDTF">2021-07-01T13:07:00Z</dcterms:modified>
  <revision>35</revision>
  <dc:title>Adresatas</dc:title>
</coreProperties>
</file>