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20c30254f8a4a9ca34d187fd0f95922"/>
        <w:lock w:val="sdtLocked"/>
        <w:richText/>
      </w:sdtPr>
      <w:sdtContent>
        <w:p>
          <w:pPr>
            <w:jc w:val="both"/>
            <w:rPr>
              <w:rFonts w:ascii="Times New Roman" w:hAnsi="Times New Roman"/>
            </w:rPr>
          </w:pPr>
          <w:r>
            <w:rPr>
              <w:rFonts w:ascii="Times New Roman" w:hAnsi="Times New Roman"/>
              <w:b/>
              <w:i/>
            </w:rPr>
            <w:t>Suvestinė redakcija nuo 2018-07-31 iki 2020-06-26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2018-07-31:</w:t>
          </w:r>
        </w:p>
        <w:p>
          <w:pPr>
            <w:rPr>
              <w:rFonts w:ascii="Times New Roman" w:hAnsi="Times New Roman"/>
              <w:sz w:val="20"/>
              <w:i/>
            </w:rPr>
          </w:pPr>
          <w:r>
            <w:rPr>
              <w:rFonts w:ascii="Times New Roman" w:hAnsi="Times New Roman"/>
              <w:sz w:val="20"/>
              <w:i/>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Pr>
            <w:rPr>
              <w:rFonts w:ascii="Times New Roman" w:hAnsi="Times New Roman"/>
              <w:sz w:val="22"/>
            </w:rPr>
          </w:pPr>
        </w:p>
        <w:p>
          <w:pPr>
            <w:keepLines/>
            <w:suppressAutoHyphens/>
            <w:jc w:val="center"/>
            <w:textAlignment w:val="center"/>
            <w:rPr>
              <w:b/>
              <w:color w:val="000000"/>
              <w:szCs w:val="24"/>
            </w:rPr>
          </w:pPr>
          <w:r>
            <w:rPr>
              <w:b/>
              <w:color w:val="000000"/>
              <w:szCs w:val="24"/>
            </w:rPr>
            <w:t>LIETUVOS RESPUBLIKOS SVEIKATOS APSAUGOS MINISTRAS</w:t>
          </w:r>
        </w:p>
        <w:p>
          <w:pPr>
            <w:keepLines/>
            <w:suppressAutoHyphens/>
            <w:jc w:val="center"/>
            <w:textAlignment w:val="center"/>
            <w:rPr>
              <w:b/>
              <w:color w:val="000000"/>
              <w:szCs w:val="24"/>
            </w:rPr>
          </w:pPr>
        </w:p>
        <w:p>
          <w:pPr>
            <w:keepLines/>
            <w:suppressAutoHyphens/>
            <w:jc w:val="center"/>
            <w:textAlignment w:val="center"/>
            <w:rPr>
              <w:b/>
              <w:color w:val="000000"/>
              <w:szCs w:val="24"/>
            </w:rPr>
          </w:pPr>
          <w:r>
            <w:rPr>
              <w:b/>
              <w:color w:val="000000"/>
              <w:szCs w:val="24"/>
            </w:rPr>
            <w:t>ĮSAKYMAS</w:t>
          </w:r>
        </w:p>
        <w:p>
          <w:pPr>
            <w:keepLines/>
            <w:suppressAutoHyphens/>
            <w:jc w:val="center"/>
            <w:textAlignment w:val="center"/>
            <w:rPr>
              <w:b/>
              <w:color w:val="000000"/>
              <w:szCs w:val="24"/>
            </w:rPr>
          </w:pPr>
          <w:r>
            <w:rPr>
              <w:b/>
              <w:color w:val="000000"/>
              <w:szCs w:val="24"/>
            </w:rPr>
            <w:t>DĖL NĖŠČIŲJŲ, GIMDYVIŲ IR NAUJAGIMIŲ SVEIKATOS PRIEŽIŪROS TVARKOS APRAŠO PATVIRTINIMO</w:t>
          </w:r>
        </w:p>
        <w:p>
          <w:pPr>
            <w:keepLines/>
            <w:suppressAutoHyphens/>
            <w:jc w:val="center"/>
            <w:textAlignment w:val="center"/>
            <w:rPr>
              <w:b/>
              <w:color w:val="000000"/>
              <w:szCs w:val="24"/>
            </w:rPr>
          </w:pPr>
        </w:p>
        <w:p>
          <w:pPr>
            <w:keepLines/>
            <w:suppressAutoHyphens/>
            <w:jc w:val="center"/>
            <w:textAlignment w:val="center"/>
            <w:rPr>
              <w:color w:val="000000"/>
              <w:szCs w:val="24"/>
              <w:lang w:eastAsia="lt-LT"/>
            </w:rPr>
          </w:pPr>
          <w:r>
            <w:rPr>
              <w:color w:val="000000"/>
              <w:szCs w:val="24"/>
              <w:lang w:eastAsia="lt-LT"/>
            </w:rPr>
            <w:t>2013 m. rugsėjo 23 d. Nr. V-900</w:t>
          </w:r>
        </w:p>
        <w:p>
          <w:pPr>
            <w:keepLines/>
            <w:suppressAutoHyphens/>
            <w:jc w:val="center"/>
            <w:textAlignment w:val="center"/>
            <w:rPr>
              <w:color w:val="000000"/>
              <w:szCs w:val="24"/>
              <w:lang w:eastAsia="lt-LT"/>
            </w:rPr>
          </w:pPr>
          <w:r>
            <w:rPr>
              <w:color w:val="000000"/>
              <w:szCs w:val="24"/>
              <w:lang w:eastAsia="lt-LT"/>
            </w:rPr>
            <w:t>Vilnius</w:t>
          </w:r>
        </w:p>
        <w:p>
          <w:pPr>
            <w:keepLines/>
            <w:suppressAutoHyphens/>
            <w:jc w:val="center"/>
            <w:textAlignment w:val="center"/>
            <w:rPr>
              <w:color w:val="000000"/>
              <w:szCs w:val="24"/>
              <w:lang w:eastAsia="lt-LT"/>
            </w:rPr>
          </w:pPr>
        </w:p>
        <w:p>
          <w:pPr>
            <w:keepLines/>
            <w:suppressAutoHyphens/>
            <w:jc w:val="center"/>
            <w:textAlignment w:val="center"/>
            <w:rPr>
              <w:b/>
              <w:color w:val="000000"/>
              <w:szCs w:val="24"/>
            </w:rPr>
          </w:pPr>
        </w:p>
        <w:sdt>
          <w:sdtPr>
            <w:alias w:val="1 p."/>
            <w:tag w:val="part_e66b4ac957ff4559a3347ded38f3a11b"/>
            <w:lock w:val="sdtLocked"/>
            <w:richText/>
          </w:sdtPr>
          <w:sdtContent>
            <w:p>
              <w:pPr>
                <w:suppressAutoHyphens/>
                <w:ind w:firstLine="851"/>
                <w:jc w:val="both"/>
                <w:textAlignment w:val="center"/>
                <w:rPr>
                  <w:color w:val="000000"/>
                  <w:szCs w:val="24"/>
                </w:rPr>
              </w:pPr>
              <w:sdt>
                <w:sdtPr>
                  <w:alias w:val="Numeris"/>
                  <w:tag w:val="nr_e66b4ac957ff4559a3347ded38f3a11b"/>
                  <w:lock w:val="sdtLocked"/>
                  <w:richText/>
                </w:sdtPr>
                <w:sdtContent>
                  <w:r>
                    <w:rPr>
                      <w:color w:val="000000"/>
                      <w:szCs w:val="24"/>
                    </w:rPr>
                    <w:t>1</w:t>
                  </w:r>
                </w:sdtContent>
              </w:sdt>
              <w:r>
                <w:rPr>
                  <w:color w:val="000000"/>
                  <w:szCs w:val="24"/>
                </w:rPr>
                <w:t>. T v i r t i n u Nėščiųjų, gimdyvių ir naujagimių sveikatos priežiūros tvarkos aprašą (pridedama).</w:t>
              </w:r>
            </w:p>
          </w:sdtContent>
        </w:sdt>
        <w:sdt>
          <w:sdtPr>
            <w:alias w:val="2 p."/>
            <w:tag w:val="part_9b760b9a281f4a7eba66061c0d96b808"/>
            <w:lock w:val="sdtLocked"/>
            <w:richText/>
          </w:sdtPr>
          <w:sdtContent>
            <w:p>
              <w:pPr>
                <w:suppressAutoHyphens/>
                <w:ind w:firstLine="851"/>
                <w:jc w:val="both"/>
                <w:textAlignment w:val="center"/>
                <w:rPr>
                  <w:color w:val="000000"/>
                  <w:szCs w:val="24"/>
                </w:rPr>
              </w:pPr>
              <w:sdt>
                <w:sdtPr>
                  <w:alias w:val="Numeris"/>
                  <w:tag w:val="nr_9b760b9a281f4a7eba66061c0d96b808"/>
                  <w:lock w:val="sdtLocked"/>
                  <w:richText/>
                </w:sdtPr>
                <w:sdtContent>
                  <w:r>
                    <w:rPr>
                      <w:color w:val="000000"/>
                      <w:szCs w:val="24"/>
                    </w:rPr>
                    <w:t>2</w:t>
                  </w:r>
                </w:sdtContent>
              </w:sdt>
              <w:r>
                <w:rPr>
                  <w:color w:val="000000"/>
                  <w:szCs w:val="24"/>
                </w:rPr>
                <w:t>. N u s t a t a u, kad šiuo įsakymu nauja redakcija išdėstyto Nėščiųjų, gimdyvių ir naujagimių sveikatos priežiūros tvarkos aprašo:</w:t>
              </w:r>
            </w:p>
            <w:sdt>
              <w:sdtPr>
                <w:alias w:val="2.1 pp."/>
                <w:tag w:val="part_2072d8f615204ae4af5c6492dc164f3d"/>
                <w:lock w:val="sdtLocked"/>
                <w:richText/>
              </w:sdtPr>
              <w:sdtContent>
                <w:p>
                  <w:pPr>
                    <w:ind w:firstLine="851"/>
                    <w:jc w:val="both"/>
                    <w:rPr>
                      <w:rFonts w:eastAsia="Calibri"/>
                      <w:szCs w:val="24"/>
                    </w:rPr>
                  </w:pPr>
                  <w:sdt>
                    <w:sdtPr>
                      <w:alias w:val="Numeris"/>
                      <w:tag w:val="nr_2072d8f615204ae4af5c6492dc164f3d"/>
                      <w:lock w:val="sdtLocked"/>
                      <w:richText/>
                    </w:sdtPr>
                    <w:sdtContent>
                      <w:r>
                        <w:rPr>
                          <w:rFonts w:eastAsia="Calibri"/>
                          <w:szCs w:val="24"/>
                        </w:rPr>
                        <w:t>2.1</w:t>
                      </w:r>
                    </w:sdtContent>
                  </w:sdt>
                  <w:r>
                    <w:rPr>
                      <w:rFonts w:eastAsia="Calibri"/>
                      <w:szCs w:val="24"/>
                    </w:rPr>
                    <w:t>. 3 punktas įsigalioja 2020 m. liepos 1 d.;</w:t>
                  </w:r>
                </w:p>
              </w:sdtContent>
            </w:sdt>
            <w:sdt>
              <w:sdtPr>
                <w:alias w:val="2.2 pp."/>
                <w:tag w:val="part_2a7258f6ae094315a7223bfa65d5ad48"/>
                <w:lock w:val="sdtLocked"/>
                <w:richText/>
              </w:sdtPr>
              <w:sdtContent>
                <w:p>
                  <w:pPr>
                    <w:ind w:firstLine="851"/>
                    <w:jc w:val="both"/>
                    <w:rPr>
                      <w:rFonts w:eastAsia="Calibri"/>
                      <w:color w:val="000000"/>
                      <w:szCs w:val="24"/>
                    </w:rPr>
                  </w:pPr>
                  <w:sdt>
                    <w:sdtPr>
                      <w:alias w:val="Numeris"/>
                      <w:tag w:val="nr_2a7258f6ae094315a7223bfa65d5ad48"/>
                      <w:lock w:val="sdtLocked"/>
                      <w:richText/>
                    </w:sdtPr>
                    <w:sdtContent>
                      <w:r>
                        <w:rPr>
                          <w:rFonts w:eastAsia="Calibri"/>
                          <w:color w:val="000000"/>
                          <w:szCs w:val="24"/>
                        </w:rPr>
                        <w:t>2.2</w:t>
                      </w:r>
                    </w:sdtContent>
                  </w:sdt>
                  <w:r>
                    <w:rPr>
                      <w:rFonts w:eastAsia="Calibri"/>
                      <w:color w:val="000000"/>
                      <w:szCs w:val="24"/>
                    </w:rPr>
                    <w:t xml:space="preserve">. </w:t>
                  </w:r>
                  <w:r>
                    <w:rPr>
                      <w:rFonts w:eastAsia="Calibri"/>
                      <w:szCs w:val="24"/>
                    </w:rPr>
                    <w:t>5 priedo lentelės 1 punkto skilties „Privalomieji tyrimai“ 1.4.6, 1.5 papunkčiai ir 2 punkto skilties „Privalomieji tyrimai“ 3 punktas įsigalioja 2019 m. sausio 1 d.</w:t>
                  </w:r>
                </w:p>
              </w:sdtContent>
            </w:sdt>
          </w:sdtContent>
        </w:sdt>
        <w:sdt>
          <w:sdtPr>
            <w:alias w:val="3 p."/>
            <w:tag w:val="part_7f3cf1d38a9a4205b8fe5f4b58b6cb2a"/>
            <w:lock w:val="sdtLocked"/>
            <w:richText/>
          </w:sdtPr>
          <w:sdtContent>
            <w:p>
              <w:pPr>
                <w:suppressAutoHyphens/>
                <w:ind w:firstLine="851"/>
                <w:jc w:val="both"/>
                <w:textAlignment w:val="center"/>
              </w:pPr>
              <w:sdt>
                <w:sdtPr>
                  <w:alias w:val="Numeris"/>
                  <w:tag w:val="nr_7f3cf1d38a9a4205b8fe5f4b58b6cb2a"/>
                  <w:lock w:val="sdtLocked"/>
                  <w:richText/>
                </w:sdtPr>
                <w:sdtContent>
                  <w:r>
                    <w:rPr>
                      <w:color w:val="000000"/>
                      <w:szCs w:val="24"/>
                    </w:rPr>
                    <w:t>3</w:t>
                  </w:r>
                </w:sdtContent>
              </w:sdt>
              <w:r>
                <w:rPr>
                  <w:color w:val="000000"/>
                  <w:szCs w:val="24"/>
                </w:rPr>
                <w:t>. P a v e d u įsakymo vykdymą kontroliuoti viceministrui pagal veiklos sritį.</w:t>
              </w:r>
            </w:p>
          </w:sdtContent>
        </w:sdt>
        <w:sdt>
          <w:sdtPr>
            <w:alias w:val="signatura"/>
            <w:tag w:val="part_79ec62aea55e456eb0ccfe0329b1233a"/>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333bf511af834338aa54ac9c08d73144"/>
        <w:lock w:val="sdtLocked"/>
        <w:richText/>
      </w:sdtPr>
      <w:sdtContent>
        <w:p>
          <w:pPr>
            <w:tabs>
              <w:tab w:val="right" w:pos="9639"/>
            </w:tabs>
            <w:ind w:left="5387"/>
            <w:outlineLvl w:val="4"/>
            <w:sectPr>
              <w:headerReference w:type="even" r:id="rId34"/>
              <w:headerReference w:type="default" r:id="rId35"/>
              <w:footerReference w:type="even" r:id="rId36"/>
              <w:footerReference w:type="default" r:id="rId37"/>
              <w:headerReference w:type="first" r:id="rId38"/>
              <w:footerReference w:type="first" r:id="rId39"/>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333bf511af834338aa54ac9c08d73144"/>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ecad9df5508242eca43c74fb3f38dedb"/>
                <w:lock w:val="sdtLocked"/>
                <w:richText/>
              </w:sdtPr>
              <w:sdtContent>
                <w:p>
                  <w:pPr>
                    <w:ind w:firstLine="1296"/>
                    <w:jc w:val="both"/>
                    <w:rPr>
                      <w:rFonts w:eastAsia="Calibri"/>
                      <w:szCs w:val="24"/>
                    </w:rPr>
                  </w:pPr>
                  <w:sdt>
                    <w:sdtPr>
                      <w:alias w:val="Numeris"/>
                      <w:tag w:val="nr_ecad9df5508242eca43c74fb3f38dedb"/>
                      <w:lock w:val="sdtLocked"/>
                      <w:richText/>
                    </w:sdtPr>
                    <w:sdtContent>
                      <w:r>
                        <w:rPr>
                          <w:rFonts w:eastAsia="Calibri"/>
                          <w:szCs w:val="24"/>
                        </w:rPr>
                        <w:t>3</w:t>
                      </w:r>
                    </w:sdtContent>
                  </w:sdt>
                  <w:r>
                    <w:rPr>
                      <w:rFonts w:eastAsia="Calibri"/>
                      <w:szCs w:val="24"/>
                    </w:rPr>
                    <w:t xml:space="preserve">. Nėščiųjų, gimdyvių ir naujagimių medicininiai duomenys (nėščiosios kortelė (forma Nr. 025-113/a), nėštumo ir gimdymo istorija (forma Nr. 096/a), naujagimio raidos istorija (forma Nr. 097/a), nėščiosios ir naujagimio kortelė (forma Nr. 010-1-1/a) ir nėščiosios ir negyvagimio kortelė (forma Nr. 010-2-1/a), patvirtintos Lietuvos Respublikos sveikatos apsaugos ministro 2016 m. spalio 7 d. įsakymu Nr. V-1149 „Dėl privalomų akušerijos, ginekologijos ir neonatologijos sveikatos statistikos apskaitos formų patvirtinimo“) pildomi Nėščiųjų, gimdyvių ir naujagimių informacinėje sistemoje (toliau – NGN IS). </w:t>
                  </w:r>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d28a44b958a34e418fef51baedbe593d"/>
                <w:lock w:val="sdtLocked"/>
                <w:richText/>
              </w:sdtPr>
              <w:sdtContent>
                <w:p>
                  <w:pPr>
                    <w:ind w:firstLine="1298"/>
                    <w:jc w:val="both"/>
                    <w:rPr>
                      <w:rFonts w:eastAsia="Calibri"/>
                      <w:color w:val="000000"/>
                      <w:szCs w:val="24"/>
                    </w:rPr>
                  </w:pPr>
                  <w:sdt>
                    <w:sdtPr>
                      <w:alias w:val="Numeris"/>
                      <w:tag w:val="nr_d28a44b958a34e418fef51baedbe593d"/>
                      <w:lock w:val="sdtLocked"/>
                      <w:richText/>
                    </w:sdtPr>
                    <w:sdtContent>
                      <w:r>
                        <w:rPr>
                          <w:rFonts w:eastAsia="Calibri"/>
                          <w:color w:val="000000"/>
                          <w:szCs w:val="24"/>
                        </w:rPr>
                        <w:t>21</w:t>
                      </w:r>
                    </w:sdtContent>
                  </w:sdt>
                  <w:r>
                    <w:rPr>
                      <w:rFonts w:eastAsia="Calibri"/>
                      <w:color w:val="000000"/>
                      <w:szCs w:val="24"/>
                    </w:rPr>
                    <w:t>. Antrinio A lygio paslaugas teikiančios įstaigos yra stacionarines akušerijos, nėštumo patologijos ir neonatologijos paslaugas teikiančios įstaigos, nenurodytos Aprašo 22 ir 23 punktuose.</w:t>
                  </w:r>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d8d793e2be4f44f2a7b2955e96571549"/>
                    <w:lock w:val="sdtLocked"/>
                    <w:richText/>
                  </w:sdtPr>
                  <w:sdtContent>
                    <w:p>
                      <w:pPr>
                        <w:ind w:firstLine="1298"/>
                        <w:jc w:val="both"/>
                        <w:rPr>
                          <w:rFonts w:eastAsia="Calibri"/>
                          <w:color w:val="000000"/>
                          <w:szCs w:val="24"/>
                        </w:rPr>
                      </w:pPr>
                      <w:sdt>
                        <w:sdtPr>
                          <w:alias w:val="Numeris"/>
                          <w:tag w:val="nr_d8d793e2be4f44f2a7b2955e96571549"/>
                          <w:lock w:val="sdtLocked"/>
                          <w:richText/>
                        </w:sdtPr>
                        <w:sdtContent>
                          <w:r>
                            <w:rPr>
                              <w:rFonts w:eastAsia="Calibri"/>
                              <w:color w:val="000000"/>
                              <w:szCs w:val="24"/>
                            </w:rPr>
                            <w:t>22.1</w:t>
                          </w:r>
                        </w:sdtContent>
                      </w:sdt>
                      <w:r>
                        <w:rPr>
                          <w:rFonts w:eastAsia="Calibri"/>
                          <w:color w:val="000000"/>
                          <w:szCs w:val="24"/>
                        </w:rPr>
                        <w:t xml:space="preserve">. VšĮ Kauno klinikinė ligoninė; </w:t>
                      </w:r>
                    </w:p>
                  </w:sdtContent>
                </w:sdt>
                <w:sdt>
                  <w:sdtPr>
                    <w:alias w:val="22.2 pp."/>
                    <w:tag w:val="part_5c13998833ea49c0b88e9b8dc2910b01"/>
                    <w:lock w:val="sdtLocked"/>
                    <w:richText/>
                  </w:sdtPr>
                  <w:sdtContent>
                    <w:p>
                      <w:pPr>
                        <w:ind w:firstLine="1298"/>
                        <w:jc w:val="both"/>
                        <w:rPr>
                          <w:rFonts w:eastAsia="Calibri"/>
                          <w:color w:val="000000"/>
                          <w:szCs w:val="24"/>
                        </w:rPr>
                      </w:pPr>
                      <w:sdt>
                        <w:sdtPr>
                          <w:alias w:val="Numeris"/>
                          <w:tag w:val="nr_5c13998833ea49c0b88e9b8dc2910b01"/>
                          <w:lock w:val="sdtLocked"/>
                          <w:richText/>
                        </w:sdtPr>
                        <w:sdtContent>
                          <w:r>
                            <w:rPr>
                              <w:rFonts w:eastAsia="Calibri"/>
                              <w:color w:val="000000"/>
                              <w:szCs w:val="24"/>
                            </w:rPr>
                            <w:t>22.2</w:t>
                          </w:r>
                        </w:sdtContent>
                      </w:sdt>
                      <w:r>
                        <w:rPr>
                          <w:rFonts w:eastAsia="Calibri"/>
                          <w:color w:val="000000"/>
                          <w:szCs w:val="24"/>
                        </w:rPr>
                        <w:t>. VšĮ Klaipėdos universitetinė ligoninė;</w:t>
                      </w:r>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e0246e2815934768b54193ff9a22d2a5"/>
                <w:lock w:val="sdtLocked"/>
                <w:richText/>
              </w:sdtPr>
              <w:sdtContent>
                <w:p>
                  <w:pPr>
                    <w:ind w:firstLine="1298"/>
                    <w:jc w:val="both"/>
                    <w:rPr>
                      <w:color w:val="000000"/>
                      <w:szCs w:val="24"/>
                    </w:rPr>
                  </w:pPr>
                  <w:sdt>
                    <w:sdtPr>
                      <w:alias w:val="Numeris"/>
                      <w:tag w:val="nr_e0246e2815934768b54193ff9a22d2a5"/>
                      <w:lock w:val="sdtLocked"/>
                      <w:richText/>
                    </w:sdtPr>
                    <w:sdtContent>
                      <w:r>
                        <w:rPr>
                          <w:color w:val="000000"/>
                          <w:szCs w:val="24"/>
                        </w:rPr>
                        <w:t>30</w:t>
                      </w:r>
                    </w:sdtContent>
                  </w:sdt>
                  <w:r>
                    <w:rPr>
                      <w:color w:val="000000"/>
                      <w:szCs w:val="24"/>
                    </w:rPr>
                    <w:t>. Antrinio A lygio paslaugų teikimas:</w:t>
                  </w:r>
                </w:p>
                <w:sdt>
                  <w:sdtPr>
                    <w:alias w:val="30.1 pp."/>
                    <w:tag w:val="part_08c5b861f31d410889efe0594dcc8269"/>
                    <w:lock w:val="sdtLocked"/>
                    <w:richText/>
                  </w:sdtPr>
                  <w:sdtContent>
                    <w:p>
                      <w:pPr>
                        <w:ind w:firstLine="1298"/>
                        <w:jc w:val="both"/>
                        <w:rPr>
                          <w:color w:val="000000"/>
                          <w:szCs w:val="24"/>
                        </w:rPr>
                      </w:pPr>
                      <w:sdt>
                        <w:sdtPr>
                          <w:alias w:val="Numeris"/>
                          <w:tag w:val="nr_08c5b861f31d410889efe0594dcc826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bc13b71dc82e4011a8f72591b7b42ce5"/>
                    <w:lock w:val="sdtLocked"/>
                    <w:richText/>
                  </w:sdtPr>
                  <w:sdtContent>
                    <w:p>
                      <w:pPr>
                        <w:ind w:firstLine="1298"/>
                        <w:jc w:val="both"/>
                        <w:rPr>
                          <w:color w:val="000000"/>
                          <w:szCs w:val="24"/>
                        </w:rPr>
                      </w:pPr>
                      <w:sdt>
                        <w:sdtPr>
                          <w:alias w:val="Numeris"/>
                          <w:tag w:val="nr_bc13b71dc82e4011a8f72591b7b42ce5"/>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c6962e18d15e48ad830ae6f5028b5824"/>
                    <w:lock w:val="sdtLocked"/>
                    <w:richText/>
                  </w:sdtPr>
                  <w:sdtContent>
                    <w:p>
                      <w:pPr>
                        <w:ind w:firstLine="1298"/>
                        <w:jc w:val="both"/>
                        <w:rPr>
                          <w:color w:val="000000"/>
                          <w:szCs w:val="24"/>
                        </w:rPr>
                      </w:pPr>
                      <w:sdt>
                        <w:sdtPr>
                          <w:alias w:val="Numeris"/>
                          <w:tag w:val="nr_c6962e18d15e48ad830ae6f5028b5824"/>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a489b39cf2b148fcbacab9eb90792b47"/>
                        <w:lock w:val="sdtLocked"/>
                        <w:richText/>
                      </w:sdtPr>
                      <w:sdtContent>
                        <w:p>
                          <w:pPr>
                            <w:ind w:firstLine="1298"/>
                            <w:jc w:val="both"/>
                            <w:rPr>
                              <w:color w:val="000000"/>
                              <w:szCs w:val="24"/>
                            </w:rPr>
                          </w:pPr>
                          <w:sdt>
                            <w:sdtPr>
                              <w:alias w:val="Numeris"/>
                              <w:tag w:val="nr_a489b39cf2b148fcbacab9eb90792b47"/>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4f03fdb7c8dd4a67ba51875f32c0290a"/>
                        <w:lock w:val="sdtLocked"/>
                        <w:richText/>
                      </w:sdtPr>
                      <w:sdtContent>
                        <w:p>
                          <w:pPr>
                            <w:ind w:firstLine="1298"/>
                            <w:jc w:val="both"/>
                            <w:rPr>
                              <w:color w:val="000000"/>
                              <w:szCs w:val="24"/>
                            </w:rPr>
                          </w:pPr>
                          <w:sdt>
                            <w:sdtPr>
                              <w:alias w:val="Numeris"/>
                              <w:tag w:val="nr_4f03fdb7c8dd4a67ba51875f32c0290a"/>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bb08d2bf7de941ab9f879eec29deb973"/>
                        <w:lock w:val="sdtLocked"/>
                        <w:richText/>
                      </w:sdtPr>
                      <w:sdtContent>
                        <w:p>
                          <w:pPr>
                            <w:ind w:firstLine="1298"/>
                            <w:jc w:val="both"/>
                            <w:rPr>
                              <w:szCs w:val="24"/>
                            </w:rPr>
                          </w:pPr>
                          <w:sdt>
                            <w:sdtPr>
                              <w:alias w:val="Numeris"/>
                              <w:tag w:val="nr_bb08d2bf7de941ab9f879eec29deb973"/>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2e11f399f77e4e74860a9655e284e464"/>
                    <w:lock w:val="sdtLocked"/>
                    <w:richText/>
                  </w:sdtPr>
                  <w:sdtContent>
                    <w:p>
                      <w:pPr>
                        <w:ind w:firstLine="1298"/>
                        <w:jc w:val="both"/>
                        <w:rPr>
                          <w:color w:val="000000"/>
                          <w:szCs w:val="24"/>
                        </w:rPr>
                      </w:pPr>
                      <w:sdt>
                        <w:sdtPr>
                          <w:alias w:val="Numeris"/>
                          <w:tag w:val="nr_2e11f399f77e4e74860a9655e284e464"/>
                          <w:lock w:val="sdtLocked"/>
                          <w:richText/>
                        </w:sdtPr>
                        <w:sdtContent>
                          <w:r>
                            <w:rPr>
                              <w:color w:val="000000"/>
                              <w:szCs w:val="24"/>
                            </w:rPr>
                            <w:t>30.4</w:t>
                          </w:r>
                        </w:sdtContent>
                      </w:sdt>
                      <w:r>
                        <w:rPr>
                          <w:color w:val="000000"/>
                          <w:szCs w:val="24"/>
                        </w:rPr>
                        <w:t>. esant nėštumo rizikos veiksnių, nurodytų Aprašo 36.1, 36.2 papunkčiuose ir 52, 53 punktuose,</w:t>
                      </w:r>
                      <w:r>
                        <w:rPr>
                          <w:bCs/>
                          <w:color w:val="000000"/>
                          <w:szCs w:val="24"/>
                        </w:rPr>
                        <w:t xml:space="preserve"> </w:t>
                      </w:r>
                      <w:r>
                        <w:rPr>
                          <w:color w:val="000000"/>
                          <w:szCs w:val="24"/>
                        </w:rPr>
                        <w:t>nėščiosios siunčiamos konsultacijos ar gimdyti į aukštesnio lygio paslaugas teikiančias įstaigas. Tais atvejais, kai nėščiosios ar gimdyvės nespėjama pervežti į aukštesnio lygio paslaugas teikiančią įstaigą ir atsiranda grėsmė jos ir (ar) vaisiaus bei naujagimio gyvybei ar sveikatai, kviečiamas konsultantas iš aukštesnio lygio paslaugas teikiančios įstaigos;</w:t>
                      </w:r>
                    </w:p>
                  </w:sdtContent>
                </w:sdt>
                <w:sdt>
                  <w:sdtPr>
                    <w:alias w:val="30.5 pp."/>
                    <w:tag w:val="part_b17989449d964c9c9e1cbbc4b4f612d0"/>
                    <w:lock w:val="sdtLocked"/>
                    <w:richText/>
                  </w:sdtPr>
                  <w:sdtContent>
                    <w:p>
                      <w:pPr>
                        <w:ind w:firstLine="1298"/>
                        <w:jc w:val="both"/>
                        <w:rPr>
                          <w:rFonts w:eastAsia="Calibri"/>
                          <w:color w:val="000000"/>
                          <w:szCs w:val="24"/>
                        </w:rPr>
                      </w:pPr>
                      <w:sdt>
                        <w:sdtPr>
                          <w:alias w:val="Numeris"/>
                          <w:tag w:val="nr_b17989449d964c9c9e1cbbc4b4f612d0"/>
                          <w:lock w:val="sdtLocked"/>
                          <w:richText/>
                        </w:sdtPr>
                        <w:sdtContent>
                          <w:r>
                            <w:rPr>
                              <w:rFonts w:eastAsia="Calibri"/>
                              <w:color w:val="000000"/>
                              <w:szCs w:val="24"/>
                            </w:rPr>
                            <w:t>30.5</w:t>
                          </w:r>
                        </w:sdtContent>
                      </w:sdt>
                      <w:r>
                        <w:rPr>
                          <w:rFonts w:eastAsia="Calibri"/>
                          <w:color w:val="000000"/>
                          <w:szCs w:val="24"/>
                        </w:rPr>
                        <w:t xml:space="preserve">.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 </w:t>
                      </w:r>
                    </w:p>
                  </w:sdtContent>
                </w:sdt>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b3783261732f40c8bc0d3dc8162bd71e"/>
                    <w:lock w:val="sdtLocked"/>
                    <w:richText/>
                  </w:sdtPr>
                  <w:sdtContent>
                    <w:p>
                      <w:pPr>
                        <w:ind w:firstLine="1298"/>
                        <w:jc w:val="both"/>
                        <w:rPr>
                          <w:rFonts w:eastAsia="Calibri"/>
                          <w:color w:val="000000"/>
                          <w:szCs w:val="24"/>
                        </w:rPr>
                      </w:pPr>
                      <w:sdt>
                        <w:sdtPr>
                          <w:alias w:val="Numeris"/>
                          <w:tag w:val="nr_b3783261732f40c8bc0d3dc8162bd71e"/>
                          <w:lock w:val="sdtLocked"/>
                          <w:richText/>
                        </w:sdtPr>
                        <w:sdtContent>
                          <w:r>
                            <w:rPr>
                              <w:rFonts w:eastAsia="Calibri"/>
                              <w:color w:val="000000"/>
                              <w:szCs w:val="24"/>
                            </w:rPr>
                            <w:t>34.2</w:t>
                          </w:r>
                        </w:sdtContent>
                      </w:sdt>
                      <w:r>
                        <w:rPr>
                          <w:rFonts w:eastAsia="Calibri"/>
                          <w:color w:val="000000"/>
                          <w:szCs w:val="24"/>
                        </w:rPr>
                        <w:t xml:space="preserve">. VšĮ Klaipėdos universitetinėje ligoninėje, VšĮ Respublikinėje Šiaulių ir VšĮ Respublikinėje Panevėžio ligoninėje 1 gydytojas akušeris ginekologas, 1 gydytojas neonatologas bei bendrosios praktikos slaugytojas sveikatos apsaugos ministro nustatyta tvarka visą parą teiktų skubią konsultacinę pagalbą Aprašo 1 priede nurodytose atitinkamose paslaugų teikimo teritorijose; </w:t>
                      </w:r>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Content>
            </w:sdt>
            <w:sdt>
              <w:sdtPr>
                <w:alias w:val="37 p."/>
                <w:tag w:val="part_18a10f7530bb4e67b6fcbb10f355a193"/>
                <w:lock w:val="sdtLocked"/>
                <w:richText/>
              </w:sdtPr>
              <w:sdtContent>
                <w:p>
                  <w:pPr>
                    <w:ind w:firstLine="1298"/>
                    <w:jc w:val="both"/>
                    <w:rPr>
                      <w:rFonts w:eastAsia="Calibri"/>
                      <w:color w:val="000000"/>
                      <w:szCs w:val="24"/>
                    </w:rPr>
                  </w:pPr>
                  <w:sdt>
                    <w:sdtPr>
                      <w:alias w:val="Numeris"/>
                      <w:tag w:val="nr_18a10f7530bb4e67b6fcbb10f355a193"/>
                      <w:lock w:val="sdtLocked"/>
                      <w:richText/>
                    </w:sdtPr>
                    <w:sdtContent>
                      <w:r>
                        <w:rPr>
                          <w:rFonts w:eastAsia="Calibri"/>
                          <w:color w:val="000000"/>
                          <w:szCs w:val="24"/>
                        </w:rPr>
                        <w:t>37</w:t>
                      </w:r>
                    </w:sdtContent>
                  </w:sdt>
                  <w:r>
                    <w:rPr>
                      <w:rFonts w:eastAsia="Calibri"/>
                      <w:color w:val="000000"/>
                      <w:szCs w:val="24"/>
                    </w:rPr>
                    <w:t xml:space="preserve">. VšĮ Klaipėdos universitetinėje ligoninėje, VšĮ Respublikinėje Panevėžio ligoninėje ir VšĮ Respublikinėje Šiaulių ligoninėje turi būti užtikrinamas gydytojų konsultantų išvykimas į atitinkamų paslaugų teikimo teritorijų žemesnio lygio paslaugas teikiančias įstaigas nėščiosioms, gimdyvėms bei naujagimiams konsultuoti ir, esant reikalui, pervežti. Naujagimių konsultavimo ir pervežimo į aukštesnio lygio paslaugas teikiančią įstaigą tvarka nustatyta Aprašo X skyriuje. </w:t>
                  </w:r>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697b0a5256b343afa6357466b8d6d583"/>
                    <w:lock w:val="sdtLocked"/>
                    <w:richText/>
                  </w:sdtPr>
                  <w:sdtContent>
                    <w:p>
                      <w:pPr>
                        <w:ind w:firstLine="1298"/>
                        <w:jc w:val="both"/>
                        <w:rPr>
                          <w:color w:val="000000"/>
                          <w:szCs w:val="24"/>
                        </w:rPr>
                      </w:pPr>
                      <w:sdt>
                        <w:sdtPr>
                          <w:alias w:val="Numeris"/>
                          <w:tag w:val="nr_697b0a5256b343afa6357466b8d6d583"/>
                          <w:lock w:val="sdtLocked"/>
                          <w:richText/>
                        </w:sdtPr>
                        <w:sdtContent>
                          <w:r>
                            <w:rPr>
                              <w:color w:val="000000"/>
                              <w:szCs w:val="24"/>
                            </w:rPr>
                            <w:t>39.4</w:t>
                          </w:r>
                        </w:sdtContent>
                      </w:sdt>
                      <w:r>
                        <w:rPr>
                          <w:color w:val="000000"/>
                          <w:szCs w:val="24"/>
                        </w:rPr>
                        <w:t>.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lygio paslaugų teikimo reikalavimų“.</w:t>
                        <w:tab/>
                      </w:r>
                    </w:p>
                    <w:p>
                      <w:pPr>
                        <w:jc w:val="both"/>
                        <w:rPr>
                          <w:color w:val="000000"/>
                          <w:szCs w:val="24"/>
                        </w:rPr>
                      </w:pPr>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8f67e7d3f8444c0284ec65aa44f19111"/>
                <w:lock w:val="sdtLocked"/>
                <w:richText/>
              </w:sdtPr>
              <w:sdtContent>
                <w:p>
                  <w:pPr>
                    <w:ind w:firstLine="1298"/>
                    <w:jc w:val="both"/>
                    <w:rPr>
                      <w:rFonts w:eastAsia="Calibri"/>
                      <w:color w:val="000000"/>
                      <w:szCs w:val="24"/>
                    </w:rPr>
                  </w:pPr>
                  <w:sdt>
                    <w:sdtPr>
                      <w:alias w:val="Numeris"/>
                      <w:tag w:val="nr_8f67e7d3f8444c0284ec65aa44f19111"/>
                      <w:lock w:val="sdtLocked"/>
                      <w:richText/>
                    </w:sdtPr>
                    <w:sdtContent>
                      <w:r>
                        <w:rPr>
                          <w:rFonts w:eastAsia="Calibri"/>
                          <w:color w:val="000000"/>
                          <w:szCs w:val="24"/>
                        </w:rPr>
                        <w:t>57</w:t>
                      </w:r>
                    </w:sdtContent>
                  </w:sdt>
                  <w:r>
                    <w:rPr>
                      <w:rFonts w:eastAsia="Calibri"/>
                      <w:color w:val="000000"/>
                      <w:szCs w:val="24"/>
                    </w:rPr>
                    <w:t>. Naujagimių konsultavimo ir pervežimo tvarka:</w:t>
                  </w:r>
                </w:p>
                <w:sdt>
                  <w:sdtPr>
                    <w:alias w:val="57.1 pp."/>
                    <w:tag w:val="part_4c4a5496ff2a43949676b03e9f9306e4"/>
                    <w:lock w:val="sdtLocked"/>
                    <w:richText/>
                  </w:sdtPr>
                  <w:sdtContent>
                    <w:p>
                      <w:pPr>
                        <w:ind w:firstLine="1298"/>
                        <w:jc w:val="both"/>
                        <w:rPr>
                          <w:rFonts w:eastAsia="Calibri"/>
                          <w:color w:val="000000"/>
                          <w:szCs w:val="24"/>
                        </w:rPr>
                      </w:pPr>
                      <w:sdt>
                        <w:sdtPr>
                          <w:alias w:val="Numeris"/>
                          <w:tag w:val="nr_4c4a5496ff2a43949676b03e9f9306e4"/>
                          <w:lock w:val="sdtLocked"/>
                          <w:richText/>
                        </w:sdtPr>
                        <w:sdtContent>
                          <w:r>
                            <w:rPr>
                              <w:rFonts w:eastAsia="Calibri"/>
                              <w:color w:val="000000"/>
                              <w:szCs w:val="24"/>
                            </w:rPr>
                            <w:t>57.1</w:t>
                          </w:r>
                        </w:sdtContent>
                      </w:sdt>
                      <w:r>
                        <w:rPr>
                          <w:rFonts w:eastAsia="Calibri"/>
                          <w:color w:val="000000"/>
                          <w:szCs w:val="24"/>
                        </w:rPr>
                        <w:t xml:space="preserve">. Naujagimių konsultavimo ir pervežimo bendrosios nuostatos: </w:t>
                      </w:r>
                    </w:p>
                    <w:sdt>
                      <w:sdtPr>
                        <w:alias w:val="57.1.1 pp."/>
                        <w:tag w:val="part_9da42911c71f47a4bef70c5d5e8d4e5d"/>
                        <w:lock w:val="sdtLocked"/>
                        <w:richText/>
                      </w:sdtPr>
                      <w:sdtContent>
                        <w:p>
                          <w:pPr>
                            <w:ind w:firstLine="1298"/>
                            <w:jc w:val="both"/>
                            <w:rPr>
                              <w:rFonts w:eastAsia="Calibri"/>
                              <w:szCs w:val="24"/>
                            </w:rPr>
                          </w:pPr>
                          <w:sdt>
                            <w:sdtPr>
                              <w:alias w:val="Numeris"/>
                              <w:tag w:val="nr_9da42911c71f47a4bef70c5d5e8d4e5d"/>
                              <w:lock w:val="sdtLocked"/>
                              <w:richText/>
                            </w:sdtPr>
                            <w:sdtContent>
                              <w:r>
                                <w:rPr>
                                  <w:rFonts w:eastAsia="Calibri"/>
                                  <w:color w:val="000000"/>
                                  <w:szCs w:val="24"/>
                                </w:rPr>
                                <w:t>57.1.1</w:t>
                              </w:r>
                            </w:sdtContent>
                          </w:sdt>
                          <w:r>
                            <w:rPr>
                              <w:rFonts w:eastAsia="Calibri"/>
                              <w:color w:val="000000"/>
                              <w:szCs w:val="24"/>
                            </w:rPr>
                            <w:t>. Klaipėdos, Šiaulių ir Panevėžio teritorijose antrinio A lygio paslaugas teikiančiame stacionare gimę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rPr>
                              <w:rFonts w:eastAsia="Calibri"/>
                              <w:szCs w:val="24"/>
                            </w:rPr>
                            <w:t>. Perveža antrinio B lygio paslaugas teikiančios įstaigos naujagimių konsultavimo ir pervežimo brigada (toliau – brigada).</w:t>
                          </w:r>
                        </w:p>
                      </w:sdtContent>
                    </w:sdt>
                    <w:sdt>
                      <w:sdtPr>
                        <w:alias w:val="57.1.2 pp."/>
                        <w:tag w:val="part_31defd709b4b45f1ab51e738a2830290"/>
                        <w:lock w:val="sdtLocked"/>
                        <w:richText/>
                      </w:sdtPr>
                      <w:sdtContent>
                        <w:p>
                          <w:pPr>
                            <w:ind w:firstLine="1298"/>
                            <w:jc w:val="both"/>
                            <w:rPr>
                              <w:rFonts w:eastAsia="Calibri"/>
                              <w:szCs w:val="24"/>
                            </w:rPr>
                          </w:pPr>
                          <w:sdt>
                            <w:sdtPr>
                              <w:alias w:val="Numeris"/>
                              <w:tag w:val="nr_31defd709b4b45f1ab51e738a2830290"/>
                              <w:lock w:val="sdtLocked"/>
                              <w:richText/>
                            </w:sdtPr>
                            <w:sdtContent>
                              <w:r>
                                <w:rPr>
                                  <w:rFonts w:eastAsia="Calibri"/>
                                  <w:szCs w:val="24"/>
                                </w:rPr>
                                <w:t>57.1.2</w:t>
                              </w:r>
                            </w:sdtContent>
                          </w:sdt>
                          <w:r>
                            <w:rPr>
                              <w:rFonts w:eastAsia="Calibri"/>
                              <w:szCs w:val="24"/>
                            </w:rPr>
                            <w:t xml:space="preserve">. </w:t>
                          </w:r>
                          <w:r>
                            <w:rPr>
                              <w:rFonts w:eastAsia="Calibri"/>
                              <w:color w:val="000000"/>
                              <w:szCs w:val="24"/>
                            </w:rPr>
                            <w:t>Klaipėdos, Šiaulių ir Panevėžio teritorijose</w:t>
                          </w:r>
                          <w:r>
                            <w:rPr>
                              <w:rFonts w:eastAsia="Calibri"/>
                              <w:szCs w:val="24"/>
                            </w:rPr>
                            <w:t xml:space="preserve"> tais atvejais, kai sunkiai sergančio naujagimio negalima tinkamai ištirti ir (ar) kvalifikuotai gydyti antrinio B lygio paslaugas teikiančioje įstaigoje, po antrinio B lygio paslaugas teikiančios įstaigos neonatologo konsultacijos naujagimis iš antrinio A lygio gali būti pervežamas tiesiai į Vilniaus arba Kauno perinatologijos centrų naujagimių reanimacijos ir intensyviosios terapijos skyrių. Perveža antrinio B lygio paslaugas teikiančios įstaigos brigada.</w:t>
                          </w:r>
                        </w:p>
                      </w:sdtContent>
                    </w:sdt>
                    <w:sdt>
                      <w:sdtPr>
                        <w:alias w:val="57.1.3 pp."/>
                        <w:tag w:val="part_0e8539a337874ca89ade1b65c191e1dc"/>
                        <w:lock w:val="sdtLocked"/>
                        <w:richText/>
                      </w:sdtPr>
                      <w:sdtContent>
                        <w:p>
                          <w:pPr>
                            <w:ind w:firstLine="1298"/>
                            <w:jc w:val="both"/>
                            <w:rPr>
                              <w:rFonts w:eastAsia="Calibri"/>
                              <w:szCs w:val="24"/>
                            </w:rPr>
                          </w:pPr>
                          <w:sdt>
                            <w:sdtPr>
                              <w:alias w:val="Numeris"/>
                              <w:tag w:val="nr_0e8539a337874ca89ade1b65c191e1dc"/>
                              <w:lock w:val="sdtLocked"/>
                              <w:richText/>
                            </w:sdtPr>
                            <w:sdtContent>
                              <w:r>
                                <w:rPr>
                                  <w:rFonts w:eastAsia="Calibri"/>
                                  <w:szCs w:val="24"/>
                                </w:rPr>
                                <w:t>57.1.3</w:t>
                              </w:r>
                            </w:sdtContent>
                          </w:sdt>
                          <w:r>
                            <w:rPr>
                              <w:rFonts w:eastAsia="Calibri"/>
                              <w:szCs w:val="24"/>
                            </w:rPr>
                            <w:t xml:space="preserve">. Iš Vilniaus ir Kauno miestų ir teritorijų antrinio A ir (ar) antrinio B lygio paslaugas teikiančių įstaigų sunkiai sergantys naujagimiai pervežami tiesiai į perinatologijos centrų naujagimių reanimacijos ir intensyviosios terapijos skyrius. Perveža perinatologijos centro brigada. </w:t>
                          </w:r>
                        </w:p>
                      </w:sdtContent>
                    </w:sdt>
                    <w:sdt>
                      <w:sdtPr>
                        <w:alias w:val="57.1.4 pp."/>
                        <w:tag w:val="part_f6eb2dbf612d4d7db4d4b0282817cafb"/>
                        <w:lock w:val="sdtLocked"/>
                        <w:richText/>
                      </w:sdtPr>
                      <w:sdtContent>
                        <w:p>
                          <w:pPr>
                            <w:ind w:firstLine="1298"/>
                            <w:jc w:val="both"/>
                            <w:rPr>
                              <w:rFonts w:eastAsia="Calibri"/>
                              <w:color w:val="000000"/>
                              <w:szCs w:val="24"/>
                            </w:rPr>
                          </w:pPr>
                          <w:sdt>
                            <w:sdtPr>
                              <w:alias w:val="Numeris"/>
                              <w:tag w:val="nr_f6eb2dbf612d4d7db4d4b0282817cafb"/>
                              <w:lock w:val="sdtLocked"/>
                              <w:richText/>
                            </w:sdtPr>
                            <w:sdtContent>
                              <w:r>
                                <w:rPr>
                                  <w:rFonts w:eastAsia="Calibri"/>
                                  <w:szCs w:val="24"/>
                                </w:rPr>
                                <w:t>57.1.4</w:t>
                              </w:r>
                            </w:sdtContent>
                          </w:sdt>
                          <w:r>
                            <w:rPr>
                              <w:rFonts w:eastAsia="Calibri"/>
                              <w:szCs w:val="24"/>
                            </w:rPr>
                            <w:t>. Sergančius naujagimius iš antrinio B lygio paslaugas teikiančios įstaigos vaikų reanimacijos ir intensyviosios terapijos skyriaus į perinatologijos centrus perveža antrinio B lygio paslaugas teikiančios įstaigos brigada.</w:t>
                          </w:r>
                        </w:p>
                      </w:sdtContent>
                    </w:sdt>
                    <w:sdt>
                      <w:sdtPr>
                        <w:alias w:val="57.1.5 pp."/>
                        <w:tag w:val="part_77af87e240c346bd9035b8ccc015dc1b"/>
                        <w:lock w:val="sdtLocked"/>
                        <w:richText/>
                      </w:sdtPr>
                      <w:sdtContent>
                        <w:p>
                          <w:pPr>
                            <w:ind w:firstLine="1298"/>
                            <w:jc w:val="both"/>
                            <w:rPr>
                              <w:rFonts w:eastAsia="Calibri"/>
                              <w:szCs w:val="24"/>
                            </w:rPr>
                          </w:pPr>
                          <w:sdt>
                            <w:sdtPr>
                              <w:alias w:val="Numeris"/>
                              <w:tag w:val="nr_77af87e240c346bd9035b8ccc015dc1b"/>
                              <w:lock w:val="sdtLocked"/>
                              <w:richText/>
                            </w:sdtPr>
                            <w:sdtContent>
                              <w:r>
                                <w:rPr>
                                  <w:rFonts w:eastAsia="Calibri"/>
                                  <w:szCs w:val="24"/>
                                </w:rPr>
                                <w:t>57.1.5</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Content>
                </w:sdt>
                <w:sdt>
                  <w:sdtPr>
                    <w:alias w:val="57.2 pp."/>
                    <w:tag w:val="part_990a665604c5445aad0d6308f7843942"/>
                    <w:lock w:val="sdtLocked"/>
                    <w:richText/>
                  </w:sdtPr>
                  <w:sdtContent>
                    <w:p>
                      <w:pPr>
                        <w:ind w:firstLine="1298"/>
                        <w:jc w:val="both"/>
                        <w:rPr>
                          <w:rFonts w:eastAsia="Calibri"/>
                          <w:color w:val="000000"/>
                          <w:szCs w:val="24"/>
                        </w:rPr>
                      </w:pPr>
                      <w:sdt>
                        <w:sdtPr>
                          <w:alias w:val="Numeris"/>
                          <w:tag w:val="nr_990a665604c5445aad0d6308f7843942"/>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fcebe9b922ed4a52bd6d5ecb7f525dc7"/>
                    <w:lock w:val="sdtLocked"/>
                    <w:richText/>
                  </w:sdtPr>
                  <w:sdtContent>
                    <w:p>
                      <w:pPr>
                        <w:ind w:firstLine="1298"/>
                        <w:jc w:val="both"/>
                        <w:rPr>
                          <w:rFonts w:eastAsia="Calibri"/>
                          <w:color w:val="000000"/>
                          <w:szCs w:val="24"/>
                        </w:rPr>
                      </w:pPr>
                      <w:sdt>
                        <w:sdtPr>
                          <w:alias w:val="Numeris"/>
                          <w:tag w:val="nr_fcebe9b922ed4a52bd6d5ecb7f525d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267cc26b5c704ebeb1eacf6c04227db5"/>
                    <w:lock w:val="sdtLocked"/>
                    <w:richText/>
                  </w:sdtPr>
                  <w:sdtContent>
                    <w:p>
                      <w:pPr>
                        <w:ind w:firstLine="1298"/>
                        <w:jc w:val="both"/>
                        <w:rPr>
                          <w:rFonts w:eastAsia="Calibri"/>
                          <w:color w:val="000000"/>
                          <w:szCs w:val="24"/>
                        </w:rPr>
                      </w:pPr>
                      <w:sdt>
                        <w:sdtPr>
                          <w:alias w:val="Numeris"/>
                          <w:tag w:val="nr_267cc26b5c704ebeb1eacf6c04227db5"/>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atstovo pagal įstatymą sutikimą, nustato, į kokio lygio paslaugas teikiančią įstaigą reikia naujagimį pervežti.</w:t>
                      </w:r>
                    </w:p>
                  </w:sdtContent>
                </w:sdt>
                <w:sdt>
                  <w:sdtPr>
                    <w:alias w:val="57.5 pp."/>
                    <w:tag w:val="part_2f055ff91f07474cb3fee33eb7d32db7"/>
                    <w:lock w:val="sdtLocked"/>
                    <w:richText/>
                  </w:sdtPr>
                  <w:sdtContent>
                    <w:p>
                      <w:pPr>
                        <w:ind w:firstLine="1298"/>
                        <w:jc w:val="both"/>
                        <w:rPr>
                          <w:rFonts w:eastAsia="Calibri"/>
                          <w:color w:val="000000"/>
                          <w:szCs w:val="24"/>
                        </w:rPr>
                      </w:pPr>
                      <w:sdt>
                        <w:sdtPr>
                          <w:alias w:val="Numeris"/>
                          <w:tag w:val="nr_2f055ff91f07474cb3fee33eb7d32db7"/>
                          <w:lock w:val="sdtLocked"/>
                          <w:richText/>
                        </w:sdtPr>
                        <w:sdtContent>
                          <w:r>
                            <w:rPr>
                              <w:rFonts w:eastAsia="Calibri"/>
                              <w:color w:val="000000"/>
                              <w:szCs w:val="24"/>
                            </w:rPr>
                            <w:t>57.5</w:t>
                          </w:r>
                        </w:sdtContent>
                      </w:sdt>
                      <w:r>
                        <w:rPr>
                          <w:rFonts w:eastAsia="Calibri"/>
                          <w:color w:val="000000"/>
                          <w:szCs w:val="24"/>
                        </w:rPr>
                        <w:t xml:space="preserve">. Turi būti užtikrinama, kad bet kuriuo paros metu būtų galimybė Aprašo nustatyta tvarka konsultuoti ir pervežti naujagimius. </w:t>
                      </w:r>
                    </w:p>
                  </w:sdtContent>
                </w:sdt>
                <w:sdt>
                  <w:sdtPr>
                    <w:alias w:val="57.6 pp."/>
                    <w:tag w:val="part_1f48cc1cb9dc4e0f8627f3c2da9ecfd0"/>
                    <w:lock w:val="sdtLocked"/>
                    <w:richText/>
                  </w:sdtPr>
                  <w:sdtContent>
                    <w:p>
                      <w:pPr>
                        <w:ind w:firstLine="1298"/>
                        <w:jc w:val="both"/>
                        <w:rPr>
                          <w:rFonts w:eastAsia="Calibri"/>
                          <w:caps/>
                          <w:color w:val="000000"/>
                          <w:szCs w:val="24"/>
                        </w:rPr>
                      </w:pPr>
                      <w:sdt>
                        <w:sdtPr>
                          <w:alias w:val="Numeris"/>
                          <w:tag w:val="nr_1f48cc1cb9dc4e0f8627f3c2da9ecfd0"/>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nustatytos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w:t>
                      </w:r>
                    </w:p>
                  </w:sdtContent>
                </w:sdt>
                <w:sdt>
                  <w:sdtPr>
                    <w:alias w:val="57.7 pp."/>
                    <w:tag w:val="part_2d7b4d917a6142ef9a6dbd2ded6e896e"/>
                    <w:lock w:val="sdtLocked"/>
                    <w:richText/>
                  </w:sdtPr>
                  <w:sdtContent>
                    <w:p>
                      <w:pPr>
                        <w:ind w:firstLine="1298"/>
                        <w:jc w:val="both"/>
                        <w:rPr>
                          <w:rFonts w:eastAsia="Calibri"/>
                          <w:color w:val="000000"/>
                          <w:szCs w:val="24"/>
                        </w:rPr>
                      </w:pPr>
                      <w:sdt>
                        <w:sdtPr>
                          <w:alias w:val="Numeris"/>
                          <w:tag w:val="nr_2d7b4d917a6142ef9a6dbd2ded6e896e"/>
                          <w:lock w:val="sdtLocked"/>
                          <w:richText/>
                        </w:sdtPr>
                        <w:sdtContent>
                          <w:r>
                            <w:rPr>
                              <w:rFonts w:eastAsia="Calibri"/>
                              <w:color w:val="000000"/>
                              <w:szCs w:val="24"/>
                            </w:rPr>
                            <w:t>57.7</w:t>
                          </w:r>
                        </w:sdtContent>
                      </w:sdt>
                      <w:r>
                        <w:rPr>
                          <w:rFonts w:eastAsia="Calibri"/>
                          <w:color w:val="000000"/>
                          <w:szCs w:val="24"/>
                        </w:rPr>
                        <w:t>. Visais atvejais naujagimius perveža brigados, sudarytos iš gydytojo neonatologo, bendrosios praktikos ir (ar) anestezijos ir intensyviosios terapijos</w:t>
                      </w:r>
                      <w:r>
                        <w:rPr>
                          <w:rFonts w:ascii="TimesLT" w:eastAsia="Calibri" w:hAnsi="TimesLT" w:cs="TimesLT"/>
                          <w:szCs w:val="24"/>
                        </w:rPr>
                        <w:t xml:space="preserve"> </w:t>
                      </w:r>
                      <w:r>
                        <w:rPr>
                          <w:rFonts w:eastAsia="Calibri"/>
                          <w:color w:val="000000"/>
                          <w:szCs w:val="24"/>
                        </w:rPr>
                        <w:t>slaugytojo.</w:t>
                      </w:r>
                    </w:p>
                  </w:sdtContent>
                </w:sdt>
                <w:sdt>
                  <w:sdtPr>
                    <w:alias w:val="57.8 pp."/>
                    <w:tag w:val="part_9afe3fc4a3c4464dbae2d49581ab28c6"/>
                    <w:lock w:val="sdtLocked"/>
                    <w:richText/>
                  </w:sdtPr>
                  <w:sdtContent>
                    <w:p>
                      <w:pPr>
                        <w:ind w:firstLine="1296"/>
                        <w:jc w:val="both"/>
                        <w:rPr>
                          <w:rFonts w:eastAsia="Calibri"/>
                          <w:color w:val="000000"/>
                          <w:szCs w:val="24"/>
                        </w:rPr>
                      </w:pPr>
                      <w:sdt>
                        <w:sdtPr>
                          <w:alias w:val="Numeris"/>
                          <w:tag w:val="nr_9afe3fc4a3c4464dbae2d49581ab28c6"/>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13631ec1f74f43db8b6ac5bfa92ba46e"/>
                    <w:lock w:val="sdtLocked"/>
                    <w:richText/>
                  </w:sdtPr>
                  <w:sdtContent>
                    <w:p>
                      <w:pPr>
                        <w:ind w:firstLine="1298"/>
                        <w:jc w:val="both"/>
                        <w:rPr>
                          <w:rFonts w:eastAsia="Calibri"/>
                          <w:color w:val="000000"/>
                          <w:szCs w:val="24"/>
                        </w:rPr>
                      </w:pPr>
                      <w:sdt>
                        <w:sdtPr>
                          <w:alias w:val="Numeris"/>
                          <w:tag w:val="nr_13631ec1f74f43db8b6ac5bfa92ba46e"/>
                          <w:lock w:val="sdtLocked"/>
                          <w:richText/>
                        </w:sdtPr>
                        <w:sdtContent>
                          <w:r>
                            <w:rPr>
                              <w:rFonts w:eastAsia="Calibri"/>
                              <w:color w:val="000000"/>
                              <w:szCs w:val="24"/>
                            </w:rPr>
                            <w:t>57.9</w:t>
                          </w:r>
                        </w:sdtContent>
                      </w:sdt>
                      <w:r>
                        <w:rPr>
                          <w:rFonts w:eastAsia="Calibri"/>
                          <w:color w:val="000000"/>
                          <w:szCs w:val="24"/>
                        </w:rPr>
                        <w:t xml:space="preserve">. Naujagimiai turi būti vežami specialiai įrengtais automobiliais, kuriuose būtų šie medicinos prietaisai ir priemonės: </w:t>
                      </w:r>
                    </w:p>
                    <w:sdt>
                      <w:sdtPr>
                        <w:alias w:val="57.9.1 pp."/>
                        <w:tag w:val="part_c638dc3baec44d48bcfbc59245f8ee1f"/>
                        <w:lock w:val="sdtLocked"/>
                        <w:richText/>
                      </w:sdtPr>
                      <w:sdtContent>
                        <w:p>
                          <w:pPr>
                            <w:ind w:firstLine="1298"/>
                            <w:jc w:val="both"/>
                            <w:rPr>
                              <w:rFonts w:eastAsia="Calibri"/>
                              <w:color w:val="000000"/>
                              <w:szCs w:val="24"/>
                            </w:rPr>
                          </w:pPr>
                          <w:sdt>
                            <w:sdtPr>
                              <w:alias w:val="Numeris"/>
                              <w:tag w:val="nr_c638dc3baec44d48bcfbc59245f8ee1f"/>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3256f56cd280428ebdc34cf34746ec85"/>
                        <w:lock w:val="sdtLocked"/>
                        <w:richText/>
                      </w:sdtPr>
                      <w:sdtContent>
                        <w:p>
                          <w:pPr>
                            <w:ind w:firstLine="1298"/>
                            <w:jc w:val="both"/>
                            <w:rPr>
                              <w:rFonts w:eastAsia="Calibri"/>
                              <w:color w:val="000000"/>
                              <w:szCs w:val="24"/>
                            </w:rPr>
                          </w:pPr>
                          <w:sdt>
                            <w:sdtPr>
                              <w:alias w:val="Numeris"/>
                              <w:tag w:val="nr_3256f56cd280428ebdc34cf34746ec85"/>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ca258a4f98354472bb941975d38cbe1d"/>
                        <w:lock w:val="sdtLocked"/>
                        <w:richText/>
                      </w:sdtPr>
                      <w:sdtContent>
                        <w:p>
                          <w:pPr>
                            <w:ind w:firstLine="1298"/>
                            <w:jc w:val="both"/>
                            <w:rPr>
                              <w:rFonts w:eastAsia="Calibri"/>
                              <w:color w:val="000000"/>
                              <w:szCs w:val="24"/>
                            </w:rPr>
                          </w:pPr>
                          <w:sdt>
                            <w:sdtPr>
                              <w:alias w:val="Numeris"/>
                              <w:tag w:val="nr_ca258a4f98354472bb941975d38cbe1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ir palaikantis teigiamą slėgį iškvėpimo gale; </w:t>
                          </w:r>
                        </w:p>
                      </w:sdtContent>
                    </w:sdt>
                    <w:sdt>
                      <w:sdtPr>
                        <w:alias w:val="57.9.4 pp."/>
                        <w:tag w:val="part_53c2f7c4a1ef46c2810db3ea60a2706e"/>
                        <w:lock w:val="sdtLocked"/>
                        <w:richText/>
                      </w:sdtPr>
                      <w:sdtContent>
                        <w:p>
                          <w:pPr>
                            <w:ind w:firstLine="1298"/>
                            <w:jc w:val="both"/>
                            <w:rPr>
                              <w:rFonts w:eastAsia="Calibri"/>
                              <w:color w:val="000000"/>
                              <w:szCs w:val="24"/>
                            </w:rPr>
                          </w:pPr>
                          <w:sdt>
                            <w:sdtPr>
                              <w:alias w:val="Numeris"/>
                              <w:tag w:val="nr_53c2f7c4a1ef46c2810db3ea60a2706e"/>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ea934d4d636440898cf87c4ea19b2033"/>
                        <w:lock w:val="sdtLocked"/>
                        <w:richText/>
                      </w:sdtPr>
                      <w:sdtContent>
                        <w:p>
                          <w:pPr>
                            <w:ind w:firstLine="1298"/>
                            <w:jc w:val="both"/>
                            <w:rPr>
                              <w:rFonts w:eastAsia="Calibri"/>
                              <w:color w:val="000000"/>
                              <w:szCs w:val="24"/>
                            </w:rPr>
                          </w:pPr>
                          <w:sdt>
                            <w:sdtPr>
                              <w:alias w:val="Numeris"/>
                              <w:tag w:val="nr_ea934d4d636440898cf87c4ea19b2033"/>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8efae3cd860a49699db669f5501ca148"/>
                        <w:lock w:val="sdtLocked"/>
                        <w:richText/>
                      </w:sdtPr>
                      <w:sdtContent>
                        <w:p>
                          <w:pPr>
                            <w:ind w:firstLine="1298"/>
                            <w:jc w:val="both"/>
                            <w:rPr>
                              <w:rFonts w:eastAsia="Calibri"/>
                              <w:color w:val="000000"/>
                              <w:szCs w:val="24"/>
                            </w:rPr>
                          </w:pPr>
                          <w:sdt>
                            <w:sdtPr>
                              <w:alias w:val="Numeris"/>
                              <w:tag w:val="nr_8efae3cd860a49699db669f5501ca148"/>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a967e77cf97848149499204145cc74d6"/>
                        <w:lock w:val="sdtLocked"/>
                        <w:richText/>
                      </w:sdtPr>
                      <w:sdtContent>
                        <w:p>
                          <w:pPr>
                            <w:ind w:firstLine="1298"/>
                            <w:jc w:val="both"/>
                            <w:rPr>
                              <w:rFonts w:eastAsia="Calibri"/>
                              <w:strike/>
                              <w:color w:val="000000"/>
                              <w:szCs w:val="24"/>
                            </w:rPr>
                          </w:pPr>
                          <w:sdt>
                            <w:sdtPr>
                              <w:alias w:val="Numeris"/>
                              <w:tag w:val="nr_a967e77cf97848149499204145cc74d6"/>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71dd8cf6b69e4975ba6fecae675eac13"/>
                        <w:lock w:val="sdtLocked"/>
                        <w:richText/>
                      </w:sdtPr>
                      <w:sdtContent>
                        <w:p>
                          <w:pPr>
                            <w:ind w:firstLine="1298"/>
                            <w:jc w:val="both"/>
                            <w:rPr>
                              <w:rFonts w:eastAsia="Calibri"/>
                              <w:color w:val="000000"/>
                              <w:szCs w:val="24"/>
                            </w:rPr>
                          </w:pPr>
                          <w:sdt>
                            <w:sdtPr>
                              <w:alias w:val="Numeris"/>
                              <w:tag w:val="nr_71dd8cf6b69e4975ba6fecae675eac13"/>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1e7e032b2be948eb933158bbb10a0b70"/>
                        <w:lock w:val="sdtLocked"/>
                        <w:richText/>
                      </w:sdtPr>
                      <w:sdtContent>
                        <w:p>
                          <w:pPr>
                            <w:ind w:firstLine="1298"/>
                            <w:jc w:val="both"/>
                            <w:rPr>
                              <w:rFonts w:eastAsia="Calibri"/>
                              <w:color w:val="000000"/>
                              <w:szCs w:val="24"/>
                            </w:rPr>
                          </w:pPr>
                          <w:sdt>
                            <w:sdtPr>
                              <w:alias w:val="Numeris"/>
                              <w:tag w:val="nr_1e7e032b2be948eb933158bbb10a0b70"/>
                              <w:lock w:val="sdtLocked"/>
                              <w:richText/>
                            </w:sdtPr>
                            <w:sdtContent>
                              <w:r>
                                <w:rPr>
                                  <w:rFonts w:eastAsia="Calibri"/>
                                  <w:color w:val="000000"/>
                                  <w:szCs w:val="24"/>
                                </w:rPr>
                                <w:t>57.9.9</w:t>
                              </w:r>
                            </w:sdtContent>
                          </w:sdt>
                          <w:r>
                            <w:rPr>
                              <w:rFonts w:eastAsia="Calibri"/>
                              <w:color w:val="000000"/>
                              <w:szCs w:val="24"/>
                            </w:rPr>
                            <w:t>. ne mažiau kaip 2 infuziniai prietaisai;</w:t>
                          </w:r>
                        </w:p>
                      </w:sdtContent>
                    </w:sdt>
                    <w:sdt>
                      <w:sdtPr>
                        <w:alias w:val="57.9.10 pp."/>
                        <w:tag w:val="part_c2f79155320d4e2fbb118e454d8fb342"/>
                        <w:lock w:val="sdtLocked"/>
                        <w:richText/>
                      </w:sdtPr>
                      <w:sdtContent>
                        <w:p>
                          <w:pPr>
                            <w:ind w:firstLine="1298"/>
                            <w:jc w:val="both"/>
                            <w:rPr>
                              <w:rFonts w:eastAsia="Calibri"/>
                              <w:color w:val="000000"/>
                              <w:szCs w:val="24"/>
                            </w:rPr>
                          </w:pPr>
                          <w:sdt>
                            <w:sdtPr>
                              <w:alias w:val="Numeris"/>
                              <w:tag w:val="nr_c2f79155320d4e2fbb118e454d8fb342"/>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e6e91cf9c5d741d2859fa7b3fb1994b4"/>
                        <w:lock w:val="sdtLocked"/>
                        <w:richText/>
                      </w:sdtPr>
                      <w:sdtContent>
                        <w:p>
                          <w:pPr>
                            <w:ind w:firstLine="1298"/>
                            <w:jc w:val="both"/>
                            <w:rPr>
                              <w:rFonts w:eastAsia="Calibri"/>
                              <w:color w:val="000000"/>
                              <w:szCs w:val="24"/>
                            </w:rPr>
                          </w:pPr>
                          <w:sdt>
                            <w:sdtPr>
                              <w:alias w:val="Numeris"/>
                              <w:tag w:val="nr_e6e91cf9c5d741d2859fa7b3fb1994b4"/>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841241d8322a4903ad51135ac5bfaff6"/>
                        <w:lock w:val="sdtLocked"/>
                        <w:richText/>
                      </w:sdtPr>
                      <w:sdtContent>
                        <w:p>
                          <w:pPr>
                            <w:ind w:firstLine="1298"/>
                            <w:jc w:val="both"/>
                            <w:rPr>
                              <w:rFonts w:eastAsia="Calibri"/>
                              <w:szCs w:val="24"/>
                            </w:rPr>
                          </w:pPr>
                          <w:sdt>
                            <w:sdtPr>
                              <w:alias w:val="Numeris"/>
                              <w:tag w:val="nr_841241d8322a4903ad51135ac5bfaff6"/>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b8ccda1db04645268d677d6e3e27bc0b"/>
                        <w:lock w:val="sdtLocked"/>
                        <w:richText/>
                      </w:sdtPr>
                      <w:sdtContent>
                        <w:p>
                          <w:pPr>
                            <w:ind w:firstLine="1298"/>
                            <w:jc w:val="both"/>
                            <w:rPr>
                              <w:rFonts w:eastAsia="Calibri"/>
                              <w:strike/>
                              <w:szCs w:val="24"/>
                            </w:rPr>
                          </w:pPr>
                          <w:sdt>
                            <w:sdtPr>
                              <w:alias w:val="Numeris"/>
                              <w:tag w:val="nr_b8ccda1db04645268d677d6e3e27bc0b"/>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d7ba010de2c146f58f382fdee5b9ea8b"/>
                        <w:lock w:val="sdtLocked"/>
                        <w:richText/>
                      </w:sdtPr>
                      <w:sdtContent>
                        <w:p>
                          <w:pPr>
                            <w:ind w:firstLine="1298"/>
                            <w:jc w:val="both"/>
                            <w:rPr>
                              <w:rFonts w:eastAsia="Calibri"/>
                              <w:color w:val="000000"/>
                              <w:szCs w:val="24"/>
                            </w:rPr>
                          </w:pPr>
                          <w:sdt>
                            <w:sdtPr>
                              <w:alias w:val="Numeris"/>
                              <w:tag w:val="nr_d7ba010de2c146f58f382fdee5b9ea8b"/>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20b8db0aeb31491782ce90c97f1b2fdd"/>
                        <w:lock w:val="sdtLocked"/>
                        <w:richText/>
                      </w:sdtPr>
                      <w:sdtContent>
                        <w:p>
                          <w:pPr>
                            <w:ind w:firstLine="1298"/>
                            <w:jc w:val="both"/>
                            <w:rPr>
                              <w:rFonts w:eastAsia="Calibri"/>
                              <w:color w:val="000000"/>
                              <w:szCs w:val="24"/>
                            </w:rPr>
                          </w:pPr>
                          <w:sdt>
                            <w:sdtPr>
                              <w:alias w:val="Numeris"/>
                              <w:tag w:val="nr_20b8db0aeb31491782ce90c97f1b2fdd"/>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a9d2fd6cee7341b2bd832ce6414b6d1e"/>
                        <w:lock w:val="sdtLocked"/>
                        <w:richText/>
                      </w:sdtPr>
                      <w:sdtContent>
                        <w:p>
                          <w:pPr>
                            <w:ind w:firstLine="1298"/>
                            <w:jc w:val="both"/>
                            <w:rPr>
                              <w:rFonts w:eastAsia="Calibri"/>
                              <w:color w:val="000000"/>
                              <w:szCs w:val="24"/>
                            </w:rPr>
                          </w:pPr>
                          <w:sdt>
                            <w:sdtPr>
                              <w:alias w:val="Numeris"/>
                              <w:tag w:val="nr_a9d2fd6cee7341b2bd832ce6414b6d1e"/>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66e9c53b9d1941d489d36ef48da09fff"/>
                        <w:lock w:val="sdtLocked"/>
                        <w:richText/>
                      </w:sdtPr>
                      <w:sdtContent>
                        <w:p>
                          <w:pPr>
                            <w:ind w:firstLine="1298"/>
                            <w:jc w:val="both"/>
                            <w:rPr>
                              <w:rFonts w:eastAsia="Calibri"/>
                              <w:color w:val="000000"/>
                              <w:szCs w:val="24"/>
                            </w:rPr>
                          </w:pPr>
                          <w:sdt>
                            <w:sdtPr>
                              <w:alias w:val="Numeris"/>
                              <w:tag w:val="nr_66e9c53b9d1941d489d36ef48da09ff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9b98cc501955414394a9150846086e63"/>
                        <w:lock w:val="sdtLocked"/>
                        <w:richText/>
                      </w:sdtPr>
                      <w:sdtContent>
                        <w:p>
                          <w:pPr>
                            <w:ind w:firstLine="1298"/>
                            <w:jc w:val="both"/>
                            <w:rPr>
                              <w:rFonts w:eastAsia="Calibri"/>
                              <w:color w:val="000000"/>
                              <w:szCs w:val="24"/>
                            </w:rPr>
                          </w:pPr>
                          <w:sdt>
                            <w:sdtPr>
                              <w:alias w:val="Numeris"/>
                              <w:tag w:val="nr_9b98cc501955414394a9150846086e6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6eb730a995564dbaa497dab8ca7180c4"/>
                        <w:lock w:val="sdtLocked"/>
                        <w:richText/>
                      </w:sdtPr>
                      <w:sdtContent>
                        <w:p>
                          <w:pPr>
                            <w:ind w:firstLine="1298"/>
                            <w:jc w:val="both"/>
                            <w:rPr>
                              <w:rFonts w:eastAsia="Calibri"/>
                              <w:color w:val="000000"/>
                              <w:szCs w:val="24"/>
                            </w:rPr>
                          </w:pPr>
                          <w:sdt>
                            <w:sdtPr>
                              <w:alias w:val="Numeris"/>
                              <w:tag w:val="nr_6eb730a995564dbaa497dab8ca7180c4"/>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3b47960c9e0040d3b7498b72711644ec"/>
                        <w:lock w:val="sdtLocked"/>
                        <w:richText/>
                      </w:sdtPr>
                      <w:sdtContent>
                        <w:p>
                          <w:pPr>
                            <w:ind w:firstLine="1298"/>
                            <w:jc w:val="both"/>
                            <w:rPr>
                              <w:rFonts w:eastAsia="Calibri"/>
                              <w:color w:val="000000"/>
                              <w:szCs w:val="24"/>
                            </w:rPr>
                          </w:pPr>
                          <w:sdt>
                            <w:sdtPr>
                              <w:alias w:val="Numeris"/>
                              <w:tag w:val="nr_3b47960c9e0040d3b7498b72711644ec"/>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afb6ff6006c4ef69a7c3824a0052bde"/>
                        <w:lock w:val="sdtLocked"/>
                        <w:richText/>
                      </w:sdtPr>
                      <w:sdtContent>
                        <w:p>
                          <w:pPr>
                            <w:ind w:firstLine="1298"/>
                            <w:jc w:val="both"/>
                            <w:rPr>
                              <w:rFonts w:eastAsia="Calibri"/>
                              <w:color w:val="000000"/>
                              <w:szCs w:val="24"/>
                            </w:rPr>
                          </w:pPr>
                          <w:sdt>
                            <w:sdtPr>
                              <w:alias w:val="Numeris"/>
                              <w:tag w:val="nr_8afb6ff6006c4ef69a7c3824a0052bde"/>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0308f3234fce40a8aeaad35684bb3e68"/>
                        <w:lock w:val="sdtLocked"/>
                        <w:richText/>
                      </w:sdtPr>
                      <w:sdtContent>
                        <w:p>
                          <w:pPr>
                            <w:ind w:firstLine="1298"/>
                            <w:jc w:val="both"/>
                            <w:rPr>
                              <w:rFonts w:eastAsia="Calibri"/>
                              <w:color w:val="000000"/>
                              <w:szCs w:val="24"/>
                            </w:rPr>
                          </w:pPr>
                          <w:sdt>
                            <w:sdtPr>
                              <w:alias w:val="Numeris"/>
                              <w:tag w:val="nr_0308f3234fce40a8aeaad35684bb3e68"/>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38870a6ea4974eb49e286a939fecdc22"/>
                        <w:lock w:val="sdtLocked"/>
                        <w:richText/>
                      </w:sdtPr>
                      <w:sdtContent>
                        <w:p>
                          <w:pPr>
                            <w:ind w:firstLine="1298"/>
                            <w:jc w:val="both"/>
                            <w:rPr>
                              <w:rFonts w:eastAsia="Calibri"/>
                              <w:color w:val="000000"/>
                              <w:szCs w:val="24"/>
                            </w:rPr>
                          </w:pPr>
                          <w:sdt>
                            <w:sdtPr>
                              <w:alias w:val="Numeris"/>
                              <w:tag w:val="nr_38870a6ea4974eb49e286a939fecdc22"/>
                              <w:lock w:val="sdtLocked"/>
                              <w:richText/>
                            </w:sdtPr>
                            <w:sdtContent>
                              <w:r>
                                <w:rPr>
                                  <w:rFonts w:eastAsia="Calibri"/>
                                  <w:color w:val="000000"/>
                                  <w:szCs w:val="24"/>
                                </w:rPr>
                                <w:t>57.9.23</w:t>
                              </w:r>
                            </w:sdtContent>
                          </w:sdt>
                          <w:r>
                            <w:rPr>
                              <w:rFonts w:eastAsia="Calibri"/>
                              <w:color w:val="000000"/>
                              <w:szCs w:val="24"/>
                            </w:rPr>
                            <w:t>. sterilūs tvarsliava, pleistrai, vata;</w:t>
                          </w:r>
                        </w:p>
                      </w:sdtContent>
                    </w:sdt>
                    <w:sdt>
                      <w:sdtPr>
                        <w:alias w:val="57.9.24 pp."/>
                        <w:tag w:val="part_d1707f3be7d64ed995b7b15a0f4eeb63"/>
                        <w:lock w:val="sdtLocked"/>
                        <w:richText/>
                      </w:sdtPr>
                      <w:sdtContent>
                        <w:p>
                          <w:pPr>
                            <w:ind w:firstLine="1298"/>
                            <w:jc w:val="both"/>
                            <w:rPr>
                              <w:rFonts w:eastAsia="Calibri"/>
                              <w:color w:val="000000"/>
                              <w:szCs w:val="24"/>
                            </w:rPr>
                          </w:pPr>
                          <w:sdt>
                            <w:sdtPr>
                              <w:alias w:val="Numeris"/>
                              <w:tag w:val="nr_d1707f3be7d64ed995b7b15a0f4eeb63"/>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9fd38fe46516438da51e2bb5456af353"/>
                        <w:lock w:val="sdtLocked"/>
                        <w:richText/>
                      </w:sdtPr>
                      <w:sdtContent>
                        <w:p>
                          <w:pPr>
                            <w:ind w:firstLine="1298"/>
                            <w:jc w:val="both"/>
                            <w:rPr>
                              <w:rFonts w:eastAsia="Calibri"/>
                              <w:color w:val="000000"/>
                              <w:szCs w:val="24"/>
                            </w:rPr>
                          </w:pPr>
                          <w:sdt>
                            <w:sdtPr>
                              <w:alias w:val="Numeris"/>
                              <w:tag w:val="nr_9fd38fe46516438da51e2bb5456af353"/>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2bc3b0b590984c958566770a703e0782"/>
                        <w:lock w:val="sdtLocked"/>
                        <w:richText/>
                      </w:sdtPr>
                      <w:sdtContent>
                        <w:p>
                          <w:pPr>
                            <w:ind w:firstLine="1298"/>
                            <w:jc w:val="both"/>
                            <w:rPr>
                              <w:rFonts w:eastAsia="Calibri"/>
                              <w:color w:val="000000"/>
                              <w:szCs w:val="24"/>
                            </w:rPr>
                          </w:pPr>
                          <w:sdt>
                            <w:sdtPr>
                              <w:alias w:val="Numeris"/>
                              <w:tag w:val="nr_2bc3b0b590984c958566770a703e0782"/>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p>
                        <w:p>
                          <w:pPr>
                            <w:jc w:val="center"/>
                            <w:rPr>
                              <w:rFonts w:eastAsia="Calibri"/>
                              <w:b/>
                              <w:color w:val="000000"/>
                              <w:szCs w:val="24"/>
                            </w:rPr>
                          </w:pPr>
                        </w:p>
                      </w:sdtContent>
                    </w:sdt>
                  </w:sdtContent>
                </w:sdt>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0355fad6d2b24d10b5415daa5d6c4b5f"/>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0355fad6d2b24d10b5415daa5d6c4b5f"/>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0355fad6d2b24d10b5415daa5d6c4b5f"/>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1"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7"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8"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3"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4"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6"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3"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4"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8"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3"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tc>
            <w:tc>
              <w:tcPr>
                <w:tcW w:w="3408"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pirmame nėštumo trečdalyje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w:t>
                </w:r>
              </w:p>
              <w:p>
                <w:pPr>
                  <w:rPr>
                    <w:szCs w:val="24"/>
                    <w:lang w:eastAsia="lt-LT"/>
                  </w:rPr>
                </w:pPr>
                <w:r>
                  <w:rPr>
                    <w:szCs w:val="24"/>
                    <w:lang w:eastAsia="lt-LT"/>
                  </w:rPr>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 </w:t>
                </w:r>
              </w:p>
            </w:tc>
            <w:tc>
              <w:tcPr>
                <w:tcW w:w="1843"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tc>
            <w:tc>
              <w:tcPr>
                <w:tcW w:w="340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keepNext/>
                  <w:keepLines/>
                  <w:rPr>
                    <w:szCs w:val="24"/>
                    <w:lang w:eastAsia="lt-LT"/>
                  </w:rPr>
                </w:pPr>
                <w:r>
                  <w:rPr>
                    <w:szCs w:val="24"/>
                    <w:lang w:eastAsia="lt-LT"/>
                  </w:rPr>
                  <w:t>2. Aptariama vaisiaus judesių vertinimo svarba.</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5"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4"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8"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75198d2338a54657b5ab5126b9175e98"/>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129"/>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423A9A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header" Target="header9.xml"/>
  <Relationship Id="rId17" Type="http://schemas.openxmlformats.org/officeDocument/2006/relationships/hyperlink" TargetMode="External" Target="https://www.e-tar.lt/portal/lt/legalAct/TAR.0DD466F8E131"/>
  <Relationship Id="rId18" Type="http://schemas.openxmlformats.org/officeDocument/2006/relationships/hyperlink" TargetMode="External" Target="https://www.e-tar.lt/portal/lt/legalAct/TAR.171D59714216"/>
  <Relationship Id="rId19" Type="http://schemas.openxmlformats.org/officeDocument/2006/relationships/hyperlink" TargetMode="External" Target="https://www.e-tar.lt/portal/lt/legalAct/TAR.2CAE5225E06C"/>
  <Relationship Id="rId2" Type="http://schemas.openxmlformats.org/officeDocument/2006/relationships/endnotes" Target="endnotes.xml"/>
  <Relationship Id="rId20" Type="http://schemas.openxmlformats.org/officeDocument/2006/relationships/hyperlink" TargetMode="External" Target="https://www.e-tar.lt/portal/lt/legalAct/TAR.2CB5394F7CDD"/>
  <Relationship Id="rId21" Type="http://schemas.openxmlformats.org/officeDocument/2006/relationships/hyperlink" TargetMode="External" Target="https://www.e-tar.lt/portal/lt/legalAct/TAR.6E00BC1A0C96"/>
  <Relationship Id="rId22" Type="http://schemas.openxmlformats.org/officeDocument/2006/relationships/hyperlink" TargetMode="External" Target="https://www.e-tar.lt/portal/lt/legalAct/TAR.7FFF0CAF2318"/>
  <Relationship Id="rId23" Type="http://schemas.openxmlformats.org/officeDocument/2006/relationships/hyperlink" TargetMode="External" Target="https://www.e-tar.lt/portal/lt/legalAct/TAR.8B483456B844"/>
  <Relationship Id="rId24" Type="http://schemas.openxmlformats.org/officeDocument/2006/relationships/hyperlink" TargetMode="External" Target="https://www.e-tar.lt/portal/lt/legalAct/TAR.B484EB5AF3CC"/>
  <Relationship Id="rId25" Type="http://schemas.openxmlformats.org/officeDocument/2006/relationships/hyperlink" TargetMode="External" Target="https://www.e-tar.lt/portal/lt/legalAct/TAR.C4E4FA59E3C5"/>
  <Relationship Id="rId26" Type="http://schemas.openxmlformats.org/officeDocument/2006/relationships/hyperlink" TargetMode="External" Target="https://www.e-tar.lt/portal/lt/legalAct/TAR.D803414F204B"/>
  <Relationship Id="rId27" Type="http://schemas.openxmlformats.org/officeDocument/2006/relationships/hyperlink" TargetMode="External" Target="https://www.e-tar.lt/portal/lt/legalAct/TAR.DC94FD86C79D"/>
  <Relationship Id="rId28" Type="http://schemas.openxmlformats.org/officeDocument/2006/relationships/image" Target="media/image1.wmf"/>
  <Relationship Id="rId29" Type="http://schemas.openxmlformats.org/officeDocument/2006/relationships/settings" Target="settings.xml"/>
  <Relationship Id="rId3" Type="http://schemas.openxmlformats.org/officeDocument/2006/relationships/fontTable" Target="fontTable.xml"/>
  <Relationship Id="rId30" Type="http://schemas.openxmlformats.org/officeDocument/2006/relationships/styles" Target="styles.xml"/>
  <Relationship Id="rId31" Type="http://schemas.microsoft.com/office/2007/relationships/stylesWithEffects" Target="stylesWithEffects.xml"/>
  <Relationship Id="rId32" Type="http://schemas.openxmlformats.org/officeDocument/2006/relationships/theme" Target="theme/theme1.xml"/>
  <Relationship Id="rId33" Type="http://schemas.openxmlformats.org/officeDocument/2006/relationships/webSettings" Target="webSettings.xml"/>
  <Relationship Id="rId34" Type="http://schemas.openxmlformats.org/officeDocument/2006/relationships/header" Target="header13.xml"/>
  <Relationship Id="rId35" Type="http://schemas.openxmlformats.org/officeDocument/2006/relationships/header" Target="header14.xml"/>
  <Relationship Id="rId36" Type="http://schemas.openxmlformats.org/officeDocument/2006/relationships/footer" Target="footer13.xml"/>
  <Relationship Id="rId37" Type="http://schemas.openxmlformats.org/officeDocument/2006/relationships/footer" Target="footer14.xml"/>
  <Relationship Id="rId38" Type="http://schemas.openxmlformats.org/officeDocument/2006/relationships/header" Target="header15.xml"/>
  <Relationship Id="rId39" Type="http://schemas.openxmlformats.org/officeDocument/2006/relationships/footer" Target="footer15.xml"/>
  <Relationship Id="rId4" Type="http://schemas.openxmlformats.org/officeDocument/2006/relationships/footer" Target="footer1.xml"/>
  <Relationship Id="rId40" Type="http://schemas.openxmlformats.org/officeDocument/2006/relationships/customXml" Target="../customXml/item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er" Target="footer7.xml"/>
  <Relationship Id="rId8" Type="http://schemas.openxmlformats.org/officeDocument/2006/relationships/footer" Target="footer8.xml"/>
  <Relationship Id="rId9" Type="http://schemas.openxmlformats.org/officeDocument/2006/relationships/footer" Target="footer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820c30254f8a4a9ca34d187fd0f95922">
    <Part Type="punktas" Nr="1" Abbr="1 p." DocPartId="a73fba04cd684d688c317e88952c0e1d" PartId="e66b4ac957ff4559a3347ded38f3a11b"/>
    <Part Type="punktas" Nr="2" Abbr="2 p." DocPartId="a01ced7e1fc74a7e9016995e2759645f" PartId="9b760b9a281f4a7eba66061c0d96b808">
      <Part Type="papunktis" Nr="2.1" Abbr="2.1 pp." DocPartId="e04fdc1a24fa438e93bbf200cef289e6" PartId="2072d8f615204ae4af5c6492dc164f3d"/>
      <Part Type="papunktis" Nr="2.2" Abbr="2.2 pp." DocPartId="f73fecfadcfa4f55ad161be907a28d4f" PartId="2a7258f6ae094315a7223bfa65d5ad48"/>
    </Part>
    <Part Type="punktas" Nr="3" Abbr="3 p." DocPartId="e5e0bf5ccf7847c78deeb17f2263951f" PartId="7f3cf1d38a9a4205b8fe5f4b58b6cb2a"/>
    <Part Type="signatura" DocPartId="81a0548867534bb2b5bd68a31578e6fb" PartId="79ec62aea55e456eb0ccfe0329b1233a"/>
  </Part>
  <Part Type="patvirtinta" Title="NĖŠČIŲJŲ, GIMDYVIŲ IR NAUJAGIMIŲ SVEIKATOS PRIEŽIŪROS TVARKOS APRAŠAS" DocPartId="f9a5c625302a43e19119ff33b611d939" PartId="333bf511af834338aa54ac9c08d73144">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ecad9df5508242eca43c74fb3f38dedb"/>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d28a44b958a34e418fef51baedbe593d"/>
      <Part Type="punktas" Nr="22" Abbr="22 p." DocPartId="83841e9a35ad4fbc9c6d405d85a4e47a" PartId="dff2151ae9a64cb1a6d1d454a13d5491">
        <Part Type="papunktis" Nr="22.1" Abbr="22.1 pp." DocPartId="9965c79dda5544289b6e94a7f6ebe0eb" PartId="d8d793e2be4f44f2a7b2955e96571549"/>
        <Part Type="papunktis" Nr="22.2" Abbr="22.2 pp." DocPartId="84561a6359f344bf9bf9b7fabf9ab967" PartId="5c13998833ea49c0b88e9b8dc2910b01"/>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e0246e2815934768b54193ff9a22d2a5">
        <Part Type="papunktis" Nr="30.1" Abbr="30.1 pp." DocPartId="d2c9ce331b494aa5a1f5bf4c5f2eb6ca" PartId="08c5b861f31d410889efe0594dcc8269"/>
        <Part Type="papunktis" Nr="30.2" Abbr="30.2 pp." DocPartId="e8a874da767649a9b0f5f70b18574f01" PartId="bc13b71dc82e4011a8f72591b7b42ce5"/>
        <Part Type="papunktis" Nr="30.3" Abbr="30.3 pp." DocPartId="b87ce9d8d05840d38d87a89f2cbf77a4" PartId="c6962e18d15e48ad830ae6f5028b5824">
          <Part Type="papunktis" Nr="30.3.1" Abbr="30.3.1 pp." DocPartId="e304a5d24bc845989f1ae04dc8939901" PartId="a489b39cf2b148fcbacab9eb90792b47"/>
          <Part Type="papunktis" Nr="30.3.2" Abbr="30.3.2 pp." DocPartId="f268b265e6924a50a1fa5cfa3e441caa" PartId="4f03fdb7c8dd4a67ba51875f32c0290a"/>
          <Part Type="papunktis" Nr="30.3.3" Abbr="30.3.3 pp." DocPartId="de6b72b06c8e4aa590bbfd4e67a59a10" PartId="bb08d2bf7de941ab9f879eec29deb973"/>
        </Part>
        <Part Type="papunktis" Nr="30.4" Abbr="30.4 pp." DocPartId="cfe6a5c94d9d4ae5b882a7d39294433c" PartId="2e11f399f77e4e74860a9655e284e464"/>
        <Part Type="papunktis" Nr="30.5" Abbr="30.5 pp." DocPartId="0d6880288fd84b92832ceaf5ff543d2e" PartId="b17989449d964c9c9e1cbbc4b4f612d0"/>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b3783261732f40c8bc0d3dc8162bd71e"/>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Part Type="punktas" Nr="37" Abbr="37 p." DocPartId="b21246b8bb9f4b97a17a917461a48992" PartId="18a10f7530bb4e67b6fcbb10f355a193"/>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697b0a5256b343afa6357466b8d6d583"/>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8f67e7d3f8444c0284ec65aa44f19111">
        <Part Type="papunktis" Nr="57.1" Abbr="57.1 pp." DocPartId="641d832ceb03445aa77682be94908a11" PartId="4c4a5496ff2a43949676b03e9f9306e4">
          <Part Type="papunktis" Nr="57.1.1" Abbr="57.1.1 pp." DocPartId="def2bee6dc1e48258b256a5f46c7c232" PartId="9da42911c71f47a4bef70c5d5e8d4e5d"/>
          <Part Type="papunktis" Nr="57.1.2" Abbr="57.1.2 pp." DocPartId="a79e3695d624442a924b7f36c19bfd55" PartId="31defd709b4b45f1ab51e738a2830290"/>
          <Part Type="papunktis" Nr="57.1.3" Abbr="57.1.3 pp." DocPartId="f5b0bebf34764cd59612e583fc61473a" PartId="0e8539a337874ca89ade1b65c191e1dc"/>
          <Part Type="papunktis" Nr="57.1.4" Abbr="57.1.4 pp." DocPartId="c2ece155e2534a5abc7629eb85d0a46b" PartId="f6eb2dbf612d4d7db4d4b0282817cafb"/>
          <Part Type="papunktis" Nr="57.1.5" Abbr="57.1.5 pp." DocPartId="f1e363cf3a2b47e8b7ecbc8be20261aa" PartId="77af87e240c346bd9035b8ccc015dc1b"/>
        </Part>
        <Part Type="papunktis" Nr="57.2" Abbr="57.2 pp." DocPartId="9ed929be7f07464bae0c6f7686c26547" PartId="990a665604c5445aad0d6308f7843942"/>
        <Part Type="papunktis" Nr="57.3" Abbr="57.3 pp." DocPartId="e4e67ff48d89440595bd61d9cd0e9061" PartId="fcebe9b922ed4a52bd6d5ecb7f525dc7"/>
        <Part Type="papunktis" Nr="57.4" Abbr="57.4 pp." DocPartId="75de6926f4934ac991e1f5cb92cec49c" PartId="267cc26b5c704ebeb1eacf6c04227db5"/>
        <Part Type="papunktis" Nr="57.5" Abbr="57.5 pp." DocPartId="3f58aa87c74d4f8595ff1e63ccd2972d" PartId="2f055ff91f07474cb3fee33eb7d32db7"/>
        <Part Type="papunktis" Nr="57.6" Abbr="57.6 pp." DocPartId="9f832e1130e4451b98e4cb70375db595" PartId="1f48cc1cb9dc4e0f8627f3c2da9ecfd0"/>
        <Part Type="papunktis" Nr="57.7" Abbr="57.7 pp." DocPartId="650d70fd2a4f42dcb93f6a115ea8f4bc" PartId="2d7b4d917a6142ef9a6dbd2ded6e896e"/>
        <Part Type="papunktis" Nr="57.8" Abbr="57.8 pp." DocPartId="f12c66943a3f449bb397c009117f9418" PartId="9afe3fc4a3c4464dbae2d49581ab28c6"/>
        <Part Type="papunktis" Nr="57.9" Abbr="57.9 pp." DocPartId="fb22b366885f46b5961de9b0aa671721" PartId="13631ec1f74f43db8b6ac5bfa92ba46e">
          <Part Type="papunktis" Nr="57.9.1" Abbr="57.9.1 pp." DocPartId="0008759fb4f7423ba0b9e9746782df79" PartId="c638dc3baec44d48bcfbc59245f8ee1f"/>
          <Part Type="papunktis" Nr="57.9.2" Abbr="57.9.2 pp." DocPartId="d84844e306be484f8fd9f55221331773" PartId="3256f56cd280428ebdc34cf34746ec85"/>
          <Part Type="papunktis" Nr="57.9.3" Abbr="57.9.3 pp." DocPartId="1159cc175f334972bc17fb2f1f4c2f39" PartId="ca258a4f98354472bb941975d38cbe1d"/>
          <Part Type="papunktis" Nr="57.9.4" Abbr="57.9.4 pp." DocPartId="f1ed543d0e5543648283c982f6328da2" PartId="53c2f7c4a1ef46c2810db3ea60a2706e"/>
          <Part Type="papunktis" Nr="57.9.5" Abbr="57.9.5 pp." DocPartId="efe18e8e67aa461a9cbb2149d1f17fab" PartId="ea934d4d636440898cf87c4ea19b2033"/>
          <Part Type="papunktis" Nr="57.9.6" Abbr="57.9.6 pp." DocPartId="1e37ebbbf175495fa79defe6715172e9" PartId="8efae3cd860a49699db669f5501ca148"/>
          <Part Type="papunktis" Nr="57.9.7" Abbr="57.9.7 pp." DocPartId="f6c2e7f74a1841c89a8655e5a3b1a533" PartId="a967e77cf97848149499204145cc74d6"/>
          <Part Type="papunktis" Nr="57.9.8" Abbr="57.9.8 pp." DocPartId="ee649b2d8a0e40b195dcdece0f01252c" PartId="71dd8cf6b69e4975ba6fecae675eac13"/>
          <Part Type="papunktis" Nr="57.9.9" Abbr="57.9.9 pp." DocPartId="72a4874858ce46ae9ff62b9a9543314e" PartId="1e7e032b2be948eb933158bbb10a0b70"/>
          <Part Type="papunktis" Nr="57.9.10" Abbr="57.9.10 pp." DocPartId="2170c84610f446e0b9ac65ce2bb40f70" PartId="c2f79155320d4e2fbb118e454d8fb342"/>
          <Part Type="papunktis" Nr="57.9.11" Abbr="57.9.11 pp." DocPartId="ad1de6f110684123b42d19e9a708babc" PartId="e6e91cf9c5d741d2859fa7b3fb1994b4"/>
          <Part Type="papunktis" Nr="57.9.12" Abbr="57.9.12 pp." DocPartId="e204c17a8f744fdc87453e468ad1a4f8" PartId="841241d8322a4903ad51135ac5bfaff6"/>
          <Part Type="papunktis" Nr="57.9.13" Abbr="57.9.13 pp." DocPartId="145720e5e5aa4aebad39811da2c2afbd" PartId="b8ccda1db04645268d677d6e3e27bc0b"/>
          <Part Type="papunktis" Nr="57.9.14" Abbr="57.9.14 pp." DocPartId="eda295040f8d4032bfdb65b643bb7471" PartId="d7ba010de2c146f58f382fdee5b9ea8b"/>
          <Part Type="papunktis" Nr="57.9.15" Abbr="57.9.15 pp." DocPartId="36e7e2b3f2e14bd580149a3f642d8575" PartId="20b8db0aeb31491782ce90c97f1b2fdd"/>
          <Part Type="papunktis" Nr="57.9.16" Abbr="57.9.16 pp." DocPartId="5c16213459c4418091adefd4ea48d910" PartId="a9d2fd6cee7341b2bd832ce6414b6d1e"/>
          <Part Type="papunktis" Nr="57.9.17" Abbr="57.9.17 pp." DocPartId="c716daddfd8b4dccb89670afce3eafb1" PartId="66e9c53b9d1941d489d36ef48da09fff"/>
          <Part Type="papunktis" Nr="57.9.18" Abbr="57.9.18 pp." DocPartId="525c3916b13541f38615ffe7f7d3593b" PartId="9b98cc501955414394a9150846086e63"/>
          <Part Type="papunktis" Nr="57.9.19" Abbr="57.9.19 pp." DocPartId="3d68496912b7469f9c1572bc1fb5f471" PartId="6eb730a995564dbaa497dab8ca7180c4"/>
          <Part Type="papunktis" Nr="57.9.20" Abbr="57.9.20 pp." DocPartId="2a295b3e135342bdb3eeb47dfa2eeeeb" PartId="3b47960c9e0040d3b7498b72711644ec"/>
          <Part Type="papunktis" Nr="57.9.21" Abbr="57.9.21 pp." DocPartId="69a6457b96e84f55b4c830fece1e950b" PartId="8afb6ff6006c4ef69a7c3824a0052bde"/>
          <Part Type="papunktis" Nr="57.9.22" Abbr="57.9.22 pp." DocPartId="521f114a126640c9ba2d12ecfd0ee965" PartId="0308f3234fce40a8aeaad35684bb3e68"/>
          <Part Type="papunktis" Nr="57.9.23" Abbr="57.9.23 pp." DocPartId="30a0ff0ac86e4b729c0329fd34e74ca6" PartId="38870a6ea4974eb49e286a939fecdc22"/>
          <Part Type="papunktis" Nr="57.9.24" Abbr="57.9.24 pp." DocPartId="7b73fd3ec0704ee0a8cedb28f2577895" PartId="d1707f3be7d64ed995b7b15a0f4eeb63"/>
          <Part Type="papunktis" Nr="57.9.25" Abbr="57.9.25 pp." DocPartId="d457fddc518a4e50a07c0ad4c3f12795" PartId="9fd38fe46516438da51e2bb5456af353"/>
          <Part Type="papunktis" Nr="57.9.26" Abbr="57.9.26 pp." DocPartId="57a7091b02134dedb2308ca7354caaad" PartId="2bc3b0b590984c958566770a703e0782"/>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0355fad6d2b24d10b5415daa5d6c4b5f">
    <Part Type="pabaiga" DocPartId="579283b3303446c5a54d3e6add10d272" PartId="75198d2338a54657b5ab5126b9175e98"/>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60DBA6CF-4E71-4AFC-9FF6-9BA41F0D76FC}">
  <ds:schemaRefs>
    <ds:schemaRef ds:uri="http://lrs.lt/TAIS/DocParts"/>
  </ds:schemaRefs>
</ds:datastoreItem>
</file>

<file path=docProps/app.xml><?xml version="1.0" encoding="utf-8"?>
<Properties xmlns="http://schemas.openxmlformats.org/officeDocument/2006/extended-properties">
  <Template>Normal.dotm</Template>
  <TotalTime>12</TotalTime>
  <Pages>55</Pages>
  <Words>84494</Words>
  <Characters>48162</Characters>
  <Application>Microsoft Office Word</Application>
  <DocSecurity>0</DocSecurity>
  <Lines>401</Lines>
  <Paragraphs>264</Paragraphs>
  <ScaleCrop>false</ScaleCrop>
  <Company/>
  <LinksUpToDate>false</LinksUpToDate>
  <CharactersWithSpaces>132392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PETRAUSKAITĖ Girmantė</lastModifiedBy>
  <dcterms:modified xsi:type="dcterms:W3CDTF">2018-07-31T07:07:00Z</dcterms:modified>
  <revision>13</revision>
  <dc:title>LIETUVOS RESPUBLIKOS SVEIKATOS APSAUGOS MINISTRO</dc:title>
</coreProperties>
</file>