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10fdb9f34bf45bb815a6707028a8534"/>
        <w:lock w:val="sdtLocked"/>
        <w:richText/>
      </w:sdtPr>
      <w:sdtContent>
        <w:p>
          <w:pPr>
            <w:jc w:val="both"/>
            <w:rPr>
              <w:rFonts w:ascii="Arial" w:hAnsi="Arial"/>
            </w:rPr>
          </w:pPr>
          <w:r>
            <w:rPr>
              <w:rFonts w:ascii="Arial" w:hAnsi="Arial"/>
              <w:b/>
              <w:i/>
            </w:rPr>
            <w:t>Suvestinė redakcija nuo 2024-11-01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2013, Nr. </w:t>
          </w:r>
          <w:fldSimple w:instr="HYPERLINK https://www.e-tar.lt/portal/legalAct.html?documentId=TAR.8F44C64C509B">
            <w:r w:rsidRPr="00532B9F">
              <w:rPr>
                <w:rFonts w:ascii="Arial" w:eastAsia="MS Mincho" w:hAnsi="Arial"/>
                <w:sz w:val="20"/>
                <w:i/>
                <w:iCs/>
                <w:color w:val="0000FF" w:themeColor="hyperlink"/>
                <w:u w:val="single"/>
              </w:rPr>
              <w:t>77-3901</w:t>
            </w:r>
          </w:fldSimple>
          <w:r>
            <w:rPr>
              <w:rFonts w:ascii="Arial" w:eastAsia="MS Mincho" w:hAnsi="Arial"/>
              <w:sz w:val="20"/>
              <w:i/>
              <w:iCs/>
            </w:rPr>
            <w:t>, i. k. 113301MISAK00D1-528</w:t>
          </w:r>
        </w:p>
        <w:p>
          <w:pPr>
            <w:jc w:val="both"/>
            <w:rPr>
              <w:rFonts w:ascii="Arial" w:hAnsi="Arial"/>
              <w:sz w:val="20"/>
            </w:rPr>
          </w:pPr>
        </w:p>
        <w:p>
          <w:pPr>
            <w:widowControl w:val="0"/>
            <w:jc w:val="center"/>
            <w:rPr>
              <w:color w:val="000000"/>
              <w:szCs w:val="24"/>
              <w:lang w:eastAsia="lt-LT"/>
            </w:rPr>
          </w:pPr>
          <w:r>
            <w:rPr>
              <w:color w:val="000000"/>
              <w:szCs w:val="24"/>
              <w:lang w:eastAsia="lt-LT"/>
            </w:rPr>
            <w:t>LIETUVOS RESPUBLIKOS APLINKOS MINISTRO</w:t>
          </w:r>
        </w:p>
        <w:p>
          <w:pPr>
            <w:widowControl w:val="0"/>
            <w:jc w:val="center"/>
            <w:rPr>
              <w:color w:val="000000"/>
              <w:szCs w:val="24"/>
              <w:lang w:eastAsia="lt-LT"/>
            </w:rPr>
          </w:pPr>
          <w:r>
            <w:rPr>
              <w:color w:val="000000"/>
              <w:szCs w:val="24"/>
              <w:lang w:eastAsia="lt-LT"/>
            </w:rPr>
            <w:t>Į S A K Y M A S</w:t>
          </w:r>
        </w:p>
        <w:p>
          <w:pPr>
            <w:widowControl w:val="0"/>
            <w:jc w:val="center"/>
            <w:rPr>
              <w:color w:val="000000"/>
              <w:szCs w:val="24"/>
              <w:lang w:eastAsia="lt-LT"/>
            </w:rPr>
          </w:pPr>
        </w:p>
        <w:p>
          <w:pPr>
            <w:widowControl w:val="0"/>
            <w:jc w:val="center"/>
            <w:rPr>
              <w:b/>
              <w:bCs/>
              <w:caps/>
              <w:color w:val="000000"/>
              <w:szCs w:val="24"/>
              <w:lang w:eastAsia="lt-LT"/>
            </w:rPr>
          </w:pPr>
          <w:r>
            <w:rPr>
              <w:b/>
              <w:bCs/>
              <w:caps/>
              <w:color w:val="000000"/>
              <w:szCs w:val="24"/>
              <w:lang w:eastAsia="lt-LT"/>
            </w:rPr>
            <w:t>DĖL Taršos integruotos prevencijos ir kontrolės leidimų išdavimo, pakeitimo ir galiojimo panaikinimo taisyklIŲ PATVIRTINIMO</w:t>
          </w:r>
        </w:p>
        <w:p>
          <w:pPr>
            <w:widowControl w:val="0"/>
            <w:ind w:firstLine="567"/>
            <w:jc w:val="both"/>
            <w:rPr>
              <w:color w:val="000000"/>
              <w:szCs w:val="24"/>
              <w:lang w:eastAsia="lt-LT"/>
            </w:rPr>
          </w:pPr>
        </w:p>
        <w:p>
          <w:pPr>
            <w:widowControl w:val="0"/>
            <w:jc w:val="center"/>
            <w:rPr>
              <w:color w:val="000000"/>
              <w:szCs w:val="24"/>
              <w:lang w:eastAsia="lt-LT"/>
            </w:rPr>
          </w:pPr>
          <w:r>
            <w:rPr>
              <w:color w:val="000000"/>
              <w:szCs w:val="24"/>
              <w:lang w:eastAsia="lt-LT"/>
            </w:rPr>
            <w:t>2013 m. liepos 15 d. Nr. D1-528</w:t>
          </w:r>
        </w:p>
        <w:p>
          <w:pPr>
            <w:widowControl w:val="0"/>
            <w:jc w:val="center"/>
            <w:rPr>
              <w:color w:val="000000"/>
              <w:szCs w:val="24"/>
              <w:lang w:eastAsia="lt-LT"/>
            </w:rPr>
          </w:pPr>
          <w:r>
            <w:rPr>
              <w:color w:val="000000"/>
              <w:szCs w:val="24"/>
              <w:lang w:eastAsia="lt-LT"/>
            </w:rPr>
            <w:t>Vilnius</w:t>
          </w:r>
        </w:p>
        <w:p>
          <w:pPr>
            <w:widowControl w:val="0"/>
            <w:jc w:val="center"/>
            <w:rPr>
              <w:color w:val="000000"/>
              <w:szCs w:val="24"/>
              <w:lang w:eastAsia="lt-LT"/>
            </w:rPr>
          </w:pPr>
        </w:p>
        <w:p>
          <w:pPr>
            <w:widowControl w:val="0"/>
            <w:jc w:val="center"/>
            <w:rPr>
              <w:color w:val="000000"/>
              <w:szCs w:val="24"/>
              <w:lang w:eastAsia="lt-LT"/>
            </w:rPr>
          </w:pPr>
        </w:p>
        <w:sdt>
          <w:sdtPr>
            <w:alias w:val="preambule"/>
            <w:tag w:val="part_d6df3c1edfb446329a71c03a944d89a3"/>
            <w:lock w:val="sdtLocked"/>
            <w:richText/>
          </w:sdtPr>
          <w:sdtContent>
            <w:p>
              <w:pPr>
                <w:widowControl w:val="0"/>
                <w:suppressAutoHyphens/>
                <w:ind w:firstLine="549"/>
                <w:jc w:val="both"/>
                <w:textAlignment w:val="baseline"/>
                <w:rPr>
                  <w:color w:val="000000"/>
                  <w:szCs w:val="24"/>
                  <w:lang w:eastAsia="lt-LT"/>
                </w:rPr>
              </w:pPr>
              <w:r>
                <w:rPr>
                  <w:szCs w:val="24"/>
                </w:rPr>
                <w:t>Vadovaudamasis Lietuvos Respublikos aplinkos apsaugos įstatymo 19</w:t>
              </w:r>
              <w:r>
                <w:rPr>
                  <w:szCs w:val="24"/>
                  <w:vertAlign w:val="superscript"/>
                </w:rPr>
                <w:t>1</w:t>
              </w:r>
              <w:r>
                <w:rPr>
                  <w:szCs w:val="24"/>
                </w:rPr>
                <w:t xml:space="preserve"> straipsnio 1 dalimi ir įgyvendindamas 2010 m. lapkričio 24 d. Europos Parlamento </w:t>
              </w:r>
              <w:r>
                <w:rPr>
                  <w:color w:val="000000"/>
                  <w:szCs w:val="24"/>
                </w:rPr>
                <w:t>ir Tarybos direktyvos 2010/75/ES dėl pramoninių išmetamų teršalų (taršos integruotos prevencijos ir kontrolės) nuostatas:</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1 p."/>
            <w:tag w:val="part_e7cbc5038b134994b9ba83156ea0dc95"/>
            <w:lock w:val="sdtLocked"/>
            <w:richText/>
          </w:sdtPr>
          <w:sdtContent>
            <w:p>
              <w:pPr>
                <w:widowControl w:val="0"/>
                <w:ind w:firstLine="567"/>
                <w:jc w:val="both"/>
                <w:rPr>
                  <w:color w:val="000000"/>
                  <w:szCs w:val="24"/>
                  <w:lang w:eastAsia="lt-LT"/>
                </w:rPr>
              </w:pPr>
              <w:sdt>
                <w:sdtPr>
                  <w:alias w:val="Numeris"/>
                  <w:tag w:val="nr_e7cbc5038b134994b9ba83156ea0dc95"/>
                  <w:lock w:val="sdtLocked"/>
                  <w:richText/>
                </w:sdtPr>
                <w:sdtContent>
                  <w:r>
                    <w:rPr>
                      <w:color w:val="000000"/>
                      <w:szCs w:val="24"/>
                      <w:lang w:eastAsia="lt-LT"/>
                    </w:rPr>
                    <w:t>1</w:t>
                  </w:r>
                </w:sdtContent>
              </w:sdt>
              <w:r>
                <w:rPr>
                  <w:color w:val="000000"/>
                  <w:szCs w:val="24"/>
                  <w:lang w:eastAsia="lt-LT"/>
                </w:rPr>
                <w:t xml:space="preserve">. </w:t>
              </w:r>
              <w:r>
                <w:rPr>
                  <w:color w:val="000000"/>
                  <w:spacing w:val="33"/>
                  <w:szCs w:val="24"/>
                  <w:lang w:eastAsia="lt-LT"/>
                </w:rPr>
                <w:t>Tvirtinu</w:t>
              </w:r>
              <w:r>
                <w:rPr>
                  <w:color w:val="000000"/>
                  <w:szCs w:val="24"/>
                  <w:lang w:eastAsia="lt-LT"/>
                </w:rPr>
                <w:t xml:space="preserve"> Taršos integruotos prevencijos ir kontrolės leidimų išdavimo, pakeitimo ir galiojimo panaikinimo taisykles (toliau – Taisyklės) (pridedama).</w:t>
              </w:r>
            </w:p>
          </w:sdtContent>
        </w:sdt>
        <w:sdt>
          <w:sdtPr>
            <w:alias w:val="2 p."/>
            <w:tag w:val="part_135d80d8668949f29ba14d42282c3ba9"/>
            <w:lock w:val="sdtLocked"/>
            <w:richText/>
          </w:sdtPr>
          <w:sdtContent>
            <w:p>
              <w:pPr>
                <w:widowControl w:val="0"/>
                <w:ind w:firstLine="567"/>
                <w:jc w:val="both"/>
                <w:rPr>
                  <w:color w:val="000000"/>
                  <w:szCs w:val="24"/>
                  <w:lang w:eastAsia="lt-LT"/>
                </w:rPr>
              </w:pPr>
              <w:sdt>
                <w:sdtPr>
                  <w:alias w:val="Numeris"/>
                  <w:tag w:val="nr_135d80d8668949f29ba14d42282c3ba9"/>
                  <w:lock w:val="sdtLocked"/>
                  <w:richText/>
                </w:sdtPr>
                <w:sdtContent>
                  <w:r>
                    <w:rPr>
                      <w:color w:val="000000"/>
                      <w:szCs w:val="24"/>
                      <w:lang w:eastAsia="lt-LT"/>
                    </w:rPr>
                    <w:t>2</w:t>
                  </w:r>
                </w:sdtContent>
              </w:sdt>
              <w:r>
                <w:rPr>
                  <w:color w:val="000000"/>
                  <w:szCs w:val="24"/>
                  <w:lang w:eastAsia="lt-LT"/>
                </w:rPr>
                <w:t xml:space="preserve">. </w:t>
              </w:r>
              <w:r>
                <w:rPr>
                  <w:color w:val="000000"/>
                  <w:spacing w:val="33"/>
                  <w:szCs w:val="24"/>
                  <w:lang w:eastAsia="lt-LT"/>
                </w:rPr>
                <w:t>Nustata</w:t>
              </w:r>
              <w:r>
                <w:rPr>
                  <w:color w:val="000000"/>
                  <w:szCs w:val="24"/>
                  <w:lang w:eastAsia="lt-LT"/>
                </w:rPr>
                <w:t>u, kad:</w:t>
              </w:r>
            </w:p>
            <w:sdt>
              <w:sdtPr>
                <w:alias w:val="2.1 p."/>
                <w:tag w:val="part_5b31207c83384a6da7d022bd2a85a2c8"/>
                <w:lock w:val="sdtLocked"/>
                <w:richText/>
              </w:sdtPr>
              <w:sdtContent>
                <w:p>
                  <w:pPr>
                    <w:widowControl w:val="0"/>
                    <w:ind w:firstLine="567"/>
                    <w:jc w:val="both"/>
                    <w:rPr>
                      <w:color w:val="000000"/>
                      <w:szCs w:val="24"/>
                      <w:lang w:eastAsia="lt-LT"/>
                    </w:rPr>
                  </w:pPr>
                  <w:sdt>
                    <w:sdtPr>
                      <w:alias w:val="Numeris"/>
                      <w:tag w:val="nr_5b31207c83384a6da7d022bd2a85a2c8"/>
                      <w:lock w:val="sdtLocked"/>
                      <w:richText/>
                    </w:sdtPr>
                    <w:sdtContent>
                      <w:r>
                        <w:rPr>
                          <w:color w:val="000000"/>
                          <w:szCs w:val="24"/>
                          <w:lang w:eastAsia="lt-LT"/>
                        </w:rPr>
                        <w:t>2.1</w:t>
                      </w:r>
                    </w:sdtContent>
                  </w:sdt>
                  <w:r>
                    <w:rPr>
                      <w:color w:val="000000"/>
                      <w:szCs w:val="24"/>
                      <w:lang w:eastAsia="lt-LT"/>
                    </w:rPr>
                    <w:t>. šio įsakymo 2.2 punkte nurodytų rūšių veiklai, kurią vykdant eksploatuojamas įrenginys, kuriam pagal Taršos integruotos prevencijos ir kontrolės leidimų išdavimo, atnaujinimo ir panaikinimo taisyklių, patvirtintų Lietuvos Respublikos aplinkos ministro 2002 m. vasario 27 d. įsakymu Nr. 80 (Žin., 2002, Nr. </w:t>
                  </w:r>
                  <w:hyperlink r:id="rId9" w:tgtFrame="_blank" w:history="1">
                    <w:r>
                      <w:rPr>
                        <w:color w:val="0000FF" w:themeColor="hyperlink"/>
                        <w:szCs w:val="24"/>
                        <w:u w:val="single"/>
                        <w:lang w:eastAsia="lt-LT"/>
                      </w:rPr>
                      <w:t>85-3684</w:t>
                    </w:r>
                  </w:hyperlink>
                  <w:r>
                    <w:rPr>
                      <w:color w:val="000000"/>
                      <w:szCs w:val="24"/>
                      <w:lang w:eastAsia="lt-LT"/>
                    </w:rPr>
                    <w:t>; 2005, Nr. </w:t>
                  </w:r>
                  <w:hyperlink r:id="rId10" w:tgtFrame="_blank" w:history="1">
                    <w:r>
                      <w:rPr>
                        <w:color w:val="0000FF" w:themeColor="hyperlink"/>
                        <w:szCs w:val="24"/>
                        <w:u w:val="single"/>
                        <w:lang w:eastAsia="lt-LT"/>
                      </w:rPr>
                      <w:t>103-3829</w:t>
                    </w:r>
                  </w:hyperlink>
                  <w:r>
                    <w:rPr>
                      <w:color w:val="000000"/>
                      <w:szCs w:val="24"/>
                      <w:lang w:eastAsia="lt-LT"/>
                    </w:rPr>
                    <w:t>) (toliau – 2002 m. TIPK taisyklės), 1 priedą iki šio įsakymo įsigaliojimo buvo išduotas taršos integruotos prevencijos ir kontrolės (toliau – TIPK) leidimas:</w:t>
                  </w:r>
                </w:p>
                <w:sdt>
                  <w:sdtPr>
                    <w:alias w:val="2.1.1 p."/>
                    <w:tag w:val="part_8f0933b75f944bdbad74a20ec84d7b3c"/>
                    <w:lock w:val="sdtLocked"/>
                    <w:richText/>
                  </w:sdtPr>
                  <w:sdtContent>
                    <w:p>
                      <w:pPr>
                        <w:widowControl w:val="0"/>
                        <w:ind w:firstLine="567"/>
                        <w:jc w:val="both"/>
                        <w:rPr>
                          <w:color w:val="000000"/>
                          <w:szCs w:val="24"/>
                          <w:lang w:eastAsia="lt-LT"/>
                        </w:rPr>
                      </w:pPr>
                      <w:sdt>
                        <w:sdtPr>
                          <w:alias w:val="Numeris"/>
                          <w:tag w:val="nr_8f0933b75f944bdbad74a20ec84d7b3c"/>
                          <w:lock w:val="sdtLocked"/>
                          <w:richText/>
                        </w:sdtPr>
                        <w:sdtContent>
                          <w:r>
                            <w:rPr>
                              <w:color w:val="000000"/>
                              <w:szCs w:val="24"/>
                              <w:lang w:eastAsia="lt-LT"/>
                            </w:rPr>
                            <w:t>2.1.1</w:t>
                          </w:r>
                        </w:sdtContent>
                      </w:sdt>
                      <w:r>
                        <w:rPr>
                          <w:color w:val="000000"/>
                          <w:szCs w:val="24"/>
                          <w:lang w:eastAsia="lt-LT"/>
                        </w:rPr>
                        <w:t>. iki 2014 m. sausio 6 d. imtinai taikomos 2002 m. TIPK taisyklės tokia tvarka:</w:t>
                      </w:r>
                    </w:p>
                    <w:sdt>
                      <w:sdtPr>
                        <w:alias w:val="2.1.1.1 p."/>
                        <w:tag w:val="part_1df1ba2ed6f2444a84b15b2dc21e18e4"/>
                        <w:lock w:val="sdtLocked"/>
                        <w:richText/>
                      </w:sdtPr>
                      <w:sdtContent>
                        <w:p>
                          <w:pPr>
                            <w:widowControl w:val="0"/>
                            <w:ind w:firstLine="567"/>
                            <w:jc w:val="both"/>
                            <w:rPr>
                              <w:color w:val="000000"/>
                              <w:szCs w:val="24"/>
                              <w:lang w:eastAsia="lt-LT"/>
                            </w:rPr>
                          </w:pPr>
                          <w:sdt>
                            <w:sdtPr>
                              <w:alias w:val="Numeris"/>
                              <w:tag w:val="nr_1df1ba2ed6f2444a84b15b2dc21e18e4"/>
                              <w:lock w:val="sdtLocked"/>
                              <w:richText/>
                            </w:sdtPr>
                            <w:sdtContent>
                              <w:r>
                                <w:rPr>
                                  <w:color w:val="000000"/>
                                  <w:szCs w:val="24"/>
                                  <w:lang w:eastAsia="lt-LT"/>
                                </w:rPr>
                                <w:t>2.1.1.1</w:t>
                              </w:r>
                            </w:sdtContent>
                          </w:sdt>
                          <w:r>
                            <w:rPr>
                              <w:color w:val="000000"/>
                              <w:szCs w:val="24"/>
                              <w:lang w:eastAsia="lt-LT"/>
                            </w:rPr>
                            <w:t>. TIPK leidimas atnaujinamas ar koreguojamas 2002 m. TIPK taisyklių nustatytais pagrindais ir tvarka, jei iki 2014 m. sausio 6 d. pateikiama paraiška TIPK leidimui atnaujinti ar koreguoti ir iki 2015 m. sausio 6 d. imtinai išduodamas atnaujintas ar pakoreguotas TIPK leidimas;</w:t>
                          </w:r>
                        </w:p>
                      </w:sdtContent>
                    </w:sdt>
                    <w:sdt>
                      <w:sdtPr>
                        <w:alias w:val="2.1.1.2 p."/>
                        <w:tag w:val="part_501cd2413bb64f539a234dc1ada13508"/>
                        <w:lock w:val="sdtLocked"/>
                        <w:richText/>
                      </w:sdtPr>
                      <w:sdtContent>
                        <w:p>
                          <w:pPr>
                            <w:widowControl w:val="0"/>
                            <w:ind w:firstLine="567"/>
                            <w:jc w:val="both"/>
                            <w:rPr>
                              <w:color w:val="000000"/>
                              <w:szCs w:val="24"/>
                              <w:lang w:eastAsia="lt-LT"/>
                            </w:rPr>
                          </w:pPr>
                          <w:sdt>
                            <w:sdtPr>
                              <w:alias w:val="Numeris"/>
                              <w:tag w:val="nr_501cd2413bb64f539a234dc1ada13508"/>
                              <w:lock w:val="sdtLocked"/>
                              <w:richText/>
                            </w:sdtPr>
                            <w:sdtContent>
                              <w:r>
                                <w:rPr>
                                  <w:color w:val="000000"/>
                                  <w:szCs w:val="24"/>
                                  <w:lang w:eastAsia="lt-LT"/>
                                </w:rPr>
                                <w:t>2.1.1.2</w:t>
                              </w:r>
                            </w:sdtContent>
                          </w:sdt>
                          <w:r>
                            <w:rPr>
                              <w:color w:val="000000"/>
                              <w:szCs w:val="24"/>
                              <w:lang w:eastAsia="lt-LT"/>
                            </w:rPr>
                            <w:t>. TIPK leidimas naikinamas 2002 m. TIPK taisyklių nustatyta tvarka;</w:t>
                          </w:r>
                        </w:p>
                      </w:sdtContent>
                    </w:sdt>
                  </w:sdtContent>
                </w:sdt>
                <w:sdt>
                  <w:sdtPr>
                    <w:alias w:val="2.1.2 p."/>
                    <w:tag w:val="part_d8168f5e16834667b9eca90c357ff902"/>
                    <w:lock w:val="sdtLocked"/>
                    <w:richText/>
                  </w:sdtPr>
                  <w:sdtContent>
                    <w:p>
                      <w:pPr>
                        <w:widowControl w:val="0"/>
                        <w:ind w:firstLine="567"/>
                        <w:jc w:val="both"/>
                        <w:rPr>
                          <w:color w:val="000000"/>
                          <w:szCs w:val="24"/>
                          <w:lang w:eastAsia="lt-LT"/>
                        </w:rPr>
                      </w:pPr>
                      <w:sdt>
                        <w:sdtPr>
                          <w:alias w:val="Numeris"/>
                          <w:tag w:val="nr_d8168f5e16834667b9eca90c357ff902"/>
                          <w:lock w:val="sdtLocked"/>
                          <w:richText/>
                        </w:sdtPr>
                        <w:sdtContent>
                          <w:r>
                            <w:rPr>
                              <w:color w:val="000000"/>
                              <w:szCs w:val="24"/>
                              <w:lang w:eastAsia="lt-LT"/>
                            </w:rPr>
                            <w:t>2.1.2</w:t>
                          </w:r>
                        </w:sdtContent>
                      </w:sdt>
                      <w:r>
                        <w:rPr>
                          <w:color w:val="000000"/>
                          <w:szCs w:val="24"/>
                          <w:lang w:eastAsia="lt-LT"/>
                        </w:rPr>
                        <w:t>. nuo 2014 m. sausio 7 d. taikomos Taisyklės tokia tvarka:</w:t>
                      </w:r>
                    </w:p>
                    <w:sdt>
                      <w:sdtPr>
                        <w:alias w:val="2.1.2.1 p."/>
                        <w:tag w:val="part_9aacd39f8a35452bb728af0bb3e460cc"/>
                        <w:lock w:val="sdtLocked"/>
                        <w:richText/>
                      </w:sdtPr>
                      <w:sdtContent>
                        <w:p>
                          <w:pPr>
                            <w:widowControl w:val="0"/>
                            <w:ind w:firstLine="567"/>
                            <w:jc w:val="both"/>
                            <w:rPr>
                              <w:strike/>
                              <w:color w:val="000000"/>
                              <w:szCs w:val="24"/>
                              <w:lang w:eastAsia="lt-LT"/>
                            </w:rPr>
                          </w:pPr>
                          <w:sdt>
                            <w:sdtPr>
                              <w:alias w:val="Numeris"/>
                              <w:tag w:val="nr_9aacd39f8a35452bb728af0bb3e460cc"/>
                              <w:lock w:val="sdtLocked"/>
                              <w:richText/>
                            </w:sdtPr>
                            <w:sdtContent>
                              <w:r>
                                <w:rPr>
                                  <w:color w:val="000000"/>
                                  <w:szCs w:val="24"/>
                                  <w:lang w:eastAsia="lt-LT"/>
                                </w:rPr>
                                <w:t>2.1.2.1</w:t>
                              </w:r>
                            </w:sdtContent>
                          </w:sdt>
                          <w:r>
                            <w:rPr>
                              <w:color w:val="000000"/>
                              <w:szCs w:val="24"/>
                              <w:lang w:eastAsia="lt-LT"/>
                            </w:rPr>
                            <w:t>. jei iki 2014 m. sausio 6 d. imtinai pateikiama paraiška TIPK leidimui atnaujinti ar koreguoti, bet iki 2015 m. sausio 6 d. imtinai neišduotas atnaujintas ar pakoreguotas TIPK leidimas, TIPK leidimas išduodamas, keičiamas ir TIPK leidimo galiojimas naikinamas Taisyklių nustatytais pagrindais ir tvarka;</w:t>
                          </w:r>
                        </w:p>
                      </w:sdtContent>
                    </w:sdt>
                    <w:sdt>
                      <w:sdtPr>
                        <w:alias w:val="2.1.2.2 p."/>
                        <w:tag w:val="part_70ae12f1e60e461a869e4b6e6b5466a1"/>
                        <w:lock w:val="sdtLocked"/>
                        <w:richText/>
                      </w:sdtPr>
                      <w:sdtContent>
                        <w:p>
                          <w:pPr>
                            <w:widowControl w:val="0"/>
                            <w:ind w:firstLine="567"/>
                            <w:jc w:val="both"/>
                            <w:rPr>
                              <w:color w:val="000000"/>
                              <w:szCs w:val="24"/>
                              <w:lang w:eastAsia="lt-LT"/>
                            </w:rPr>
                          </w:pPr>
                          <w:sdt>
                            <w:sdtPr>
                              <w:alias w:val="Numeris"/>
                              <w:tag w:val="nr_70ae12f1e60e461a869e4b6e6b5466a1"/>
                              <w:lock w:val="sdtLocked"/>
                              <w:richText/>
                            </w:sdtPr>
                            <w:sdtContent>
                              <w:r>
                                <w:rPr>
                                  <w:color w:val="000000"/>
                                  <w:szCs w:val="24"/>
                                  <w:lang w:eastAsia="lt-LT"/>
                                </w:rPr>
                                <w:t>2.1.2.2</w:t>
                              </w:r>
                            </w:sdtContent>
                          </w:sdt>
                          <w:r>
                            <w:rPr>
                              <w:color w:val="000000"/>
                              <w:szCs w:val="24"/>
                              <w:lang w:eastAsia="lt-LT"/>
                            </w:rPr>
                            <w:t>. nuo 2014 m. sausio 7 d. paraiškos TIPK leidimui gauti ar pakeisti teikiamos ir TIPK leidimai išduodami, keičiami bei galiojimas naikinamas Taisyklių nustatytais pagrindais ir tvarka, išskyrus 2.1.1 punkte nurodytus atvejus;</w:t>
                          </w:r>
                        </w:p>
                      </w:sdtContent>
                    </w:sdt>
                  </w:sdtContent>
                </w:sdt>
              </w:sdtContent>
            </w:sdt>
            <w:sdt>
              <w:sdtPr>
                <w:alias w:val="2.2 p."/>
                <w:tag w:val="part_a4517daa727b469e9691e496b7c075d6"/>
                <w:lock w:val="sdtLocked"/>
                <w:richText/>
              </w:sdtPr>
              <w:sdtContent>
                <w:p>
                  <w:pPr>
                    <w:widowControl w:val="0"/>
                    <w:ind w:firstLine="567"/>
                    <w:jc w:val="both"/>
                    <w:rPr>
                      <w:color w:val="000000"/>
                      <w:szCs w:val="24"/>
                      <w:lang w:eastAsia="lt-LT"/>
                    </w:rPr>
                  </w:pPr>
                  <w:sdt>
                    <w:sdtPr>
                      <w:alias w:val="Numeris"/>
                      <w:tag w:val="nr_a4517daa727b469e9691e496b7c075d6"/>
                      <w:lock w:val="sdtLocked"/>
                      <w:richText/>
                    </w:sdtPr>
                    <w:sdtContent>
                      <w:r>
                        <w:rPr>
                          <w:color w:val="000000"/>
                          <w:szCs w:val="24"/>
                          <w:lang w:eastAsia="lt-LT"/>
                        </w:rPr>
                        <w:t>2.2</w:t>
                      </w:r>
                    </w:sdtContent>
                  </w:sdt>
                  <w:r>
                    <w:rPr>
                      <w:color w:val="000000"/>
                      <w:szCs w:val="24"/>
                      <w:lang w:eastAsia="lt-LT"/>
                    </w:rPr>
                    <w:t>. šio įsakymo 2.1 punkte nurodytos veiklos rūšys apima:</w:t>
                  </w:r>
                </w:p>
                <w:sdt>
                  <w:sdtPr>
                    <w:alias w:val="2.2.1 p."/>
                    <w:tag w:val="part_0b38e7ecead440949bda67cb6bc2a51e"/>
                    <w:lock w:val="sdtLocked"/>
                    <w:richText/>
                  </w:sdtPr>
                  <w:sdtContent>
                    <w:p>
                      <w:pPr>
                        <w:widowControl w:val="0"/>
                        <w:ind w:firstLine="567"/>
                        <w:jc w:val="both"/>
                        <w:rPr>
                          <w:color w:val="000000"/>
                          <w:szCs w:val="24"/>
                          <w:lang w:eastAsia="lt-LT"/>
                        </w:rPr>
                      </w:pPr>
                      <w:sdt>
                        <w:sdtPr>
                          <w:alias w:val="Numeris"/>
                          <w:tag w:val="nr_0b38e7ecead440949bda67cb6bc2a51e"/>
                          <w:lock w:val="sdtLocked"/>
                          <w:richText/>
                        </w:sdtPr>
                        <w:sdtContent>
                          <w:r>
                            <w:rPr>
                              <w:color w:val="000000"/>
                              <w:szCs w:val="24"/>
                              <w:lang w:eastAsia="lt-LT"/>
                            </w:rPr>
                            <w:t>2.2.1</w:t>
                          </w:r>
                        </w:sdtContent>
                      </w:sdt>
                      <w:r>
                        <w:rPr>
                          <w:color w:val="000000"/>
                          <w:szCs w:val="24"/>
                          <w:lang w:eastAsia="lt-LT"/>
                        </w:rPr>
                        <w:t>. Taisyklių 1 priedo 1.2, 1.3, 2.1, 2.2, 2.3, 2.4, 2.5.1, 2.6, 3 punktuose nurodytą veiklą;</w:t>
                      </w:r>
                    </w:p>
                  </w:sdtContent>
                </w:sdt>
                <w:sdt>
                  <w:sdtPr>
                    <w:alias w:val="2.2.2 p."/>
                    <w:tag w:val="part_dda2786672754426ac75d3c5b1ebcf81"/>
                    <w:lock w:val="sdtLocked"/>
                    <w:richText/>
                  </w:sdtPr>
                  <w:sdtContent>
                    <w:p>
                      <w:pPr>
                        <w:widowControl w:val="0"/>
                        <w:ind w:firstLine="567"/>
                        <w:jc w:val="both"/>
                        <w:rPr>
                          <w:color w:val="000000"/>
                          <w:szCs w:val="24"/>
                          <w:lang w:eastAsia="lt-LT"/>
                        </w:rPr>
                      </w:pPr>
                      <w:sdt>
                        <w:sdtPr>
                          <w:alias w:val="Numeris"/>
                          <w:tag w:val="nr_dda2786672754426ac75d3c5b1ebcf81"/>
                          <w:lock w:val="sdtLocked"/>
                          <w:richText/>
                        </w:sdtPr>
                        <w:sdtContent>
                          <w:r>
                            <w:rPr>
                              <w:color w:val="000000"/>
                              <w:szCs w:val="24"/>
                              <w:lang w:eastAsia="lt-LT"/>
                            </w:rPr>
                            <w:t>2.2.2</w:t>
                          </w:r>
                        </w:sdtContent>
                      </w:sdt>
                      <w:r>
                        <w:rPr>
                          <w:color w:val="000000"/>
                          <w:szCs w:val="24"/>
                          <w:lang w:eastAsia="lt-LT"/>
                        </w:rPr>
                        <w:t>. Taisyklių 1 priedo 1.1 punkte nurodytą veiklą, kai eksploatuojami įrenginiai, kurių bendra vardinė (nominali) šiluminė galia didesnė kaip 50 MW;</w:t>
                      </w:r>
                    </w:p>
                  </w:sdtContent>
                </w:sdt>
                <w:sdt>
                  <w:sdtPr>
                    <w:alias w:val="2.2.3 p."/>
                    <w:tag w:val="part_27bcd164bb0b4daa95f1d5eba7e2d0f5"/>
                    <w:lock w:val="sdtLocked"/>
                    <w:richText/>
                  </w:sdtPr>
                  <w:sdtContent>
                    <w:p>
                      <w:pPr>
                        <w:widowControl w:val="0"/>
                        <w:ind w:firstLine="567"/>
                        <w:jc w:val="both"/>
                        <w:rPr>
                          <w:color w:val="000000"/>
                          <w:szCs w:val="24"/>
                          <w:lang w:eastAsia="lt-LT"/>
                        </w:rPr>
                      </w:pPr>
                      <w:sdt>
                        <w:sdtPr>
                          <w:alias w:val="Numeris"/>
                          <w:tag w:val="nr_27bcd164bb0b4daa95f1d5eba7e2d0f5"/>
                          <w:lock w:val="sdtLocked"/>
                          <w:richText/>
                        </w:sdtPr>
                        <w:sdtContent>
                          <w:r>
                            <w:rPr>
                              <w:color w:val="000000"/>
                              <w:szCs w:val="24"/>
                              <w:lang w:eastAsia="lt-LT"/>
                            </w:rPr>
                            <w:t>2.2.3</w:t>
                          </w:r>
                        </w:sdtContent>
                      </w:sdt>
                      <w:r>
                        <w:rPr>
                          <w:color w:val="000000"/>
                          <w:szCs w:val="24"/>
                          <w:lang w:eastAsia="lt-LT"/>
                        </w:rPr>
                        <w:t>. Taisyklių 1 priedo 1.4 punkte nurodytą veiklą, kai vykdomas anglies dujofikavimas ir suskystinimas;</w:t>
                      </w:r>
                    </w:p>
                  </w:sdtContent>
                </w:sdt>
                <w:sdt>
                  <w:sdtPr>
                    <w:alias w:val="2.2.4 p."/>
                    <w:tag w:val="part_f13c486dbce84854a1edcf71673ff21c"/>
                    <w:lock w:val="sdtLocked"/>
                    <w:richText/>
                  </w:sdtPr>
                  <w:sdtContent>
                    <w:p>
                      <w:pPr>
                        <w:widowControl w:val="0"/>
                        <w:ind w:firstLine="567"/>
                        <w:jc w:val="both"/>
                        <w:rPr>
                          <w:color w:val="000000"/>
                          <w:szCs w:val="24"/>
                          <w:lang w:eastAsia="lt-LT"/>
                        </w:rPr>
                      </w:pPr>
                      <w:sdt>
                        <w:sdtPr>
                          <w:alias w:val="Numeris"/>
                          <w:tag w:val="nr_f13c486dbce84854a1edcf71673ff21c"/>
                          <w:lock w:val="sdtLocked"/>
                          <w:richText/>
                        </w:sdtPr>
                        <w:sdtContent>
                          <w:r>
                            <w:rPr>
                              <w:color w:val="000000"/>
                              <w:szCs w:val="24"/>
                              <w:lang w:eastAsia="lt-LT"/>
                            </w:rPr>
                            <w:t>2.2.4</w:t>
                          </w:r>
                        </w:sdtContent>
                      </w:sdt>
                      <w:r>
                        <w:rPr>
                          <w:color w:val="000000"/>
                          <w:szCs w:val="24"/>
                          <w:lang w:eastAsia="lt-LT"/>
                        </w:rPr>
                        <w:t>. Taisyklių 1 priedo 4 punkte nurodytą veiklą, kai įrenginiuose vykdoma su cheminio perdirbimo būdu susijusi gamyba;</w:t>
                      </w:r>
                    </w:p>
                  </w:sdtContent>
                </w:sdt>
                <w:sdt>
                  <w:sdtPr>
                    <w:alias w:val="2.2.5 p."/>
                    <w:tag w:val="part_c1a5811c0b694fefa585f0775c4bfd32"/>
                    <w:lock w:val="sdtLocked"/>
                    <w:richText/>
                  </w:sdtPr>
                  <w:sdtContent>
                    <w:p>
                      <w:pPr>
                        <w:widowControl w:val="0"/>
                        <w:ind w:firstLine="567"/>
                        <w:jc w:val="both"/>
                        <w:rPr>
                          <w:color w:val="000000"/>
                          <w:szCs w:val="24"/>
                          <w:lang w:eastAsia="lt-LT"/>
                        </w:rPr>
                      </w:pPr>
                      <w:sdt>
                        <w:sdtPr>
                          <w:alias w:val="Numeris"/>
                          <w:tag w:val="nr_c1a5811c0b694fefa585f0775c4bfd32"/>
                          <w:lock w:val="sdtLocked"/>
                          <w:richText/>
                        </w:sdtPr>
                        <w:sdtContent>
                          <w:r>
                            <w:rPr>
                              <w:color w:val="000000"/>
                              <w:szCs w:val="24"/>
                              <w:lang w:eastAsia="lt-LT"/>
                            </w:rPr>
                            <w:t>2.2.5</w:t>
                          </w:r>
                        </w:sdtContent>
                      </w:sdt>
                      <w:r>
                        <w:rPr>
                          <w:color w:val="000000"/>
                          <w:szCs w:val="24"/>
                          <w:lang w:eastAsia="lt-LT"/>
                        </w:rPr>
                        <w:t>. Taisyklių 1 priedo 5.1, 5.2, 5.3.1, 5.3.2, 5.5, 6.1.1, 6.1.2, 6.2, 6.3, 6.4.1, 6.4.2 punktuose nurodytą veiklą;</w:t>
                      </w:r>
                    </w:p>
                  </w:sdtContent>
                </w:sdt>
                <w:sdt>
                  <w:sdtPr>
                    <w:alias w:val="2.2.6 p."/>
                    <w:tag w:val="part_9844a91052a242cd96efe21c659402ac"/>
                    <w:lock w:val="sdtLocked"/>
                    <w:richText/>
                  </w:sdtPr>
                  <w:sdtContent>
                    <w:p>
                      <w:pPr>
                        <w:widowControl w:val="0"/>
                        <w:ind w:firstLine="567"/>
                        <w:jc w:val="both"/>
                        <w:rPr>
                          <w:color w:val="000000"/>
                          <w:szCs w:val="24"/>
                          <w:lang w:eastAsia="lt-LT"/>
                        </w:rPr>
                      </w:pPr>
                      <w:sdt>
                        <w:sdtPr>
                          <w:alias w:val="Numeris"/>
                          <w:tag w:val="nr_9844a91052a242cd96efe21c659402ac"/>
                          <w:lock w:val="sdtLocked"/>
                          <w:richText/>
                        </w:sdtPr>
                        <w:sdtContent>
                          <w:r>
                            <w:rPr>
                              <w:color w:val="000000"/>
                              <w:szCs w:val="24"/>
                              <w:lang w:eastAsia="lt-LT"/>
                            </w:rPr>
                            <w:t>2.2.6</w:t>
                          </w:r>
                        </w:sdtContent>
                      </w:sdt>
                      <w:r>
                        <w:rPr>
                          <w:color w:val="000000"/>
                          <w:szCs w:val="24"/>
                          <w:lang w:eastAsia="lt-LT"/>
                        </w:rPr>
                        <w:t>. Taisyklių 1 priedo 6.4.3, 6.5, 6.6, 6.7, 6.8. 6.9 punktuose nurodytą veiklą;</w:t>
                      </w:r>
                    </w:p>
                  </w:sdtContent>
                </w:sdt>
              </w:sdtContent>
            </w:sdt>
            <w:sdt>
              <w:sdtPr>
                <w:alias w:val="2.3 p."/>
                <w:tag w:val="part_18317273e2f7430986c49fa79e8bc6d6"/>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Cs w:val="24"/>
                      <w:lang w:eastAsia="lt-LT"/>
                    </w:rPr>
                  </w:pPr>
                  <w:sdt>
                    <w:sdtPr>
                      <w:alias w:val="Numeris"/>
                      <w:tag w:val="nr_18317273e2f7430986c49fa79e8bc6d6"/>
                      <w:lock w:val="sdtLocked"/>
                      <w:richText/>
                    </w:sdtPr>
                    <w:sdtContent>
                      <w:r>
                        <w:rPr>
                          <w:szCs w:val="24"/>
                          <w:lang w:eastAsia="lt-LT"/>
                        </w:rPr>
                        <w:t>2.3</w:t>
                      </w:r>
                    </w:sdtContent>
                  </w:sdt>
                  <w:r>
                    <w:rPr>
                      <w:szCs w:val="24"/>
                      <w:lang w:eastAsia="lt-LT"/>
                    </w:rPr>
                    <w:t xml:space="preserve">. šio įsakymo 2.4 papunktyje nurodytų rūšių veiklai, kurią vykdant šio įsakymo įsigaliojimo metu eksploatuojamas įrenginys, kuriam pagal 2002 m. TIPK taisyklių 1 priedą nereikėjo turėti TIPK leidimo, nuo 2016 m. sausio 1 d. privaloma turėti pagal Taisyklių reikalavimus išduotą TIPK leidimą Taisyklėse nustatyta tvarka: </w:t>
                  </w:r>
                </w:p>
                <w:sdt>
                  <w:sdtPr>
                    <w:alias w:val="2.3 p. 2.3.1 pp."/>
                    <w:tag w:val="part_81d3cf08b85c4b14b1f79af9da7bac99"/>
                    <w:lock w:val="sdtLocked"/>
                    <w:richText/>
                  </w:sdtPr>
                  <w:sdtContent>
                    <w:p>
                      <w:pPr>
                        <w:widowControl w:val="0"/>
                        <w:ind w:firstLine="567"/>
                        <w:jc w:val="both"/>
                        <w:textAlignment w:val="baseline"/>
                        <w:rPr>
                          <w:szCs w:val="24"/>
                          <w:lang w:eastAsia="lt-LT"/>
                        </w:rPr>
                      </w:pPr>
                      <w:sdt>
                        <w:sdtPr>
                          <w:alias w:val="Numeris"/>
                          <w:tag w:val="nr_81d3cf08b85c4b14b1f79af9da7bac99"/>
                          <w:lock w:val="sdtLocked"/>
                          <w:richText/>
                        </w:sdtPr>
                        <w:sdtContent>
                          <w:r>
                            <w:rPr>
                              <w:szCs w:val="24"/>
                              <w:lang w:eastAsia="lt-LT"/>
                            </w:rPr>
                            <w:t>2.3.1</w:t>
                          </w:r>
                        </w:sdtContent>
                      </w:sdt>
                      <w:r>
                        <w:rPr>
                          <w:szCs w:val="24"/>
                          <w:lang w:eastAsia="lt-LT"/>
                        </w:rPr>
                        <w:t>. jei šio įsakymo įsigaliojimo metu įrenginys, kuriame vykdoma 2.4 papunktyje nurodytų rūšių veikla, buvo eksploatuojamas pagal 2002 m. TIPK taisyklių 2 priedą išduotą TIPK leidimą ar (ir) taršos leidimą, išduotą pagal Taršos leidimų išdavimo, pakeitimo ir galiojimo panaikinimo taisykles, patvirtintas Lietuvos Respublikos aplinkos ministro 2014 m. kovo 6 d. įsakymu Nr. D1-259 „Dėl Taršos leidimų išdavimo, pakeitimo ir galiojimo panaikinimo taisyklių patvirtinimo“ (toliau – Taršos leidimų taisyklės), pagal 2002 m. TIPK taisyklių 2 priedą išduotas TIPK leidimas ir (ar) taršos leidimas keičiamas TIPK leidimu, išduodamu pagal Taisyklių reikalavimus, neatliekant įrenginyje vykdomos veiklos poveikio aplinkai vertinimo procedūrų, jeigu įrenginyje vykdoma veikla iš esmės nesikeičia (t. y. nėra atliekamas esminis pakeitimas kaip apibrėžta Taisyklių 7.6 p.);</w:t>
                      </w:r>
                    </w:p>
                  </w:sdtContent>
                </w:sdt>
                <w:sdt>
                  <w:sdtPr>
                    <w:alias w:val="2.3 p. 2.3.2 pp."/>
                    <w:tag w:val="part_0e8edf599ffe4570a9ac58bf847151f9"/>
                    <w:lock w:val="sdtLocked"/>
                    <w:richText/>
                  </w:sdtPr>
                  <w:sdtContent>
                    <w:p>
                      <w:pPr>
                        <w:widowControl w:val="0"/>
                        <w:ind w:firstLine="567"/>
                        <w:jc w:val="both"/>
                        <w:textAlignment w:val="baseline"/>
                      </w:pPr>
                      <w:sdt>
                        <w:sdtPr>
                          <w:alias w:val="Numeris"/>
                          <w:tag w:val="nr_0e8edf599ffe4570a9ac58bf847151f9"/>
                          <w:lock w:val="sdtLocked"/>
                          <w:richText/>
                        </w:sdtPr>
                        <w:sdtContent>
                          <w:r>
                            <w:rPr>
                              <w:szCs w:val="24"/>
                              <w:lang w:eastAsia="lt-LT"/>
                            </w:rPr>
                            <w:t>2.3.2</w:t>
                          </w:r>
                        </w:sdtContent>
                      </w:sdt>
                      <w:r>
                        <w:rPr>
                          <w:szCs w:val="24"/>
                          <w:lang w:eastAsia="lt-LT"/>
                        </w:rPr>
                        <w:t>.</w:t>
                      </w:r>
                      <w:r>
                        <w:rPr>
                          <w:szCs w:val="24"/>
                          <w:vertAlign w:val="superscript"/>
                          <w:lang w:eastAsia="lt-LT"/>
                        </w:rPr>
                        <w:t xml:space="preserve"> </w:t>
                      </w:r>
                      <w:r>
                        <w:rPr>
                          <w:szCs w:val="24"/>
                          <w:lang w:eastAsia="lt-LT"/>
                        </w:rPr>
                        <w:t>jei šio įsakymo įsigaliojimo metu buvo eksploatuojamas įrenginys, kuriame vykdoma 2.4 papunktyje nurodytų rūšių veikla, ir įrenginio eksploatacijai nereikėjo turėti TIPK leidimo pagal 2002 m. TIPK taisyklių 2 priedą ar (ir) taršos leidimo, TIPK leidimas pagal Taisyklių reikalavimus išduodamas nereikalaujant planuojamos ūkinės veiklos poveikio aplinkai vertinimo procedūrų, jeigu dėl įrenginyje vykdomos veiklos, prieš pradedant ją vykdyti, buvo atliktos poveikio aplinkai vertinimo procedūros, kai pagal Planuojamos ūkinės veiklos poveikio aplinkai vertinimo įstatymą tokios procedūros turėjo būti atliktos su sąlyga, kad įrenginyje vykdoma veikla iš esmės nesikeičia (t. y. nėra atliekamas esminis pakeitimas kaip apibrėžta Taisyklių 7.6 p.);</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ef9be01ff311e586708c6593c243ce">
                    <w:r w:rsidRPr="00532B9F">
                      <w:rPr>
                        <w:rFonts w:ascii="Arial" w:eastAsia="MS Mincho" w:hAnsi="Arial"/>
                        <w:sz w:val="20"/>
                        <w:i/>
                        <w:iCs/>
                        <w:color w:val="0000FF" w:themeColor="hyperlink"/>
                        <w:u w:val="single"/>
                      </w:rPr>
                      <w:t>D1-510</w:t>
                    </w:r>
                  </w:fldSimple>
                  <w:r>
                    <w:rPr>
                      <w:rFonts w:ascii="Arial" w:eastAsia="MS Mincho" w:hAnsi="Arial"/>
                      <w:sz w:val="20"/>
                      <w:i/>
                      <w:iCs/>
                    </w:rPr>
                    <w:t>,
2015-06-30,
paskelbta TAR 2015-07-01, i. k. 2015-10611            </w:t>
                  </w:r>
                </w:p>
                <w:p/>
              </w:sdtContent>
            </w:sdt>
            <w:sdt>
              <w:sdtPr>
                <w:alias w:val="2.3-1 p.p."/>
                <w:tag w:val="part_1fed490856f64815adc881fd193bc00d"/>
                <w:lock w:val="sdtLocked"/>
                <w:richText/>
              </w:sdtPr>
              <w:sdtContent>
                <w:p>
                  <w:pPr>
                    <w:widowControl w:val="0"/>
                    <w:ind w:firstLine="567"/>
                    <w:jc w:val="both"/>
                    <w:textAlignment w:val="baseline"/>
                  </w:pPr>
                  <w:sdt>
                    <w:sdtPr>
                      <w:alias w:val="Numeris"/>
                      <w:tag w:val="nr_1fed490856f64815adc881fd193bc00d"/>
                      <w:lock w:val="sdtLocked"/>
                      <w:richText/>
                    </w:sdtPr>
                    <w:sdtContent>
                      <w:r>
                        <w:rPr>
                          <w:szCs w:val="24"/>
                          <w:lang w:eastAsia="lt-LT"/>
                        </w:rPr>
                        <w:t>2.3</w:t>
                      </w:r>
                      <w:r>
                        <w:rPr>
                          <w:szCs w:val="24"/>
                          <w:vertAlign w:val="superscript"/>
                          <w:lang w:eastAsia="lt-LT"/>
                        </w:rPr>
                        <w:t>1</w:t>
                      </w:r>
                    </w:sdtContent>
                  </w:sdt>
                  <w:r>
                    <w:rPr>
                      <w:szCs w:val="24"/>
                      <w:lang w:eastAsia="lt-LT"/>
                    </w:rPr>
                    <w:t>. pagal Taisyklių reikalavimus išdavus TIPK leidimą įsakymo 2.3 papunktyje nurodytu atveju, TIPK leidimas išduotas pagal 2002 m. TIPK taisyklių 2 priedą</w:t>
                  </w:r>
                  <w:r>
                    <w:rPr>
                      <w:sz w:val="20"/>
                    </w:rPr>
                    <w:t xml:space="preserve"> </w:t>
                  </w:r>
                  <w:r>
                    <w:rPr>
                      <w:szCs w:val="24"/>
                    </w:rPr>
                    <w:t>ir</w:t>
                  </w:r>
                  <w:r>
                    <w:rPr>
                      <w:szCs w:val="24"/>
                      <w:lang w:eastAsia="lt-LT"/>
                    </w:rPr>
                    <w:t xml:space="preserve"> taršos leidimas išduotas pagal Taršos leidimų taisykles (jei toks buvo išduotas) laikomas negaliojančiu;</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ef9be01ff311e586708c6593c243ce">
                    <w:r w:rsidRPr="00532B9F">
                      <w:rPr>
                        <w:rFonts w:ascii="Arial" w:eastAsia="MS Mincho" w:hAnsi="Arial"/>
                        <w:sz w:val="20"/>
                        <w:i/>
                        <w:iCs/>
                        <w:color w:val="0000FF" w:themeColor="hyperlink"/>
                        <w:u w:val="single"/>
                      </w:rPr>
                      <w:t>D1-510</w:t>
                    </w:r>
                  </w:fldSimple>
                  <w:r>
                    <w:rPr>
                      <w:rFonts w:ascii="Arial" w:eastAsia="MS Mincho" w:hAnsi="Arial"/>
                      <w:sz w:val="20"/>
                      <w:i/>
                      <w:iCs/>
                    </w:rPr>
                    <w:t>,
2015-06-30,
paskelbta TAR 2015-07-01, i. k. 2015-10611        </w:t>
                  </w:r>
                </w:p>
                <w:p/>
              </w:sdtContent>
            </w:sdt>
            <w:sdt>
              <w:sdtPr>
                <w:alias w:val="2.3-2 pp."/>
                <w:tag w:val="part_8e3ec0500f954708a45238f52ee3a5c9"/>
                <w:lock w:val="sdtLocked"/>
                <w:richText/>
              </w:sdtPr>
              <w:sdtContent>
                <w:p>
                  <w:pPr>
                    <w:widowControl w:val="0"/>
                    <w:ind w:firstLine="567"/>
                    <w:jc w:val="both"/>
                    <w:textAlignment w:val="baseline"/>
                  </w:pPr>
                  <w:sdt>
                    <w:sdtPr>
                      <w:alias w:val="Numeris"/>
                      <w:tag w:val="nr_8e3ec0500f954708a45238f52ee3a5c9"/>
                      <w:lock w:val="sdtLocked"/>
                      <w:richText/>
                    </w:sdtPr>
                    <w:sdtContent>
                      <w:r>
                        <w:rPr>
                          <w:szCs w:val="24"/>
                          <w:lang w:eastAsia="lt-LT"/>
                        </w:rPr>
                        <w:t>2.3</w:t>
                      </w:r>
                      <w:r>
                        <w:rPr>
                          <w:szCs w:val="24"/>
                          <w:vertAlign w:val="superscript"/>
                          <w:lang w:eastAsia="lt-LT"/>
                        </w:rPr>
                        <w:t>2</w:t>
                      </w:r>
                    </w:sdtContent>
                  </w:sdt>
                  <w:r>
                    <w:rPr>
                      <w:szCs w:val="24"/>
                      <w:lang w:eastAsia="lt-LT"/>
                    </w:rPr>
                    <w:t>. iki 2015 m. gruodžio 31 d. įskaitytinai įsakymo 2.3 papunktyje nurodytu atveju negavus TIPK leidimo pagal Taisyklių reikalavimus, TIPK leidimas, išduotas pagal 2002 m. TIPK taisyklių 2 priedą, ir taršos leidimas išduotas pagal Taršos leidimų taisykles (jei toks buvo išduotas) laikomas negaliojančiu;</w:t>
                  </w:r>
                  <w:r>
                    <w:t xml:space="preserve"> </w:t>
                  </w:r>
                </w:p>
                <w:p>
                  <w:pPr>
                    <w:widowControl w:val="0"/>
                    <w:jc w:val="both"/>
                    <w:textAlignment w:val="baseline"/>
                    <w:rPr>
                      <w:i/>
                      <w:color w:val="000000"/>
                      <w:sz w:val="20"/>
                      <w:szCs w:val="24"/>
                      <w:lang w:eastAsia="lt-LT"/>
                    </w:rPr>
                  </w:pPr>
                  <w:r>
                    <w:rPr>
                      <w:b/>
                      <w:i/>
                      <w:sz w:val="20"/>
                    </w:rPr>
                    <w:t>TAR pastaba</w:t>
                  </w:r>
                  <w:r>
                    <w:rPr>
                      <w:i/>
                      <w:sz w:val="20"/>
                    </w:rPr>
                    <w:t xml:space="preserve">. </w:t>
                  </w:r>
                  <w:r>
                    <w:rPr>
                      <w:i/>
                      <w:color w:val="000000"/>
                      <w:sz w:val="20"/>
                      <w:szCs w:val="24"/>
                    </w:rPr>
                    <w:t>Pripažinti, kad</w:t>
                  </w:r>
                  <w:r>
                    <w:rPr>
                      <w:i/>
                      <w:sz w:val="20"/>
                      <w:szCs w:val="24"/>
                    </w:rPr>
                    <w:t xml:space="preserve"> Lietuvos Respublikos aplinkos ministro 2013 m. liepos 15 d. įsakymo Nr. Dl-528 „Dėl taršos integruotos prevencijos ir kontrolės leidimų išdavimo, pakeitimo ir galiojimo panaikinimo taisyklių patvirtinimo“ 2.3</w:t>
                  </w:r>
                  <w:r>
                    <w:rPr>
                      <w:i/>
                      <w:sz w:val="20"/>
                      <w:szCs w:val="24"/>
                      <w:vertAlign w:val="superscript"/>
                    </w:rPr>
                    <w:t>2</w:t>
                  </w:r>
                  <w:r>
                    <w:rPr>
                      <w:i/>
                      <w:sz w:val="20"/>
                      <w:szCs w:val="24"/>
                    </w:rPr>
                    <w:t xml:space="preserve"> punktas (Lietuvos Respublikos aplinkos ministro 2015 m. birželio 30 d. įsakymu Nr. D1-510 patvirtinta redakcija, įsigaliojusi 2015 m. liepos 2 d.) prieštarauja konstituciniams teisinės valstybės, įstatymų viršenybės, teisės aktų hierarchijos principams ir Lietuvos Respublikos aplinkos apsaugos įstatymo 19</w:t>
                  </w:r>
                  <w:r>
                    <w:rPr>
                      <w:i/>
                      <w:sz w:val="20"/>
                      <w:szCs w:val="24"/>
                      <w:vertAlign w:val="superscript"/>
                    </w:rPr>
                    <w:t>1</w:t>
                  </w:r>
                  <w:r>
                    <w:rPr>
                      <w:i/>
                      <w:sz w:val="20"/>
                      <w:szCs w:val="24"/>
                    </w:rPr>
                    <w:t xml:space="preserve"> straipsnio (2013 m. gegužės 9 d. įstatymo Nr. XII-287 redakcija, įsigaliojusi 2013 m. birželio 1 d.) nuostatoms.</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ef9be01ff311e586708c6593c243ce">
                    <w:r w:rsidRPr="00532B9F">
                      <w:rPr>
                        <w:rFonts w:ascii="Arial" w:eastAsia="MS Mincho" w:hAnsi="Arial"/>
                        <w:sz w:val="20"/>
                        <w:i/>
                        <w:iCs/>
                        <w:color w:val="0000FF" w:themeColor="hyperlink"/>
                        <w:u w:val="single"/>
                      </w:rPr>
                      <w:t>D1-510</w:t>
                    </w:r>
                  </w:fldSimple>
                  <w:r>
                    <w:rPr>
                      <w:rFonts w:ascii="Arial" w:eastAsia="MS Mincho" w:hAnsi="Arial"/>
                      <w:sz w:val="20"/>
                      <w:i/>
                      <w:iCs/>
                    </w:rPr>
                    <w:t>,
2015-06-30,
paskelbta TAR 2015-07-01, i. k. 2015-10611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c7e6f001e0611e78397ae072f58c508">
                    <w:r w:rsidRPr="00532B9F">
                      <w:rPr>
                        <w:rFonts w:ascii="Arial" w:eastAsia="MS Mincho" w:hAnsi="Arial"/>
                        <w:sz w:val="20"/>
                        <w:i/>
                        <w:iCs/>
                        <w:color w:val="0000FF" w:themeColor="hyperlink"/>
                        <w:u w:val="single"/>
                      </w:rPr>
                      <w:t>2017-04-03 Nr. AB-7410-3-66-3-00035-2016-5</w:t>
                    </w:r>
                  </w:fldSimple>
                  <w:r>
                    <w:rPr>
                      <w:rFonts w:ascii="Arial" w:eastAsia="MS Mincho" w:hAnsi="Arial"/>
                      <w:sz w:val="20"/>
                      <w:i/>
                      <w:iCs/>
                    </w:rPr>
                    <w:t>,
2017-04-03,
paskelbta TAR 2017-04-11, i. k. 2017-06158            </w:t>
                  </w:r>
                </w:p>
                <w:p/>
              </w:sdtContent>
            </w:sdt>
            <w:sdt>
              <w:sdtPr>
                <w:alias w:val="2.4 p."/>
                <w:tag w:val="part_62f1e4c735d647c0a5d40b4b8e60d621"/>
                <w:lock w:val="sdtLocked"/>
                <w:richText/>
              </w:sdtPr>
              <w:sdtContent>
                <w:p>
                  <w:pPr>
                    <w:widowControl w:val="0"/>
                    <w:ind w:firstLine="567"/>
                    <w:jc w:val="both"/>
                    <w:rPr>
                      <w:color w:val="000000"/>
                      <w:szCs w:val="24"/>
                      <w:lang w:eastAsia="lt-LT"/>
                    </w:rPr>
                  </w:pPr>
                  <w:sdt>
                    <w:sdtPr>
                      <w:alias w:val="Numeris"/>
                      <w:tag w:val="nr_62f1e4c735d647c0a5d40b4b8e60d621"/>
                      <w:lock w:val="sdtLocked"/>
                      <w:richText/>
                    </w:sdtPr>
                    <w:sdtContent>
                      <w:r>
                        <w:rPr>
                          <w:color w:val="000000"/>
                          <w:szCs w:val="24"/>
                          <w:lang w:eastAsia="lt-LT"/>
                        </w:rPr>
                        <w:t>2.4</w:t>
                      </w:r>
                    </w:sdtContent>
                  </w:sdt>
                  <w:r>
                    <w:rPr>
                      <w:color w:val="000000"/>
                      <w:szCs w:val="24"/>
                      <w:lang w:eastAsia="lt-LT"/>
                    </w:rPr>
                    <w:t>. šio įsakymo 2.3 punkte nurodytos veiklos rūšys apima:</w:t>
                  </w:r>
                </w:p>
                <w:sdt>
                  <w:sdtPr>
                    <w:alias w:val="2.4.1 p."/>
                    <w:tag w:val="part_008b7f716f1e485699f48477b54564f1"/>
                    <w:lock w:val="sdtLocked"/>
                    <w:richText/>
                  </w:sdtPr>
                  <w:sdtContent>
                    <w:p>
                      <w:pPr>
                        <w:widowControl w:val="0"/>
                        <w:ind w:firstLine="567"/>
                        <w:jc w:val="both"/>
                        <w:rPr>
                          <w:color w:val="000000"/>
                          <w:szCs w:val="24"/>
                          <w:lang w:eastAsia="lt-LT"/>
                        </w:rPr>
                      </w:pPr>
                      <w:sdt>
                        <w:sdtPr>
                          <w:alias w:val="Numeris"/>
                          <w:tag w:val="nr_008b7f716f1e485699f48477b54564f1"/>
                          <w:lock w:val="sdtLocked"/>
                          <w:richText/>
                        </w:sdtPr>
                        <w:sdtContent>
                          <w:r>
                            <w:rPr>
                              <w:color w:val="000000"/>
                              <w:szCs w:val="24"/>
                              <w:lang w:eastAsia="lt-LT"/>
                            </w:rPr>
                            <w:t>2.4.1</w:t>
                          </w:r>
                        </w:sdtContent>
                      </w:sdt>
                      <w:r>
                        <w:rPr>
                          <w:color w:val="000000"/>
                          <w:szCs w:val="24"/>
                          <w:lang w:eastAsia="lt-LT"/>
                        </w:rPr>
                        <w:t>. Taisyklių 1 priedo 1.1 punkte nurodytą veiklą, kai eksploatuojami įrenginiai, kurių bendra vardinė (nominali) šiluminė galia lygi 50 MW;</w:t>
                      </w:r>
                    </w:p>
                  </w:sdtContent>
                </w:sdt>
                <w:sdt>
                  <w:sdtPr>
                    <w:alias w:val="2.4.2 p."/>
                    <w:tag w:val="part_464855ba57204238a5e5dd658e321da7"/>
                    <w:lock w:val="sdtLocked"/>
                    <w:richText/>
                  </w:sdtPr>
                  <w:sdtContent>
                    <w:p>
                      <w:pPr>
                        <w:widowControl w:val="0"/>
                        <w:ind w:firstLine="567"/>
                        <w:jc w:val="both"/>
                        <w:rPr>
                          <w:color w:val="000000"/>
                          <w:szCs w:val="24"/>
                          <w:lang w:eastAsia="lt-LT"/>
                        </w:rPr>
                      </w:pPr>
                      <w:sdt>
                        <w:sdtPr>
                          <w:alias w:val="Numeris"/>
                          <w:tag w:val="nr_464855ba57204238a5e5dd658e321da7"/>
                          <w:lock w:val="sdtLocked"/>
                          <w:richText/>
                        </w:sdtPr>
                        <w:sdtContent>
                          <w:r>
                            <w:rPr>
                              <w:color w:val="000000"/>
                              <w:szCs w:val="24"/>
                              <w:lang w:eastAsia="lt-LT"/>
                            </w:rPr>
                            <w:t>2.4.2</w:t>
                          </w:r>
                        </w:sdtContent>
                      </w:sdt>
                      <w:r>
                        <w:rPr>
                          <w:color w:val="000000"/>
                          <w:szCs w:val="24"/>
                          <w:lang w:eastAsia="lt-LT"/>
                        </w:rPr>
                        <w:t>. Taisyklių 1 priedo 1.4 punkte nurodytą veiklą, kai vykdomas kuro (išskyrus anglį) dujofikavimas ar suskystinimas įrenginiuose, kurių bendra vardinė (nominali) šiluminė galia yra lygi arba didesnė kaip 20 MW;</w:t>
                      </w:r>
                    </w:p>
                  </w:sdtContent>
                </w:sdt>
                <w:sdt>
                  <w:sdtPr>
                    <w:alias w:val="2.4.3 p."/>
                    <w:tag w:val="part_d667e6f0fad740c5b396729d97a6c540"/>
                    <w:lock w:val="sdtLocked"/>
                    <w:richText/>
                  </w:sdtPr>
                  <w:sdtContent>
                    <w:p>
                      <w:pPr>
                        <w:widowControl w:val="0"/>
                        <w:ind w:firstLine="567"/>
                        <w:jc w:val="both"/>
                        <w:rPr>
                          <w:color w:val="000000"/>
                          <w:szCs w:val="24"/>
                          <w:lang w:eastAsia="lt-LT"/>
                        </w:rPr>
                      </w:pPr>
                      <w:sdt>
                        <w:sdtPr>
                          <w:alias w:val="Numeris"/>
                          <w:tag w:val="nr_d667e6f0fad740c5b396729d97a6c540"/>
                          <w:lock w:val="sdtLocked"/>
                          <w:richText/>
                        </w:sdtPr>
                        <w:sdtContent>
                          <w:r>
                            <w:rPr>
                              <w:color w:val="000000"/>
                              <w:szCs w:val="24"/>
                              <w:lang w:eastAsia="lt-LT"/>
                            </w:rPr>
                            <w:t>2.4.3</w:t>
                          </w:r>
                        </w:sdtContent>
                      </w:sdt>
                      <w:r>
                        <w:rPr>
                          <w:color w:val="000000"/>
                          <w:szCs w:val="24"/>
                          <w:lang w:eastAsia="lt-LT"/>
                        </w:rPr>
                        <w:t>. Taisyklių 1 priedo 4 punkte nurodytą veiklą, kai įrenginiuose vykdoma su biologinio perdirbimo būdu susijusi gamyba;</w:t>
                      </w:r>
                    </w:p>
                  </w:sdtContent>
                </w:sdt>
                <w:sdt>
                  <w:sdtPr>
                    <w:alias w:val="2.4.4 p."/>
                    <w:tag w:val="part_c7b4df06ea914eb1bd80cd56f90c6978"/>
                    <w:lock w:val="sdtLocked"/>
                    <w:richText/>
                  </w:sdtPr>
                  <w:sdtContent>
                    <w:p>
                      <w:pPr>
                        <w:widowControl w:val="0"/>
                        <w:ind w:firstLine="567"/>
                        <w:jc w:val="both"/>
                        <w:rPr>
                          <w:color w:val="000000"/>
                          <w:szCs w:val="24"/>
                          <w:lang w:eastAsia="lt-LT"/>
                        </w:rPr>
                      </w:pPr>
                      <w:sdt>
                        <w:sdtPr>
                          <w:alias w:val="Numeris"/>
                          <w:tag w:val="nr_c7b4df06ea914eb1bd80cd56f90c6978"/>
                          <w:lock w:val="sdtLocked"/>
                          <w:richText/>
                        </w:sdtPr>
                        <w:sdtContent>
                          <w:r>
                            <w:rPr>
                              <w:color w:val="000000"/>
                              <w:szCs w:val="24"/>
                              <w:lang w:eastAsia="lt-LT"/>
                            </w:rPr>
                            <w:t>2.4.4</w:t>
                          </w:r>
                        </w:sdtContent>
                      </w:sdt>
                      <w:r>
                        <w:rPr>
                          <w:color w:val="000000"/>
                          <w:szCs w:val="24"/>
                          <w:lang w:eastAsia="lt-LT"/>
                        </w:rPr>
                        <w:t>. Taisyklių 1 priedo 5.1, 5.2, 5.3.3, 5.3.4, 5.3.5, 5.4, 5.6, 5.7, 6.1.3, 6.4.2 punktuose nurodytą veiklą;</w:t>
                      </w:r>
                    </w:p>
                  </w:sdtContent>
                </w:sdt>
                <w:sdt>
                  <w:sdtPr>
                    <w:alias w:val="2.4.5 p."/>
                    <w:tag w:val="part_df77b74af5b04063a6174a2122f6e4b6"/>
                    <w:lock w:val="sdtLocked"/>
                    <w:richText/>
                  </w:sdtPr>
                  <w:sdtContent>
                    <w:p>
                      <w:pPr>
                        <w:widowControl w:val="0"/>
                        <w:ind w:firstLine="567"/>
                        <w:jc w:val="both"/>
                        <w:rPr>
                          <w:color w:val="000000"/>
                          <w:szCs w:val="24"/>
                          <w:lang w:eastAsia="lt-LT"/>
                        </w:rPr>
                      </w:pPr>
                      <w:sdt>
                        <w:sdtPr>
                          <w:alias w:val="Numeris"/>
                          <w:tag w:val="nr_df77b74af5b04063a6174a2122f6e4b6"/>
                          <w:lock w:val="sdtLocked"/>
                          <w:richText/>
                        </w:sdtPr>
                        <w:sdtContent>
                          <w:r>
                            <w:rPr>
                              <w:color w:val="000000"/>
                              <w:szCs w:val="24"/>
                              <w:lang w:eastAsia="lt-LT"/>
                            </w:rPr>
                            <w:t>2.4.5</w:t>
                          </w:r>
                        </w:sdtContent>
                      </w:sdt>
                      <w:r>
                        <w:rPr>
                          <w:color w:val="000000"/>
                          <w:szCs w:val="24"/>
                          <w:lang w:eastAsia="lt-LT"/>
                        </w:rPr>
                        <w:t>. Taisyklių 1 priedo 6.10 ir 6.11 punktuose nurodytą veiklą;</w:t>
                      </w:r>
                    </w:p>
                  </w:sdtContent>
                </w:sdt>
              </w:sdtContent>
            </w:sdt>
            <w:sdt>
              <w:sdtPr>
                <w:alias w:val="2.5 p."/>
                <w:tag w:val="part_0202992d15374505b490ed81b5cce9a4"/>
                <w:lock w:val="sdtLocked"/>
                <w:richText/>
              </w:sdtPr>
              <w:sdtContent>
                <w:p>
                  <w:pPr>
                    <w:widowControl w:val="0"/>
                    <w:ind w:firstLine="567"/>
                    <w:jc w:val="both"/>
                    <w:rPr>
                      <w:color w:val="000000"/>
                      <w:szCs w:val="24"/>
                      <w:lang w:eastAsia="lt-LT"/>
                    </w:rPr>
                  </w:pPr>
                  <w:sdt>
                    <w:sdtPr>
                      <w:alias w:val="Numeris"/>
                      <w:tag w:val="nr_0202992d15374505b490ed81b5cce9a4"/>
                      <w:lock w:val="sdtLocked"/>
                      <w:richText/>
                    </w:sdtPr>
                    <w:sdtContent>
                      <w:r>
                        <w:rPr>
                          <w:color w:val="000000"/>
                          <w:szCs w:val="24"/>
                          <w:lang w:eastAsia="lt-LT"/>
                        </w:rPr>
                        <w:t>2.5</w:t>
                      </w:r>
                    </w:sdtContent>
                  </w:sdt>
                  <w:r>
                    <w:rPr>
                      <w:color w:val="000000"/>
                      <w:szCs w:val="24"/>
                      <w:lang w:eastAsia="lt-LT"/>
                    </w:rPr>
                    <w:t>. Taisyklių 1 priede nurodytoms veiklos rūšims šio įsakymo 2.1 ir 2.3 punktuose nenurodytais atvejais Taisyklės taikomos įsigaliojus šiam įsakymui tokia tvarka:</w:t>
                  </w:r>
                </w:p>
                <w:sdt>
                  <w:sdtPr>
                    <w:alias w:val="2.5.1 p."/>
                    <w:tag w:val="part_b82d6d3e981646278f47ccde5125bd54"/>
                    <w:lock w:val="sdtLocked"/>
                    <w:richText/>
                  </w:sdtPr>
                  <w:sdtContent>
                    <w:p>
                      <w:pPr>
                        <w:widowControl w:val="0"/>
                        <w:ind w:firstLine="567"/>
                        <w:jc w:val="both"/>
                        <w:rPr>
                          <w:color w:val="000000"/>
                          <w:szCs w:val="24"/>
                          <w:lang w:eastAsia="lt-LT"/>
                        </w:rPr>
                      </w:pPr>
                      <w:sdt>
                        <w:sdtPr>
                          <w:alias w:val="Numeris"/>
                          <w:tag w:val="nr_b82d6d3e981646278f47ccde5125bd54"/>
                          <w:lock w:val="sdtLocked"/>
                          <w:richText/>
                        </w:sdtPr>
                        <w:sdtContent>
                          <w:r>
                            <w:rPr>
                              <w:color w:val="000000"/>
                              <w:szCs w:val="24"/>
                              <w:lang w:eastAsia="lt-LT"/>
                            </w:rPr>
                            <w:t>2.5.1</w:t>
                          </w:r>
                        </w:sdtContent>
                      </w:sdt>
                      <w:r>
                        <w:rPr>
                          <w:color w:val="000000"/>
                          <w:szCs w:val="24"/>
                          <w:lang w:eastAsia="lt-LT"/>
                        </w:rPr>
                        <w:t>. įsigaliojus šiam įsakymui, įrenginio eksploatavimui privaloma turėti pagal Taisyklių reikalavimus išduotą TIPK leidimą;</w:t>
                      </w:r>
                    </w:p>
                  </w:sdtContent>
                </w:sdt>
                <w:sdt>
                  <w:sdtPr>
                    <w:alias w:val="2.5.2 p."/>
                    <w:tag w:val="part_593e0e7ce4c5499a94f8aa512a6594e4"/>
                    <w:lock w:val="sdtLocked"/>
                    <w:richText/>
                  </w:sdtPr>
                  <w:sdtContent>
                    <w:p>
                      <w:pPr>
                        <w:widowControl w:val="0"/>
                        <w:ind w:firstLine="567"/>
                        <w:jc w:val="both"/>
                        <w:rPr>
                          <w:color w:val="000000"/>
                          <w:szCs w:val="24"/>
                          <w:lang w:eastAsia="lt-LT"/>
                        </w:rPr>
                      </w:pPr>
                      <w:sdt>
                        <w:sdtPr>
                          <w:alias w:val="Numeris"/>
                          <w:tag w:val="nr_593e0e7ce4c5499a94f8aa512a6594e4"/>
                          <w:lock w:val="sdtLocked"/>
                          <w:richText/>
                        </w:sdtPr>
                        <w:sdtContent>
                          <w:r>
                            <w:rPr>
                              <w:color w:val="000000"/>
                              <w:szCs w:val="24"/>
                              <w:lang w:eastAsia="lt-LT"/>
                            </w:rPr>
                            <w:t>2.5.2</w:t>
                          </w:r>
                        </w:sdtContent>
                      </w:sdt>
                      <w:r>
                        <w:rPr>
                          <w:color w:val="000000"/>
                          <w:szCs w:val="24"/>
                          <w:lang w:eastAsia="lt-LT"/>
                        </w:rPr>
                        <w:t>. paraiškos dėl TIPK leidimų išdavimo teikiamos ir leidimai išduodami Taisyklių nustatyta tvarka nuo šio įsakymo įsigaliojimo dienos.</w:t>
                      </w:r>
                    </w:p>
                  </w:sdtContent>
                </w:sdt>
              </w:sdtContent>
            </w:sdt>
            <w:sdt>
              <w:sdtPr>
                <w:alias w:val="2.6 p."/>
                <w:tag w:val="part_d9961901c33942328c754dd628ae6284"/>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Cs w:val="24"/>
                      <w:lang w:eastAsia="lt-LT"/>
                    </w:rPr>
                  </w:pPr>
                  <w:sdt>
                    <w:sdtPr>
                      <w:alias w:val="Numeris"/>
                      <w:tag w:val="nr_d9961901c33942328c754dd628ae6284"/>
                      <w:lock w:val="sdtLocked"/>
                      <w:richText/>
                    </w:sdtPr>
                    <w:sdtContent>
                      <w:r>
                        <w:rPr>
                          <w:szCs w:val="24"/>
                          <w:lang w:eastAsia="lt-LT"/>
                        </w:rPr>
                        <w:t>2.6</w:t>
                      </w:r>
                    </w:sdtContent>
                  </w:sdt>
                  <w:r>
                    <w:rPr>
                      <w:szCs w:val="24"/>
                      <w:lang w:eastAsia="lt-LT"/>
                    </w:rPr>
                    <w:t>. keičiant Aplinkos ministerijos regiono aplinkos apsaugos departamento (toliau – RAAD) išduotus TIPK leidimus, leidimų titulinių lapų (viršelių) rekvizitai surašomi šia tvarka:</w:t>
                  </w:r>
                </w:p>
                <w:sdt>
                  <w:sdtPr>
                    <w:alias w:val="2.6.1 p."/>
                    <w:tag w:val="part_98e47b26138c44c2983dd8c2e3a22891"/>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Cs w:val="24"/>
                          <w:lang w:eastAsia="lt-LT"/>
                        </w:rPr>
                      </w:pPr>
                      <w:sdt>
                        <w:sdtPr>
                          <w:alias w:val="Numeris"/>
                          <w:tag w:val="nr_98e47b26138c44c2983dd8c2e3a22891"/>
                          <w:lock w:val="sdtLocked"/>
                          <w:richText/>
                        </w:sdtPr>
                        <w:sdtContent>
                          <w:r>
                            <w:rPr>
                              <w:szCs w:val="24"/>
                              <w:lang w:eastAsia="lt-LT"/>
                            </w:rPr>
                            <w:t>2.6.1</w:t>
                          </w:r>
                        </w:sdtContent>
                      </w:sdt>
                      <w:r>
                        <w:rPr>
                          <w:szCs w:val="24"/>
                          <w:lang w:eastAsia="lt-LT"/>
                        </w:rPr>
                        <w:t>. keičiamo leidimo titulinio lapo (viršelio) rekvizitai surašomi vadovaujantis Taisyklių 7 priedo reikalavimais, įskaitant keičiamo TIPK leidimo registracijos numerį, jį išdavusio RAAD pavadinimą, išdavimo, visų atliktų atnaujinimų ir (ar) koregavimų (jeigu tokie buvo) datas;</w:t>
                      </w:r>
                    </w:p>
                  </w:sdtContent>
                </w:sdt>
                <w:sdt>
                  <w:sdtPr>
                    <w:alias w:val="2.6.2 p."/>
                    <w:tag w:val="part_6a5014ea7df448e3af71b58e650bf8c6"/>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Cs w:val="24"/>
                          <w:lang w:eastAsia="lt-LT"/>
                        </w:rPr>
                      </w:pPr>
                      <w:sdt>
                        <w:sdtPr>
                          <w:alias w:val="Numeris"/>
                          <w:tag w:val="nr_6a5014ea7df448e3af71b58e650bf8c6"/>
                          <w:lock w:val="sdtLocked"/>
                          <w:richText/>
                        </w:sdtPr>
                        <w:sdtContent>
                          <w:r>
                            <w:rPr>
                              <w:szCs w:val="24"/>
                              <w:lang w:eastAsia="lt-LT"/>
                            </w:rPr>
                            <w:t>2.6.2</w:t>
                          </w:r>
                        </w:sdtContent>
                      </w:sdt>
                      <w:r>
                        <w:rPr>
                          <w:szCs w:val="24"/>
                          <w:lang w:eastAsia="lt-LT"/>
                        </w:rPr>
                        <w:t>. keičiamam leidimui numeris suteikiamas nurodant keičiamo TIPK leidimo numerį ir naują numerį, suteiktą AAA nustatyta tvarka;</w:t>
                      </w:r>
                    </w:p>
                  </w:sdtContent>
                </w:sdt>
                <w:sdt>
                  <w:sdtPr>
                    <w:alias w:val="2.6.3 p."/>
                    <w:tag w:val="part_dc54143edc844643943caa99f3aa21c2"/>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pPr>
                      <w:sdt>
                        <w:sdtPr>
                          <w:alias w:val="Numeris"/>
                          <w:tag w:val="nr_dc54143edc844643943caa99f3aa21c2"/>
                          <w:lock w:val="sdtLocked"/>
                          <w:richText/>
                        </w:sdtPr>
                        <w:sdtContent>
                          <w:r>
                            <w:rPr>
                              <w:szCs w:val="24"/>
                              <w:lang w:eastAsia="lt-LT"/>
                            </w:rPr>
                            <w:t>2.6.3</w:t>
                          </w:r>
                        </w:sdtContent>
                      </w:sdt>
                      <w:r>
                        <w:rPr>
                          <w:szCs w:val="24"/>
                          <w:lang w:eastAsia="lt-LT"/>
                        </w:rPr>
                        <w:t>. jei leidimas keičiamas Lietuvos Respublikos aplinkos apsaugos įstatymo 19</w:t>
                      </w:r>
                      <w:r>
                        <w:rPr>
                          <w:szCs w:val="24"/>
                          <w:vertAlign w:val="superscript"/>
                          <w:lang w:eastAsia="lt-LT"/>
                        </w:rPr>
                        <w:t>1</w:t>
                      </w:r>
                      <w:r>
                        <w:rPr>
                          <w:szCs w:val="24"/>
                          <w:lang w:eastAsia="lt-LT"/>
                        </w:rPr>
                        <w:t xml:space="preserve"> straipsnio 10 dalies 4 punkte nurodytu atveju, pakeičiami tik leidimo titulinio lapo (viršelio) rekvizitai vadovaujantis Taisyklių 7 priedo reikalavimais;</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2.7 p."/>
                <w:tag w:val="part_f7d71e2c18da41f9b77a8a536f2e66dc"/>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pPr>
                  <w:sdt>
                    <w:sdtPr>
                      <w:alias w:val="Numeris"/>
                      <w:tag w:val="nr_f7d71e2c18da41f9b77a8a536f2e66dc"/>
                      <w:lock w:val="sdtLocked"/>
                      <w:richText/>
                    </w:sdtPr>
                    <w:sdtContent>
                      <w:r>
                        <w:rPr>
                          <w:szCs w:val="24"/>
                          <w:lang w:eastAsia="lt-LT"/>
                        </w:rPr>
                        <w:t>2.7</w:t>
                      </w:r>
                    </w:sdtContent>
                  </w:sdt>
                  <w:r>
                    <w:rPr>
                      <w:szCs w:val="24"/>
                      <w:lang w:eastAsia="lt-LT"/>
                    </w:rPr>
                    <w:t>. TIPK leidimas išduodamas neterminuotam laikui, išskyrus atvejus, jei iki šio įsakymo įsigaliojimo leidime buvo nustatytos sąlygos tam tikram laikotarpiui, kuriam pasibaigus leidimą būtina pakeisti;</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2.8 p."/>
                <w:tag w:val="part_6447e00360e048d0a272b0d804e11ecf"/>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pPr>
                  <w:sdt>
                    <w:sdtPr>
                      <w:alias w:val="Numeris"/>
                      <w:tag w:val="nr_6447e00360e048d0a272b0d804e11ecf"/>
                      <w:lock w:val="sdtLocked"/>
                      <w:richText/>
                    </w:sdtPr>
                    <w:sdtContent>
                      <w:r>
                        <w:rPr>
                          <w:szCs w:val="24"/>
                          <w:lang w:eastAsia="lt-LT"/>
                        </w:rPr>
                        <w:t>2.8</w:t>
                      </w:r>
                    </w:sdtContent>
                  </w:sdt>
                  <w:r>
                    <w:rPr>
                      <w:szCs w:val="24"/>
                      <w:lang w:eastAsia="lt-LT"/>
                    </w:rPr>
                    <w:t>. ūkio subjektai, pateikę paraišką nuo 2015 m. rugpjūčio 11 d. iki 2015 m. rugsėjo 14 d. įskaitytinai, turi pateikti valstybės rinkliavos už TIPK leidimo išdavimą ar pakeitimą sumokėjimą patvirtinančius dokumentus ne vėliau kaip likus 2 darbo dienoms iki Taisyklių 88 punkte nurodyto termino, per kurį turi būti priimtas sprendimas dėl leidimo išdavimo, pabaigos. Ūkio subjektui nepateikus valstybės rinkliavos už TIPK leidimo išdavimą ar pakeitimą sumokėjimą patvirtinančio dokumento šiame punkte nustatyta tvarka, TIPK leidimas neišduodamas arba nepakeičiamas;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2.9 p."/>
                <w:tag w:val="part_2f8e13f322ba44e18d187d6598705118"/>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pPr>
                  <w:sdt>
                    <w:sdtPr>
                      <w:alias w:val="Numeris"/>
                      <w:tag w:val="nr_2f8e13f322ba44e18d187d6598705118"/>
                      <w:lock w:val="sdtLocked"/>
                      <w:richText/>
                    </w:sdtPr>
                    <w:sdtContent>
                      <w:r>
                        <w:rPr>
                          <w:szCs w:val="24"/>
                          <w:lang w:eastAsia="lt-LT"/>
                        </w:rPr>
                        <w:t>2.9</w:t>
                      </w:r>
                    </w:sdtContent>
                  </w:sdt>
                  <w:r>
                    <w:rPr>
                      <w:szCs w:val="24"/>
                      <w:lang w:eastAsia="lt-LT"/>
                    </w:rPr>
                    <w:t>. paraiškos, pateiktos iki 2015 m. rugpjūčio 11 d., baigiamos nagrinėti ir sprendimai dėl TIPK leidimo išdavimo ar pakeitimo priimami pagal iki 2015 m. rugpjūčio 11 d. galiojusią tvarką, netaikant šio įsakymo 2.8 papunkčio nuostatų;</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2.10 p."/>
                <w:tag w:val="part_ea4499bab30b49a3a349a66f3a5e5ac9"/>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ea4499bab30b49a3a349a66f3a5e5ac9"/>
                      <w:lock w:val="sdtLocked"/>
                      <w:richText/>
                    </w:sdtPr>
                    <w:sdtContent>
                      <w:r>
                        <w:rPr>
                          <w:szCs w:val="24"/>
                          <w:lang w:eastAsia="lt-LT"/>
                        </w:rPr>
                        <w:t>2.10</w:t>
                      </w:r>
                    </w:sdtContent>
                  </w:sdt>
                  <w:r>
                    <w:rPr>
                      <w:szCs w:val="24"/>
                      <w:lang w:eastAsia="lt-LT"/>
                    </w:rPr>
                    <w:t>. įsigaliojus šio įsakymo 2.8–2.9 papunkčiams, nebetaikomos Lietuvos Respublikos aplinkos ministro 2015 m. rugsėjo 10 d. įsakymo Nr. D1-647 „Dėl valstybės rinkliavų už taršos integruotos prevencijos ir kontrolės leidimų ir taršos leidimų išdavimą ar pakeitimą“ 1.2–1.5 papunkčių nuostatos dėl rinkliavų už TIPK leidimų išdavimą ar pakeitimą.</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Content>
        </w:sdt>
        <w:sdt>
          <w:sdtPr>
            <w:alias w:val="3 p."/>
            <w:tag w:val="part_6572380deeed44f5a89d8c20c1d0f0f8"/>
            <w:lock w:val="sdtLocked"/>
            <w:richText/>
          </w:sdtPr>
          <w:sdtContent>
            <w:p>
              <w:pPr>
                <w:widowControl w:val="0"/>
                <w:ind w:firstLine="567"/>
                <w:jc w:val="both"/>
                <w:rPr>
                  <w:color w:val="000000"/>
                  <w:szCs w:val="24"/>
                  <w:lang w:eastAsia="lt-LT"/>
                </w:rPr>
              </w:pPr>
              <w:sdt>
                <w:sdtPr>
                  <w:alias w:val="Numeris"/>
                  <w:tag w:val="nr_6572380deeed44f5a89d8c20c1d0f0f8"/>
                  <w:lock w:val="sdtLocked"/>
                  <w:richText/>
                </w:sdtPr>
                <w:sdtContent>
                  <w:r>
                    <w:rPr>
                      <w:color w:val="000000"/>
                      <w:szCs w:val="24"/>
                      <w:lang w:eastAsia="lt-LT"/>
                    </w:rPr>
                    <w:t>3</w:t>
                  </w:r>
                </w:sdtContent>
              </w:sdt>
              <w:r>
                <w:rPr>
                  <w:color w:val="000000"/>
                  <w:szCs w:val="24"/>
                  <w:lang w:eastAsia="lt-LT"/>
                </w:rPr>
                <w:t xml:space="preserve">. </w:t>
              </w:r>
              <w:r>
                <w:rPr>
                  <w:color w:val="000000"/>
                  <w:spacing w:val="33"/>
                  <w:szCs w:val="24"/>
                  <w:lang w:eastAsia="lt-LT"/>
                </w:rPr>
                <w:t>Pavedu</w:t>
              </w:r>
              <w:r>
                <w:rPr>
                  <w:color w:val="000000"/>
                  <w:szCs w:val="24"/>
                  <w:lang w:eastAsia="lt-LT"/>
                </w:rPr>
                <w:t>:</w:t>
              </w:r>
            </w:p>
            <w:sdt>
              <w:sdtPr>
                <w:alias w:val="3.1 p."/>
                <w:tag w:val="part_647aaab532634296b66a5bc3ba99463b"/>
                <w:lock w:val="sdtLocked"/>
                <w:richText/>
              </w:sdtPr>
              <w:sdtContent>
                <w:p>
                  <w:pPr>
                    <w:ind w:firstLine="567"/>
                    <w:jc w:val="both"/>
                    <w:rPr>
                      <w:szCs w:val="24"/>
                      <w:lang w:eastAsia="lt-LT"/>
                    </w:rPr>
                  </w:pPr>
                  <w:sdt>
                    <w:sdtPr>
                      <w:alias w:val="Numeris"/>
                      <w:tag w:val="nr_647aaab532634296b66a5bc3ba99463b"/>
                      <w:lock w:val="sdtLocked"/>
                      <w:richText/>
                    </w:sdtPr>
                    <w:sdtContent>
                      <w:r>
                        <w:rPr>
                          <w:szCs w:val="24"/>
                          <w:lang w:eastAsia="lt-LT"/>
                        </w:rPr>
                        <w:t>3.1</w:t>
                      </w:r>
                    </w:sdtContent>
                  </w:sdt>
                  <w:r>
                    <w:rPr>
                      <w:szCs w:val="24"/>
                      <w:lang w:eastAsia="lt-LT"/>
                    </w:rPr>
                    <w:t>.  Aplinkos apsaugos departamentui prie Aplinkos ministerijos:</w:t>
                  </w:r>
                </w:p>
                <w:sdt>
                  <w:sdtPr>
                    <w:alias w:val="3.1.1 pp."/>
                    <w:tag w:val="part_4d3c3b06416244f1bf9cf0d31447b849"/>
                    <w:lock w:val="sdtLocked"/>
                    <w:richText/>
                  </w:sdtPr>
                  <w:sdtContent>
                    <w:p>
                      <w:pPr>
                        <w:suppressAutoHyphens/>
                        <w:ind w:firstLine="567"/>
                        <w:jc w:val="both"/>
                        <w:rPr>
                          <w:szCs w:val="24"/>
                          <w:lang w:eastAsia="lt-LT"/>
                        </w:rPr>
                      </w:pPr>
                      <w:sdt>
                        <w:sdtPr>
                          <w:alias w:val="Numeris"/>
                          <w:tag w:val="nr_4d3c3b06416244f1bf9cf0d31447b849"/>
                          <w:lock w:val="sdtLocked"/>
                          <w:richText/>
                        </w:sdtPr>
                        <w:sdtContent>
                          <w:r>
                            <w:rPr>
                              <w:szCs w:val="24"/>
                              <w:lang w:eastAsia="lt-LT"/>
                            </w:rPr>
                            <w:t>3.1.1</w:t>
                          </w:r>
                        </w:sdtContent>
                      </w:sdt>
                      <w:r>
                        <w:rPr>
                          <w:szCs w:val="24"/>
                          <w:lang w:eastAsia="lt-LT"/>
                        </w:rPr>
                        <w:t>. Lietuvos Respublikos aplinkos apsaugos įstatyme ir Lietuvos Respublikos aplinkos apsaugos valstybinės kontrolės įstatyme nustatytais pagrindais ir Taisyklėse nustatyta tvarka vykdyti pagal Taisykles išduotų TIPK leidimų sąlygų laikymosi kontrolę;</w:t>
                      </w:r>
                    </w:p>
                  </w:sdtContent>
                </w:sdt>
                <w:sdt>
                  <w:sdtPr>
                    <w:alias w:val="3.1.2 pp."/>
                    <w:tag w:val="part_f7fb6ef6665d4a008672ef125c058ecd"/>
                    <w:lock w:val="sdtLocked"/>
                    <w:richText/>
                  </w:sdtPr>
                  <w:sdtContent>
                    <w:p>
                      <w:pPr>
                        <w:suppressAutoHyphens/>
                        <w:ind w:firstLine="567"/>
                        <w:jc w:val="both"/>
                        <w:rPr>
                          <w:szCs w:val="24"/>
                          <w:lang w:eastAsia="lt-LT"/>
                        </w:rPr>
                      </w:pPr>
                      <w:sdt>
                        <w:sdtPr>
                          <w:alias w:val="Numeris"/>
                          <w:tag w:val="nr_f7fb6ef6665d4a008672ef125c058ecd"/>
                          <w:lock w:val="sdtLocked"/>
                          <w:richText/>
                        </w:sdtPr>
                        <w:sdtContent>
                          <w:r>
                            <w:rPr>
                              <w:szCs w:val="24"/>
                              <w:lang w:eastAsia="lt-LT"/>
                            </w:rPr>
                            <w:t>3.1.2</w:t>
                          </w:r>
                        </w:sdtContent>
                      </w:sdt>
                      <w:r>
                        <w:rPr>
                          <w:szCs w:val="24"/>
                          <w:lang w:eastAsia="lt-LT"/>
                        </w:rPr>
                        <w:t>. teikti informaciją ir konsultuoti Aplinkos apsaugos agentūrą Taisyklėse nustatyta tvarka peržiūrint, keičiant TIPK leidimus, išduotus pagal 2002 m. TIPK taisykles, ar panaikinant jų galiojimą;</w:t>
                      </w:r>
                    </w:p>
                  </w:sdtContent>
                </w:sdt>
                <w:sdt>
                  <w:sdtPr>
                    <w:alias w:val="3.1.3 pp."/>
                    <w:tag w:val="part_3d78474b2cde451990e6aefc0ce61529"/>
                    <w:lock w:val="sdtLocked"/>
                    <w:richText/>
                  </w:sdtPr>
                  <w:sdtContent>
                    <w:p>
                      <w:pPr>
                        <w:suppressAutoHyphens/>
                        <w:ind w:firstLine="567"/>
                        <w:jc w:val="both"/>
                        <w:rPr>
                          <w:color w:val="000000"/>
                          <w:szCs w:val="24"/>
                          <w:lang w:eastAsia="lt-LT"/>
                        </w:rPr>
                      </w:pPr>
                      <w:sdt>
                        <w:sdtPr>
                          <w:alias w:val="Numeris"/>
                          <w:tag w:val="nr_3d78474b2cde451990e6aefc0ce61529"/>
                          <w:lock w:val="sdtLocked"/>
                          <w:richText/>
                        </w:sdtPr>
                        <w:sdtContent>
                          <w:r>
                            <w:rPr>
                              <w:szCs w:val="24"/>
                              <w:lang w:eastAsia="lt-LT"/>
                            </w:rPr>
                            <w:t>3.1.3</w:t>
                          </w:r>
                        </w:sdtContent>
                      </w:sdt>
                      <w:r>
                        <w:rPr>
                          <w:szCs w:val="24"/>
                          <w:lang w:eastAsia="lt-LT"/>
                        </w:rPr>
                        <w:t>. užtikrinti, kad, panaikinus leidimą, veiklos vykdytojas įvykdys Taisyklių 111–113 punktuose nurodytus reikalavimus;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b7ec10747d11e8ae2bfd1913d66d57">
                    <w:r w:rsidRPr="00532B9F">
                      <w:rPr>
                        <w:rFonts w:ascii="Arial" w:eastAsia="MS Mincho" w:hAnsi="Arial"/>
                        <w:sz w:val="20"/>
                        <w:i/>
                        <w:iCs/>
                        <w:color w:val="0000FF" w:themeColor="hyperlink"/>
                        <w:u w:val="single"/>
                      </w:rPr>
                      <w:t>D1-537</w:t>
                    </w:r>
                  </w:fldSimple>
                  <w:r>
                    <w:rPr>
                      <w:rFonts w:ascii="Arial" w:eastAsia="MS Mincho" w:hAnsi="Arial"/>
                      <w:sz w:val="20"/>
                      <w:i/>
                      <w:iCs/>
                    </w:rPr>
                    <w:t>,
2018-06-19,
paskelbta TAR 2018-06-20, i. k. 2018-10131            </w:t>
                  </w:r>
                </w:p>
                <w:p/>
              </w:sdtContent>
            </w:sdt>
            <w:sdt>
              <w:sdtPr>
                <w:alias w:val="3.2 p."/>
                <w:tag w:val="part_f02b98dedd234ac39beed78b3e399e2d"/>
                <w:lock w:val="sdtLocked"/>
                <w:richText/>
              </w:sdtPr>
              <w:sdtContent>
                <w:p>
                  <w:pPr>
                    <w:widowControl w:val="0"/>
                    <w:ind w:firstLine="567"/>
                    <w:jc w:val="both"/>
                    <w:rPr>
                      <w:color w:val="000000"/>
                      <w:szCs w:val="24"/>
                      <w:lang w:eastAsia="lt-LT"/>
                    </w:rPr>
                  </w:pPr>
                  <w:sdt>
                    <w:sdtPr>
                      <w:alias w:val="Numeris"/>
                      <w:tag w:val="nr_f02b98dedd234ac39beed78b3e399e2d"/>
                      <w:lock w:val="sdtLocked"/>
                      <w:richText/>
                    </w:sdtPr>
                    <w:sdtContent>
                      <w:r>
                        <w:rPr>
                          <w:color w:val="000000"/>
                          <w:szCs w:val="24"/>
                          <w:lang w:eastAsia="lt-LT"/>
                        </w:rPr>
                        <w:t>3.2</w:t>
                      </w:r>
                    </w:sdtContent>
                  </w:sdt>
                  <w:r>
                    <w:rPr>
                      <w:color w:val="000000"/>
                      <w:szCs w:val="24"/>
                      <w:lang w:eastAsia="lt-LT"/>
                    </w:rPr>
                    <w:t>. Aplinkos apsaugos agentūrai:</w:t>
                  </w:r>
                </w:p>
                <w:sdt>
                  <w:sdtPr>
                    <w:alias w:val="3.2.1 p."/>
                    <w:tag w:val="part_776cab780c49463cb1bfdc94ddeeb1be"/>
                    <w:lock w:val="sdtLocked"/>
                    <w:richText/>
                  </w:sdtPr>
                  <w:sdtContent>
                    <w:p>
                      <w:pPr>
                        <w:widowControl w:val="0"/>
                        <w:ind w:firstLine="567"/>
                        <w:jc w:val="both"/>
                        <w:rPr>
                          <w:color w:val="000000"/>
                          <w:szCs w:val="24"/>
                          <w:lang w:eastAsia="lt-LT"/>
                        </w:rPr>
                      </w:pPr>
                      <w:sdt>
                        <w:sdtPr>
                          <w:alias w:val="Numeris"/>
                          <w:tag w:val="nr_776cab780c49463cb1bfdc94ddeeb1be"/>
                          <w:lock w:val="sdtLocked"/>
                          <w:richText/>
                        </w:sdtPr>
                        <w:sdtContent>
                          <w:r>
                            <w:rPr>
                              <w:color w:val="000000"/>
                              <w:szCs w:val="24"/>
                              <w:lang w:eastAsia="lt-LT"/>
                            </w:rPr>
                            <w:t>3.2.1</w:t>
                          </w:r>
                        </w:sdtContent>
                      </w:sdt>
                      <w:r>
                        <w:rPr>
                          <w:color w:val="000000"/>
                          <w:szCs w:val="24"/>
                          <w:lang w:eastAsia="lt-LT"/>
                        </w:rPr>
                        <w:t>. Lietuvos Respublikos aplinkos apsaugos įstatymo 19</w:t>
                      </w:r>
                      <w:r>
                        <w:rPr>
                          <w:color w:val="000000"/>
                          <w:szCs w:val="24"/>
                          <w:vertAlign w:val="superscript"/>
                          <w:lang w:eastAsia="lt-LT"/>
                        </w:rPr>
                        <w:t>1</w:t>
                      </w:r>
                      <w:r>
                        <w:rPr>
                          <w:color w:val="000000"/>
                          <w:szCs w:val="24"/>
                          <w:lang w:eastAsia="lt-LT"/>
                        </w:rPr>
                        <w:t> straipsnyje nustatytais pagrindais ir Taisyklėse nustatyta tvarka išduoti, peržiūrėti, keisti TIPK leidimus ir panaikinti jų galiojimą;</w:t>
                      </w:r>
                    </w:p>
                  </w:sdtContent>
                </w:sdt>
                <w:sdt>
                  <w:sdtPr>
                    <w:alias w:val="3.2.2 p."/>
                    <w:tag w:val="part_18b00754463948579927c46b237b53ed"/>
                    <w:lock w:val="sdtLocked"/>
                    <w:richText/>
                  </w:sdtPr>
                  <w:sdtContent>
                    <w:p>
                      <w:pPr>
                        <w:widowControl w:val="0"/>
                        <w:ind w:firstLine="567"/>
                        <w:jc w:val="both"/>
                        <w:rPr>
                          <w:color w:val="000000"/>
                          <w:szCs w:val="24"/>
                          <w:lang w:eastAsia="lt-LT"/>
                        </w:rPr>
                      </w:pPr>
                      <w:sdt>
                        <w:sdtPr>
                          <w:alias w:val="Numeris"/>
                          <w:tag w:val="nr_18b00754463948579927c46b237b53ed"/>
                          <w:lock w:val="sdtLocked"/>
                          <w:richText/>
                        </w:sdtPr>
                        <w:sdtContent>
                          <w:r>
                            <w:rPr>
                              <w:color w:val="000000"/>
                              <w:lang w:eastAsia="lt-LT"/>
                            </w:rPr>
                            <w:t>3.2.2</w:t>
                          </w:r>
                        </w:sdtContent>
                      </w:sdt>
                      <w:r>
                        <w:rPr>
                          <w:color w:val="000000"/>
                          <w:lang w:eastAsia="lt-LT"/>
                        </w:rPr>
                        <w:t>. išduotų ar pakeistų TIPK leidimų elektronines versijas skelbti Aplinkos apsaugos agentūros interneto svetainėje arba, jei paraiška leidimui gauti ar pakeisti pateikta per Aplinkosauginių leidimų informacinę sistemą (toliau – ALIS) – šioje sistemoje. Jei leidimas skelbiamas ALIS, AAA interneto svetainėje turi būti pateikta interaktyvi šio leidimo nuoroda į ALIS;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3.2.3 p."/>
                    <w:tag w:val="part_c0917ab15da74cfe81eb1d8e8fd54616"/>
                    <w:lock w:val="sdtLocked"/>
                    <w:richText/>
                  </w:sdtPr>
                  <w:sdtContent>
                    <w:p>
                      <w:pPr>
                        <w:widowControl w:val="0"/>
                        <w:ind w:firstLine="567"/>
                        <w:jc w:val="both"/>
                      </w:pPr>
                      <w:sdt>
                        <w:sdtPr>
                          <w:alias w:val="Numeris"/>
                          <w:tag w:val="nr_c0917ab15da74cfe81eb1d8e8fd54616"/>
                          <w:lock w:val="sdtLocked"/>
                          <w:richText/>
                        </w:sdtPr>
                        <w:sdtContent>
                          <w:r>
                            <w:rPr>
                              <w:color w:val="000000"/>
                              <w:szCs w:val="24"/>
                              <w:lang w:eastAsia="lt-LT"/>
                            </w:rPr>
                            <w:t>3.2.3</w:t>
                          </w:r>
                        </w:sdtContent>
                      </w:sdt>
                      <w:r>
                        <w:rPr>
                          <w:color w:val="000000"/>
                          <w:szCs w:val="24"/>
                          <w:lang w:eastAsia="lt-LT"/>
                        </w:rPr>
                        <w:t>. stebėti geriausių prieinamų gamybos būdų (toliau – GPGB) raidą, rinkti informaciją apie naujas arba atnaujintas GPGB išvadas, skelbti šią informaciją suinteresuotajai visuomenei</w:t>
                      </w:r>
                      <w:r>
                        <w:rPr>
                          <w:i/>
                          <w:iCs/>
                          <w:color w:val="000000"/>
                          <w:szCs w:val="24"/>
                          <w:lang w:eastAsia="lt-LT"/>
                        </w:rPr>
                        <w:t xml:space="preserve">, </w:t>
                      </w:r>
                      <w:r>
                        <w:rPr>
                          <w:color w:val="000000"/>
                          <w:szCs w:val="24"/>
                          <w:lang w:eastAsia="lt-LT"/>
                        </w:rPr>
                        <w:t>esant reikalui, vadovaujantis Europos Komisijos nustatytomis gairėmis, imtis priemonių skatinti naujų gamybos būdų, ypač tų, kurie nustatyti GPGB informaciniuose dokumentuose, kūrimą ir taikymą ir esant reikalui nustatyti GPGB atskiroms veiklos rūšims ar gamybos procesams;</w:t>
                      </w:r>
                    </w:p>
                  </w:sdtContent>
                </w:sdt>
                <w:sdt>
                  <w:sdtPr>
                    <w:alias w:val="3.2.4 pp."/>
                    <w:tag w:val="part_c97ecaa683f1468a9a3ec3687385f38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c97ecaa683f1468a9a3ec3687385f384"/>
                          <w:lock w:val="sdtLocked"/>
                          <w:richText/>
                        </w:sdtPr>
                        <w:sdtContent>
                          <w:r>
                            <w:rPr>
                              <w:rFonts w:eastAsia="Calibri"/>
                              <w:szCs w:val="24"/>
                              <w:lang w:eastAsia="lt-LT"/>
                            </w:rPr>
                            <w:t>3.2.4</w:t>
                          </w:r>
                        </w:sdtContent>
                      </w:sdt>
                      <w:r>
                        <w:rPr>
                          <w:rFonts w:eastAsia="Calibri"/>
                          <w:szCs w:val="24"/>
                          <w:lang w:eastAsia="lt-LT"/>
                        </w:rPr>
                        <w:t xml:space="preserve">. vadovaujantis Licencijavimo pagrindų aprašu, patvirtintu Lietuvos Respublikos Vyriausybės </w:t>
                      </w:r>
                      <w:r>
                        <w:rPr>
                          <w:rFonts w:eastAsia="Calibri"/>
                          <w:szCs w:val="24"/>
                          <w:lang w:val="en-US" w:eastAsia="lt-LT"/>
                        </w:rPr>
                        <w:t xml:space="preserve">2012 </w:t>
                      </w:r>
                      <w:r>
                        <w:rPr>
                          <w:rFonts w:eastAsia="Calibri"/>
                          <w:szCs w:val="24"/>
                          <w:lang w:eastAsia="lt-LT"/>
                        </w:rPr>
                        <w:t xml:space="preserve">m. liepos </w:t>
                      </w:r>
                      <w:r>
                        <w:rPr>
                          <w:rFonts w:eastAsia="Calibri"/>
                          <w:szCs w:val="24"/>
                          <w:lang w:val="en-US" w:eastAsia="lt-LT"/>
                        </w:rPr>
                        <w:t>18 d.</w:t>
                      </w:r>
                      <w:r>
                        <w:rPr>
                          <w:rFonts w:eastAsia="Calibri"/>
                          <w:szCs w:val="24"/>
                          <w:lang w:eastAsia="lt-LT"/>
                        </w:rPr>
                        <w:t xml:space="preserve"> nutarimu Nr. 937 „Dėl Licencijavimo pagrindų aprašo patvirtinimo“ teikti informaciją Licencijų informacinei sistemai apie išduotus, pakeistus TIPK leidimus, TIPK leidimų galiojimo panaikinimą atitinkamai TIPK leidimų išdavimo, pakeitimo ar galiojimo panaikinimo dieną;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sdtContent>
                </w:sdt>
                <w:sdt>
                  <w:sdtPr>
                    <w:alias w:val="3.2.5 pp."/>
                    <w:tag w:val="part_044b9c7bff8843698026593671ce8d4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44b9c7bff8843698026593671ce8d4b"/>
                          <w:lock w:val="sdtLocked"/>
                          <w:richText/>
                        </w:sdtPr>
                        <w:sdtContent>
                          <w:r>
                            <w:rPr>
                              <w:rFonts w:eastAsia="Calibri"/>
                              <w:szCs w:val="24"/>
                              <w:lang w:val="en-US" w:eastAsia="lt-LT"/>
                            </w:rPr>
                            <w:t>3.2.5</w:t>
                          </w:r>
                        </w:sdtContent>
                      </w:sdt>
                      <w:r>
                        <w:rPr>
                          <w:rFonts w:eastAsia="Calibri"/>
                          <w:szCs w:val="24"/>
                          <w:lang w:val="en-US" w:eastAsia="lt-LT"/>
                        </w:rPr>
                        <w:t xml:space="preserve">. </w:t>
                      </w:r>
                      <w:r>
                        <w:rPr>
                          <w:rFonts w:eastAsia="Calibri"/>
                          <w:szCs w:val="24"/>
                          <w:lang w:eastAsia="lt-LT"/>
                        </w:rPr>
                        <w:t xml:space="preserve">skelbiant Taisyklių </w:t>
                      </w:r>
                      <w:r>
                        <w:rPr>
                          <w:rFonts w:eastAsia="Calibri"/>
                          <w:szCs w:val="24"/>
                          <w:lang w:val="en-US" w:eastAsia="lt-LT"/>
                        </w:rPr>
                        <w:t xml:space="preserve">123 </w:t>
                      </w:r>
                      <w:r>
                        <w:rPr>
                          <w:rFonts w:eastAsia="Calibri"/>
                          <w:szCs w:val="24"/>
                          <w:lang w:eastAsia="lt-LT"/>
                        </w:rPr>
                        <w:t>punkte nurodytą informaciją, nurodyti paraiškų TIPK leidimams gauti ar pakeisti gavimo, priėmimo, TIPK leidimų išdavimo, pakeitimo datas ir sprendimus priimti ir (ar) nepriimti paraiškas;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sdtContent>
                </w:sdt>
              </w:sdtContent>
            </w:sdt>
            <w:sdt>
              <w:sdtPr>
                <w:alias w:val="3.2.6 pp."/>
                <w:tag w:val="part_041c57de48a3473ba48b68ef70e11628"/>
                <w:lock w:val="sdtLocked"/>
                <w:richText/>
              </w:sdtPr>
              <w:sdtContent>
                <w:p>
                  <w:pPr>
                    <w:widowControl w:val="0"/>
                    <w:suppressAutoHyphens/>
                    <w:ind w:firstLine="549"/>
                    <w:jc w:val="both"/>
                    <w:textAlignment w:val="baseline"/>
                    <w:rPr>
                      <w:color w:val="000000"/>
                      <w:szCs w:val="24"/>
                      <w:lang w:eastAsia="lt-LT"/>
                    </w:rPr>
                  </w:pPr>
                  <w:sdt>
                    <w:sdtPr>
                      <w:alias w:val="Numeris"/>
                      <w:tag w:val="nr_041c57de48a3473ba48b68ef70e11628"/>
                      <w:lock w:val="sdtLocked"/>
                      <w:richText/>
                    </w:sdtPr>
                    <w:sdtContent>
                      <w:r>
                        <w:rPr>
                          <w:color w:val="000000"/>
                          <w:szCs w:val="24"/>
                        </w:rPr>
                        <w:t>3.2.6</w:t>
                      </w:r>
                    </w:sdtContent>
                  </w:sdt>
                  <w:r>
                    <w:rPr>
                      <w:color w:val="000000"/>
                      <w:szCs w:val="24"/>
                    </w:rPr>
                    <w:t>. rinkti, apdoroti informaciją ir teikti Europos Komisijai ataskaitas apie Direktyvos 2010/75/ES įgyvendinimą.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b7ec10747d11e8ae2bfd1913d66d57">
                    <w:r w:rsidRPr="00532B9F">
                      <w:rPr>
                        <w:rFonts w:ascii="Arial" w:eastAsia="MS Mincho" w:hAnsi="Arial"/>
                        <w:sz w:val="20"/>
                        <w:i/>
                        <w:iCs/>
                        <w:color w:val="0000FF" w:themeColor="hyperlink"/>
                        <w:u w:val="single"/>
                      </w:rPr>
                      <w:t>D1-537</w:t>
                    </w:r>
                  </w:fldSimple>
                  <w:r>
                    <w:rPr>
                      <w:rFonts w:ascii="Arial" w:eastAsia="MS Mincho" w:hAnsi="Arial"/>
                      <w:sz w:val="20"/>
                      <w:i/>
                      <w:iCs/>
                    </w:rPr>
                    <w:t>,
2018-06-19,
paskelbta TAR 2018-06-20, i. k. 2018-10131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Content>
        </w:sdt>
        <w:sdt>
          <w:sdtPr>
            <w:alias w:val="signatura"/>
            <w:tag w:val="part_749d325a2b8149828a3fafb320f1ab21"/>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aps/>
                  <w:color w:val="000000"/>
                  <w:szCs w:val="24"/>
                  <w:lang w:eastAsia="lt-LT"/>
                </w:rPr>
              </w:pPr>
              <w:r>
                <w:rPr>
                  <w:caps/>
                  <w:color w:val="000000"/>
                  <w:szCs w:val="24"/>
                  <w:lang w:eastAsia="lt-LT"/>
                </w:rPr>
                <w:t>Aplinkos ministras</w:t>
                <w:tab/>
                <w:t>Valentinas Mazuronis</w:t>
              </w:r>
            </w:p>
          </w:sdtContent>
        </w:sdt>
      </w:sdtContent>
    </w:sdt>
    <w:sdt>
      <w:sdtPr>
        <w:alias w:val="patvirtinta"/>
        <w:tag w:val="part_0b964f22f86b42cbb5f79762bfe35732"/>
        <w:lock w:val="sdtLocked"/>
        <w:richText/>
      </w:sdtPr>
      <w:sdtContent>
        <w:p>
          <w:pPr>
            <w:widowControl w:val="0"/>
            <w:ind w:left="4535"/>
            <w:sectPr>
              <w:headerReference w:type="default" r:id="rId11"/>
              <w:pgSz w:w="12240" w:h="15840" w:code="1"/>
              <w:pgMar w:top="1134" w:right="1134" w:bottom="1418" w:left="1701" w:header="720" w:footer="720" w:gutter="0"/>
              <w:cols w:space="720"/>
              <w:noEndnote/>
              <w:titlePg/>
              <w:docGrid w:linePitch="326"/>
            </w:sectPr>
          </w:pPr>
        </w:p>
        <w:p>
          <w:pPr>
            <w:widowControl w:val="0"/>
            <w:ind w:left="4535"/>
            <w:rPr>
              <w:color w:val="000000"/>
              <w:szCs w:val="24"/>
              <w:lang w:eastAsia="lt-LT"/>
            </w:rPr>
          </w:pPr>
          <w:r>
            <w:rPr>
              <w:color w:val="000000"/>
              <w:szCs w:val="24"/>
              <w:lang w:eastAsia="lt-LT"/>
            </w:rPr>
            <w:t>PATVIRTINTA</w:t>
          </w:r>
        </w:p>
        <w:p>
          <w:pPr>
            <w:widowControl w:val="0"/>
            <w:ind w:left="4535"/>
            <w:rPr>
              <w:color w:val="000000"/>
              <w:szCs w:val="24"/>
              <w:lang w:eastAsia="lt-LT"/>
            </w:rPr>
          </w:pPr>
          <w:r>
            <w:rPr>
              <w:color w:val="000000"/>
              <w:szCs w:val="24"/>
              <w:lang w:eastAsia="lt-LT"/>
            </w:rPr>
            <w:t xml:space="preserve">Lietuvos Respublikos aplinkos ministro </w:t>
          </w:r>
        </w:p>
        <w:p>
          <w:pPr>
            <w:widowControl w:val="0"/>
            <w:ind w:left="4535"/>
            <w:rPr>
              <w:color w:val="000000"/>
              <w:szCs w:val="24"/>
              <w:lang w:eastAsia="lt-LT"/>
            </w:rPr>
          </w:pPr>
          <w:r>
            <w:rPr>
              <w:color w:val="000000"/>
              <w:szCs w:val="24"/>
              <w:lang w:eastAsia="lt-LT"/>
            </w:rPr>
            <w:t>2013 m. liepos 15 d. įsakymu Nr. D1-528</w:t>
          </w:r>
        </w:p>
        <w:p>
          <w:pPr>
            <w:widowControl w:val="0"/>
            <w:ind w:firstLine="567"/>
            <w:jc w:val="both"/>
            <w:rPr>
              <w:color w:val="000000"/>
              <w:szCs w:val="24"/>
              <w:lang w:eastAsia="lt-LT"/>
            </w:rPr>
          </w:pPr>
        </w:p>
        <w:p>
          <w:pPr>
            <w:widowControl w:val="0"/>
            <w:jc w:val="center"/>
            <w:rPr>
              <w:b/>
              <w:bCs/>
              <w:caps/>
              <w:color w:val="000000"/>
              <w:szCs w:val="24"/>
              <w:lang w:eastAsia="lt-LT"/>
            </w:rPr>
          </w:pPr>
          <w:sdt>
            <w:sdtPr>
              <w:alias w:val="Pavadinimas"/>
              <w:tag w:val="title_0b964f22f86b42cbb5f79762bfe35732"/>
              <w:lock w:val="sdtLocked"/>
              <w:richText/>
            </w:sdtPr>
            <w:sdtContent>
              <w:r>
                <w:rPr>
                  <w:b/>
                  <w:bCs/>
                  <w:caps/>
                  <w:color w:val="000000"/>
                  <w:szCs w:val="24"/>
                  <w:lang w:eastAsia="lt-LT"/>
                </w:rPr>
                <w:t>taršos integruotos prevencijos ir kontrolės leidimų išdavimo, PAKEITIMO ir GALIOJIMO panaikinimo TAISYKLĖS</w:t>
              </w:r>
            </w:sdtContent>
          </w:sdt>
        </w:p>
        <w:p>
          <w:pPr>
            <w:widowControl w:val="0"/>
            <w:jc w:val="center"/>
            <w:rPr>
              <w:b/>
              <w:bCs/>
              <w:caps/>
              <w:color w:val="000000"/>
              <w:szCs w:val="24"/>
              <w:lang w:eastAsia="lt-LT"/>
            </w:rPr>
          </w:pPr>
        </w:p>
        <w:sdt>
          <w:sdtPr>
            <w:alias w:val="skyrius"/>
            <w:tag w:val="part_9b622a8f676a4b40b1c658ee2b98a79e"/>
            <w:lock w:val="sdtLocked"/>
            <w:richText/>
          </w:sdtPr>
          <w:sdtContent>
            <w:p>
              <w:pPr>
                <w:widowControl w:val="0"/>
                <w:jc w:val="center"/>
                <w:rPr>
                  <w:b/>
                  <w:bCs/>
                  <w:caps/>
                  <w:color w:val="000000"/>
                  <w:szCs w:val="24"/>
                  <w:lang w:eastAsia="lt-LT"/>
                </w:rPr>
              </w:pPr>
              <w:sdt>
                <w:sdtPr>
                  <w:alias w:val="Numeris"/>
                  <w:tag w:val="nr_9b622a8f676a4b40b1c658ee2b98a79e"/>
                  <w:lock w:val="sdtLocked"/>
                  <w:richText/>
                </w:sdtPr>
                <w:sdtContent>
                  <w:r>
                    <w:rPr>
                      <w:b/>
                      <w:bCs/>
                      <w:caps/>
                      <w:color w:val="000000"/>
                      <w:szCs w:val="24"/>
                      <w:lang w:eastAsia="lt-LT"/>
                    </w:rPr>
                    <w:t>I</w:t>
                  </w:r>
                </w:sdtContent>
              </w:sdt>
              <w:r>
                <w:rPr>
                  <w:b/>
                  <w:bCs/>
                  <w:caps/>
                  <w:color w:val="000000"/>
                  <w:szCs w:val="24"/>
                  <w:lang w:eastAsia="lt-LT"/>
                </w:rPr>
                <w:t xml:space="preserve">. </w:t>
              </w:r>
              <w:sdt>
                <w:sdtPr>
                  <w:alias w:val="Pavadinimas"/>
                  <w:tag w:val="title_9b622a8f676a4b40b1c658ee2b98a79e"/>
                  <w:lock w:val="sdtLocked"/>
                  <w:richText/>
                </w:sdtPr>
                <w:sdtContent>
                  <w:r>
                    <w:rPr>
                      <w:b/>
                      <w:bCs/>
                      <w:caps/>
                      <w:color w:val="000000"/>
                      <w:szCs w:val="24"/>
                      <w:lang w:eastAsia="lt-LT"/>
                    </w:rPr>
                    <w:t>BENDROSIOS NUOSTATOS</w:t>
                  </w:r>
                </w:sdtContent>
              </w:sdt>
            </w:p>
            <w:p>
              <w:pPr>
                <w:widowControl w:val="0"/>
                <w:ind w:firstLine="567"/>
                <w:jc w:val="both"/>
                <w:rPr>
                  <w:color w:val="000000"/>
                  <w:szCs w:val="24"/>
                  <w:lang w:eastAsia="lt-LT"/>
                </w:rPr>
              </w:pPr>
            </w:p>
            <w:sdt>
              <w:sdtPr>
                <w:alias w:val="1 p."/>
                <w:tag w:val="part_b422ff0ac03d4f409a5a9f39c9913169"/>
                <w:lock w:val="sdtLocked"/>
                <w:richText/>
              </w:sdtPr>
              <w:sdtContent>
                <w:p>
                  <w:pPr>
                    <w:widowControl w:val="0"/>
                    <w:ind w:firstLine="567"/>
                    <w:jc w:val="both"/>
                    <w:rPr>
                      <w:color w:val="000000"/>
                      <w:szCs w:val="24"/>
                      <w:lang w:eastAsia="lt-LT"/>
                    </w:rPr>
                  </w:pPr>
                  <w:sdt>
                    <w:sdtPr>
                      <w:alias w:val="Numeris"/>
                      <w:tag w:val="nr_b422ff0ac03d4f409a5a9f39c9913169"/>
                      <w:lock w:val="sdtLocked"/>
                      <w:richText/>
                    </w:sdtPr>
                    <w:sdtContent>
                      <w:r>
                        <w:rPr>
                          <w:color w:val="000000"/>
                          <w:szCs w:val="24"/>
                          <w:lang w:eastAsia="lt-LT"/>
                        </w:rPr>
                        <w:t>1</w:t>
                      </w:r>
                    </w:sdtContent>
                  </w:sdt>
                  <w:r>
                    <w:rPr>
                      <w:color w:val="000000"/>
                      <w:szCs w:val="24"/>
                      <w:lang w:eastAsia="lt-LT"/>
                    </w:rPr>
                    <w:t>. Taršos integruotos prevencijos ir kontrolės leidimų išdavimo, pakeitimo ir galiojimo panaikinimo taisyklės (toliau – Taisyklės) reglamentuoja integruotą taršos, kurią sukelia pramoninė veikla, prevenciją ir kontrolę. Taisyklėse nustatyta taršos integruotos prevencijos ir kontrolės leidimų (toliau – leidimas) išdavimo, pakeitimo ir galiojimo panaikinimo sistema siekiama užtikrinti, kad būtų išvengta šiltnamio efektą sukeliančių dujų išmetimo, teršalų patekimo į orą, vandenį, dirvožemį arba, jei tai neįmanoma, būtų sumažintas jų kiekis ir užkirstas kelias atliekų susidarymui, siekiant aukšto aplinkos apsaugos lygio.</w:t>
                  </w:r>
                </w:p>
              </w:sdtContent>
            </w:sdt>
            <w:sdt>
              <w:sdtPr>
                <w:alias w:val="2 p."/>
                <w:tag w:val="part_378f097aaadb474583d77659fe97fa66"/>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378f097aaadb474583d77659fe97fa66"/>
                      <w:lock w:val="sdtLocked"/>
                      <w:richText/>
                    </w:sdtPr>
                    <w:sdtContent>
                      <w:r>
                        <w:rPr>
                          <w:szCs w:val="24"/>
                          <w:lang w:eastAsia="lt-LT"/>
                        </w:rPr>
                        <w:t>2</w:t>
                      </w:r>
                    </w:sdtContent>
                  </w:sdt>
                  <w:r>
                    <w:rPr>
                      <w:szCs w:val="24"/>
                      <w:lang w:eastAsia="lt-LT"/>
                    </w:rPr>
                    <w:t>. Taisyklėse nustatoma paraiškos Lietuvos Respublikos aplinkos apsaugos įstatymo 19</w:t>
                  </w:r>
                  <w:r>
                    <w:rPr>
                      <w:szCs w:val="24"/>
                      <w:vertAlign w:val="superscript"/>
                      <w:lang w:eastAsia="lt-LT"/>
                    </w:rPr>
                    <w:t>1</w:t>
                  </w:r>
                  <w:r>
                    <w:rPr>
                      <w:szCs w:val="24"/>
                      <w:lang w:eastAsia="lt-LT"/>
                    </w:rPr>
                    <w:t xml:space="preserve"> straipsnyje nurodytam leidimui gauti ar pakeisti (toliau – paraiška) rengimo, pateikimo, </w:t>
                  </w:r>
                  <w:r>
                    <w:rPr>
                      <w:bCs/>
                      <w:szCs w:val="24"/>
                      <w:lang w:eastAsia="lt-LT"/>
                    </w:rPr>
                    <w:t xml:space="preserve">aplinkos ministro įgaliotos institucijos atliekamo gautos paraiškos viešinimo, nagrinėjimo, </w:t>
                  </w:r>
                  <w:r>
                    <w:rPr>
                      <w:szCs w:val="24"/>
                      <w:lang w:eastAsia="lt-LT"/>
                    </w:rPr>
                    <w:t xml:space="preserve">derinimo, priėmimo, leidimo projekto rengimo, leidimo išdavimo, </w:t>
                  </w:r>
                  <w:r>
                    <w:rPr>
                      <w:bCs/>
                      <w:szCs w:val="24"/>
                      <w:lang w:eastAsia="lt-LT"/>
                    </w:rPr>
                    <w:t>leidimo sąlygų peržiūrėjimo, leidimo</w:t>
                  </w:r>
                  <w:r>
                    <w:rPr>
                      <w:szCs w:val="24"/>
                      <w:lang w:eastAsia="lt-LT"/>
                    </w:rPr>
                    <w:t xml:space="preserve"> pakeitimo ir galiojimo panaikinimo tvarka, suinteresuotos visuomenės teisės ir pareigos, taip pat informacijos teikimo kitai Europos Sąjungos (toliau – ES) valstybei narei, konsultavimosi su kita ES valstybe nare, informavimo apie priimtą sprendimą išduoti leidimą tvarka, kitos ES valstybės narės visuomenės informavimo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sdtContent>
            </w:sdt>
            <w:sdt>
              <w:sdtPr>
                <w:alias w:val="3 p."/>
                <w:tag w:val="part_745725f5bfaa4533a699a58a7d8cebb1"/>
                <w:lock w:val="sdtLocked"/>
                <w:richText/>
              </w:sdtPr>
              <w:sdtContent>
                <w:p>
                  <w:pPr>
                    <w:tabs>
                      <w:tab w:val="left" w:pos="993"/>
                    </w:tabs>
                    <w:suppressAutoHyphens/>
                    <w:ind w:firstLine="567"/>
                    <w:jc w:val="both"/>
                    <w:textAlignment w:val="baseline"/>
                    <w:rPr>
                      <w:color w:val="000000"/>
                      <w:szCs w:val="24"/>
                      <w:lang w:eastAsia="lt-LT"/>
                    </w:rPr>
                  </w:pPr>
                  <w:sdt>
                    <w:sdtPr>
                      <w:alias w:val="Numeris"/>
                      <w:tag w:val="nr_745725f5bfaa4533a699a58a7d8cebb1"/>
                      <w:lock w:val="sdtLocked"/>
                      <w:richText/>
                    </w:sdtPr>
                    <w:sdtContent>
                      <w:r>
                        <w:rPr>
                          <w:bCs/>
                          <w:szCs w:val="24"/>
                          <w:lang w:eastAsia="lt-LT"/>
                        </w:rPr>
                        <w:t>3</w:t>
                      </w:r>
                    </w:sdtContent>
                  </w:sdt>
                  <w:r>
                    <w:rPr>
                      <w:bCs/>
                      <w:szCs w:val="24"/>
                      <w:lang w:eastAsia="lt-LT"/>
                    </w:rPr>
                    <w:t>. Taisyklės parengtos įgyvendinant 2003 m. spalio 13 d. Europos Parlamento ir Tarybos direktyvą 2003/87/EB, nustatančią šiltnamio efektą sukeliančių dujų emisijos leidimų sistemą Bendrijoje ir iš dalies keičiančią Tarybos direktyvą 96/61/EB su paskutiniais pakeitimais, padarytais 2023 m. gegužės 10 d. Europos Parlamento ir Tarybos direktyva (ES) 2023/959, 2010 m. lapkričio 24 d. Europos Parlamento ir Tarybos direktyvą 2010/75/ES dėl pramoninių išmetamų teršalų (taršos integruotos prevencijos ir kontrolės) (toliau – TIPK direktyva) ir 2011 m. gruodžio 13 d. Europos Parlamento ir Tarybos direktyvą 2011/92/ES dėl tam tikrų valstybės ir privačių projektų poveikio aplinkai vertinimo su paskutiniais pakeitimais, padarytais 2014 m. balandžio 16 d. Europos Parlamento ir Tarybos direktyva 2014/52/ES.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bba30608cfa11eea5a28c81c82193a8">
                    <w:r w:rsidRPr="00532B9F">
                      <w:rPr>
                        <w:rFonts w:ascii="Arial" w:eastAsia="MS Mincho" w:hAnsi="Arial"/>
                        <w:sz w:val="20"/>
                        <w:i/>
                        <w:iCs/>
                        <w:color w:val="0000FF" w:themeColor="hyperlink"/>
                        <w:u w:val="single"/>
                      </w:rPr>
                      <w:t>D1-381</w:t>
                    </w:r>
                  </w:fldSimple>
                  <w:r>
                    <w:rPr>
                      <w:rFonts w:ascii="Arial" w:eastAsia="MS Mincho" w:hAnsi="Arial"/>
                      <w:sz w:val="20"/>
                      <w:i/>
                      <w:iCs/>
                    </w:rPr>
                    <w:t>,
2023-11-27,
paskelbta TAR 2023-11-27, i. k. 2023-22748            </w:t>
                  </w:r>
                </w:p>
                <w:p/>
              </w:sdtContent>
            </w:sdt>
            <w:sdt>
              <w:sdtPr>
                <w:alias w:val="4 p."/>
                <w:tag w:val="part_695e5583de854ffb8b6da90cef477bdb"/>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695e5583de854ffb8b6da90cef477bdb"/>
                      <w:lock w:val="sdtLocked"/>
                      <w:richText/>
                    </w:sdtPr>
                    <w:sdtContent>
                      <w:r>
                        <w:rPr>
                          <w:szCs w:val="24"/>
                          <w:lang w:eastAsia="lt-LT"/>
                        </w:rPr>
                        <w:t>4</w:t>
                      </w:r>
                    </w:sdtContent>
                  </w:sdt>
                  <w:r>
                    <w:rPr>
                      <w:szCs w:val="24"/>
                      <w:lang w:eastAsia="lt-LT"/>
                    </w:rPr>
                    <w:t xml:space="preserve">. Taisyklės taikomos įrenginiuose vykdomai pramoninei (ūkinei) veiklai, sukeliančiai taršą ir nurodytai Taisyklių 1 priede. Taisyklės netaikomos atliekant mokslinius tyrimus </w:t>
                  </w:r>
                  <w:r>
                    <w:rPr>
                      <w:bCs/>
                      <w:lang w:eastAsia="lt-LT"/>
                    </w:rPr>
                    <w:t>ir eksperimentinę</w:t>
                  </w:r>
                  <w:r>
                    <w:rPr>
                      <w:szCs w:val="24"/>
                      <w:lang w:eastAsia="lt-LT"/>
                    </w:rPr>
                    <w:t xml:space="preserve"> plėtrą (toliau – MTEP) arba naujų produktų ir procesų bandymus, jei MTEP veikla ar </w:t>
                  </w:r>
                  <w:r>
                    <w:rPr>
                      <w:bCs/>
                      <w:lang w:eastAsia="lt-LT"/>
                    </w:rPr>
                    <w:t>naujų produktų ir procesų</w:t>
                  </w:r>
                  <w:r>
                    <w:rPr>
                      <w:szCs w:val="24"/>
                      <w:lang w:eastAsia="lt-LT"/>
                    </w:rPr>
                    <w:t xml:space="preserve"> bandymai atliekami ne ilgiau kaip 2 metus.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5 p."/>
                <w:tag w:val="part_93debc1b04a44cd6b8a73f3f27100a97"/>
                <w:lock w:val="sdtLocked"/>
                <w:richText/>
              </w:sdtPr>
              <w:sdtContent>
                <w:p>
                  <w:pPr>
                    <w:ind w:firstLine="567"/>
                    <w:jc w:val="both"/>
                    <w:rPr>
                      <w:color w:val="000000"/>
                      <w:szCs w:val="24"/>
                      <w:lang w:eastAsia="lt-LT"/>
                    </w:rPr>
                  </w:pPr>
                  <w:sdt>
                    <w:sdtPr>
                      <w:alias w:val="Numeris"/>
                      <w:tag w:val="nr_93debc1b04a44cd6b8a73f3f27100a97"/>
                      <w:lock w:val="sdtLocked"/>
                      <w:richText/>
                    </w:sdtPr>
                    <w:sdtContent>
                      <w:r>
                        <w:rPr>
                          <w:szCs w:val="24"/>
                          <w:lang w:eastAsia="lt-LT"/>
                        </w:rPr>
                        <w:t>5</w:t>
                      </w:r>
                    </w:sdtContent>
                  </w:sdt>
                  <w:r>
                    <w:rPr>
                      <w:szCs w:val="24"/>
                      <w:lang w:eastAsia="lt-LT"/>
                    </w:rPr>
                    <w:t>. Taisyklėmis privalo vadovautis veiklos vykdytojai, Aplinkos apsaugos agentūra (toliau – AAA), išduodanti, keičianti leidimus ir panaikinanti jų galiojimą, peržiūrinti leidimų sąlygas, Aplinkos apsaugos departamentas prie Aplinkos ministerijos (toliau – AAD), kontroliuojantis leidimų sąlygų laikymąsi, taip pat Nacionalinis visuomenės sveikatos centras prie Sveikatos apsaugos ministerijos (toliau – NVSC).</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ecf770f03111e5989ee743dd0efbb0">
                    <w:r w:rsidRPr="00532B9F">
                      <w:rPr>
                        <w:rFonts w:ascii="Arial" w:eastAsia="MS Mincho" w:hAnsi="Arial"/>
                        <w:sz w:val="20"/>
                        <w:i/>
                        <w:iCs/>
                        <w:color w:val="0000FF" w:themeColor="hyperlink"/>
                        <w:u w:val="single"/>
                      </w:rPr>
                      <w:t>D1-202</w:t>
                    </w:r>
                  </w:fldSimple>
                  <w:r>
                    <w:rPr>
                      <w:rFonts w:ascii="Arial" w:eastAsia="MS Mincho" w:hAnsi="Arial"/>
                      <w:sz w:val="20"/>
                      <w:i/>
                      <w:iCs/>
                    </w:rPr>
                    <w:t>,
2016-03-18,
paskelbta TAR 2016-03-22, i. k. 2016-05516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b7ec10747d11e8ae2bfd1913d66d57">
                    <w:r w:rsidRPr="00532B9F">
                      <w:rPr>
                        <w:rFonts w:ascii="Arial" w:eastAsia="MS Mincho" w:hAnsi="Arial"/>
                        <w:sz w:val="20"/>
                        <w:i/>
                        <w:iCs/>
                        <w:color w:val="0000FF" w:themeColor="hyperlink"/>
                        <w:u w:val="single"/>
                      </w:rPr>
                      <w:t>D1-537</w:t>
                    </w:r>
                  </w:fldSimple>
                  <w:r>
                    <w:rPr>
                      <w:rFonts w:ascii="Arial" w:eastAsia="MS Mincho" w:hAnsi="Arial"/>
                      <w:sz w:val="20"/>
                      <w:i/>
                      <w:iCs/>
                    </w:rPr>
                    <w:t>,
2018-06-19,
paskelbta TAR 2018-06-20, i. k. 2018-10131            </w:t>
                  </w:r>
                </w:p>
                <w:p/>
              </w:sdtContent>
            </w:sdt>
            <w:sdt>
              <w:sdtPr>
                <w:alias w:val="6 p."/>
                <w:tag w:val="part_367d42ad08e24eb1b47df09fbf527262"/>
                <w:lock w:val="sdtLocked"/>
                <w:richText/>
              </w:sdtPr>
              <w:sdtContent>
                <w:p>
                  <w:pPr>
                    <w:widowControl w:val="0"/>
                    <w:ind w:firstLine="567"/>
                    <w:jc w:val="both"/>
                    <w:rPr>
                      <w:color w:val="000000"/>
                      <w:szCs w:val="24"/>
                      <w:lang w:eastAsia="lt-LT"/>
                    </w:rPr>
                  </w:pPr>
                  <w:sdt>
                    <w:sdtPr>
                      <w:alias w:val="Numeris"/>
                      <w:tag w:val="nr_367d42ad08e24eb1b47df09fbf527262"/>
                      <w:lock w:val="sdtLocked"/>
                      <w:richText/>
                    </w:sdtPr>
                    <w:sdtContent>
                      <w:r>
                        <w:rPr>
                          <w:color w:val="000000"/>
                          <w:szCs w:val="24"/>
                          <w:lang w:eastAsia="lt-LT"/>
                        </w:rPr>
                        <w:t>6</w:t>
                      </w:r>
                    </w:sdtContent>
                  </w:sdt>
                  <w:r>
                    <w:rPr>
                      <w:color w:val="000000"/>
                      <w:szCs w:val="24"/>
                      <w:lang w:eastAsia="lt-LT"/>
                    </w:rPr>
                    <w:t>. TIPK direktyvoje numatytos specialiosios nuostatos dėl reikalavimų, susijusių su išmetamųjų teršalų ribinėmis vertėmis ir jų išmetimo bei poveikio aplinkai stebėsena, kuriomis, be Taisyklių, turi būti vadovaujamasi nustatant leidimo sąlygas kai kurių įrenginių eksploatavimui, nustatytos šiuose teisės aktuose:</w:t>
                  </w:r>
                </w:p>
                <w:sdt>
                  <w:sdtPr>
                    <w:alias w:val="6.1 p."/>
                    <w:tag w:val="part_d6510e49cbf54df5be14b1d8230ed6b3"/>
                    <w:lock w:val="sdtLocked"/>
                    <w:richText/>
                  </w:sdtPr>
                  <w:sdtContent>
                    <w:p>
                      <w:pPr>
                        <w:widowControl w:val="0"/>
                        <w:ind w:firstLine="567"/>
                        <w:jc w:val="both"/>
                        <w:rPr>
                          <w:color w:val="000000"/>
                          <w:szCs w:val="24"/>
                          <w:lang w:eastAsia="lt-LT"/>
                        </w:rPr>
                      </w:pPr>
                      <w:sdt>
                        <w:sdtPr>
                          <w:alias w:val="Numeris"/>
                          <w:tag w:val="nr_d6510e49cbf54df5be14b1d8230ed6b3"/>
                          <w:lock w:val="sdtLocked"/>
                          <w:richText/>
                        </w:sdtPr>
                        <w:sdtContent>
                          <w:r>
                            <w:rPr>
                              <w:color w:val="000000"/>
                              <w:szCs w:val="24"/>
                              <w:lang w:eastAsia="lt-LT"/>
                            </w:rPr>
                            <w:t>6.1</w:t>
                          </w:r>
                        </w:sdtContent>
                      </w:sdt>
                      <w:r>
                        <w:rPr>
                          <w:color w:val="000000"/>
                          <w:szCs w:val="24"/>
                          <w:lang w:eastAsia="lt-LT"/>
                        </w:rPr>
                        <w:t>. Išmetamų teršalų iš didelių kurą deginančių įrenginių normose, patvirtintose Lietuvos Respublikos aplinkos ministro 2001 m. rugsėjo 28 d. įsakymu Nr. 486 (Žin., 2001, Nr. </w:t>
                      </w:r>
                      <w:hyperlink r:id="rId12" w:tgtFrame="_blank" w:history="1">
                        <w:r>
                          <w:rPr>
                            <w:color w:val="0000FF" w:themeColor="hyperlink"/>
                            <w:szCs w:val="24"/>
                            <w:u w:val="single"/>
                            <w:lang w:eastAsia="lt-LT"/>
                          </w:rPr>
                          <w:t>88-3100</w:t>
                        </w:r>
                      </w:hyperlink>
                      <w:r>
                        <w:rPr>
                          <w:color w:val="000000"/>
                          <w:szCs w:val="24"/>
                          <w:lang w:eastAsia="lt-LT"/>
                        </w:rPr>
                        <w:t>; 2013, Nr. </w:t>
                      </w:r>
                      <w:hyperlink r:id="rId13" w:tgtFrame="_blank" w:history="1">
                        <w:r>
                          <w:rPr>
                            <w:color w:val="0000FF" w:themeColor="hyperlink"/>
                            <w:szCs w:val="24"/>
                            <w:u w:val="single"/>
                            <w:lang w:eastAsia="lt-LT"/>
                          </w:rPr>
                          <w:t>38-1871</w:t>
                        </w:r>
                      </w:hyperlink>
                      <w:r>
                        <w:rPr>
                          <w:color w:val="000000"/>
                          <w:szCs w:val="24"/>
                          <w:lang w:eastAsia="lt-LT"/>
                        </w:rPr>
                        <w:t>) (toliau – DKDĮ normos);</w:t>
                      </w:r>
                    </w:p>
                  </w:sdtContent>
                </w:sdt>
                <w:sdt>
                  <w:sdtPr>
                    <w:alias w:val="6.2 p."/>
                    <w:tag w:val="part_62cf82926b09464b8748e21076d0a6c8"/>
                    <w:lock w:val="sdtLocked"/>
                    <w:richText/>
                  </w:sdtPr>
                  <w:sdtContent>
                    <w:p>
                      <w:pPr>
                        <w:widowControl w:val="0"/>
                        <w:ind w:firstLine="567"/>
                        <w:jc w:val="both"/>
                        <w:rPr>
                          <w:color w:val="000000"/>
                          <w:szCs w:val="24"/>
                          <w:lang w:eastAsia="lt-LT"/>
                        </w:rPr>
                      </w:pPr>
                      <w:sdt>
                        <w:sdtPr>
                          <w:alias w:val="Numeris"/>
                          <w:tag w:val="nr_62cf82926b09464b8748e21076d0a6c8"/>
                          <w:lock w:val="sdtLocked"/>
                          <w:richText/>
                        </w:sdtPr>
                        <w:sdtContent>
                          <w:r>
                            <w:rPr>
                              <w:color w:val="000000"/>
                              <w:szCs w:val="24"/>
                              <w:lang w:eastAsia="lt-LT"/>
                            </w:rPr>
                            <w:t>6.2</w:t>
                          </w:r>
                        </w:sdtContent>
                      </w:sdt>
                      <w:r>
                        <w:rPr>
                          <w:color w:val="000000"/>
                          <w:szCs w:val="24"/>
                          <w:lang w:eastAsia="lt-LT"/>
                        </w:rPr>
                        <w:t>. Lakiųjų organinių junginių, susidarančių naudojant tirpiklius tam tikrų veiklos rūšių įrenginiuose, emisijos ribojimo tvarkoje, patvirtintoje Lietuvos Respublikos aplinkos ministro 2002 m. gruodžio 5 d. įsakymu Nr. 620 (Žin., 2003, Nr. </w:t>
                      </w:r>
                      <w:hyperlink r:id="rId14" w:tgtFrame="_blank" w:history="1">
                        <w:r>
                          <w:rPr>
                            <w:color w:val="0000FF" w:themeColor="hyperlink"/>
                            <w:szCs w:val="24"/>
                            <w:u w:val="single"/>
                            <w:lang w:eastAsia="lt-LT"/>
                          </w:rPr>
                          <w:t>15-634</w:t>
                        </w:r>
                      </w:hyperlink>
                      <w:r>
                        <w:rPr>
                          <w:color w:val="000000"/>
                          <w:szCs w:val="24"/>
                          <w:lang w:eastAsia="lt-LT"/>
                        </w:rPr>
                        <w:t>) (toliau – Tirpiklių tvarka);</w:t>
                      </w:r>
                    </w:p>
                  </w:sdtContent>
                </w:sdt>
                <w:sdt>
                  <w:sdtPr>
                    <w:alias w:val="6.3 p."/>
                    <w:tag w:val="part_dcd1a98d59f24e9ea6adbc22530da2bd"/>
                    <w:lock w:val="sdtLocked"/>
                    <w:richText/>
                  </w:sdtPr>
                  <w:sdtContent>
                    <w:p>
                      <w:pPr>
                        <w:widowControl w:val="0"/>
                        <w:ind w:firstLine="567"/>
                        <w:jc w:val="both"/>
                        <w:rPr>
                          <w:color w:val="000000"/>
                          <w:szCs w:val="24"/>
                          <w:lang w:eastAsia="lt-LT"/>
                        </w:rPr>
                      </w:pPr>
                      <w:sdt>
                        <w:sdtPr>
                          <w:alias w:val="Numeris"/>
                          <w:tag w:val="nr_dcd1a98d59f24e9ea6adbc22530da2bd"/>
                          <w:lock w:val="sdtLocked"/>
                          <w:richText/>
                        </w:sdtPr>
                        <w:sdtContent>
                          <w:r>
                            <w:rPr>
                              <w:color w:val="000000"/>
                              <w:szCs w:val="24"/>
                              <w:lang w:eastAsia="lt-LT"/>
                            </w:rPr>
                            <w:t>6.3</w:t>
                          </w:r>
                        </w:sdtContent>
                      </w:sdt>
                      <w:r>
                        <w:rPr>
                          <w:color w:val="000000"/>
                          <w:szCs w:val="24"/>
                          <w:lang w:eastAsia="lt-LT"/>
                        </w:rPr>
                        <w:t>. Atliekų deginimo aplinkosauginiuose reikalavimuose, patvirtintuose Lietuvos Respublikos aplinkos ministro 2002 m. gruodžio 31 d. įsakymu Nr. 699 (Žin., 2003, Nr. </w:t>
                      </w:r>
                      <w:hyperlink r:id="rId15" w:tgtFrame="_blank" w:history="1">
                        <w:r>
                          <w:rPr>
                            <w:color w:val="0000FF" w:themeColor="hyperlink"/>
                            <w:szCs w:val="24"/>
                            <w:u w:val="single"/>
                            <w:lang w:eastAsia="lt-LT"/>
                          </w:rPr>
                          <w:t>31-1290</w:t>
                        </w:r>
                      </w:hyperlink>
                      <w:r>
                        <w:rPr>
                          <w:color w:val="000000"/>
                          <w:szCs w:val="24"/>
                          <w:lang w:eastAsia="lt-LT"/>
                        </w:rPr>
                        <w:t>);</w:t>
                      </w:r>
                    </w:p>
                  </w:sdtContent>
                </w:sdt>
                <w:sdt>
                  <w:sdtPr>
                    <w:alias w:val="6.4 p."/>
                    <w:tag w:val="part_f6b862df31564b74a78bf85605232039"/>
                    <w:lock w:val="sdtLocked"/>
                    <w:richText/>
                  </w:sdtPr>
                  <w:sdtContent>
                    <w:p>
                      <w:pPr>
                        <w:widowControl w:val="0"/>
                        <w:ind w:firstLine="567"/>
                        <w:jc w:val="both"/>
                        <w:rPr>
                          <w:color w:val="000000"/>
                          <w:szCs w:val="24"/>
                          <w:lang w:eastAsia="lt-LT"/>
                        </w:rPr>
                      </w:pPr>
                      <w:sdt>
                        <w:sdtPr>
                          <w:alias w:val="Numeris"/>
                          <w:tag w:val="nr_f6b862df31564b74a78bf85605232039"/>
                          <w:lock w:val="sdtLocked"/>
                          <w:richText/>
                        </w:sdtPr>
                        <w:sdtContent>
                          <w:r>
                            <w:rPr>
                              <w:color w:val="000000"/>
                              <w:szCs w:val="24"/>
                              <w:lang w:eastAsia="lt-LT"/>
                            </w:rPr>
                            <w:t>6.4</w:t>
                          </w:r>
                        </w:sdtContent>
                      </w:sdt>
                      <w:r>
                        <w:rPr>
                          <w:color w:val="000000"/>
                          <w:szCs w:val="24"/>
                          <w:lang w:eastAsia="lt-LT"/>
                        </w:rPr>
                        <w:t>. Specialiuosiuose reikalavimuose titano dioksido gamybos įrenginiams, patvirtintuose Lietuvos Respublikos aplinkos ministro 2003 m. gruodžio 19 d. įsakymu Nr. 663 (Žin., 2004, Nr. </w:t>
                      </w:r>
                      <w:hyperlink r:id="rId16" w:tgtFrame="_blank" w:history="1">
                        <w:r>
                          <w:rPr>
                            <w:color w:val="0000FF" w:themeColor="hyperlink"/>
                            <w:szCs w:val="24"/>
                            <w:u w:val="single"/>
                            <w:lang w:eastAsia="lt-LT"/>
                          </w:rPr>
                          <w:t>12-352</w:t>
                        </w:r>
                      </w:hyperlink>
                      <w:r>
                        <w:rPr>
                          <w:color w:val="000000"/>
                          <w:szCs w:val="24"/>
                          <w:lang w:eastAsia="lt-LT"/>
                        </w:rPr>
                        <w:t>; 2013, Nr. 4-129);</w:t>
                      </w:r>
                    </w:p>
                  </w:sdtContent>
                </w:sdt>
                <w:sdt>
                  <w:sdtPr>
                    <w:alias w:val="6.5 p."/>
                    <w:tag w:val="part_b714b289fa8c43eaa56d12408334f922"/>
                    <w:lock w:val="sdtLocked"/>
                    <w:richText/>
                  </w:sdtPr>
                  <w:sdtContent>
                    <w:p>
                      <w:pPr>
                        <w:widowControl w:val="0"/>
                        <w:ind w:firstLine="567"/>
                        <w:jc w:val="both"/>
                        <w:rPr>
                          <w:color w:val="000000"/>
                          <w:szCs w:val="24"/>
                          <w:lang w:eastAsia="lt-LT"/>
                        </w:rPr>
                      </w:pPr>
                      <w:sdt>
                        <w:sdtPr>
                          <w:alias w:val="Numeris"/>
                          <w:tag w:val="nr_b714b289fa8c43eaa56d12408334f922"/>
                          <w:lock w:val="sdtLocked"/>
                          <w:richText/>
                        </w:sdtPr>
                        <w:sdtContent>
                          <w:r>
                            <w:rPr>
                              <w:color w:val="000000"/>
                              <w:szCs w:val="24"/>
                              <w:lang w:eastAsia="lt-LT"/>
                            </w:rPr>
                            <w:t>6.5</w:t>
                          </w:r>
                        </w:sdtContent>
                      </w:sdt>
                      <w:r>
                        <w:rPr>
                          <w:color w:val="000000"/>
                          <w:szCs w:val="24"/>
                          <w:lang w:eastAsia="lt-LT"/>
                        </w:rPr>
                        <w:t>. Specialiuosiuose reikalavimuose dideliems kurą deginantiems įrenginiams, patvirtintuose Lietuvos Respublikos aplinkos ministro 2001 m. rugsėjo 28 d. įsakymu Nr. 486 (toliau – Specialieji reikalavimai DKDĮ).</w:t>
                      </w:r>
                    </w:p>
                    <w:p>
                      <w:pPr>
                        <w:widowControl w:val="0"/>
                        <w:ind w:firstLine="567"/>
                        <w:jc w:val="both"/>
                        <w:rPr>
                          <w:color w:val="000000"/>
                          <w:szCs w:val="24"/>
                          <w:lang w:eastAsia="lt-LT"/>
                        </w:rPr>
                      </w:pPr>
                    </w:p>
                  </w:sdtContent>
                </w:sdt>
              </w:sdtContent>
            </w:sdt>
          </w:sdtContent>
        </w:sdt>
        <w:sdt>
          <w:sdtPr>
            <w:alias w:val="skyrius"/>
            <w:tag w:val="part_9bcbf66817c54572b444536d9a450efd"/>
            <w:lock w:val="sdtLocked"/>
            <w:richText/>
          </w:sdtPr>
          <w:sdtContent>
            <w:p>
              <w:pPr>
                <w:widowControl w:val="0"/>
                <w:jc w:val="center"/>
                <w:rPr>
                  <w:b/>
                  <w:bCs/>
                  <w:caps/>
                  <w:color w:val="000000"/>
                  <w:szCs w:val="24"/>
                  <w:lang w:eastAsia="lt-LT"/>
                </w:rPr>
              </w:pPr>
              <w:sdt>
                <w:sdtPr>
                  <w:alias w:val="Numeris"/>
                  <w:tag w:val="nr_9bcbf66817c54572b444536d9a450efd"/>
                  <w:lock w:val="sdtLocked"/>
                  <w:richText/>
                </w:sdtPr>
                <w:sdtContent>
                  <w:r>
                    <w:rPr>
                      <w:b/>
                      <w:bCs/>
                      <w:caps/>
                      <w:color w:val="000000"/>
                      <w:szCs w:val="24"/>
                      <w:lang w:eastAsia="lt-LT"/>
                    </w:rPr>
                    <w:t>II</w:t>
                  </w:r>
                </w:sdtContent>
              </w:sdt>
              <w:r>
                <w:rPr>
                  <w:b/>
                  <w:bCs/>
                  <w:caps/>
                  <w:color w:val="000000"/>
                  <w:szCs w:val="24"/>
                  <w:lang w:eastAsia="lt-LT"/>
                </w:rPr>
                <w:t xml:space="preserve">. </w:t>
              </w:r>
              <w:sdt>
                <w:sdtPr>
                  <w:alias w:val="Pavadinimas"/>
                  <w:tag w:val="title_9bcbf66817c54572b444536d9a450efd"/>
                  <w:lock w:val="sdtLocked"/>
                  <w:richText/>
                </w:sdtPr>
                <w:sdtContent>
                  <w:r>
                    <w:rPr>
                      <w:b/>
                      <w:bCs/>
                      <w:caps/>
                      <w:color w:val="000000"/>
                      <w:szCs w:val="24"/>
                      <w:lang w:eastAsia="lt-LT"/>
                    </w:rPr>
                    <w:t>SĄVOKOS</w:t>
                  </w:r>
                </w:sdtContent>
              </w:sdt>
            </w:p>
            <w:p>
              <w:pPr>
                <w:widowControl w:val="0"/>
                <w:ind w:firstLine="567"/>
                <w:jc w:val="both"/>
                <w:rPr>
                  <w:color w:val="000000"/>
                  <w:szCs w:val="24"/>
                  <w:lang w:eastAsia="lt-LT"/>
                </w:rPr>
              </w:pPr>
            </w:p>
            <w:sdt>
              <w:sdtPr>
                <w:alias w:val="7 p."/>
                <w:tag w:val="part_425aca561eec4c1a937fdc719f794d14"/>
                <w:lock w:val="sdtLocked"/>
                <w:richText/>
              </w:sdtPr>
              <w:sdtContent>
                <w:p>
                  <w:pPr>
                    <w:widowControl w:val="0"/>
                    <w:ind w:firstLine="567"/>
                    <w:jc w:val="both"/>
                    <w:rPr>
                      <w:color w:val="000000"/>
                      <w:szCs w:val="24"/>
                      <w:lang w:eastAsia="lt-LT"/>
                    </w:rPr>
                  </w:pPr>
                  <w:sdt>
                    <w:sdtPr>
                      <w:alias w:val="Numeris"/>
                      <w:tag w:val="nr_425aca561eec4c1a937fdc719f794d14"/>
                      <w:lock w:val="sdtLocked"/>
                      <w:richText/>
                    </w:sdtPr>
                    <w:sdtContent>
                      <w:r>
                        <w:rPr>
                          <w:color w:val="000000"/>
                          <w:szCs w:val="24"/>
                          <w:lang w:eastAsia="lt-LT"/>
                        </w:rPr>
                        <w:t>7</w:t>
                      </w:r>
                    </w:sdtContent>
                  </w:sdt>
                  <w:r>
                    <w:rPr>
                      <w:color w:val="000000"/>
                      <w:szCs w:val="24"/>
                      <w:lang w:eastAsia="lt-LT"/>
                    </w:rPr>
                    <w:t>. Taisyklėse vartojamos sąvokos:</w:t>
                  </w:r>
                </w:p>
                <w:sdt>
                  <w:sdtPr>
                    <w:alias w:val="7.1 p."/>
                    <w:tag w:val="part_7bc62472b49946dba83d209c6fedbeb6"/>
                    <w:lock w:val="sdtLocked"/>
                    <w:richText/>
                  </w:sdtPr>
                  <w:sdtContent>
                    <w:p>
                      <w:pPr>
                        <w:widowControl w:val="0"/>
                        <w:ind w:firstLine="567"/>
                        <w:jc w:val="both"/>
                        <w:rPr>
                          <w:color w:val="000000"/>
                          <w:szCs w:val="24"/>
                          <w:lang w:eastAsia="lt-LT"/>
                        </w:rPr>
                      </w:pPr>
                      <w:sdt>
                        <w:sdtPr>
                          <w:alias w:val="Numeris"/>
                          <w:tag w:val="nr_7bc62472b49946dba83d209c6fedbeb6"/>
                          <w:lock w:val="sdtLocked"/>
                          <w:richText/>
                        </w:sdtPr>
                        <w:sdtContent>
                          <w:r>
                            <w:rPr>
                              <w:color w:val="000000"/>
                              <w:szCs w:val="24"/>
                              <w:lang w:eastAsia="lt-LT"/>
                            </w:rPr>
                            <w:t>7.1</w:t>
                          </w:r>
                        </w:sdtContent>
                      </w:sdt>
                      <w:r>
                        <w:rPr>
                          <w:color w:val="000000"/>
                          <w:szCs w:val="24"/>
                          <w:lang w:eastAsia="lt-LT"/>
                        </w:rPr>
                        <w:t xml:space="preserve">. </w:t>
                      </w:r>
                      <w:r>
                        <w:rPr>
                          <w:b/>
                          <w:bCs/>
                          <w:color w:val="000000"/>
                          <w:szCs w:val="24"/>
                          <w:lang w:eastAsia="lt-LT"/>
                        </w:rPr>
                        <w:t>medžiaga</w:t>
                      </w:r>
                      <w:r>
                        <w:rPr>
                          <w:color w:val="000000"/>
                          <w:szCs w:val="24"/>
                          <w:lang w:eastAsia="lt-LT"/>
                        </w:rPr>
                        <w:t> – bet koks cheminis elementas ir jo junginiai ar mišiniai, išskyrus šias medžiagas:</w:t>
                      </w:r>
                    </w:p>
                    <w:sdt>
                      <w:sdtPr>
                        <w:alias w:val="7.1 p. a pp."/>
                        <w:tag w:val="part_5890b02c22a84da38cf3acb91d46079f"/>
                        <w:lock w:val="sdtLocked"/>
                        <w:richText/>
                      </w:sdtPr>
                      <w:sdtContent>
                        <w:p>
                          <w:pPr>
                            <w:widowControl w:val="0"/>
                            <w:ind w:firstLine="567"/>
                            <w:jc w:val="both"/>
                            <w:rPr>
                              <w:color w:val="000000"/>
                              <w:szCs w:val="24"/>
                              <w:lang w:eastAsia="lt-LT"/>
                            </w:rPr>
                          </w:pPr>
                          <w:r>
                            <w:rPr>
                              <w:color w:val="000000"/>
                              <w:szCs w:val="24"/>
                              <w:lang w:eastAsia="lt-LT"/>
                            </w:rPr>
                            <w:t>a) radioaktyviąsias medžiagas, apibrėžtas Lietuvos higienos normoje HN 73:2001 „Pagrindinės radiacinės saugos normos“, patvirtintoje Lietuvos Respublikos sveikatos apsaugos ministro 2001 m. gruodžio 21 d. įsakymu Nr. 663 (Žin., 2002, Nr. </w:t>
                          </w:r>
                          <w:hyperlink r:id="rId17" w:tgtFrame="_blank" w:history="1">
                            <w:r>
                              <w:rPr>
                                <w:color w:val="0000FF" w:themeColor="hyperlink"/>
                                <w:szCs w:val="24"/>
                                <w:u w:val="single"/>
                                <w:lang w:eastAsia="lt-LT"/>
                              </w:rPr>
                              <w:t>11-388</w:t>
                            </w:r>
                          </w:hyperlink>
                          <w:r>
                            <w:rPr>
                              <w:color w:val="000000"/>
                              <w:szCs w:val="24"/>
                              <w:lang w:eastAsia="lt-LT"/>
                            </w:rPr>
                            <w:t>);</w:t>
                          </w:r>
                        </w:p>
                      </w:sdtContent>
                    </w:sdt>
                    <w:sdt>
                      <w:sdtPr>
                        <w:alias w:val="7.1 p. b pp."/>
                        <w:tag w:val="part_cf0305b00c464bbd8e00c32481809b82"/>
                        <w:lock w:val="sdtLocked"/>
                        <w:richText/>
                      </w:sdtPr>
                      <w:sdtContent>
                        <w:p>
                          <w:pPr>
                            <w:widowControl w:val="0"/>
                            <w:ind w:firstLine="567"/>
                            <w:jc w:val="both"/>
                            <w:rPr>
                              <w:color w:val="000000"/>
                              <w:szCs w:val="24"/>
                              <w:lang w:eastAsia="lt-LT"/>
                            </w:rPr>
                          </w:pPr>
                          <w:r>
                            <w:rPr>
                              <w:color w:val="000000"/>
                              <w:szCs w:val="24"/>
                              <w:lang w:eastAsia="lt-LT"/>
                            </w:rPr>
                            <w:t>b) genetiškai modifikuotus mikroorganizmus, apibrėžtus Lietuvos Respublikos genetiškai modifikuotų organizmų įstatyme (Žin., 2001, Nr. </w:t>
                          </w:r>
                          <w:hyperlink r:id="rId18" w:tgtFrame="_blank" w:history="1">
                            <w:r>
                              <w:rPr>
                                <w:color w:val="0000FF" w:themeColor="hyperlink"/>
                                <w:szCs w:val="24"/>
                                <w:u w:val="single"/>
                                <w:lang w:eastAsia="lt-LT"/>
                              </w:rPr>
                              <w:t>56-1976</w:t>
                            </w:r>
                          </w:hyperlink>
                          <w:r>
                            <w:rPr>
                              <w:color w:val="000000"/>
                              <w:szCs w:val="24"/>
                              <w:lang w:eastAsia="lt-LT"/>
                            </w:rPr>
                            <w:t>; 2006, Nr. </w:t>
                          </w:r>
                          <w:hyperlink r:id="rId19" w:tgtFrame="_blank" w:history="1">
                            <w:r>
                              <w:rPr>
                                <w:color w:val="0000FF" w:themeColor="hyperlink"/>
                                <w:szCs w:val="24"/>
                                <w:u w:val="single"/>
                                <w:lang w:eastAsia="lt-LT"/>
                              </w:rPr>
                              <w:t>77-2967</w:t>
                            </w:r>
                          </w:hyperlink>
                          <w:r>
                            <w:rPr>
                              <w:color w:val="000000"/>
                              <w:szCs w:val="24"/>
                              <w:lang w:eastAsia="lt-LT"/>
                            </w:rPr>
                            <w:t>);</w:t>
                          </w:r>
                        </w:p>
                      </w:sdtContent>
                    </w:sdt>
                    <w:sdt>
                      <w:sdtPr>
                        <w:alias w:val="7.1 p. c pp."/>
                        <w:tag w:val="part_3f130b738f2345b79b59c8f9252f0805"/>
                        <w:lock w:val="sdtLocked"/>
                        <w:richText/>
                      </w:sdtPr>
                      <w:sdtContent>
                        <w:p>
                          <w:pPr>
                            <w:widowControl w:val="0"/>
                            <w:ind w:firstLine="567"/>
                            <w:jc w:val="both"/>
                            <w:rPr>
                              <w:color w:val="000000"/>
                              <w:szCs w:val="24"/>
                              <w:lang w:eastAsia="lt-LT"/>
                            </w:rPr>
                          </w:pPr>
                          <w:r>
                            <w:rPr>
                              <w:color w:val="000000"/>
                              <w:szCs w:val="24"/>
                              <w:lang w:eastAsia="lt-LT"/>
                            </w:rPr>
                            <w:t>c) genetiškai modifikuotus organizmus, apibrėžtus Lietuvos Respublikos genetiškai modifikuotų organizmų įstatyme;</w:t>
                          </w:r>
                        </w:p>
                      </w:sdtContent>
                    </w:sdt>
                  </w:sdtContent>
                </w:sdt>
                <w:sdt>
                  <w:sdtPr>
                    <w:alias w:val="7.2 p."/>
                    <w:tag w:val="part_ba246e97b4904362839a130f09ba8c31"/>
                    <w:lock w:val="sdtLocked"/>
                    <w:richText/>
                  </w:sdtPr>
                  <w:sdtContent>
                    <w:p>
                      <w:pPr>
                        <w:widowControl w:val="0"/>
                        <w:ind w:firstLine="567"/>
                        <w:jc w:val="both"/>
                        <w:rPr>
                          <w:color w:val="000000"/>
                          <w:szCs w:val="24"/>
                          <w:lang w:eastAsia="lt-LT"/>
                        </w:rPr>
                      </w:pPr>
                      <w:sdt>
                        <w:sdtPr>
                          <w:alias w:val="Numeris"/>
                          <w:tag w:val="nr_ba246e97b4904362839a130f09ba8c31"/>
                          <w:lock w:val="sdtLocked"/>
                          <w:richText/>
                        </w:sdtPr>
                        <w:sdtContent>
                          <w:r>
                            <w:rPr>
                              <w:color w:val="000000"/>
                              <w:szCs w:val="24"/>
                              <w:lang w:eastAsia="lt-LT"/>
                            </w:rPr>
                            <w:t>7.2</w:t>
                          </w:r>
                        </w:sdtContent>
                      </w:sdt>
                      <w:r>
                        <w:rPr>
                          <w:color w:val="000000"/>
                          <w:szCs w:val="24"/>
                          <w:lang w:eastAsia="lt-LT"/>
                        </w:rPr>
                        <w:t xml:space="preserve">. </w:t>
                      </w:r>
                      <w:r>
                        <w:rPr>
                          <w:b/>
                          <w:bCs/>
                          <w:color w:val="000000"/>
                          <w:szCs w:val="24"/>
                          <w:lang w:eastAsia="lt-LT"/>
                        </w:rPr>
                        <w:t>tarša</w:t>
                      </w:r>
                      <w:r>
                        <w:rPr>
                          <w:color w:val="000000"/>
                          <w:szCs w:val="24"/>
                          <w:lang w:eastAsia="lt-LT"/>
                        </w:rPr>
                        <w:t> – žmonių veiklos sukeltas tiesioginis arba netiesioginis medžiagų, virpesių, šilumos arba triukšmo pasklidimas ore, vandenyje ar žemėje, galintis pakenkti žmonių sveikatai arba aplinkos kokybei, darantis žalą materialiajam turtui, žalojantis gamtą ir (arba) apribojantis galimybes teisėtai ja naudotis;</w:t>
                      </w:r>
                    </w:p>
                  </w:sdtContent>
                </w:sdt>
                <w:sdt>
                  <w:sdtPr>
                    <w:alias w:val="7.3 p."/>
                    <w:tag w:val="part_1e2b7e400c95457d8b7528d5d4d676f1"/>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1e2b7e400c95457d8b7528d5d4d676f1"/>
                          <w:lock w:val="sdtLocked"/>
                          <w:richText/>
                        </w:sdtPr>
                        <w:sdtContent>
                          <w:r>
                            <w:rPr>
                              <w:szCs w:val="24"/>
                              <w:lang w:eastAsia="lt-LT"/>
                            </w:rPr>
                            <w:t>7.3</w:t>
                          </w:r>
                        </w:sdtContent>
                      </w:sdt>
                      <w:r>
                        <w:rPr>
                          <w:szCs w:val="24"/>
                          <w:lang w:eastAsia="lt-LT"/>
                        </w:rPr>
                        <w:t xml:space="preserve">. </w:t>
                      </w:r>
                      <w:r>
                        <w:rPr>
                          <w:b/>
                          <w:bCs/>
                          <w:szCs w:val="24"/>
                          <w:lang w:eastAsia="lt-LT"/>
                        </w:rPr>
                        <w:t>įrenginys</w:t>
                      </w:r>
                      <w:r>
                        <w:rPr>
                          <w:szCs w:val="24"/>
                          <w:lang w:eastAsia="lt-LT"/>
                        </w:rPr>
                        <w:t xml:space="preserve"> – stacionarus technikos objektas, kuriame vykdoma vienos ar kelių Taisyklių 1 priede išvardytų rūšių veikla ir kita toje pačioje vietoje vykdoma tiesiogiai techniškai su minėtame priede nurodyta veikla susijusi veikla, kuri gali sukelti teršalų išmetimą ir taršą;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58dcda07c7011e4abe983995522ea30">
                        <w:r w:rsidRPr="00532B9F">
                          <w:rPr>
                            <w:rFonts w:ascii="Arial" w:eastAsia="MS Mincho" w:hAnsi="Arial"/>
                            <w:sz w:val="20"/>
                            <w:i/>
                            <w:iCs/>
                            <w:color w:val="0000FF" w:themeColor="hyperlink"/>
                            <w:u w:val="single"/>
                          </w:rPr>
                          <w:t>D1-983</w:t>
                        </w:r>
                      </w:fldSimple>
                      <w:r>
                        <w:rPr>
                          <w:rFonts w:ascii="Arial" w:eastAsia="MS Mincho" w:hAnsi="Arial"/>
                          <w:sz w:val="20"/>
                          <w:i/>
                          <w:iCs/>
                        </w:rPr>
                        <w:t>,
2014-12-04,
paskelbta TAR 2014-12-05, i. k. 2014-19056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7.4 p."/>
                    <w:tag w:val="part_6468a439f1ef4537a8d2da42a434b71e"/>
                    <w:lock w:val="sdtLocked"/>
                    <w:richText/>
                  </w:sdtPr>
                  <w:sdtContent>
                    <w:p>
                      <w:pPr>
                        <w:widowControl w:val="0"/>
                        <w:ind w:firstLine="567"/>
                        <w:jc w:val="both"/>
                        <w:rPr>
                          <w:color w:val="000000"/>
                          <w:szCs w:val="24"/>
                          <w:lang w:eastAsia="lt-LT"/>
                        </w:rPr>
                      </w:pPr>
                      <w:sdt>
                        <w:sdtPr>
                          <w:alias w:val="Numeris"/>
                          <w:tag w:val="nr_6468a439f1ef4537a8d2da42a434b71e"/>
                          <w:lock w:val="sdtLocked"/>
                          <w:richText/>
                        </w:sdtPr>
                        <w:sdtContent>
                          <w:r>
                            <w:rPr>
                              <w:color w:val="000000"/>
                              <w:szCs w:val="24"/>
                              <w:lang w:eastAsia="lt-LT"/>
                            </w:rPr>
                            <w:t>7.4</w:t>
                          </w:r>
                        </w:sdtContent>
                      </w:sdt>
                      <w:r>
                        <w:rPr>
                          <w:color w:val="000000"/>
                          <w:szCs w:val="24"/>
                          <w:lang w:eastAsia="lt-LT"/>
                        </w:rPr>
                        <w:t xml:space="preserve">. </w:t>
                      </w:r>
                      <w:r>
                        <w:rPr>
                          <w:b/>
                          <w:bCs/>
                          <w:color w:val="000000"/>
                          <w:szCs w:val="24"/>
                          <w:lang w:eastAsia="lt-LT"/>
                        </w:rPr>
                        <w:t>teršalų išmetimas</w:t>
                      </w:r>
                      <w:r>
                        <w:rPr>
                          <w:color w:val="000000"/>
                          <w:szCs w:val="24"/>
                          <w:lang w:eastAsia="lt-LT"/>
                        </w:rPr>
                        <w:t> – medžiagų, virpesių, šilumos arba triukšmo tiesioginis arba netiesioginis išmetimas iš organizuotų arba pasklidųjų taršos šaltinių į orą, vandenį arba žemę;</w:t>
                      </w:r>
                    </w:p>
                  </w:sdtContent>
                </w:sdt>
                <w:sdt>
                  <w:sdtPr>
                    <w:alias w:val="7.5 p."/>
                    <w:tag w:val="part_264a517cbc7d468eadff13e344c83546"/>
                    <w:lock w:val="sdtLocked"/>
                    <w:richText/>
                  </w:sdtPr>
                  <w:sdtContent>
                    <w:p>
                      <w:pPr>
                        <w:widowControl w:val="0"/>
                        <w:ind w:firstLine="567"/>
                        <w:jc w:val="both"/>
                        <w:rPr>
                          <w:color w:val="000000"/>
                          <w:szCs w:val="24"/>
                          <w:lang w:eastAsia="lt-LT"/>
                        </w:rPr>
                      </w:pPr>
                      <w:sdt>
                        <w:sdtPr>
                          <w:alias w:val="Numeris"/>
                          <w:tag w:val="nr_264a517cbc7d468eadff13e344c83546"/>
                          <w:lock w:val="sdtLocked"/>
                          <w:richText/>
                        </w:sdtPr>
                        <w:sdtContent>
                          <w:r>
                            <w:rPr>
                              <w:color w:val="000000"/>
                              <w:szCs w:val="24"/>
                              <w:lang w:eastAsia="lt-LT"/>
                            </w:rPr>
                            <w:t>7.5</w:t>
                          </w:r>
                        </w:sdtContent>
                      </w:sdt>
                      <w:r>
                        <w:rPr>
                          <w:color w:val="000000"/>
                          <w:szCs w:val="24"/>
                          <w:lang w:eastAsia="lt-LT"/>
                        </w:rPr>
                        <w:t xml:space="preserve">. </w:t>
                      </w:r>
                      <w:r>
                        <w:rPr>
                          <w:b/>
                          <w:bCs/>
                          <w:color w:val="000000"/>
                          <w:szCs w:val="24"/>
                          <w:lang w:eastAsia="lt-LT"/>
                        </w:rPr>
                        <w:t>išmetamųjų teršalų ribinė vertė</w:t>
                      </w:r>
                      <w:r>
                        <w:rPr>
                          <w:color w:val="000000"/>
                          <w:szCs w:val="24"/>
                          <w:lang w:eastAsia="lt-LT"/>
                        </w:rPr>
                        <w:t> – išmetamų teršalų kiekis, išreikštas tam tikrais parametrais, koncentracija ir (ar) lygiu, kurio negalima viršyti per vieną arba kelis laikotarpius;</w:t>
                      </w:r>
                    </w:p>
                  </w:sdtContent>
                </w:sdt>
                <w:sdt>
                  <w:sdtPr>
                    <w:alias w:val="7.6 p."/>
                    <w:tag w:val="part_b9e980ff85ea4f00a830a3cdd79911ce"/>
                    <w:lock w:val="sdtLocked"/>
                    <w:richText/>
                  </w:sdtPr>
                  <w:sdtContent>
                    <w:p>
                      <w:pPr>
                        <w:widowControl w:val="0"/>
                        <w:ind w:firstLine="567"/>
                        <w:jc w:val="both"/>
                        <w:rPr>
                          <w:color w:val="000000"/>
                          <w:szCs w:val="24"/>
                          <w:lang w:eastAsia="lt-LT"/>
                        </w:rPr>
                      </w:pPr>
                      <w:sdt>
                        <w:sdtPr>
                          <w:alias w:val="Numeris"/>
                          <w:tag w:val="nr_b9e980ff85ea4f00a830a3cdd79911ce"/>
                          <w:lock w:val="sdtLocked"/>
                          <w:richText/>
                        </w:sdtPr>
                        <w:sdtContent>
                          <w:r>
                            <w:rPr>
                              <w:color w:val="000000"/>
                              <w:szCs w:val="24"/>
                              <w:lang w:eastAsia="lt-LT"/>
                            </w:rPr>
                            <w:t>7.6</w:t>
                          </w:r>
                        </w:sdtContent>
                      </w:sdt>
                      <w:r>
                        <w:rPr>
                          <w:color w:val="000000"/>
                          <w:szCs w:val="24"/>
                          <w:lang w:eastAsia="lt-LT"/>
                        </w:rPr>
                        <w:t xml:space="preserve">. </w:t>
                      </w:r>
                      <w:r>
                        <w:rPr>
                          <w:b/>
                          <w:bCs/>
                          <w:color w:val="000000"/>
                          <w:szCs w:val="24"/>
                          <w:lang w:eastAsia="lt-LT"/>
                        </w:rPr>
                        <w:t>esminis pakeitimas</w:t>
                      </w:r>
                      <w:r>
                        <w:rPr>
                          <w:color w:val="000000"/>
                          <w:szCs w:val="24"/>
                          <w:lang w:eastAsia="lt-LT"/>
                        </w:rPr>
                        <w:t> – įrenginio, kurą deginančio įrenginio, atliekų deginimo įrenginio arba bendro atliekų deginimo įrenginio pobūdžio ar veikimo pakeitimas, arba išplėtimas, kuris gali turėti reikšmingą neigiamą poveikį žmonių sveikatai arba aplinkai, kaip nustatyta Lietuvos Respublikos planuojamos ūkinės veiklos poveikio aplinkai vertinimo įstatyme (Žin., 1996, Nr. </w:t>
                      </w:r>
                      <w:hyperlink r:id="rId20" w:tgtFrame="_blank" w:history="1">
                        <w:r>
                          <w:rPr>
                            <w:color w:val="0000FF" w:themeColor="hyperlink"/>
                            <w:szCs w:val="24"/>
                            <w:u w:val="single"/>
                            <w:lang w:eastAsia="lt-LT"/>
                          </w:rPr>
                          <w:t>82-1965</w:t>
                        </w:r>
                      </w:hyperlink>
                      <w:r>
                        <w:rPr>
                          <w:color w:val="000000"/>
                          <w:szCs w:val="24"/>
                          <w:lang w:eastAsia="lt-LT"/>
                        </w:rPr>
                        <w:t>; 2005, Nr. 84-3105);</w:t>
                      </w:r>
                    </w:p>
                  </w:sdtContent>
                </w:sdt>
                <w:sdt>
                  <w:sdtPr>
                    <w:alias w:val="7.7 p."/>
                    <w:tag w:val="part_dc7b87c2b8a7484c8462792d96238246"/>
                    <w:lock w:val="sdtLocked"/>
                    <w:richText/>
                  </w:sdtPr>
                  <w:sdtContent>
                    <w:p>
                      <w:pPr>
                        <w:widowControl w:val="0"/>
                        <w:ind w:firstLine="567"/>
                        <w:jc w:val="both"/>
                        <w:rPr>
                          <w:color w:val="000000"/>
                          <w:szCs w:val="24"/>
                          <w:lang w:eastAsia="lt-LT"/>
                        </w:rPr>
                      </w:pPr>
                      <w:sdt>
                        <w:sdtPr>
                          <w:alias w:val="Numeris"/>
                          <w:tag w:val="nr_dc7b87c2b8a7484c8462792d96238246"/>
                          <w:lock w:val="sdtLocked"/>
                          <w:richText/>
                        </w:sdtPr>
                        <w:sdtContent>
                          <w:r>
                            <w:rPr>
                              <w:color w:val="000000"/>
                              <w:szCs w:val="24"/>
                              <w:lang w:eastAsia="lt-LT"/>
                            </w:rPr>
                            <w:t>7.7</w:t>
                          </w:r>
                        </w:sdtContent>
                      </w:sdt>
                      <w:r>
                        <w:rPr>
                          <w:color w:val="000000"/>
                          <w:szCs w:val="24"/>
                          <w:lang w:eastAsia="lt-LT"/>
                        </w:rPr>
                        <w:t xml:space="preserve">. </w:t>
                      </w:r>
                      <w:r>
                        <w:rPr>
                          <w:b/>
                          <w:bCs/>
                          <w:color w:val="000000"/>
                          <w:szCs w:val="24"/>
                          <w:lang w:eastAsia="lt-LT"/>
                        </w:rPr>
                        <w:t>geriausi prieinami gamybos būdai</w:t>
                      </w:r>
                      <w:r>
                        <w:rPr>
                          <w:color w:val="000000"/>
                          <w:szCs w:val="24"/>
                          <w:lang w:eastAsia="lt-LT"/>
                        </w:rPr>
                        <w:t xml:space="preserve"> (toliau – </w:t>
                      </w:r>
                      <w:r>
                        <w:rPr>
                          <w:b/>
                          <w:bCs/>
                          <w:color w:val="000000"/>
                          <w:szCs w:val="24"/>
                          <w:lang w:eastAsia="lt-LT"/>
                        </w:rPr>
                        <w:t>GPGB</w:t>
                      </w:r>
                      <w:r>
                        <w:rPr>
                          <w:color w:val="000000"/>
                          <w:szCs w:val="24"/>
                          <w:lang w:eastAsia="lt-LT"/>
                        </w:rPr>
                        <w:t>) – veiksmingiausi ir pažangiausi veiklos ir jos vykdymo metodų plėtojimo būdai, kurie gali būti pagrindas nustatant išmetamųjų teršalų ribines vertes ir kitas leidimo sąlygas siekiant išvengti taršos, o jei tai neįmanoma, – mažinti teršalų išmetimą ir jų poveikį visai aplinkai („gamybos būdai“ suprantami kaip naudojamos technologijos ir įrenginio projektavimo, statybos, priežiūros, eksploatavimo ir uždarymo būdai, „prieinami gamybos būdai“ – gamybos būdai, išplėtoti taip, kad juos būtų galima taikyti tam tikrame pramonės sektoriuje, esant ekonomiškai ir techniškai tinkamoms sąlygoms, atsižvelgiant į sąnaudas ir šių būdų pranašumą, nepaisant to, ar tie gamybos būdai taikomi, ar kuriami Lietuvos Respublikoje ir ar jie yra iš tikrųjų prieinami veiklos vykdytojui; „geriausi“ – veiksmingiausi, siekiant aukšto aplinkos apsaugos lygio);</w:t>
                      </w:r>
                    </w:p>
                  </w:sdtContent>
                </w:sdt>
                <w:sdt>
                  <w:sdtPr>
                    <w:alias w:val="7.8 p."/>
                    <w:tag w:val="part_2ce6079f4ac44f0ea04e7525d15af3d8"/>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2ce6079f4ac44f0ea04e7525d15af3d8"/>
                          <w:lock w:val="sdtLocked"/>
                          <w:richText/>
                        </w:sdtPr>
                        <w:sdtContent>
                          <w:r>
                            <w:rPr>
                              <w:szCs w:val="24"/>
                              <w:lang w:eastAsia="lt-LT"/>
                            </w:rPr>
                            <w:t>7.8</w:t>
                          </w:r>
                        </w:sdtContent>
                      </w:sdt>
                      <w:r>
                        <w:rPr>
                          <w:szCs w:val="24"/>
                          <w:lang w:eastAsia="lt-LT"/>
                        </w:rPr>
                        <w:t xml:space="preserve">. </w:t>
                      </w:r>
                      <w:r>
                        <w:rPr>
                          <w:b/>
                          <w:szCs w:val="24"/>
                          <w:lang w:eastAsia="lt-LT"/>
                        </w:rPr>
                        <w:t>GPGB informacinis dokumentas</w:t>
                      </w:r>
                      <w:r>
                        <w:rPr>
                          <w:szCs w:val="24"/>
                          <w:lang w:eastAsia="lt-LT"/>
                        </w:rPr>
                        <w:t xml:space="preserve"> – pagal Europos Komisijos surengto pasikeitimo informacija rezultatus parengtas tam tikrai veiklai skirtas naujas ar atnaujintas dokumentas, kuriame aprašomi taikomi gamybos būdai, esami išmetamųjų teršalų ir suvartojimo (pavyzdžiui, energijos, vandens, žaliavų) kiekiai, gamybos būdai, kuriuos galima laikyti GPGB, taip pat GPGB išvados ir visi nauji gamybos būdai, skiriant ypatingą dėmesį geriausių prieinamų gamybos būdų nustatymo kriterijams, išvardytiems Taisyklių 2 priede;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58dcda07c7011e4abe983995522ea30">
                        <w:r w:rsidRPr="00532B9F">
                          <w:rPr>
                            <w:rFonts w:ascii="Arial" w:eastAsia="MS Mincho" w:hAnsi="Arial"/>
                            <w:sz w:val="20"/>
                            <w:i/>
                            <w:iCs/>
                            <w:color w:val="0000FF" w:themeColor="hyperlink"/>
                            <w:u w:val="single"/>
                          </w:rPr>
                          <w:t>D1-983</w:t>
                        </w:r>
                      </w:fldSimple>
                      <w:r>
                        <w:rPr>
                          <w:rFonts w:ascii="Arial" w:eastAsia="MS Mincho" w:hAnsi="Arial"/>
                          <w:sz w:val="20"/>
                          <w:i/>
                          <w:iCs/>
                        </w:rPr>
                        <w:t>,
2014-12-04,
paskelbta TAR 2014-12-05, i. k. 2014-19056            </w:t>
                      </w:r>
                    </w:p>
                    <w:p/>
                  </w:sdtContent>
                </w:sdt>
                <w:sdt>
                  <w:sdtPr>
                    <w:alias w:val="7.9 p."/>
                    <w:tag w:val="part_a581ae0ec6d04af4b161a6fc8c7af4e8"/>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a581ae0ec6d04af4b161a6fc8c7af4e8"/>
                          <w:lock w:val="sdtLocked"/>
                          <w:richText/>
                        </w:sdtPr>
                        <w:sdtContent>
                          <w:r>
                            <w:rPr>
                              <w:szCs w:val="24"/>
                              <w:lang w:eastAsia="lt-LT"/>
                            </w:rPr>
                            <w:t>7.9</w:t>
                          </w:r>
                        </w:sdtContent>
                      </w:sdt>
                      <w:r>
                        <w:rPr>
                          <w:szCs w:val="24"/>
                          <w:lang w:eastAsia="lt-LT"/>
                        </w:rPr>
                        <w:t xml:space="preserve">. </w:t>
                      </w:r>
                      <w:r>
                        <w:rPr>
                          <w:b/>
                          <w:szCs w:val="24"/>
                          <w:lang w:eastAsia="lt-LT"/>
                        </w:rPr>
                        <w:t>išvados dėl geriausių prieinamų gamybos būdų (toliau – GPGB išvados)</w:t>
                      </w:r>
                      <w:r>
                        <w:rPr>
                          <w:szCs w:val="24"/>
                          <w:lang w:eastAsia="lt-LT"/>
                        </w:rPr>
                        <w:t xml:space="preserve"> – GPGB informacinio dokumento dalis ar kelios dalys, kuriose išdėstomos išvados dėl geriausių prieinamų gamybos būdų, pateikiamas jų aprašymas, informacija apie GPGB pritaikymo galimybes, taip pat su GPGB siejamas išmetamųjų teršalų lygis ir susijęs monitoringas (stebėsena), suvartojimo (pavyzdžiui, energijos, vandens, žaliavų) kiekis ir prireikus tinkamos eksploatavimo vietos atkūrimo priemonės;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58dcda07c7011e4abe983995522ea30">
                        <w:r w:rsidRPr="00532B9F">
                          <w:rPr>
                            <w:rFonts w:ascii="Arial" w:eastAsia="MS Mincho" w:hAnsi="Arial"/>
                            <w:sz w:val="20"/>
                            <w:i/>
                            <w:iCs/>
                            <w:color w:val="0000FF" w:themeColor="hyperlink"/>
                            <w:u w:val="single"/>
                          </w:rPr>
                          <w:t>D1-983</w:t>
                        </w:r>
                      </w:fldSimple>
                      <w:r>
                        <w:rPr>
                          <w:rFonts w:ascii="Arial" w:eastAsia="MS Mincho" w:hAnsi="Arial"/>
                          <w:sz w:val="20"/>
                          <w:i/>
                          <w:iCs/>
                        </w:rPr>
                        <w:t>,
2014-12-04,
paskelbta TAR 2014-12-05, i. k. 2014-19056            </w:t>
                      </w:r>
                    </w:p>
                    <w:p/>
                  </w:sdtContent>
                </w:sdt>
                <w:sdt>
                  <w:sdtPr>
                    <w:alias w:val="7.10 p."/>
                    <w:tag w:val="part_b231bb8d592c40a8befa0c38b0f56b31"/>
                    <w:lock w:val="sdtLocked"/>
                    <w:richText/>
                  </w:sdtPr>
                  <w:sdtContent>
                    <w:p>
                      <w:pPr>
                        <w:widowControl w:val="0"/>
                        <w:ind w:firstLine="567"/>
                        <w:jc w:val="both"/>
                        <w:rPr>
                          <w:color w:val="000000"/>
                          <w:szCs w:val="24"/>
                          <w:lang w:eastAsia="lt-LT"/>
                        </w:rPr>
                      </w:pPr>
                      <w:sdt>
                        <w:sdtPr>
                          <w:alias w:val="Numeris"/>
                          <w:tag w:val="nr_b231bb8d592c40a8befa0c38b0f56b31"/>
                          <w:lock w:val="sdtLocked"/>
                          <w:richText/>
                        </w:sdtPr>
                        <w:sdtContent>
                          <w:r>
                            <w:rPr>
                              <w:color w:val="000000"/>
                              <w:szCs w:val="24"/>
                              <w:lang w:eastAsia="lt-LT"/>
                            </w:rPr>
                            <w:t>7.10</w:t>
                          </w:r>
                        </w:sdtContent>
                      </w:sdt>
                      <w:r>
                        <w:rPr>
                          <w:color w:val="000000"/>
                          <w:szCs w:val="24"/>
                          <w:lang w:eastAsia="lt-LT"/>
                        </w:rPr>
                        <w:t xml:space="preserve">. </w:t>
                      </w:r>
                      <w:r>
                        <w:rPr>
                          <w:b/>
                          <w:bCs/>
                          <w:color w:val="000000"/>
                          <w:szCs w:val="24"/>
                          <w:lang w:eastAsia="lt-LT"/>
                        </w:rPr>
                        <w:t>išmetamųjų teršalų kiekiai taikant GPGB </w:t>
                      </w:r>
                      <w:r>
                        <w:rPr>
                          <w:color w:val="000000"/>
                          <w:szCs w:val="24"/>
                          <w:lang w:eastAsia="lt-LT"/>
                        </w:rPr>
                        <w:t>– įvairūs išmetamųjų teršalų kiekiai, susidarantys įprastomis eksploatacijos sąlygomis taikant GPGB išvadose aprašytus GPGB ar jų derinius, išreikšti vidurkiais per tam tikrą laikotarpį, atsižvelgiant į nustatytas konkrečias</w:t>
                      </w:r>
                      <w:r>
                        <w:rPr>
                          <w:b/>
                          <w:bCs/>
                          <w:color w:val="000000"/>
                          <w:szCs w:val="24"/>
                          <w:lang w:eastAsia="lt-LT"/>
                        </w:rPr>
                        <w:t xml:space="preserve"> </w:t>
                      </w:r>
                      <w:r>
                        <w:rPr>
                          <w:color w:val="000000"/>
                          <w:szCs w:val="24"/>
                          <w:lang w:eastAsia="lt-LT"/>
                        </w:rPr>
                        <w:t>sąlygas;</w:t>
                      </w:r>
                    </w:p>
                  </w:sdtContent>
                </w:sdt>
                <w:sdt>
                  <w:sdtPr>
                    <w:alias w:val="7.11 p."/>
                    <w:tag w:val="part_e8a044bf8091437d93e10a9200a9c8b4"/>
                    <w:lock w:val="sdtLocked"/>
                    <w:richText/>
                  </w:sdtPr>
                  <w:sdtContent>
                    <w:p>
                      <w:pPr>
                        <w:widowControl w:val="0"/>
                        <w:ind w:firstLine="567"/>
                        <w:jc w:val="both"/>
                        <w:rPr>
                          <w:color w:val="000000"/>
                          <w:szCs w:val="24"/>
                          <w:lang w:eastAsia="lt-LT"/>
                        </w:rPr>
                      </w:pPr>
                      <w:sdt>
                        <w:sdtPr>
                          <w:alias w:val="Numeris"/>
                          <w:tag w:val="nr_e8a044bf8091437d93e10a9200a9c8b4"/>
                          <w:lock w:val="sdtLocked"/>
                          <w:richText/>
                        </w:sdtPr>
                        <w:sdtContent>
                          <w:r>
                            <w:rPr>
                              <w:color w:val="000000"/>
                              <w:szCs w:val="24"/>
                              <w:lang w:eastAsia="lt-LT"/>
                            </w:rPr>
                            <w:t>7.11</w:t>
                          </w:r>
                        </w:sdtContent>
                      </w:sdt>
                      <w:r>
                        <w:rPr>
                          <w:color w:val="000000"/>
                          <w:szCs w:val="24"/>
                          <w:lang w:eastAsia="lt-LT"/>
                        </w:rPr>
                        <w:t xml:space="preserve">. </w:t>
                      </w:r>
                      <w:r>
                        <w:rPr>
                          <w:b/>
                          <w:bCs/>
                          <w:color w:val="000000"/>
                          <w:szCs w:val="24"/>
                          <w:lang w:eastAsia="lt-LT"/>
                        </w:rPr>
                        <w:t>naujas gamybos būdas</w:t>
                      </w:r>
                      <w:r>
                        <w:rPr>
                          <w:color w:val="000000"/>
                          <w:szCs w:val="24"/>
                          <w:lang w:eastAsia="lt-LT"/>
                        </w:rPr>
                        <w:t> – pramoninei veiklai skirtas naujoviškas gamybos būdas, kurį komerciškai išplėtojus būtų galima arba užtikrinti geresnį, arba bent tokį patį aplinkos apsaugos lygį ir sumažinti sąnaudas labiau negu naudojant esamus GPGB;</w:t>
                      </w:r>
                    </w:p>
                  </w:sdtContent>
                </w:sdt>
                <w:sdt>
                  <w:sdtPr>
                    <w:alias w:val="7.12 p."/>
                    <w:tag w:val="part_6dd90907e88b4ee887b4d8f3148d284f"/>
                    <w:lock w:val="sdtLocked"/>
                    <w:richText/>
                  </w:sdtPr>
                  <w:sdtContent>
                    <w:p>
                      <w:pPr>
                        <w:widowControl w:val="0"/>
                        <w:ind w:firstLine="567"/>
                        <w:jc w:val="both"/>
                        <w:rPr>
                          <w:color w:val="000000"/>
                          <w:szCs w:val="24"/>
                          <w:lang w:eastAsia="lt-LT"/>
                        </w:rPr>
                      </w:pPr>
                      <w:sdt>
                        <w:sdtPr>
                          <w:alias w:val="Numeris"/>
                          <w:tag w:val="nr_6dd90907e88b4ee887b4d8f3148d284f"/>
                          <w:lock w:val="sdtLocked"/>
                          <w:richText/>
                        </w:sdtPr>
                        <w:sdtContent>
                          <w:r>
                            <w:rPr>
                              <w:color w:val="000000"/>
                              <w:szCs w:val="24"/>
                              <w:lang w:eastAsia="lt-LT"/>
                            </w:rPr>
                            <w:t>7.12</w:t>
                          </w:r>
                        </w:sdtContent>
                      </w:sdt>
                      <w:r>
                        <w:rPr>
                          <w:color w:val="000000"/>
                          <w:szCs w:val="24"/>
                          <w:lang w:eastAsia="lt-LT"/>
                        </w:rPr>
                        <w:t xml:space="preserve">. </w:t>
                      </w:r>
                      <w:r>
                        <w:rPr>
                          <w:b/>
                          <w:bCs/>
                          <w:color w:val="000000"/>
                          <w:szCs w:val="24"/>
                          <w:lang w:eastAsia="lt-LT"/>
                        </w:rPr>
                        <w:t>veiklos vykdytojas</w:t>
                      </w:r>
                      <w:r>
                        <w:rPr>
                          <w:color w:val="000000"/>
                          <w:szCs w:val="24"/>
                          <w:lang w:eastAsia="lt-LT"/>
                        </w:rPr>
                        <w:t xml:space="preserve"> – </w:t>
                      </w:r>
                      <w:r>
                        <w:rPr>
                          <w:lang w:eastAsia="lt-LT"/>
                        </w:rPr>
                        <w:t>fizinis asmuo, juridinis asmuo ar jo padalinys (įskaitant užsienio valstybės juridinį asmenį ir kitą organizaciją, taip pat jų padalinį)</w:t>
                      </w:r>
                      <w:r>
                        <w:rPr>
                          <w:color w:val="000000"/>
                          <w:szCs w:val="24"/>
                          <w:lang w:eastAsia="lt-LT"/>
                        </w:rPr>
                        <w:t>, kuris eksploatuoja arba kontroliuoja visą įrenginį, kurą deginantį įrenginį, atliekų deginimo įrenginį arba bendro atliekų deginimo įrenginį, arba tokio įrenginio dalį, kuriam nuosavybės teise priklauso įrenginys arba kuris naudoja, valdo įrenginį nuomos, panaudos, patikėjimo teise arba eksploatuoja kitu teisiniu pagrindu ir atsako už įrenginio eksploatavimo ir techninio funkcionavimo kontrolę;</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7.13 p."/>
                    <w:tag w:val="part_08d3fbf3ee794683976ca2f685735471"/>
                    <w:lock w:val="sdtLocked"/>
                    <w:richText/>
                  </w:sdtPr>
                  <w:sdtContent>
                    <w:p>
                      <w:pPr>
                        <w:pStyle w:val="PlainText"/>
                        <w:ind w:firstLine="567"/>
                        <w:jc w:val="both"/>
                        <w:rPr>
                          <w:rFonts w:ascii="Arial" w:hAnsi="Arial"/>
                          <w:b/>
                          <w:bCs/>
                          <w:sz w:val="22"/>
                        </w:rPr>
                      </w:pPr>
                      <w:r>
                        <w:rPr>
                          <w:rFonts w:ascii="Arial" w:hAnsi="Arial"/>
                          <w:sz w:val="22"/>
                        </w:rPr>
                        <w:t>7.13</w:t>
                      </w:r>
                      <w:r>
                        <w:rPr>
                          <w:rFonts w:ascii="Arial" w:hAnsi="Arial"/>
                          <w:sz w:val="22"/>
                        </w:rPr>
                        <w:t>.</w:t>
                      </w:r>
                      <w:r>
                        <w:rPr>
                          <w:rFonts w:ascii="Arial" w:eastAsia="MS Mincho" w:hAnsi="Arial"/>
                          <w:sz w:val="20"/>
                          <w:i/>
                          <w:iCs/>
                        </w:rPr>
                        <w:t xml:space="preserve"> Neteko galios nuo 2023-11-28</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bba30608cfa11eea5a28c81c82193a8">
                        <w:r w:rsidRPr="00532B9F">
                          <w:rPr>
                            <w:rFonts w:ascii="Arial" w:eastAsia="MS Mincho" w:hAnsi="Arial"/>
                            <w:sz w:val="20"/>
                            <w:i/>
                            <w:iCs/>
                            <w:color w:val="0000FF" w:themeColor="hyperlink"/>
                            <w:u w:val="single"/>
                          </w:rPr>
                          <w:t>D1-381</w:t>
                        </w:r>
                      </w:fldSimple>
                      <w:r>
                        <w:rPr>
                          <w:rFonts w:ascii="Arial" w:eastAsia="MS Mincho" w:hAnsi="Arial"/>
                          <w:sz w:val="20"/>
                          <w:i/>
                          <w:iCs/>
                        </w:rPr>
                        <w:t>,
2023-11-27,
paskelbta TAR 2023-11-27, i. k. 2023-22748        </w:t>
                      </w:r>
                    </w:p>
                    <w:p/>
                  </w:sdtContent>
                </w:sdt>
                <w:sdt>
                  <w:sdtPr>
                    <w:alias w:val="7.14 p."/>
                    <w:tag w:val="part_7a4aae0334fb42f8a211068b803a0c7b"/>
                    <w:lock w:val="sdtLocked"/>
                    <w:richText/>
                  </w:sdtPr>
                  <w:sdtContent>
                    <w:p>
                      <w:pPr>
                        <w:widowControl w:val="0"/>
                        <w:ind w:firstLine="567"/>
                        <w:jc w:val="both"/>
                        <w:rPr>
                          <w:color w:val="000000"/>
                          <w:szCs w:val="24"/>
                          <w:lang w:eastAsia="lt-LT"/>
                        </w:rPr>
                      </w:pPr>
                      <w:sdt>
                        <w:sdtPr>
                          <w:alias w:val="Numeris"/>
                          <w:tag w:val="nr_7a4aae0334fb42f8a211068b803a0c7b"/>
                          <w:lock w:val="sdtLocked"/>
                          <w:richText/>
                        </w:sdtPr>
                        <w:sdtContent>
                          <w:r>
                            <w:rPr>
                              <w:color w:val="000000"/>
                              <w:szCs w:val="24"/>
                              <w:lang w:eastAsia="lt-LT"/>
                            </w:rPr>
                            <w:t>7.14</w:t>
                          </w:r>
                        </w:sdtContent>
                      </w:sdt>
                      <w:r>
                        <w:rPr>
                          <w:color w:val="000000"/>
                          <w:szCs w:val="24"/>
                          <w:lang w:eastAsia="lt-LT"/>
                        </w:rPr>
                        <w:t xml:space="preserve">. </w:t>
                      </w:r>
                      <w:r>
                        <w:rPr>
                          <w:b/>
                          <w:bCs/>
                          <w:color w:val="000000"/>
                          <w:szCs w:val="24"/>
                          <w:lang w:eastAsia="lt-LT"/>
                        </w:rPr>
                        <w:t>suinteresuota visuomenė</w:t>
                      </w:r>
                      <w:r>
                        <w:rPr>
                          <w:color w:val="000000"/>
                          <w:szCs w:val="24"/>
                          <w:lang w:eastAsia="lt-LT"/>
                        </w:rPr>
                        <w:t> – visuomenė, kuriai daro ar gali daryti poveikį sprendimo išduoti arba pakeisti leidimą ar leidimo sąlygas priėmimas arba kuri yra suinteresuota tokio sprendimo priėmimu; pagal šią apibrėžtį asociacijos ir kiti viešieji juridiniai asmenys (išskyrus valstybės ar savivaldybės, jų institucijų įsteigtus juridinius asmenis), kurie įsteigti teisės aktų nustatyta tvarka ir skatina aplinkos apsaugą, visais atvejais laikomi suinteresuotais asmenimis;</w:t>
                      </w:r>
                    </w:p>
                  </w:sdtContent>
                </w:sdt>
                <w:sdt>
                  <w:sdtPr>
                    <w:alias w:val="7.15 p."/>
                    <w:tag w:val="part_aefa4b31068d4c50bf9e0b332f2efbed"/>
                    <w:lock w:val="sdtLocked"/>
                    <w:richText/>
                  </w:sdtPr>
                  <w:sdtContent>
                    <w:p>
                      <w:pPr>
                        <w:widowControl w:val="0"/>
                        <w:ind w:firstLine="567"/>
                        <w:jc w:val="both"/>
                        <w:rPr>
                          <w:color w:val="000000"/>
                          <w:szCs w:val="24"/>
                          <w:lang w:eastAsia="lt-LT"/>
                        </w:rPr>
                      </w:pPr>
                      <w:sdt>
                        <w:sdtPr>
                          <w:alias w:val="Numeris"/>
                          <w:tag w:val="nr_aefa4b31068d4c50bf9e0b332f2efbed"/>
                          <w:lock w:val="sdtLocked"/>
                          <w:richText/>
                        </w:sdtPr>
                        <w:sdtContent>
                          <w:r>
                            <w:rPr>
                              <w:szCs w:val="24"/>
                              <w:lang w:eastAsia="zh-CN"/>
                            </w:rPr>
                            <w:t>7.15</w:t>
                          </w:r>
                        </w:sdtContent>
                      </w:sdt>
                      <w:r>
                        <w:rPr>
                          <w:szCs w:val="24"/>
                          <w:lang w:eastAsia="zh-CN"/>
                        </w:rPr>
                        <w:t xml:space="preserve">. </w:t>
                      </w:r>
                      <w:r>
                        <w:rPr>
                          <w:b/>
                          <w:bCs/>
                          <w:szCs w:val="24"/>
                          <w:lang w:eastAsia="zh-CN"/>
                        </w:rPr>
                        <w:t>pavojingosios medžiagos</w:t>
                      </w:r>
                      <w:r>
                        <w:rPr>
                          <w:szCs w:val="24"/>
                          <w:lang w:eastAsia="zh-CN"/>
                        </w:rPr>
                        <w:t xml:space="preserve"> – pavojingosios cheminės medžiagos ir cheminiai mišiniai, kaip apibrėžta Lietuvos Respublikos cheminių medžiagų ir cheminių mišinių įstatyme;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7.16 p."/>
                    <w:tag w:val="part_d84ec2a58cbb4657b9cb178f9606df33"/>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d84ec2a58cbb4657b9cb178f9606df33"/>
                          <w:lock w:val="sdtLocked"/>
                          <w:richText/>
                        </w:sdtPr>
                        <w:sdtContent>
                          <w:r>
                            <w:rPr>
                              <w:szCs w:val="24"/>
                              <w:lang w:eastAsia="lt-LT"/>
                            </w:rPr>
                            <w:t>7.16</w:t>
                          </w:r>
                        </w:sdtContent>
                      </w:sdt>
                      <w:r>
                        <w:rPr>
                          <w:szCs w:val="24"/>
                          <w:lang w:eastAsia="lt-LT"/>
                        </w:rPr>
                        <w:t xml:space="preserve">. </w:t>
                      </w:r>
                      <w:r>
                        <w:rPr>
                          <w:b/>
                          <w:szCs w:val="24"/>
                          <w:lang w:eastAsia="lt-LT"/>
                        </w:rPr>
                        <w:t>užterštumo būklės ataskaita (preliminariųjų ekogeologinių tyrimų ataskaita)</w:t>
                      </w:r>
                      <w:r>
                        <w:rPr>
                          <w:szCs w:val="24"/>
                          <w:lang w:eastAsia="lt-LT"/>
                        </w:rPr>
                        <w:t xml:space="preserve"> – informacija apie dirvožemio (grunto) ir požeminių vandenų užterštumą tam tikromis pavojingomis medžiagomis;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58dcda07c7011e4abe983995522ea30">
                        <w:r w:rsidRPr="00532B9F">
                          <w:rPr>
                            <w:rFonts w:ascii="Arial" w:eastAsia="MS Mincho" w:hAnsi="Arial"/>
                            <w:sz w:val="20"/>
                            <w:i/>
                            <w:iCs/>
                            <w:color w:val="0000FF" w:themeColor="hyperlink"/>
                            <w:u w:val="single"/>
                          </w:rPr>
                          <w:t>D1-983</w:t>
                        </w:r>
                      </w:fldSimple>
                      <w:r>
                        <w:rPr>
                          <w:rFonts w:ascii="Arial" w:eastAsia="MS Mincho" w:hAnsi="Arial"/>
                          <w:sz w:val="20"/>
                          <w:i/>
                          <w:iCs/>
                        </w:rPr>
                        <w:t>,
2014-12-04,
paskelbta TAR 2014-12-05, i. k. 2014-19056            </w:t>
                      </w:r>
                    </w:p>
                    <w:p/>
                  </w:sdtContent>
                </w:sdt>
                <w:sdt>
                  <w:sdtPr>
                    <w:alias w:val="7.17 p."/>
                    <w:tag w:val="part_9530062c02854d47bc6019a064497bc4"/>
                    <w:lock w:val="sdtLocked"/>
                    <w:richText/>
                  </w:sdtPr>
                  <w:sdtContent>
                    <w:p>
                      <w:pPr>
                        <w:pStyle w:val="PlainText"/>
                        <w:ind w:firstLine="567"/>
                        <w:jc w:val="both"/>
                        <w:rPr>
                          <w:rFonts w:ascii="Arial" w:hAnsi="Arial"/>
                          <w:b/>
                          <w:bCs/>
                          <w:sz w:val="22"/>
                        </w:rPr>
                      </w:pPr>
                      <w:r>
                        <w:rPr>
                          <w:rFonts w:ascii="Arial" w:hAnsi="Arial"/>
                          <w:sz w:val="22"/>
                        </w:rPr>
                        <w:t>7.17</w:t>
                      </w:r>
                      <w:r>
                        <w:rPr>
                          <w:rFonts w:ascii="Arial" w:hAnsi="Arial"/>
                          <w:sz w:val="22"/>
                        </w:rPr>
                        <w:t>.</w:t>
                      </w:r>
                      <w:r>
                        <w:rPr>
                          <w:rFonts w:ascii="Arial" w:eastAsia="MS Mincho" w:hAnsi="Arial"/>
                          <w:sz w:val="20"/>
                          <w:i/>
                          <w:iCs/>
                        </w:rPr>
                        <w:t xml:space="preserve"> Neteko galios nuo 2023-11-28</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bba30608cfa11eea5a28c81c82193a8">
                        <w:r w:rsidRPr="00532B9F">
                          <w:rPr>
                            <w:rFonts w:ascii="Arial" w:eastAsia="MS Mincho" w:hAnsi="Arial"/>
                            <w:sz w:val="20"/>
                            <w:i/>
                            <w:iCs/>
                            <w:color w:val="0000FF" w:themeColor="hyperlink"/>
                            <w:u w:val="single"/>
                          </w:rPr>
                          <w:t>D1-381</w:t>
                        </w:r>
                      </w:fldSimple>
                      <w:r>
                        <w:rPr>
                          <w:rFonts w:ascii="Arial" w:eastAsia="MS Mincho" w:hAnsi="Arial"/>
                          <w:sz w:val="20"/>
                          <w:i/>
                          <w:iCs/>
                        </w:rPr>
                        <w:t>,
2023-11-27,
paskelbta TAR 2023-11-27, i. k. 2023-22748        </w:t>
                      </w:r>
                    </w:p>
                    <w:p/>
                  </w:sdtContent>
                </w:sdt>
                <w:sdt>
                  <w:sdtPr>
                    <w:alias w:val="7.18 p."/>
                    <w:tag w:val="part_480e2fec35ac4c8f9171f13e5ad08387"/>
                    <w:lock w:val="sdtLocked"/>
                    <w:richText/>
                  </w:sdtPr>
                  <w:sdtContent>
                    <w:p>
                      <w:pPr>
                        <w:widowControl w:val="0"/>
                        <w:ind w:firstLine="567"/>
                        <w:jc w:val="both"/>
                        <w:rPr>
                          <w:color w:val="000000"/>
                          <w:szCs w:val="24"/>
                          <w:lang w:eastAsia="lt-LT"/>
                        </w:rPr>
                      </w:pPr>
                      <w:sdt>
                        <w:sdtPr>
                          <w:alias w:val="Numeris"/>
                          <w:tag w:val="nr_480e2fec35ac4c8f9171f13e5ad08387"/>
                          <w:lock w:val="sdtLocked"/>
                          <w:richText/>
                        </w:sdtPr>
                        <w:sdtContent>
                          <w:r>
                            <w:rPr>
                              <w:color w:val="000000"/>
                              <w:szCs w:val="24"/>
                              <w:lang w:eastAsia="lt-LT"/>
                            </w:rPr>
                            <w:t>7.18</w:t>
                          </w:r>
                        </w:sdtContent>
                      </w:sdt>
                      <w:r>
                        <w:rPr>
                          <w:color w:val="000000"/>
                          <w:szCs w:val="24"/>
                          <w:lang w:eastAsia="lt-LT"/>
                        </w:rPr>
                        <w:t xml:space="preserve">. </w:t>
                      </w:r>
                      <w:r>
                        <w:rPr>
                          <w:b/>
                          <w:bCs/>
                          <w:color w:val="000000"/>
                          <w:szCs w:val="24"/>
                          <w:lang w:eastAsia="lt-LT"/>
                        </w:rPr>
                        <w:t>dirvožemis</w:t>
                      </w:r>
                      <w:r>
                        <w:rPr>
                          <w:color w:val="000000"/>
                          <w:szCs w:val="24"/>
                          <w:lang w:eastAsia="lt-LT"/>
                        </w:rPr>
                        <w:t> – virš pamatinės uolienos esantis Žemės plutos sluoksnis, kurį sudaro mineralinės dalelės, organinės medžiagos, vanduo, oras ir gyvieji organizmai;</w:t>
                      </w:r>
                    </w:p>
                  </w:sdtContent>
                </w:sdt>
                <w:sdt>
                  <w:sdtPr>
                    <w:alias w:val="7.19 p."/>
                    <w:tag w:val="part_1fd5a372f9d74370b738852c6676efc8"/>
                    <w:lock w:val="sdtLocked"/>
                    <w:richText/>
                  </w:sdtPr>
                  <w:sdtContent>
                    <w:p>
                      <w:pPr>
                        <w:widowControl w:val="0"/>
                        <w:ind w:firstLine="567"/>
                        <w:jc w:val="both"/>
                        <w:rPr>
                          <w:color w:val="000000"/>
                          <w:szCs w:val="24"/>
                          <w:lang w:eastAsia="lt-LT"/>
                        </w:rPr>
                      </w:pPr>
                      <w:sdt>
                        <w:sdtPr>
                          <w:alias w:val="Numeris"/>
                          <w:tag w:val="nr_1fd5a372f9d74370b738852c6676efc8"/>
                          <w:lock w:val="sdtLocked"/>
                          <w:richText/>
                        </w:sdtPr>
                        <w:sdtContent>
                          <w:r>
                            <w:rPr>
                              <w:color w:val="000000"/>
                              <w:szCs w:val="24"/>
                              <w:lang w:eastAsia="lt-LT"/>
                            </w:rPr>
                            <w:t>7.19</w:t>
                          </w:r>
                        </w:sdtContent>
                      </w:sdt>
                      <w:r>
                        <w:rPr>
                          <w:color w:val="000000"/>
                          <w:szCs w:val="24"/>
                          <w:lang w:eastAsia="lt-LT"/>
                        </w:rPr>
                        <w:t xml:space="preserve">. </w:t>
                      </w:r>
                      <w:r>
                        <w:rPr>
                          <w:b/>
                          <w:bCs/>
                          <w:color w:val="000000"/>
                          <w:szCs w:val="24"/>
                          <w:lang w:eastAsia="lt-LT"/>
                        </w:rPr>
                        <w:t>aplinkosauginis tikrinimas</w:t>
                      </w:r>
                      <w:r>
                        <w:rPr>
                          <w:color w:val="000000"/>
                          <w:szCs w:val="24"/>
                          <w:lang w:eastAsia="lt-LT"/>
                        </w:rPr>
                        <w:t> –</w:t>
                      </w:r>
                      <w:r>
                        <w:rPr>
                          <w:b/>
                          <w:bCs/>
                          <w:color w:val="000000"/>
                          <w:szCs w:val="24"/>
                          <w:lang w:eastAsia="lt-LT"/>
                        </w:rPr>
                        <w:t xml:space="preserve"> </w:t>
                      </w:r>
                      <w:r>
                        <w:rPr>
                          <w:color w:val="000000"/>
                          <w:szCs w:val="24"/>
                          <w:lang w:eastAsia="lt-LT"/>
                        </w:rPr>
                        <w:t>visi veiksmai, įskaitant patikrinimus vietoje, teršalų išmetimo stebėseną ir vidinių pranešimų bei pakartotinį veiklos dokumentų tikrinimą, vidaus stebėsenos tikrinimą, naudojamų gamybos būdų ir įrenginio aplinkosauginio valdymo tinkamumo tikrinimą, kuriuos atlieka atsakinga institucija arba kurie atliekami jos vardu, siekiant patikrinti, ar įrenginiai atitinka išduoto leidimo sąlygas, skatinti atitikti šias sąlygas ir prireikus stebėti jų poveikį aplinkai;</w:t>
                      </w:r>
                    </w:p>
                  </w:sdtContent>
                </w:sdt>
                <w:sdt>
                  <w:sdtPr>
                    <w:alias w:val="7.20 p."/>
                    <w:tag w:val="part_80d9dc82fb4d4024923e72157e0fcf8c"/>
                    <w:lock w:val="sdtLocked"/>
                    <w:richText/>
                  </w:sdtPr>
                  <w:sdtContent>
                    <w:p>
                      <w:pPr>
                        <w:widowControl w:val="0"/>
                        <w:ind w:firstLine="567"/>
                        <w:jc w:val="both"/>
                        <w:rPr>
                          <w:color w:val="000000"/>
                          <w:szCs w:val="24"/>
                          <w:lang w:eastAsia="lt-LT"/>
                        </w:rPr>
                      </w:pPr>
                      <w:sdt>
                        <w:sdtPr>
                          <w:alias w:val="Numeris"/>
                          <w:tag w:val="nr_80d9dc82fb4d4024923e72157e0fcf8c"/>
                          <w:lock w:val="sdtLocked"/>
                          <w:richText/>
                        </w:sdtPr>
                        <w:sdtContent>
                          <w:r>
                            <w:rPr>
                              <w:color w:val="000000"/>
                              <w:szCs w:val="24"/>
                              <w:lang w:eastAsia="lt-LT"/>
                            </w:rPr>
                            <w:t>7.20</w:t>
                          </w:r>
                        </w:sdtContent>
                      </w:sdt>
                      <w:r>
                        <w:rPr>
                          <w:color w:val="000000"/>
                          <w:szCs w:val="24"/>
                          <w:lang w:eastAsia="lt-LT"/>
                        </w:rPr>
                        <w:t xml:space="preserve">. </w:t>
                      </w:r>
                      <w:r>
                        <w:rPr>
                          <w:b/>
                          <w:bCs/>
                          <w:color w:val="000000"/>
                          <w:szCs w:val="24"/>
                          <w:lang w:eastAsia="lt-LT"/>
                        </w:rPr>
                        <w:t>naminiai paukščiai</w:t>
                      </w:r>
                      <w:r>
                        <w:rPr>
                          <w:color w:val="000000"/>
                          <w:szCs w:val="24"/>
                          <w:lang w:eastAsia="lt-LT"/>
                        </w:rPr>
                        <w:t> – antys, balandžiai, fazanai, kalakutai, kurapkos, naminės vištos, perlinės vištos, putpelės, žąsys, beketeriai paukščiai, auginami ar laikomi nelaisvėje veislei, mėsai ar kiaušiniams, medžioklės ištekliams atkurti;</w:t>
                      </w:r>
                    </w:p>
                  </w:sdtContent>
                </w:sdt>
                <w:sdt>
                  <w:sdtPr>
                    <w:alias w:val="7.21 p."/>
                    <w:tag w:val="part_f741c0ce15104fe587aa2c28a996d2ba"/>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f741c0ce15104fe587aa2c28a996d2ba"/>
                          <w:lock w:val="sdtLocked"/>
                          <w:richText/>
                        </w:sdtPr>
                        <w:sdtContent>
                          <w:r>
                            <w:rPr>
                              <w:szCs w:val="24"/>
                              <w:lang w:eastAsia="lt-LT"/>
                            </w:rPr>
                            <w:t>7.21</w:t>
                          </w:r>
                        </w:sdtContent>
                      </w:sdt>
                      <w:r>
                        <w:rPr>
                          <w:szCs w:val="24"/>
                          <w:lang w:eastAsia="lt-LT"/>
                        </w:rPr>
                        <w:t>.</w:t>
                      </w:r>
                      <w:r>
                        <w:rPr>
                          <w:bCs/>
                          <w:szCs w:val="24"/>
                          <w:lang w:eastAsia="lt-LT"/>
                        </w:rPr>
                        <w:t xml:space="preserve"> </w:t>
                      </w:r>
                      <w:r>
                        <w:rPr>
                          <w:b/>
                          <w:bCs/>
                          <w:szCs w:val="24"/>
                          <w:lang w:eastAsia="lt-LT"/>
                        </w:rPr>
                        <w:t>gamybos pajėgumas</w:t>
                      </w:r>
                      <w:r>
                        <w:rPr>
                          <w:szCs w:val="24"/>
                          <w:lang w:eastAsia="lt-LT"/>
                        </w:rPr>
                        <w:t xml:space="preserve"> – pastatyto ir įrengto įrenginio pajėgumas esant normalioms įrenginio eksploatavimo sąlygoms (toliau – gamybos (projektinis) pajėgumas);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7.22 p."/>
                    <w:tag w:val="part_1e9845cd9dda46b18d183a2b7b582723"/>
                    <w:lock w:val="sdtLocked"/>
                    <w:richText/>
                  </w:sdtPr>
                  <w:sdtContent>
                    <w:p>
                      <w:pPr>
                        <w:widowControl w:val="0"/>
                        <w:ind w:firstLine="567"/>
                        <w:jc w:val="both"/>
                        <w:rPr>
                          <w:color w:val="000000"/>
                          <w:szCs w:val="24"/>
                          <w:lang w:eastAsia="lt-LT"/>
                        </w:rPr>
                      </w:pPr>
                      <w:sdt>
                        <w:sdtPr>
                          <w:alias w:val="Numeris"/>
                          <w:tag w:val="nr_1e9845cd9dda46b18d183a2b7b582723"/>
                          <w:lock w:val="sdtLocked"/>
                          <w:richText/>
                        </w:sdtPr>
                        <w:sdtContent>
                          <w:r>
                            <w:rPr>
                              <w:color w:val="000000"/>
                              <w:szCs w:val="24"/>
                              <w:lang w:eastAsia="lt-LT"/>
                            </w:rPr>
                            <w:t>7.22</w:t>
                          </w:r>
                        </w:sdtContent>
                      </w:sdt>
                      <w:r>
                        <w:rPr>
                          <w:color w:val="000000"/>
                          <w:szCs w:val="24"/>
                          <w:lang w:eastAsia="lt-LT"/>
                        </w:rPr>
                        <w:t xml:space="preserve">. </w:t>
                      </w:r>
                      <w:r>
                        <w:rPr>
                          <w:b/>
                          <w:bCs/>
                          <w:color w:val="000000"/>
                          <w:szCs w:val="24"/>
                          <w:lang w:eastAsia="lt-LT"/>
                        </w:rPr>
                        <w:t>neįprastos veiklos sąlygos</w:t>
                      </w:r>
                      <w:r>
                        <w:rPr>
                          <w:color w:val="000000"/>
                          <w:szCs w:val="24"/>
                          <w:lang w:eastAsia="lt-LT"/>
                        </w:rPr>
                        <w:t xml:space="preserve"> – įrenginio paleidimas, derinimas, stabdymas, aprašyti įrenginio eksploatavimo dokumente (techniniame reglamente ar kt.), taip pat nuotėkis, gedimas, </w:t>
                      </w:r>
                      <w:r>
                        <w:rPr>
                          <w:szCs w:val="24"/>
                        </w:rPr>
                        <w:t>elektros tiekimo sutrikimas, jei dėl tokio sutrikimo įrenginys negali būti eksploatuojamas laikantis leidimo sąlygų (kitaip – neatitiktinės veiklos sąlygos)</w:t>
                      </w:r>
                      <w:r>
                        <w:rPr>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7.23 p."/>
                    <w:tag w:val="part_67cab156a71a4010b5e1f7bb2ae42109"/>
                    <w:lock w:val="sdtLocked"/>
                    <w:richText/>
                  </w:sdtPr>
                  <w:sdtContent>
                    <w:p>
                      <w:pPr>
                        <w:widowControl w:val="0"/>
                        <w:ind w:firstLine="567"/>
                        <w:jc w:val="both"/>
                        <w:rPr>
                          <w:color w:val="000000"/>
                          <w:szCs w:val="24"/>
                          <w:lang w:eastAsia="lt-LT"/>
                        </w:rPr>
                      </w:pPr>
                      <w:sdt>
                        <w:sdtPr>
                          <w:alias w:val="Numeris"/>
                          <w:tag w:val="nr_67cab156a71a4010b5e1f7bb2ae42109"/>
                          <w:lock w:val="sdtLocked"/>
                          <w:richText/>
                        </w:sdtPr>
                        <w:sdtContent>
                          <w:r>
                            <w:rPr>
                              <w:color w:val="000000"/>
                              <w:szCs w:val="24"/>
                              <w:lang w:eastAsia="lt-LT"/>
                            </w:rPr>
                            <w:t>7.23</w:t>
                          </w:r>
                        </w:sdtContent>
                      </w:sdt>
                      <w:r>
                        <w:rPr>
                          <w:color w:val="000000"/>
                          <w:szCs w:val="24"/>
                          <w:lang w:eastAsia="lt-LT"/>
                        </w:rPr>
                        <w:t xml:space="preserve">. </w:t>
                      </w:r>
                      <w:r>
                        <w:rPr>
                          <w:b/>
                          <w:bCs/>
                          <w:color w:val="000000"/>
                          <w:szCs w:val="24"/>
                          <w:lang w:eastAsia="lt-LT"/>
                        </w:rPr>
                        <w:t>aplinkosaugos veiksmų planas</w:t>
                      </w:r>
                      <w:r>
                        <w:rPr>
                          <w:color w:val="000000"/>
                          <w:szCs w:val="24"/>
                          <w:lang w:eastAsia="lt-LT"/>
                        </w:rPr>
                        <w:t> – veiklos vykdytojo patvirtintas ir atsakingos institucijos priimtas kompleksas priemonių įrenginio aplinkosauginiam valdymui tobulinti ir aplinkos būklei gerinti.</w:t>
                      </w:r>
                    </w:p>
                  </w:sdtContent>
                </w:sdt>
              </w:sdtContent>
            </w:sdt>
            <w:sdt>
              <w:sdtPr>
                <w:alias w:val="8 p."/>
                <w:tag w:val="part_450d62a77315463086089a7ec91f078e"/>
                <w:lock w:val="sdtLocked"/>
                <w:richText/>
              </w:sdtPr>
              <w:sdtContent>
                <w:p>
                  <w:pPr>
                    <w:tabs>
                      <w:tab w:val="left" w:pos="993"/>
                    </w:tabs>
                    <w:suppressAutoHyphens/>
                    <w:ind w:firstLine="567"/>
                    <w:jc w:val="both"/>
                    <w:textAlignment w:val="baseline"/>
                    <w:rPr>
                      <w:color w:val="000000"/>
                      <w:szCs w:val="24"/>
                      <w:lang w:eastAsia="lt-LT"/>
                    </w:rPr>
                  </w:pPr>
                  <w:sdt>
                    <w:sdtPr>
                      <w:alias w:val="Numeris"/>
                      <w:tag w:val="nr_450d62a77315463086089a7ec91f078e"/>
                      <w:lock w:val="sdtLocked"/>
                      <w:richText/>
                    </w:sdtPr>
                    <w:sdtContent>
                      <w:r>
                        <w:rPr>
                          <w:color w:val="000000"/>
                          <w:lang w:eastAsia="zh-CN"/>
                        </w:rPr>
                        <w:t>8</w:t>
                      </w:r>
                    </w:sdtContent>
                  </w:sdt>
                  <w:r>
                    <w:rPr>
                      <w:color w:val="000000"/>
                      <w:lang w:eastAsia="zh-CN"/>
                    </w:rPr>
                    <w:t>. Sąvoka „</w:t>
                  </w:r>
                  <w:r>
                    <w:rPr>
                      <w:color w:val="000000"/>
                      <w:szCs w:val="24"/>
                      <w:lang w:eastAsia="lt-LT"/>
                    </w:rPr>
                    <w:t>visuomenė“ taikoma kaip apibrėžta Lietuvos Respublikos planuojamos ūkinės veiklos poveikio aplinkai vertinimo įstatyme; sąvoka „</w:t>
                  </w:r>
                  <w:r>
                    <w:rPr>
                      <w:color w:val="000000"/>
                      <w:szCs w:val="24"/>
                      <w:lang w:eastAsia="zh-CN"/>
                    </w:rPr>
                    <w:t>požeminis vanduo“ taikoma kaip apibrėžta Lietuvos Respublikos žemės gelmių įstatyme; sąvoka</w:t>
                  </w:r>
                  <w:r>
                    <w:rPr>
                      <w:color w:val="000000"/>
                      <w:lang w:eastAsia="zh-CN"/>
                    </w:rPr>
                    <w:t xml:space="preserve"> „vardinė (nominali) šiluminė galia“ taikoma kaip apibrėžta Lietuvos Respublikos energetikos įstatyme.</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bba30608cfa11eea5a28c81c82193a8">
                    <w:r w:rsidRPr="00532B9F">
                      <w:rPr>
                        <w:rFonts w:ascii="Arial" w:eastAsia="MS Mincho" w:hAnsi="Arial"/>
                        <w:sz w:val="20"/>
                        <w:i/>
                        <w:iCs/>
                        <w:color w:val="0000FF" w:themeColor="hyperlink"/>
                        <w:u w:val="single"/>
                      </w:rPr>
                      <w:t>D1-381</w:t>
                    </w:r>
                  </w:fldSimple>
                  <w:r>
                    <w:rPr>
                      <w:rFonts w:ascii="Arial" w:eastAsia="MS Mincho" w:hAnsi="Arial"/>
                      <w:sz w:val="20"/>
                      <w:i/>
                      <w:iCs/>
                    </w:rPr>
                    <w:t>,
2023-11-27,
paskelbta TAR 2023-11-27, i. k. 2023-22748            </w:t>
                  </w:r>
                </w:p>
                <w:p/>
              </w:sdtContent>
            </w:sdt>
            <w:sdt>
              <w:sdtPr>
                <w:alias w:val="9 p."/>
                <w:tag w:val="part_b9efc9a2f8f543c98afb6196bf3d8290"/>
                <w:lock w:val="sdtLocked"/>
                <w:richText/>
              </w:sdtPr>
              <w:sdtContent>
                <w:p>
                  <w:pPr>
                    <w:tabs>
                      <w:tab w:val="left" w:pos="993"/>
                    </w:tabs>
                    <w:suppressAutoHyphens/>
                    <w:ind w:firstLine="567"/>
                    <w:jc w:val="both"/>
                    <w:textAlignment w:val="baseline"/>
                    <w:rPr>
                      <w:color w:val="000000"/>
                      <w:szCs w:val="24"/>
                      <w:lang w:eastAsia="lt-LT"/>
                    </w:rPr>
                  </w:pPr>
                  <w:sdt>
                    <w:sdtPr>
                      <w:alias w:val="Numeris"/>
                      <w:tag w:val="nr_b9efc9a2f8f543c98afb6196bf3d8290"/>
                      <w:lock w:val="sdtLocked"/>
                      <w:richText/>
                    </w:sdtPr>
                    <w:sdtContent>
                      <w:r>
                        <w:rPr>
                          <w:color w:val="000000"/>
                          <w:lang w:eastAsia="zh-CN"/>
                        </w:rPr>
                        <w:t>9</w:t>
                      </w:r>
                    </w:sdtContent>
                  </w:sdt>
                  <w:r>
                    <w:rPr>
                      <w:color w:val="000000"/>
                      <w:lang w:eastAsia="zh-CN"/>
                    </w:rPr>
                    <w:t>.</w:t>
                  </w:r>
                  <w:r>
                    <w:rPr>
                      <w:b/>
                      <w:bCs/>
                      <w:color w:val="000000"/>
                      <w:lang w:eastAsia="zh-CN"/>
                    </w:rPr>
                    <w:t xml:space="preserve"> </w:t>
                  </w:r>
                  <w:r>
                    <w:rPr>
                      <w:color w:val="000000"/>
                      <w:lang w:eastAsia="zh-CN"/>
                    </w:rPr>
                    <w:t>Kitos Taisyklėse vartojamos sąvokos atitinka Lietuvos Respublikos civiliniame kodekse, Lietuvos Respublikos aplinkos apsaugos įstatyme, Lietuvos Respublikos klimato kaitos valdymo įstatyme, Lietuvos Respublikos atliekų tvarkymo įstatyme, Lietuvos Respublikos vandens įstatyme, Planuojamos ūkinės veiklos poveikio aplinkai vertinimo įstatyme, Lietuvos Respublikos aplinkos oro apsaugos įstatyme apibrėžtas sąvokas.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bba30608cfa11eea5a28c81c82193a8">
                    <w:r w:rsidRPr="00532B9F">
                      <w:rPr>
                        <w:rFonts w:ascii="Arial" w:eastAsia="MS Mincho" w:hAnsi="Arial"/>
                        <w:sz w:val="20"/>
                        <w:i/>
                        <w:iCs/>
                        <w:color w:val="0000FF" w:themeColor="hyperlink"/>
                        <w:u w:val="single"/>
                      </w:rPr>
                      <w:t>D1-381</w:t>
                    </w:r>
                  </w:fldSimple>
                  <w:r>
                    <w:rPr>
                      <w:rFonts w:ascii="Arial" w:eastAsia="MS Mincho" w:hAnsi="Arial"/>
                      <w:sz w:val="20"/>
                      <w:i/>
                      <w:iCs/>
                    </w:rPr>
                    <w:t>,
2023-11-27,
paskelbta TAR 2023-11-27, i. k. 2023-22748            </w:t>
                  </w:r>
                </w:p>
                <w:p/>
              </w:sdtContent>
            </w:sdt>
          </w:sdtContent>
        </w:sdt>
        <w:sdt>
          <w:sdtPr>
            <w:alias w:val="skyrius"/>
            <w:tag w:val="part_dea8becce7944d0eaceb2abae87ceb9b"/>
            <w:lock w:val="sdtLocked"/>
            <w:richText/>
          </w:sdtPr>
          <w:sdtContent>
            <w:p>
              <w:pPr>
                <w:widowControl w:val="0"/>
                <w:jc w:val="center"/>
                <w:rPr>
                  <w:b/>
                  <w:bCs/>
                  <w:caps/>
                  <w:color w:val="000000"/>
                  <w:szCs w:val="24"/>
                  <w:lang w:eastAsia="lt-LT"/>
                </w:rPr>
              </w:pPr>
              <w:sdt>
                <w:sdtPr>
                  <w:alias w:val="Numeris"/>
                  <w:tag w:val="nr_dea8becce7944d0eaceb2abae87ceb9b"/>
                  <w:lock w:val="sdtLocked"/>
                  <w:richText/>
                </w:sdtPr>
                <w:sdtContent>
                  <w:r>
                    <w:rPr>
                      <w:b/>
                      <w:bCs/>
                      <w:caps/>
                      <w:color w:val="000000"/>
                      <w:szCs w:val="24"/>
                      <w:lang w:eastAsia="lt-LT"/>
                    </w:rPr>
                    <w:t>III</w:t>
                  </w:r>
                </w:sdtContent>
              </w:sdt>
              <w:r>
                <w:rPr>
                  <w:b/>
                  <w:bCs/>
                  <w:caps/>
                  <w:color w:val="000000"/>
                  <w:szCs w:val="24"/>
                  <w:lang w:eastAsia="lt-LT"/>
                </w:rPr>
                <w:t xml:space="preserve">. </w:t>
              </w:r>
              <w:sdt>
                <w:sdtPr>
                  <w:alias w:val="Pavadinimas"/>
                  <w:tag w:val="title_dea8becce7944d0eaceb2abae87ceb9b"/>
                  <w:lock w:val="sdtLocked"/>
                  <w:richText/>
                </w:sdtPr>
                <w:sdtContent>
                  <w:r>
                    <w:rPr>
                      <w:b/>
                      <w:bCs/>
                      <w:caps/>
                      <w:color w:val="000000"/>
                      <w:szCs w:val="24"/>
                      <w:lang w:eastAsia="lt-LT"/>
                    </w:rPr>
                    <w:t>BENDRIEJI LEIDIMŲ IŠDAVIMO PRINCIPAI</w:t>
                  </w:r>
                </w:sdtContent>
              </w:sdt>
            </w:p>
            <w:p>
              <w:pPr>
                <w:widowControl w:val="0"/>
                <w:ind w:firstLine="567"/>
                <w:jc w:val="both"/>
                <w:rPr>
                  <w:color w:val="000000"/>
                  <w:szCs w:val="24"/>
                  <w:lang w:eastAsia="lt-LT"/>
                </w:rPr>
              </w:pPr>
            </w:p>
            <w:sdt>
              <w:sdtPr>
                <w:alias w:val="10 p."/>
                <w:tag w:val="part_a3f1dce563e5493084d9a101a80785cd"/>
                <w:lock w:val="sdtLocked"/>
                <w:richText/>
              </w:sdtPr>
              <w:sdtContent>
                <w:p>
                  <w:pPr>
                    <w:widowControl w:val="0"/>
                    <w:ind w:firstLine="567"/>
                    <w:jc w:val="both"/>
                    <w:rPr>
                      <w:color w:val="000000"/>
                      <w:szCs w:val="24"/>
                      <w:lang w:eastAsia="lt-LT"/>
                    </w:rPr>
                  </w:pPr>
                  <w:sdt>
                    <w:sdtPr>
                      <w:alias w:val="Numeris"/>
                      <w:tag w:val="nr_a3f1dce563e5493084d9a101a80785cd"/>
                      <w:lock w:val="sdtLocked"/>
                      <w:richText/>
                    </w:sdtPr>
                    <w:sdtContent>
                      <w:r>
                        <w:rPr>
                          <w:color w:val="000000"/>
                          <w:szCs w:val="24"/>
                          <w:lang w:eastAsia="lt-LT"/>
                        </w:rPr>
                        <w:t>10</w:t>
                      </w:r>
                    </w:sdtContent>
                  </w:sdt>
                  <w:r>
                    <w:rPr>
                      <w:color w:val="000000"/>
                      <w:szCs w:val="24"/>
                      <w:lang w:eastAsia="lt-LT"/>
                    </w:rPr>
                    <w:t>. Veiklos vykdytojas, eksploatuojantis Taisyklėse apibūdintą įrenginį (jo dalį, kelis įrenginius ar jų dalis), įskaitant kurą deginantį įrenginį, atliekų deginimo įrenginį ir (ar) bendrą atliekų deginimo įrenginį, privalo turėti leidimą.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58dcda07c7011e4abe983995522ea30">
                    <w:r w:rsidRPr="00532B9F">
                      <w:rPr>
                        <w:rFonts w:ascii="Arial" w:eastAsia="MS Mincho" w:hAnsi="Arial"/>
                        <w:sz w:val="20"/>
                        <w:i/>
                        <w:iCs/>
                        <w:color w:val="0000FF" w:themeColor="hyperlink"/>
                        <w:u w:val="single"/>
                      </w:rPr>
                      <w:t>D1-983</w:t>
                    </w:r>
                  </w:fldSimple>
                  <w:r>
                    <w:rPr>
                      <w:rFonts w:ascii="Arial" w:eastAsia="MS Mincho" w:hAnsi="Arial"/>
                      <w:sz w:val="20"/>
                      <w:i/>
                      <w:iCs/>
                    </w:rPr>
                    <w:t>,
2014-12-04,
paskelbta TAR 2014-12-05, i. k. 2014-19056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11 p."/>
                <w:tag w:val="part_cf1124e5edc84aca8774d6c1aaa967c0"/>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pPr>
                  <w:sdt>
                    <w:sdtPr>
                      <w:alias w:val="Numeris"/>
                      <w:tag w:val="nr_cf1124e5edc84aca8774d6c1aaa967c0"/>
                      <w:lock w:val="sdtLocked"/>
                      <w:richText/>
                    </w:sdtPr>
                    <w:sdtContent>
                      <w:r>
                        <w:rPr>
                          <w:szCs w:val="24"/>
                          <w:lang w:eastAsia="lt-LT"/>
                        </w:rPr>
                        <w:t>11</w:t>
                      </w:r>
                    </w:sdtContent>
                  </w:sdt>
                  <w:r>
                    <w:rPr>
                      <w:szCs w:val="24"/>
                      <w:lang w:eastAsia="lt-LT"/>
                    </w:rPr>
                    <w:t>. Leidimas gali būti išduodamas vienam įrenginiui ar jo daliai arba keliems to paties ūkinės veiklos vykdytojo įrenginiams ar jų dalims, esantiems toje pačioje vietoje (sklype, su juo besiribojančiuose sklypuose, ar sklypuose, atskirtuose tik inžinerine infrastruktūra). Dviem ar daugiau įrenginių ar jų dalims išduotame leidime turi būti nustatytos sąlygos, užtikrinančios, kad kiekvienas įrenginys ar jo dalis atitiktų Taisyklių reikalavimus.</w:t>
                  </w:r>
                  <w:r>
                    <w:t xml:space="preserve"> Jei leidimas išduodamas įrenginio daliai ar kelių įrenginių dalims, leidime įrašomas viso įrenginio ar kelių įrenginių pavadinimas (-ai), jo (jų) projektinis pajėgumas, įrenginio dalis (ar įrenginių dalys), kuriai (kurioms) išduodamas leidimas ir jos (jų) projektinis pajėgumas.</w:t>
                  </w:r>
                  <w:r>
                    <w:rPr>
                      <w:lang w:eastAsia="lt-LT"/>
                    </w:rPr>
                    <w:t xml:space="preserve"> </w:t>
                  </w:r>
                  <w:r>
                    <w:t xml:space="preserve">Jei įrenginį (jo dalį, kelis įrenginius ar jų dalis) eksploatuoja, naudoja ar valdo nuosavybės, nuomos, panaudos, patikėjimo teisės ar kitu teisiniu pagrindu keli </w:t>
                  </w:r>
                  <w:r>
                    <w:rPr>
                      <w:szCs w:val="24"/>
                      <w:lang w:eastAsia="lt-LT"/>
                    </w:rPr>
                    <w:t xml:space="preserve">ūkinės </w:t>
                  </w:r>
                  <w:r>
                    <w:t xml:space="preserve">veiklos vykdytojai, </w:t>
                  </w:r>
                  <w:r>
                    <w:rPr>
                      <w:szCs w:val="24"/>
                      <w:lang w:eastAsia="lt-LT"/>
                    </w:rPr>
                    <w:t xml:space="preserve">ūkinės </w:t>
                  </w:r>
                  <w:r>
                    <w:t xml:space="preserve">veiklos vykdytojams pateikus dokumentus, patvirtinančius ar įrodančius </w:t>
                  </w:r>
                  <w:r>
                    <w:rPr>
                      <w:szCs w:val="24"/>
                      <w:lang w:eastAsia="lt-LT"/>
                    </w:rPr>
                    <w:t xml:space="preserve">ūkinės </w:t>
                  </w:r>
                  <w:r>
                    <w:t xml:space="preserve">veiklos vykdytojų teises ir atsakomybės pasidalijimą, gali būti išduotas vienas leidimas (arba tikslinamas, nurodant kelis </w:t>
                  </w:r>
                  <w:r>
                    <w:rPr>
                      <w:szCs w:val="24"/>
                      <w:lang w:eastAsia="lt-LT"/>
                    </w:rPr>
                    <w:t xml:space="preserve">ūkinės </w:t>
                  </w:r>
                  <w:r>
                    <w:t xml:space="preserve">veiklos vykdytojus, jei prieš tai išduotas vienam </w:t>
                  </w:r>
                  <w:r>
                    <w:rPr>
                      <w:szCs w:val="24"/>
                      <w:lang w:eastAsia="lt-LT"/>
                    </w:rPr>
                    <w:t xml:space="preserve">ūkinės </w:t>
                  </w:r>
                  <w:r>
                    <w:t xml:space="preserve">veiklos vykdytojui) nurodant </w:t>
                  </w:r>
                  <w:r>
                    <w:rPr>
                      <w:szCs w:val="24"/>
                      <w:lang w:eastAsia="lt-LT"/>
                    </w:rPr>
                    <w:t xml:space="preserve">ūkinės </w:t>
                  </w:r>
                  <w:r>
                    <w:t xml:space="preserve">veiklos vykdytojų rekvizitus ir atsakomybės pasidalijimą.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58dcda07c7011e4abe983995522ea30">
                    <w:r w:rsidRPr="00532B9F">
                      <w:rPr>
                        <w:rFonts w:ascii="Arial" w:eastAsia="MS Mincho" w:hAnsi="Arial"/>
                        <w:sz w:val="20"/>
                        <w:i/>
                        <w:iCs/>
                        <w:color w:val="0000FF" w:themeColor="hyperlink"/>
                        <w:u w:val="single"/>
                      </w:rPr>
                      <w:t>D1-983</w:t>
                    </w:r>
                  </w:fldSimple>
                  <w:r>
                    <w:rPr>
                      <w:rFonts w:ascii="Arial" w:eastAsia="MS Mincho" w:hAnsi="Arial"/>
                      <w:sz w:val="20"/>
                      <w:i/>
                      <w:iCs/>
                    </w:rPr>
                    <w:t>,
2014-12-04,
paskelbta TAR 2014-12-05, i. k. 2014-19056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11-1 p."/>
                <w:tag w:val="part_791f7e007d5e4d1386a9b006b8957b17"/>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791f7e007d5e4d1386a9b006b8957b17"/>
                      <w:lock w:val="sdtLocked"/>
                      <w:richText/>
                    </w:sdtPr>
                    <w:sdtContent>
                      <w:r>
                        <w:t>11</w:t>
                      </w:r>
                      <w:r>
                        <w:rPr>
                          <w:vertAlign w:val="superscript"/>
                        </w:rPr>
                        <w:t>1</w:t>
                      </w:r>
                    </w:sdtContent>
                  </w:sdt>
                  <w:r>
                    <w:t xml:space="preserve">. Kai veikla vykdoma įrenginyje, kurį sudaro keli kurą deginantys įrenginiai, neatsižvelgiant į kiekvieno jų vardinę (nominalią) šiluminę galią, ir jei visų įrenginių bendra vardinė (nominali) šiluminė galia yra lygi arba viršija 50 MW, tokia veikla priskiriama Taisyklių 1 priedo 1.1 punkte nurodytai veiklai.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12 p."/>
                <w:tag w:val="part_7137f32bdc32435ebd1422af603792d0"/>
                <w:lock w:val="sdtLocked"/>
                <w:richText/>
              </w:sdtPr>
              <w:sdtContent>
                <w:p>
                  <w:pPr>
                    <w:ind w:firstLine="567"/>
                    <w:jc w:val="both"/>
                    <w:rPr>
                      <w:color w:val="000000"/>
                      <w:szCs w:val="24"/>
                      <w:lang w:eastAsia="lt-LT"/>
                    </w:rPr>
                  </w:pPr>
                  <w:sdt>
                    <w:sdtPr>
                      <w:alias w:val="Numeris"/>
                      <w:tag w:val="nr_7137f32bdc32435ebd1422af603792d0"/>
                      <w:lock w:val="sdtLocked"/>
                      <w:richText/>
                    </w:sdtPr>
                    <w:sdtContent>
                      <w:r>
                        <w:rPr>
                          <w:color w:val="000000"/>
                          <w:szCs w:val="24"/>
                          <w:lang w:eastAsia="lt-LT"/>
                        </w:rPr>
                        <w:t>12</w:t>
                      </w:r>
                    </w:sdtContent>
                  </w:sdt>
                  <w:r>
                    <w:rPr>
                      <w:color w:val="000000"/>
                      <w:szCs w:val="24"/>
                      <w:lang w:eastAsia="lt-LT"/>
                    </w:rPr>
                    <w:t xml:space="preserve">. Veiklos vykdytojas leidimą naujam įrenginiui (jo daliai, keliems įrenginiams ar jų dalims) eksploatuoti privalo gauti iki įrenginio eksploatavimo pradžios. </w:t>
                  </w:r>
                  <w:r>
                    <w:rPr>
                      <w:lang w:eastAsia="lt-LT"/>
                    </w:rPr>
                    <w:t>Planuojant įrenginio pakeitimą ar išplėtimą, dėl kurių reikia nustatyti kitokias leidimo sąlygas, negu nustatytos leidime, leidimas turi būti pakeistas arba patikslintos leidimo sąlygos iki įrenginio pakeitimo ar išplėtimo.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13 p."/>
                <w:tag w:val="part_0f0db99ab1884ca28eed6620b1c92329"/>
                <w:lock w:val="sdtLocked"/>
                <w:richText/>
              </w:sdtPr>
              <w:sdtContent>
                <w:p>
                  <w:pPr>
                    <w:ind w:firstLine="567"/>
                    <w:jc w:val="both"/>
                    <w:rPr>
                      <w:color w:val="000000"/>
                      <w:szCs w:val="24"/>
                      <w:lang w:eastAsia="lt-LT"/>
                    </w:rPr>
                  </w:pPr>
                  <w:sdt>
                    <w:sdtPr>
                      <w:alias w:val="Numeris"/>
                      <w:tag w:val="nr_0f0db99ab1884ca28eed6620b1c92329"/>
                      <w:lock w:val="sdtLocked"/>
                      <w:richText/>
                    </w:sdtPr>
                    <w:sdtContent>
                      <w:r>
                        <w:rPr>
                          <w:color w:val="000000"/>
                          <w:szCs w:val="24"/>
                          <w:lang w:eastAsia="lt-LT"/>
                        </w:rPr>
                        <w:t>13</w:t>
                      </w:r>
                    </w:sdtContent>
                  </w:sdt>
                  <w:r>
                    <w:rPr>
                      <w:color w:val="000000"/>
                      <w:szCs w:val="24"/>
                      <w:lang w:eastAsia="lt-LT"/>
                    </w:rPr>
                    <w:t>. AAA išduoda, pakeičia leidimą, patikslina leidimo sąlygas, panaikina leidimo galiojimą, peržiūri leidimo sąlygas. Leidimas rengiamas, pakeičiamas pagal AAA sprendimu priimtą paraišką. Leidimo sąlygų, išskyrus NVSC nustatytų sąlygų dėl triukšmo ir kvapų valdymo, laikymosi kontrolę, atlieka AAD. NVSC nustatytų leidimo sąlygų dėl triukšmo ir kvapų valdymo laikymosi kontrolę atlieka NVSC.</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b7ec10747d11e8ae2bfd1913d66d57">
                    <w:r w:rsidRPr="00532B9F">
                      <w:rPr>
                        <w:rFonts w:ascii="Arial" w:eastAsia="MS Mincho" w:hAnsi="Arial"/>
                        <w:sz w:val="20"/>
                        <w:i/>
                        <w:iCs/>
                        <w:color w:val="0000FF" w:themeColor="hyperlink"/>
                        <w:u w:val="single"/>
                      </w:rPr>
                      <w:t>D1-537</w:t>
                    </w:r>
                  </w:fldSimple>
                  <w:r>
                    <w:rPr>
                      <w:rFonts w:ascii="Arial" w:eastAsia="MS Mincho" w:hAnsi="Arial"/>
                      <w:sz w:val="20"/>
                      <w:i/>
                      <w:iCs/>
                    </w:rPr>
                    <w:t>,
2018-06-19,
paskelbta TAR 2018-06-20, i. k. 2018-10131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14 p."/>
                <w:tag w:val="part_fbc1e757d7df4e1b980bb624997c1de9"/>
                <w:lock w:val="sdtLocked"/>
                <w:richText/>
              </w:sdtPr>
              <w:sdtContent>
                <w:p>
                  <w:pPr>
                    <w:widowControl w:val="0"/>
                    <w:ind w:firstLine="567"/>
                    <w:jc w:val="both"/>
                    <w:rPr>
                      <w:color w:val="000000"/>
                      <w:szCs w:val="24"/>
                      <w:lang w:eastAsia="lt-LT"/>
                    </w:rPr>
                  </w:pPr>
                  <w:sdt>
                    <w:sdtPr>
                      <w:alias w:val="Numeris"/>
                      <w:tag w:val="nr_fbc1e757d7df4e1b980bb624997c1de9"/>
                      <w:lock w:val="sdtLocked"/>
                      <w:richText/>
                    </w:sdtPr>
                    <w:sdtContent>
                      <w:r>
                        <w:rPr>
                          <w:color w:val="000000"/>
                          <w:szCs w:val="24"/>
                          <w:lang w:eastAsia="lt-LT"/>
                        </w:rPr>
                        <w:t>14</w:t>
                      </w:r>
                    </w:sdtContent>
                  </w:sdt>
                  <w:r>
                    <w:rPr>
                      <w:color w:val="000000"/>
                      <w:szCs w:val="24"/>
                      <w:lang w:eastAsia="lt-LT"/>
                    </w:rPr>
                    <w:t>. Kai įrenginį eksploatuoja, kontroliuoja ar valdo keli ūkio subjektai (</w:t>
                  </w:r>
                  <w:r>
                    <w:rPr>
                      <w:szCs w:val="24"/>
                      <w:lang w:eastAsia="lt-LT"/>
                    </w:rPr>
                    <w:t xml:space="preserve">ūkinės </w:t>
                  </w:r>
                  <w:r>
                    <w:rPr>
                      <w:color w:val="000000"/>
                      <w:szCs w:val="24"/>
                      <w:lang w:eastAsia="lt-LT"/>
                    </w:rPr>
                    <w:t>veiklos vykdytojai), kuriems nuosavybės teise priklauso atskiros įrenginio dalys, arba kurie naudoja, valdo įrenginio dalis nuomos, panaudos, patikėjimo teise ar eksploatuoja kitu teisiniu pagrindu ir atsako už įrenginio dalių eksploatavimo ir techninio funkcionavimo kontrolę, įrenginiui gali būti išduotas vienas leidimas. Įrenginys negali būti dalijamas dalimis (to paties subjekto (</w:t>
                  </w:r>
                  <w:r>
                    <w:rPr>
                      <w:szCs w:val="24"/>
                      <w:lang w:eastAsia="lt-LT"/>
                    </w:rPr>
                    <w:t xml:space="preserve">ūkinės </w:t>
                  </w:r>
                  <w:r>
                    <w:rPr>
                      <w:color w:val="000000"/>
                      <w:szCs w:val="24"/>
                      <w:lang w:eastAsia="lt-LT"/>
                    </w:rPr>
                    <w:t>veiklos vykdytojo) ar tarp kelių subjektų (</w:t>
                  </w:r>
                  <w:r>
                    <w:rPr>
                      <w:szCs w:val="24"/>
                      <w:lang w:eastAsia="lt-LT"/>
                    </w:rPr>
                    <w:t xml:space="preserve">ūkinės </w:t>
                  </w:r>
                  <w:r>
                    <w:rPr>
                      <w:color w:val="000000"/>
                      <w:szCs w:val="24"/>
                      <w:lang w:eastAsia="lt-LT"/>
                    </w:rPr>
                    <w:t xml:space="preserve">veiklos vykdytojų)) siekiant vykdyti </w:t>
                  </w:r>
                  <w:r>
                    <w:rPr>
                      <w:szCs w:val="24"/>
                      <w:lang w:eastAsia="lt-LT"/>
                    </w:rPr>
                    <w:t xml:space="preserve">ūkinę </w:t>
                  </w:r>
                  <w:r>
                    <w:rPr>
                      <w:color w:val="000000"/>
                      <w:szCs w:val="24"/>
                      <w:lang w:eastAsia="lt-LT"/>
                    </w:rPr>
                    <w:t>veiklą be leidimo.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15 p."/>
                <w:tag w:val="part_ce69aa0e5c0e40a19b180b66dbbd9ef5"/>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ce69aa0e5c0e40a19b180b66dbbd9ef5"/>
                      <w:lock w:val="sdtLocked"/>
                      <w:richText/>
                    </w:sdtPr>
                    <w:sdtContent>
                      <w:r>
                        <w:rPr>
                          <w:szCs w:val="24"/>
                          <w:lang w:eastAsia="lt-LT"/>
                        </w:rPr>
                        <w:t>15</w:t>
                      </w:r>
                    </w:sdtContent>
                  </w:sdt>
                  <w:r>
                    <w:rPr>
                      <w:szCs w:val="24"/>
                      <w:lang w:eastAsia="lt-LT"/>
                    </w:rPr>
                    <w:t>. Leidimas išduodamas neterminuotam laikui.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16 p."/>
                <w:tag w:val="part_57bd9f11fa27469686f4aca04941706e"/>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pPr>
                  <w:sdt>
                    <w:sdtPr>
                      <w:alias w:val="Numeris"/>
                      <w:tag w:val="nr_57bd9f11fa27469686f4aca04941706e"/>
                      <w:lock w:val="sdtLocked"/>
                      <w:richText/>
                    </w:sdtPr>
                    <w:sdtContent>
                      <w:r>
                        <w:rPr>
                          <w:lang w:eastAsia="lt-LT"/>
                        </w:rPr>
                        <w:t>16</w:t>
                      </w:r>
                    </w:sdtContent>
                  </w:sdt>
                  <w:r>
                    <w:rPr>
                      <w:lang w:eastAsia="lt-LT"/>
                    </w:rPr>
                    <w:t xml:space="preserve">. Leidimas išduodamas ar pakeičiamas tik atlikus planuojamos ūkinės veiklos </w:t>
                  </w:r>
                  <w:r>
                    <w:rPr>
                      <w:rFonts w:eastAsia="Calibri"/>
                      <w:lang w:eastAsia="lt-LT"/>
                    </w:rPr>
                    <w:t>atranką dėl poveikio aplinkai vertinimo (toliau – atranka) ir (ar) poveikio aplinkai vertinimą</w:t>
                  </w:r>
                  <w:r>
                    <w:rPr>
                      <w:lang w:eastAsia="lt-LT"/>
                    </w:rPr>
                    <w:t>, kai, vadovaujantis Lietuvos Respublikos planuojamos ūkinės veiklos poveikio aplinkai vertinimo įstatymu, šios procedūros privalomos,</w:t>
                  </w:r>
                  <w:r>
                    <w:rPr>
                      <w:color w:val="000000"/>
                      <w:lang w:eastAsia="lt-LT"/>
                    </w:rPr>
                    <w:t xml:space="preserve"> </w:t>
                  </w:r>
                  <w:r>
                    <w:rPr>
                      <w:lang w:eastAsia="lt-LT"/>
                    </w:rPr>
                    <w:t>ir AAA priėmus atrankos išvadą, kad poveikio aplinkai vertinimas neprivalomas (toliau – atrankos išvada),</w:t>
                  </w:r>
                  <w:r>
                    <w:rPr>
                      <w:rFonts w:eastAsia="Calibri"/>
                      <w:lang w:eastAsia="lt-LT"/>
                    </w:rPr>
                    <w:t xml:space="preserve"> ar </w:t>
                  </w:r>
                  <w:r>
                    <w:rPr>
                      <w:lang w:eastAsia="lt-LT"/>
                    </w:rPr>
                    <w:t xml:space="preserve">sprendimą dėl poveikio aplinkai, pagal kurį planuojama ūkinė veikla atitinka teisės aktų reikalavimus (toliau – PAV sprendimas), </w:t>
                  </w:r>
                  <w:r>
                    <w:rPr>
                      <w:rFonts w:eastAsia="Calibri"/>
                      <w:lang w:eastAsia="lt-LT"/>
                    </w:rPr>
                    <w:t xml:space="preserve">išskyrus atvejus, kai leidimas keičiamas dėl priežasčių, nesusijusių su eksploatuojamo įrenginio ar įrenginyje vykdomos </w:t>
                  </w:r>
                  <w:r>
                    <w:rPr>
                      <w:szCs w:val="24"/>
                      <w:lang w:eastAsia="lt-LT"/>
                    </w:rPr>
                    <w:t xml:space="preserve">ūkinės </w:t>
                  </w:r>
                  <w:r>
                    <w:rPr>
                      <w:rFonts w:eastAsia="Calibri"/>
                      <w:lang w:eastAsia="lt-LT"/>
                    </w:rPr>
                    <w:t xml:space="preserve">veiklos pakeitimu ar išplėtimu, patenkančiu į </w:t>
                  </w:r>
                  <w:r>
                    <w:rPr>
                      <w:lang w:eastAsia="lt-LT"/>
                    </w:rPr>
                    <w:t xml:space="preserve">Lietuvos Respublikos </w:t>
                  </w:r>
                  <w:r>
                    <w:rPr>
                      <w:rFonts w:eastAsia="Calibri"/>
                      <w:lang w:eastAsia="lt-LT"/>
                    </w:rPr>
                    <w:t>p</w:t>
                  </w:r>
                  <w:r>
                    <w:t xml:space="preserve">lanuojamos ūkinės veiklos poveikio aplinkai vertinimo </w:t>
                  </w:r>
                  <w:r>
                    <w:rPr>
                      <w:rFonts w:eastAsia="Calibri"/>
                      <w:lang w:eastAsia="lt-LT"/>
                    </w:rPr>
                    <w:t>įstatymo teisinio reguliavimo sritį, arba leidimas, pagal kurį bus vykdoma atrankos išvadoje ar sprendime nurodyta ūkinė veikla, išduodamas turint galiojantį statybą leidžiantį dokumentą, išduotą PAV sprendimo arba atrankos išvados galiojimo metu.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58dcda07c7011e4abe983995522ea30">
                    <w:r w:rsidRPr="00532B9F">
                      <w:rPr>
                        <w:rFonts w:ascii="Arial" w:eastAsia="MS Mincho" w:hAnsi="Arial"/>
                        <w:sz w:val="20"/>
                        <w:i/>
                        <w:iCs/>
                        <w:color w:val="0000FF" w:themeColor="hyperlink"/>
                        <w:u w:val="single"/>
                      </w:rPr>
                      <w:t>D1-983</w:t>
                    </w:r>
                  </w:fldSimple>
                  <w:r>
                    <w:rPr>
                      <w:rFonts w:ascii="Arial" w:eastAsia="MS Mincho" w:hAnsi="Arial"/>
                      <w:sz w:val="20"/>
                      <w:i/>
                      <w:iCs/>
                    </w:rPr>
                    <w:t>,
2014-12-04,
paskelbta TAR 2014-12-05, i. k. 2014-19056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16-1 p."/>
                <w:tag w:val="part_a88894bfb8704b8c8322a92edeef1ad9"/>
                <w:lock w:val="sdtLocked"/>
                <w:richText/>
              </w:sdtPr>
              <w:sdtContent>
                <w:p>
                  <w:pPr>
                    <w:widowControl w:val="0"/>
                    <w:ind w:firstLine="567"/>
                    <w:jc w:val="both"/>
                    <w:rPr>
                      <w:color w:val="000000"/>
                      <w:szCs w:val="24"/>
                      <w:lang w:eastAsia="lt-LT"/>
                    </w:rPr>
                  </w:pPr>
                  <w:sdt>
                    <w:sdtPr>
                      <w:alias w:val="Numeris"/>
                      <w:tag w:val="nr_a88894bfb8704b8c8322a92edeef1ad9"/>
                      <w:lock w:val="sdtLocked"/>
                      <w:richText/>
                    </w:sdtPr>
                    <w:sdtContent>
                      <w:r>
                        <w:rPr>
                          <w:color w:val="000000"/>
                          <w:szCs w:val="24"/>
                          <w:lang w:eastAsia="lt-LT"/>
                        </w:rPr>
                        <w:t>16</w:t>
                      </w:r>
                      <w:r>
                        <w:rPr>
                          <w:color w:val="000000"/>
                          <w:szCs w:val="24"/>
                          <w:vertAlign w:val="superscript"/>
                          <w:lang w:eastAsia="lt-LT"/>
                        </w:rPr>
                        <w:t>1</w:t>
                      </w:r>
                    </w:sdtContent>
                  </w:sdt>
                  <w:r>
                    <w:rPr>
                      <w:color w:val="000000"/>
                      <w:szCs w:val="24"/>
                      <w:lang w:eastAsia="lt-LT"/>
                    </w:rPr>
                    <w:t xml:space="preserve">. Jei planuojamai ūkinei veiklai buvo atliktos atrankos ar poveikio aplinkai vertinimo procedūros, išduotas ir (ar) pakeistas leidimas turi atitikti PAV sprendime arba atrankos išvadoje nurodytą ūkinės veiklos mastą, fizines ir technines charakteristikas, PAV sprendime nustatytas </w:t>
                  </w:r>
                  <w:r>
                    <w:rPr>
                      <w:color w:val="000000"/>
                      <w:szCs w:val="24"/>
                      <w:shd w:val="clear" w:color="auto" w:fill="FFFFFF"/>
                      <w:lang w:eastAsia="lt-LT"/>
                    </w:rPr>
                    <w:t>planuojamos ūkinės veiklos įgyvendinimo</w:t>
                  </w:r>
                  <w:r>
                    <w:rPr>
                      <w:color w:val="000000"/>
                      <w:szCs w:val="24"/>
                      <w:lang w:eastAsia="lt-LT"/>
                    </w:rPr>
                    <w:t xml:space="preserve"> sąlygas ir priemones reikšmingam neigiamam poveikiui aplinkai </w:t>
                  </w:r>
                  <w:r>
                    <w:rPr>
                      <w:color w:val="000000"/>
                      <w:szCs w:val="24"/>
                      <w:shd w:val="clear" w:color="auto" w:fill="FFFFFF"/>
                      <w:lang w:eastAsia="lt-LT"/>
                    </w:rPr>
                    <w:t xml:space="preserve"> išvengti, </w:t>
                  </w:r>
                  <w:r>
                    <w:rPr>
                      <w:color w:val="000000"/>
                      <w:szCs w:val="24"/>
                      <w:lang w:eastAsia="lt-LT"/>
                    </w:rPr>
                    <w:t xml:space="preserve">sumažinti, kompensuoti </w:t>
                  </w:r>
                  <w:r>
                    <w:rPr>
                      <w:color w:val="000000"/>
                      <w:szCs w:val="24"/>
                      <w:shd w:val="clear" w:color="auto" w:fill="FFFFFF"/>
                      <w:lang w:eastAsia="lt-LT"/>
                    </w:rPr>
                    <w:t>ir (ar)</w:t>
                  </w:r>
                  <w:r>
                    <w:rPr>
                      <w:color w:val="000000"/>
                      <w:szCs w:val="24"/>
                      <w:lang w:eastAsia="lt-LT"/>
                    </w:rPr>
                    <w:t xml:space="preserve"> </w:t>
                  </w:r>
                  <w:r>
                    <w:rPr>
                      <w:color w:val="000000"/>
                      <w:szCs w:val="24"/>
                      <w:shd w:val="clear" w:color="auto" w:fill="FFFFFF"/>
                      <w:lang w:eastAsia="lt-LT"/>
                    </w:rPr>
                    <w:t xml:space="preserve">atkurti tai, kas pažeista, </w:t>
                  </w:r>
                  <w:r>
                    <w:rPr>
                      <w:color w:val="000000"/>
                      <w:szCs w:val="24"/>
                      <w:lang w:eastAsia="lt-LT"/>
                    </w:rPr>
                    <w:t>arba atrankos išvadoje dėl poveikio aplinkai vertinimo nustatytas priemones reikšmingam neigiamam poveikiui aplinkai išvengti ir (ar) užkirsti jam kelią, kurios turi būti įgyvendintos rengiantis vykdyti veiklą, veiklos vykdymo ir užbaigimo metu.</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Content>
        </w:sdt>
        <w:sdt>
          <w:sdtPr>
            <w:alias w:val="skyrius"/>
            <w:tag w:val="part_0fd3e58adf784878ba9dab9b0dbe26f0"/>
            <w:lock w:val="sdtLocked"/>
            <w:richText/>
          </w:sdtPr>
          <w:sdtContent>
            <w:p>
              <w:pPr>
                <w:widowControl w:val="0"/>
                <w:jc w:val="center"/>
                <w:rPr>
                  <w:b/>
                  <w:bCs/>
                  <w:caps/>
                  <w:color w:val="000000"/>
                  <w:szCs w:val="24"/>
                  <w:lang w:eastAsia="lt-LT"/>
                </w:rPr>
              </w:pPr>
              <w:sdt>
                <w:sdtPr>
                  <w:alias w:val="Numeris"/>
                  <w:tag w:val="nr_0fd3e58adf784878ba9dab9b0dbe26f0"/>
                  <w:lock w:val="sdtLocked"/>
                  <w:richText/>
                </w:sdtPr>
                <w:sdtContent>
                  <w:r>
                    <w:rPr>
                      <w:b/>
                      <w:bCs/>
                      <w:caps/>
                      <w:color w:val="000000"/>
                      <w:szCs w:val="24"/>
                      <w:lang w:eastAsia="lt-LT"/>
                    </w:rPr>
                    <w:t>IV</w:t>
                  </w:r>
                </w:sdtContent>
              </w:sdt>
              <w:r>
                <w:rPr>
                  <w:b/>
                  <w:bCs/>
                  <w:caps/>
                  <w:color w:val="000000"/>
                  <w:szCs w:val="24"/>
                  <w:lang w:eastAsia="lt-LT"/>
                </w:rPr>
                <w:t xml:space="preserve">. </w:t>
              </w:r>
              <w:sdt>
                <w:sdtPr>
                  <w:alias w:val="Pavadinimas"/>
                  <w:tag w:val="title_0fd3e58adf784878ba9dab9b0dbe26f0"/>
                  <w:lock w:val="sdtLocked"/>
                  <w:richText/>
                </w:sdtPr>
                <w:sdtContent>
                  <w:r>
                    <w:rPr>
                      <w:b/>
                      <w:bCs/>
                      <w:caps/>
                      <w:color w:val="000000"/>
                      <w:szCs w:val="24"/>
                      <w:lang w:eastAsia="lt-LT"/>
                    </w:rPr>
                    <w:t>PAGRINDINIAI LEIDIMO SĄLYGŲ NUSTATYMO PRINCIPAI</w:t>
                  </w:r>
                </w:sdtContent>
              </w:sdt>
            </w:p>
            <w:p>
              <w:pPr>
                <w:widowControl w:val="0"/>
                <w:ind w:firstLine="567"/>
                <w:jc w:val="both"/>
                <w:rPr>
                  <w:color w:val="000000"/>
                  <w:szCs w:val="24"/>
                  <w:lang w:eastAsia="lt-LT"/>
                </w:rPr>
              </w:pPr>
            </w:p>
            <w:sdt>
              <w:sdtPr>
                <w:alias w:val="17 p."/>
                <w:tag w:val="part_8180c863d29b44eb91621034929c77aa"/>
                <w:lock w:val="sdtLocked"/>
                <w:richText/>
              </w:sdtPr>
              <w:sdtContent>
                <w:p>
                  <w:pPr>
                    <w:widowControl w:val="0"/>
                    <w:ind w:firstLine="567"/>
                    <w:jc w:val="both"/>
                    <w:rPr>
                      <w:color w:val="000000"/>
                      <w:szCs w:val="24"/>
                      <w:lang w:eastAsia="lt-LT"/>
                    </w:rPr>
                  </w:pPr>
                  <w:sdt>
                    <w:sdtPr>
                      <w:alias w:val="Numeris"/>
                      <w:tag w:val="nr_8180c863d29b44eb91621034929c77aa"/>
                      <w:lock w:val="sdtLocked"/>
                      <w:richText/>
                    </w:sdtPr>
                    <w:sdtContent>
                      <w:r>
                        <w:rPr>
                          <w:color w:val="000000"/>
                          <w:szCs w:val="24"/>
                          <w:lang w:eastAsia="lt-LT"/>
                        </w:rPr>
                        <w:t>17</w:t>
                      </w:r>
                    </w:sdtContent>
                  </w:sdt>
                  <w:r>
                    <w:rPr>
                      <w:color w:val="000000"/>
                      <w:szCs w:val="24"/>
                      <w:lang w:eastAsia="lt-LT"/>
                    </w:rPr>
                    <w:t>. Išduodant, pakeičiant leidimus, nustatant leidimo sąlygas ir eksploatuojant įrenginius, turi būti užtikrintas šių pagrindinių principų laikymasis:</w:t>
                  </w:r>
                </w:p>
                <w:sdt>
                  <w:sdtPr>
                    <w:alias w:val="17.1 p."/>
                    <w:tag w:val="part_9dda18a7a55d4063b1177d431f20e907"/>
                    <w:lock w:val="sdtLocked"/>
                    <w:richText/>
                  </w:sdtPr>
                  <w:sdtContent>
                    <w:p>
                      <w:pPr>
                        <w:widowControl w:val="0"/>
                        <w:ind w:firstLine="567"/>
                        <w:jc w:val="both"/>
                        <w:rPr>
                          <w:color w:val="000000"/>
                          <w:szCs w:val="24"/>
                          <w:lang w:eastAsia="lt-LT"/>
                        </w:rPr>
                      </w:pPr>
                      <w:sdt>
                        <w:sdtPr>
                          <w:alias w:val="Numeris"/>
                          <w:tag w:val="nr_9dda18a7a55d4063b1177d431f20e907"/>
                          <w:lock w:val="sdtLocked"/>
                          <w:richText/>
                        </w:sdtPr>
                        <w:sdtContent>
                          <w:r>
                            <w:rPr>
                              <w:color w:val="000000"/>
                              <w:szCs w:val="24"/>
                              <w:lang w:eastAsia="lt-LT"/>
                            </w:rPr>
                            <w:t>17.1</w:t>
                          </w:r>
                        </w:sdtContent>
                      </w:sdt>
                      <w:r>
                        <w:rPr>
                          <w:color w:val="000000"/>
                          <w:szCs w:val="24"/>
                          <w:lang w:eastAsia="lt-LT"/>
                        </w:rPr>
                        <w:t>. įrenginys turi būti eksploatuojamas nepažeidžiant nustatytų aplinkos kokybės normų, aplinkos apsaugos, visuomenės sveikatos saugos teisės aktuose nustatytų reikalavimų;</w:t>
                      </w:r>
                    </w:p>
                  </w:sdtContent>
                </w:sdt>
                <w:sdt>
                  <w:sdtPr>
                    <w:alias w:val="17.2 p."/>
                    <w:tag w:val="part_b5bacb3d9a304300bdc48058b7202eb1"/>
                    <w:lock w:val="sdtLocked"/>
                    <w:richText/>
                  </w:sdtPr>
                  <w:sdtContent>
                    <w:p>
                      <w:pPr>
                        <w:widowControl w:val="0"/>
                        <w:ind w:firstLine="567"/>
                        <w:jc w:val="both"/>
                        <w:rPr>
                          <w:color w:val="000000"/>
                          <w:szCs w:val="24"/>
                          <w:lang w:eastAsia="lt-LT"/>
                        </w:rPr>
                      </w:pPr>
                      <w:sdt>
                        <w:sdtPr>
                          <w:alias w:val="Numeris"/>
                          <w:tag w:val="nr_b5bacb3d9a304300bdc48058b7202eb1"/>
                          <w:lock w:val="sdtLocked"/>
                          <w:richText/>
                        </w:sdtPr>
                        <w:sdtContent>
                          <w:r>
                            <w:rPr>
                              <w:color w:val="000000"/>
                              <w:szCs w:val="24"/>
                              <w:lang w:eastAsia="lt-LT"/>
                            </w:rPr>
                            <w:t>17.2</w:t>
                          </w:r>
                        </w:sdtContent>
                      </w:sdt>
                      <w:r>
                        <w:rPr>
                          <w:color w:val="000000"/>
                          <w:szCs w:val="24"/>
                          <w:lang w:eastAsia="lt-LT"/>
                        </w:rPr>
                        <w:t>. pagal Taisyklių reikalavimus taikomos įmanomos taršos prevencijos priemonės ir GPGB;</w:t>
                      </w:r>
                    </w:p>
                  </w:sdtContent>
                </w:sdt>
                <w:sdt>
                  <w:sdtPr>
                    <w:alias w:val="17.3 p."/>
                    <w:tag w:val="part_d02e3c8dac61475f9a1f5ea572c2772d"/>
                    <w:lock w:val="sdtLocked"/>
                    <w:richText/>
                  </w:sdtPr>
                  <w:sdtContent>
                    <w:p>
                      <w:pPr>
                        <w:widowControl w:val="0"/>
                        <w:ind w:firstLine="567"/>
                        <w:jc w:val="both"/>
                        <w:rPr>
                          <w:color w:val="000000"/>
                          <w:szCs w:val="24"/>
                          <w:lang w:eastAsia="lt-LT"/>
                        </w:rPr>
                      </w:pPr>
                      <w:sdt>
                        <w:sdtPr>
                          <w:alias w:val="Numeris"/>
                          <w:tag w:val="nr_d02e3c8dac61475f9a1f5ea572c2772d"/>
                          <w:lock w:val="sdtLocked"/>
                          <w:richText/>
                        </w:sdtPr>
                        <w:sdtContent>
                          <w:r>
                            <w:rPr>
                              <w:color w:val="000000"/>
                              <w:szCs w:val="24"/>
                              <w:lang w:eastAsia="lt-LT"/>
                            </w:rPr>
                            <w:t>17.3</w:t>
                          </w:r>
                        </w:sdtContent>
                      </w:sdt>
                      <w:r>
                        <w:rPr>
                          <w:color w:val="000000"/>
                          <w:szCs w:val="24"/>
                          <w:lang w:eastAsia="lt-LT"/>
                        </w:rPr>
                        <w:t>. gamtos ištekliai naudojami racionaliai ir taupiai, energija – efektyviai;</w:t>
                      </w:r>
                    </w:p>
                  </w:sdtContent>
                </w:sdt>
                <w:sdt>
                  <w:sdtPr>
                    <w:alias w:val="17.4 p."/>
                    <w:tag w:val="part_5fde8bdf6fe44033a3aa05dfe82f9210"/>
                    <w:lock w:val="sdtLocked"/>
                    <w:richText/>
                  </w:sdtPr>
                  <w:sdtContent>
                    <w:p>
                      <w:pPr>
                        <w:widowControl w:val="0"/>
                        <w:ind w:firstLine="567"/>
                        <w:jc w:val="both"/>
                        <w:rPr>
                          <w:color w:val="000000"/>
                          <w:szCs w:val="24"/>
                          <w:lang w:eastAsia="lt-LT"/>
                        </w:rPr>
                      </w:pPr>
                      <w:sdt>
                        <w:sdtPr>
                          <w:alias w:val="Numeris"/>
                          <w:tag w:val="nr_5fde8bdf6fe44033a3aa05dfe82f9210"/>
                          <w:lock w:val="sdtLocked"/>
                          <w:richText/>
                        </w:sdtPr>
                        <w:sdtContent>
                          <w:r>
                            <w:rPr>
                              <w:color w:val="000000"/>
                              <w:szCs w:val="24"/>
                              <w:lang w:eastAsia="lt-LT"/>
                            </w:rPr>
                            <w:t>17.4</w:t>
                          </w:r>
                        </w:sdtContent>
                      </w:sdt>
                      <w:r>
                        <w:rPr>
                          <w:color w:val="000000"/>
                          <w:szCs w:val="24"/>
                          <w:lang w:eastAsia="lt-LT"/>
                        </w:rPr>
                        <w:t>. užtikrinama atliekų susidarymo prevencija, kaip numatyta Atliekų tvarkymo įstatyme. Pagal prioritetų eiliškumą ir laikantis atliekų tvarkymą reglamentuojančių teisės aktų reikalavimų, atliekos turi būti paruošiamos pakartotiniam naudojimui, perdirbamos, panaudojamos, o jei tai techniškai ir ekonomiškai neįmanoma, – šalinamos siekiant išvengti neigiamo poveikio aplinkai arba jį sumažinti;</w:t>
                      </w:r>
                    </w:p>
                  </w:sdtContent>
                </w:sdt>
                <w:sdt>
                  <w:sdtPr>
                    <w:alias w:val="17.5 p."/>
                    <w:tag w:val="part_9d16bf786ab143d7934e8a53b0f2587c"/>
                    <w:lock w:val="sdtLocked"/>
                    <w:richText/>
                  </w:sdtPr>
                  <w:sdtContent>
                    <w:p>
                      <w:pPr>
                        <w:widowControl w:val="0"/>
                        <w:ind w:firstLine="567"/>
                        <w:jc w:val="both"/>
                        <w:rPr>
                          <w:color w:val="000000"/>
                          <w:szCs w:val="24"/>
                          <w:lang w:eastAsia="lt-LT"/>
                        </w:rPr>
                      </w:pPr>
                      <w:sdt>
                        <w:sdtPr>
                          <w:alias w:val="Numeris"/>
                          <w:tag w:val="nr_9d16bf786ab143d7934e8a53b0f2587c"/>
                          <w:lock w:val="sdtLocked"/>
                          <w:richText/>
                        </w:sdtPr>
                        <w:sdtContent>
                          <w:r>
                            <w:rPr>
                              <w:color w:val="000000"/>
                              <w:szCs w:val="24"/>
                              <w:lang w:eastAsia="lt-LT"/>
                            </w:rPr>
                            <w:t>17.5</w:t>
                          </w:r>
                        </w:sdtContent>
                      </w:sdt>
                      <w:r>
                        <w:rPr>
                          <w:color w:val="000000"/>
                          <w:szCs w:val="24"/>
                          <w:lang w:eastAsia="lt-LT"/>
                        </w:rPr>
                        <w:t>. įvertinama avarijų rizikos tikimybė ir numatomos būtinos priemonės joms išvengti, apriboti ir mažinti galimus padarinius;</w:t>
                      </w:r>
                    </w:p>
                  </w:sdtContent>
                </w:sdt>
                <w:sdt>
                  <w:sdtPr>
                    <w:alias w:val="17.6 p."/>
                    <w:tag w:val="part_acd87b1ec2c1482bbb3be9b8eda6521c"/>
                    <w:lock w:val="sdtLocked"/>
                    <w:richText/>
                  </w:sdtPr>
                  <w:sdtContent>
                    <w:p>
                      <w:pPr>
                        <w:widowControl w:val="0"/>
                        <w:ind w:firstLine="567"/>
                        <w:jc w:val="both"/>
                        <w:rPr>
                          <w:color w:val="000000"/>
                          <w:szCs w:val="24"/>
                          <w:lang w:eastAsia="lt-LT"/>
                        </w:rPr>
                      </w:pPr>
                      <w:sdt>
                        <w:sdtPr>
                          <w:alias w:val="Numeris"/>
                          <w:tag w:val="nr_acd87b1ec2c1482bbb3be9b8eda6521c"/>
                          <w:lock w:val="sdtLocked"/>
                          <w:richText/>
                        </w:sdtPr>
                        <w:sdtContent>
                          <w:r>
                            <w:rPr>
                              <w:color w:val="000000"/>
                              <w:szCs w:val="24"/>
                              <w:lang w:eastAsia="lt-LT"/>
                            </w:rPr>
                            <w:t>17.6</w:t>
                          </w:r>
                        </w:sdtContent>
                      </w:sdt>
                      <w:r>
                        <w:rPr>
                          <w:color w:val="000000"/>
                          <w:szCs w:val="24"/>
                          <w:lang w:eastAsia="lt-LT"/>
                        </w:rPr>
                        <w:t>. galutinai nutraukiant veiklą, imamasi priemonių, būtinų taršos grėsmei išvengti ir eksploatavimo vietos būklei tinkamai atkurti, laikantis Taisyklių 111–114 punktuose nurodytų reikalavimų;</w:t>
                      </w:r>
                    </w:p>
                  </w:sdtContent>
                </w:sdt>
                <w:sdt>
                  <w:sdtPr>
                    <w:alias w:val="17.7 p."/>
                    <w:tag w:val="part_6f2cbfb36c9f4739ba1cc7d78a717f8a"/>
                    <w:lock w:val="sdtLocked"/>
                    <w:richText/>
                  </w:sdtPr>
                  <w:sdtContent>
                    <w:p>
                      <w:pPr>
                        <w:widowControl w:val="0"/>
                        <w:suppressAutoHyphens/>
                        <w:ind w:firstLine="567"/>
                        <w:jc w:val="both"/>
                        <w:rPr>
                          <w:color w:val="000000"/>
                          <w:szCs w:val="24"/>
                          <w:lang w:eastAsia="lt-LT"/>
                        </w:rPr>
                      </w:pPr>
                      <w:sdt>
                        <w:sdtPr>
                          <w:alias w:val="Numeris"/>
                          <w:tag w:val="nr_6f2cbfb36c9f4739ba1cc7d78a717f8a"/>
                          <w:lock w:val="sdtLocked"/>
                          <w:richText/>
                        </w:sdtPr>
                        <w:sdtContent>
                          <w:r>
                            <w:rPr>
                              <w:color w:val="000000"/>
                              <w:szCs w:val="24"/>
                              <w:lang w:eastAsia="zh-CN"/>
                            </w:rPr>
                            <w:t>17.7</w:t>
                          </w:r>
                        </w:sdtContent>
                      </w:sdt>
                      <w:r>
                        <w:rPr>
                          <w:color w:val="000000"/>
                          <w:szCs w:val="24"/>
                          <w:lang w:eastAsia="zh-CN"/>
                        </w:rPr>
                        <w:t>. vykdant ūkinę veiklą, turi būti mažinamas pavojingųjų medžiagų naudojimas ir palaipsniui jos turi būti keičiamos mažiau pavojingomis medžiagomis arba taikomos alternatyvios technologijos, leidžiančios sumažinti pavojingųjų medžiagų naudojimą.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Content>
            </w:sdt>
          </w:sdtContent>
        </w:sdt>
        <w:sdt>
          <w:sdtPr>
            <w:alias w:val="skyrius"/>
            <w:tag w:val="part_59677d85b3934a9faa3e055ff47e303a"/>
            <w:lock w:val="sdtLocked"/>
            <w:richText/>
          </w:sdtPr>
          <w:sdtContent>
            <w:p>
              <w:pPr>
                <w:widowControl w:val="0"/>
                <w:jc w:val="center"/>
                <w:rPr>
                  <w:b/>
                  <w:bCs/>
                  <w:caps/>
                  <w:color w:val="000000"/>
                  <w:szCs w:val="24"/>
                  <w:lang w:eastAsia="lt-LT"/>
                </w:rPr>
              </w:pPr>
              <w:sdt>
                <w:sdtPr>
                  <w:alias w:val="Numeris"/>
                  <w:tag w:val="nr_59677d85b3934a9faa3e055ff47e303a"/>
                  <w:lock w:val="sdtLocked"/>
                  <w:richText/>
                </w:sdtPr>
                <w:sdtContent>
                  <w:r>
                    <w:rPr>
                      <w:b/>
                      <w:bCs/>
                      <w:caps/>
                      <w:color w:val="000000"/>
                      <w:szCs w:val="24"/>
                      <w:lang w:eastAsia="lt-LT"/>
                    </w:rPr>
                    <w:t>V</w:t>
                  </w:r>
                </w:sdtContent>
              </w:sdt>
              <w:r>
                <w:rPr>
                  <w:b/>
                  <w:bCs/>
                  <w:caps/>
                  <w:color w:val="000000"/>
                  <w:szCs w:val="24"/>
                  <w:lang w:eastAsia="lt-LT"/>
                </w:rPr>
                <w:t xml:space="preserve">. </w:t>
              </w:r>
              <w:sdt>
                <w:sdtPr>
                  <w:alias w:val="Pavadinimas"/>
                  <w:tag w:val="title_59677d85b3934a9faa3e055ff47e303a"/>
                  <w:lock w:val="sdtLocked"/>
                  <w:richText/>
                </w:sdtPr>
                <w:sdtContent>
                  <w:r>
                    <w:rPr>
                      <w:b/>
                      <w:bCs/>
                      <w:caps/>
                      <w:color w:val="000000"/>
                      <w:szCs w:val="24"/>
                      <w:lang w:eastAsia="lt-LT"/>
                    </w:rPr>
                    <w:t>PARAIŠKOS LEIDIMUI GAUTI AR PAKEISTI RENGIMO REIKALAVIMAI</w:t>
                  </w:r>
                </w:sdtContent>
              </w:sdt>
            </w:p>
            <w:p>
              <w:pPr>
                <w:widowControl w:val="0"/>
                <w:ind w:firstLine="567"/>
                <w:jc w:val="both"/>
                <w:rPr>
                  <w:color w:val="000000"/>
                  <w:szCs w:val="24"/>
                  <w:lang w:eastAsia="lt-LT"/>
                </w:rPr>
              </w:pPr>
            </w:p>
            <w:sdt>
              <w:sdtPr>
                <w:alias w:val="18 p."/>
                <w:tag w:val="part_7ad2696d896548159c825fb59ca68f50"/>
                <w:lock w:val="sdtLocked"/>
                <w:richText/>
              </w:sdtPr>
              <w:sdtContent>
                <w:p>
                  <w:pPr>
                    <w:widowControl w:val="0"/>
                    <w:ind w:firstLine="567"/>
                    <w:jc w:val="both"/>
                    <w:rPr>
                      <w:color w:val="000000"/>
                      <w:szCs w:val="24"/>
                      <w:lang w:eastAsia="lt-LT"/>
                    </w:rPr>
                  </w:pPr>
                  <w:sdt>
                    <w:sdtPr>
                      <w:alias w:val="Numeris"/>
                      <w:tag w:val="nr_7ad2696d896548159c825fb59ca68f50"/>
                      <w:lock w:val="sdtLocked"/>
                      <w:richText/>
                    </w:sdtPr>
                    <w:sdtContent>
                      <w:r>
                        <w:rPr>
                          <w:color w:val="000000"/>
                          <w:szCs w:val="24"/>
                          <w:lang w:eastAsia="lt-LT"/>
                        </w:rPr>
                        <w:t>18</w:t>
                      </w:r>
                    </w:sdtContent>
                  </w:sdt>
                  <w:r>
                    <w:rPr>
                      <w:color w:val="000000"/>
                      <w:szCs w:val="24"/>
                      <w:lang w:eastAsia="lt-LT"/>
                    </w:rPr>
                    <w:t>. Paraiškos leidimui gauti ar pakeisti rekomenduojamas pavyzdys pateiktas Taisyklių 4 priede. Paaiškinimai apie kai kurių paraiškos dalių pildymą pateikti Taisyklių 6 priede.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19 p."/>
                <w:tag w:val="part_381929cf82464037b2ee16f959048681"/>
                <w:lock w:val="sdtLocked"/>
                <w:richText/>
              </w:sdtPr>
              <w:sdtContent>
                <w:p>
                  <w:pPr>
                    <w:widowControl w:val="0"/>
                    <w:ind w:firstLine="567"/>
                    <w:jc w:val="both"/>
                    <w:rPr>
                      <w:color w:val="000000"/>
                      <w:szCs w:val="24"/>
                      <w:lang w:eastAsia="lt-LT"/>
                    </w:rPr>
                  </w:pPr>
                  <w:sdt>
                    <w:sdtPr>
                      <w:alias w:val="Numeris"/>
                      <w:tag w:val="nr_381929cf82464037b2ee16f959048681"/>
                      <w:lock w:val="sdtLocked"/>
                      <w:richText/>
                    </w:sdtPr>
                    <w:sdtContent>
                      <w:r>
                        <w:rPr>
                          <w:color w:val="000000"/>
                          <w:lang w:eastAsia="lt-LT"/>
                        </w:rPr>
                        <w:t>19</w:t>
                      </w:r>
                    </w:sdtContent>
                  </w:sdt>
                  <w:r>
                    <w:rPr>
                      <w:color w:val="000000"/>
                      <w:lang w:eastAsia="lt-LT"/>
                    </w:rPr>
                    <w:t xml:space="preserve">. Paraiškai rengti gali būti naudojami duomenys ir informacija (planai, schemos, ištraukos, išrašai ir kt.) iš teritorijų planavimo dokumentų, parengtų vadovaujantis Lietuvos Respublikos teritorijų planavimo įstatymu, informacijos atrankai atlikti ar poveikio aplinkai vertinimo dokumentų, parengtų vadovaujantis Lietuvos Respublikos planuojamos ūkinės veiklos poveikio aplinkai vertinimo įstatymu, poveikio visuomenės sveikatai vertinimo dokumentų, parengtų vadovaujantis Planuojamos ūkinės veiklos poveikio visuomenės sveikatai vertinimo metodiniais nurodymais, patvirtintais Lietuvos Respublikos sveikatos apsaugos ministro 2004 m. liepos 1 d. įsakymu Nr. V-491 „Dėl Planuojamos ūkinės veiklos poveikio visuomenės sveikatai vertinimo metodinių nurodymų patvirtinimo“, pavojingų objektų saugos ataskaitų, parengtų vadovaujantis Pramoninių avarijų prevencijos, likvidavimo ir tyrimo nuostatais, patvirtintais Lietuvos Respublikos Vyriausybės 2004 m. rugpjūčio 17 d. nutarimu Nr. 966 „Dėl Pramoninių avarijų prevencijos, likvidavimo ir tyrimo nuostatų ir Pavojingųjų medžiagų ir mišinių sąrašą, jų kvalifikacinių kiekių nustatymo ir cheminių medžiagų bei mišinių priskyrimo pavojingosioms medžiagoms kriterijų aprašo patvirtinimo“, </w:t>
                  </w:r>
                  <w:r>
                    <w:t>aplinkos oro taršos šaltinių ir iš jų išmetamų teršalų inventorizacijos ataskaitų (toliau – inventorizacijos ataskaita), parengtų pagal Aplinkos oro taršos šaltinių ir iš jų išmetamų teršalų inventorizacijos ir ataskaitų teikimo taisykles, patvirtintas Lietuvos Respublikos aplinkos ministro 2002 m. birželio 27 d. įsakymu Nr. 340 „Dėl Aplinkos oro taršos šaltinių ir iš jų išmetamų teršalų inventorizacijos ir ataskaitų teikimo taisyklių patvirtinimo“ (toliau – Aplinkos oro taršos šaltinių ir iš jų išmetamų teršalų inventorizacijos ir ataskaitų teikimo taisyklės)</w:t>
                  </w:r>
                  <w:r>
                    <w:rPr>
                      <w:color w:val="000000"/>
                      <w:lang w:eastAsia="lt-LT"/>
                    </w:rPr>
                    <w:t>, techninio projekto, jeigu tokie dokumentai pagal teisės aktų reikalavimus rengti.</w:t>
                  </w:r>
                  <w:r>
                    <w:t xml:space="preserve"> Norint pakeisti leidimą eksploatuoti įrenginius, kuriuose vykdoma Taisyklių 1 priedo 6.6.2 ir 6.6.3 papunkčiuose nurodyta ūkinė veikla, paraiška rengiama vadovaujantis Taisyklių 8 priede pateiktais metodiniais nurodymais.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20 p."/>
                <w:tag w:val="part_49a1bd93b01f444f8c7d089afc5cfa3c"/>
                <w:lock w:val="sdtLocked"/>
                <w:richText/>
              </w:sdtPr>
              <w:sdtContent>
                <w:p>
                  <w:pPr>
                    <w:widowControl w:val="0"/>
                    <w:ind w:firstLine="567"/>
                    <w:jc w:val="both"/>
                    <w:rPr>
                      <w:color w:val="000000"/>
                      <w:szCs w:val="24"/>
                      <w:lang w:eastAsia="lt-LT"/>
                    </w:rPr>
                  </w:pPr>
                  <w:sdt>
                    <w:sdtPr>
                      <w:alias w:val="Numeris"/>
                      <w:tag w:val="nr_49a1bd93b01f444f8c7d089afc5cfa3c"/>
                      <w:lock w:val="sdtLocked"/>
                      <w:richText/>
                    </w:sdtPr>
                    <w:sdtContent>
                      <w:r>
                        <w:rPr>
                          <w:color w:val="000000"/>
                          <w:szCs w:val="24"/>
                          <w:lang w:eastAsia="lt-LT"/>
                        </w:rPr>
                        <w:t>20</w:t>
                      </w:r>
                    </w:sdtContent>
                  </w:sdt>
                  <w:r>
                    <w:rPr>
                      <w:color w:val="000000"/>
                      <w:szCs w:val="24"/>
                      <w:lang w:eastAsia="lt-LT"/>
                    </w:rPr>
                    <w:t>. Jeigu įrenginyje planuojamai vykdyti veiklai atliekant poveikio aplinkai vertinimą atliktos tarpvalstybinio poveikio aplinkai vertinimo procedūros, veiklos vykdytojas kartu su paraiška turi pateikti Taisyklių 78 punkte nurodytą informaciją.</w:t>
                  </w:r>
                </w:p>
              </w:sdtContent>
            </w:sdt>
            <w:sdt>
              <w:sdtPr>
                <w:alias w:val="21 p."/>
                <w:tag w:val="part_0e088ad007984411a741a4cafc9020ac"/>
                <w:lock w:val="sdtLocked"/>
                <w:richText/>
              </w:sdtPr>
              <w:sdtContent>
                <w:p>
                  <w:pPr>
                    <w:widowControl w:val="0"/>
                    <w:ind w:firstLine="567"/>
                    <w:jc w:val="both"/>
                    <w:rPr>
                      <w:color w:val="000000"/>
                      <w:szCs w:val="24"/>
                      <w:lang w:eastAsia="lt-LT"/>
                    </w:rPr>
                  </w:pPr>
                  <w:sdt>
                    <w:sdtPr>
                      <w:alias w:val="Numeris"/>
                      <w:tag w:val="nr_0e088ad007984411a741a4cafc9020ac"/>
                      <w:lock w:val="sdtLocked"/>
                      <w:richText/>
                    </w:sdtPr>
                    <w:sdtContent>
                      <w:r>
                        <w:rPr>
                          <w:color w:val="000000"/>
                          <w:szCs w:val="24"/>
                          <w:lang w:eastAsia="lt-LT"/>
                        </w:rPr>
                        <w:t>21</w:t>
                      </w:r>
                    </w:sdtContent>
                  </w:sdt>
                  <w:r>
                    <w:rPr>
                      <w:color w:val="000000"/>
                      <w:szCs w:val="24"/>
                      <w:lang w:eastAsia="lt-LT"/>
                    </w:rPr>
                    <w:t>. Paraiškoje leidimui gauti ar pakeisti turi būti nurodyta:</w:t>
                  </w:r>
                </w:p>
                <w:sdt>
                  <w:sdtPr>
                    <w:alias w:val="21.1 p."/>
                    <w:tag w:val="part_929f6cf3bd9c4410abd413160256e98c"/>
                    <w:lock w:val="sdtLocked"/>
                    <w:richText/>
                  </w:sdtPr>
                  <w:sdtContent>
                    <w:p>
                      <w:pPr>
                        <w:widowControl w:val="0"/>
                        <w:ind w:firstLine="567"/>
                        <w:jc w:val="both"/>
                        <w:rPr>
                          <w:color w:val="000000"/>
                          <w:szCs w:val="24"/>
                          <w:lang w:eastAsia="lt-LT"/>
                        </w:rPr>
                      </w:pPr>
                      <w:sdt>
                        <w:sdtPr>
                          <w:alias w:val="Numeris"/>
                          <w:tag w:val="nr_929f6cf3bd9c4410abd413160256e98c"/>
                          <w:lock w:val="sdtLocked"/>
                          <w:richText/>
                        </w:sdtPr>
                        <w:sdtContent>
                          <w:r>
                            <w:rPr>
                              <w:color w:val="000000"/>
                              <w:lang w:eastAsia="lt-LT"/>
                            </w:rPr>
                            <w:t>21.1</w:t>
                          </w:r>
                        </w:sdtContent>
                      </w:sdt>
                      <w:r>
                        <w:rPr>
                          <w:color w:val="000000"/>
                          <w:lang w:eastAsia="lt-LT"/>
                        </w:rPr>
                        <w:t xml:space="preserve">. paraiškos tituliniame lape – </w:t>
                      </w:r>
                      <w:r>
                        <w:rPr>
                          <w:szCs w:val="24"/>
                          <w:lang w:eastAsia="lt-LT"/>
                        </w:rPr>
                        <w:t xml:space="preserve">ūkinės </w:t>
                      </w:r>
                      <w:r>
                        <w:rPr>
                          <w:color w:val="000000"/>
                          <w:lang w:eastAsia="lt-LT"/>
                        </w:rPr>
                        <w:t>veiklos vykdytojo pavadinimas, juridinio asmens kodas, buveinės adresas, kontaktinio asmens duomenys,</w:t>
                      </w:r>
                      <w:r>
                        <w:rPr>
                          <w:lang w:eastAsia="lt-LT"/>
                        </w:rPr>
                        <w:t xml:space="preserve"> </w:t>
                      </w:r>
                      <w:r>
                        <w:rPr>
                          <w:color w:val="000000"/>
                          <w:lang w:eastAsia="lt-LT"/>
                        </w:rPr>
                        <w:t xml:space="preserve">Taisyklių 1 priede nurodyta (-os) </w:t>
                      </w:r>
                      <w:r>
                        <w:rPr>
                          <w:szCs w:val="24"/>
                          <w:lang w:eastAsia="lt-LT"/>
                        </w:rPr>
                        <w:t xml:space="preserve">ūkinės </w:t>
                      </w:r>
                      <w:r>
                        <w:rPr>
                          <w:color w:val="000000"/>
                          <w:lang w:eastAsia="lt-LT"/>
                        </w:rPr>
                        <w:t>veiklos rūšis (-ys), kurią (-ias) atitinka įrenginys, paraiškos pildymo data;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21.2 p."/>
                    <w:tag w:val="part_a1bb018c81904a09acec11e6ec55119f"/>
                    <w:lock w:val="sdtLocked"/>
                    <w:richText/>
                  </w:sdtPr>
                  <w:sdtContent>
                    <w:p>
                      <w:pPr>
                        <w:widowControl w:val="0"/>
                        <w:ind w:firstLine="567"/>
                        <w:jc w:val="both"/>
                        <w:rPr>
                          <w:color w:val="000000"/>
                          <w:szCs w:val="24"/>
                          <w:lang w:eastAsia="lt-LT"/>
                        </w:rPr>
                      </w:pPr>
                      <w:sdt>
                        <w:sdtPr>
                          <w:alias w:val="Numeris"/>
                          <w:tag w:val="nr_a1bb018c81904a09acec11e6ec55119f"/>
                          <w:lock w:val="sdtLocked"/>
                          <w:richText/>
                        </w:sdtPr>
                        <w:sdtContent>
                          <w:r>
                            <w:rPr>
                              <w:color w:val="000000"/>
                              <w:szCs w:val="24"/>
                              <w:lang w:eastAsia="lt-LT"/>
                            </w:rPr>
                            <w:t>21.2</w:t>
                          </w:r>
                        </w:sdtContent>
                      </w:sdt>
                      <w:r>
                        <w:rPr>
                          <w:color w:val="000000"/>
                          <w:szCs w:val="24"/>
                          <w:lang w:eastAsia="lt-LT"/>
                        </w:rPr>
                        <w:t>. informacija apie asmenis, atsakingus už įmonės aplinkos apsaugą, jų ryšio duomenys; informacija apie įdiegtą vadybos sistemą (ISO 14001, EMAS, kitos vadybos sistemos);</w:t>
                      </w:r>
                    </w:p>
                  </w:sdtContent>
                </w:sdt>
                <w:sdt>
                  <w:sdtPr>
                    <w:alias w:val="21.3 p."/>
                    <w:tag w:val="part_5162b33c22ea4d5faf04754e5092d395"/>
                    <w:lock w:val="sdtLocked"/>
                    <w:richText/>
                  </w:sdtPr>
                  <w:sdtContent>
                    <w:p>
                      <w:pPr>
                        <w:tabs>
                          <w:tab w:val="left" w:pos="993"/>
                        </w:tabs>
                        <w:suppressAutoHyphens/>
                        <w:ind w:firstLine="567"/>
                        <w:jc w:val="both"/>
                        <w:textAlignment w:val="baseline"/>
                        <w:rPr>
                          <w:color w:val="000000"/>
                          <w:szCs w:val="24"/>
                          <w:lang w:eastAsia="lt-LT"/>
                        </w:rPr>
                      </w:pPr>
                      <w:sdt>
                        <w:sdtPr>
                          <w:alias w:val="Numeris"/>
                          <w:tag w:val="nr_5162b33c22ea4d5faf04754e5092d395"/>
                          <w:lock w:val="sdtLocked"/>
                          <w:richText/>
                        </w:sdtPr>
                        <w:sdtContent>
                          <w:r>
                            <w:rPr>
                              <w:lang w:eastAsia="zh-CN"/>
                            </w:rPr>
                            <w:t>21.3</w:t>
                          </w:r>
                        </w:sdtContent>
                      </w:sdt>
                      <w:r>
                        <w:rPr>
                          <w:lang w:eastAsia="zh-CN"/>
                        </w:rPr>
                        <w:t>. įrenginys ir jame vykdoma Taisyklių 1 priede išvardintų rūšių veikla ir toje pačioje vietoje vykdoma veikla, tiesiogiai techniškai susijusi su Taisyklių 1 priede išvardinta veikla; gamybos (projektinis) pajėgumas arba vardinė (nominali) šiluminė galia; vardinę (nominalią) šiluminę galią patvirtinančiu dokumentu laikomas įrenginio (katilo) gamintojo išduotas dokumentas arba pagal Energetikos įstatymą Lietuvos Respublikos energetikos ministerijos nustatyta tvarka išduotas dokumentas;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58dcda07c7011e4abe983995522ea30">
                        <w:r w:rsidRPr="00532B9F">
                          <w:rPr>
                            <w:rFonts w:ascii="Arial" w:eastAsia="MS Mincho" w:hAnsi="Arial"/>
                            <w:sz w:val="20"/>
                            <w:i/>
                            <w:iCs/>
                            <w:color w:val="0000FF" w:themeColor="hyperlink"/>
                            <w:u w:val="single"/>
                          </w:rPr>
                          <w:t>D1-983</w:t>
                        </w:r>
                      </w:fldSimple>
                      <w:r>
                        <w:rPr>
                          <w:rFonts w:ascii="Arial" w:eastAsia="MS Mincho" w:hAnsi="Arial"/>
                          <w:sz w:val="20"/>
                          <w:i/>
                          <w:iCs/>
                        </w:rPr>
                        <w:t>,
2014-12-04,
paskelbta TAR 2014-12-05, i. k. 2014-19056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bba30608cfa11eea5a28c81c82193a8">
                        <w:r w:rsidRPr="00532B9F">
                          <w:rPr>
                            <w:rFonts w:ascii="Arial" w:eastAsia="MS Mincho" w:hAnsi="Arial"/>
                            <w:sz w:val="20"/>
                            <w:i/>
                            <w:iCs/>
                            <w:color w:val="0000FF" w:themeColor="hyperlink"/>
                            <w:u w:val="single"/>
                          </w:rPr>
                          <w:t>D1-381</w:t>
                        </w:r>
                      </w:fldSimple>
                      <w:r>
                        <w:rPr>
                          <w:rFonts w:ascii="Arial" w:eastAsia="MS Mincho" w:hAnsi="Arial"/>
                          <w:sz w:val="20"/>
                          <w:i/>
                          <w:iCs/>
                        </w:rPr>
                        <w:t>,
2023-11-27,
paskelbta TAR 2023-11-27, i. k. 2023-22748            </w:t>
                      </w:r>
                    </w:p>
                    <w:p/>
                  </w:sdtContent>
                </w:sdt>
                <w:sdt>
                  <w:sdtPr>
                    <w:alias w:val="21.4 p."/>
                    <w:tag w:val="part_2e611bb3575841459eb8de231197f9cb"/>
                    <w:lock w:val="sdtLocked"/>
                    <w:richText/>
                  </w:sdtPr>
                  <w:sdtContent>
                    <w:p>
                      <w:pPr>
                        <w:widowControl w:val="0"/>
                        <w:ind w:firstLine="567"/>
                        <w:jc w:val="both"/>
                        <w:textAlignment w:val="baseline"/>
                        <w:rPr>
                          <w:color w:val="000000"/>
                          <w:szCs w:val="24"/>
                          <w:lang w:eastAsia="lt-LT"/>
                        </w:rPr>
                      </w:pPr>
                      <w:sdt>
                        <w:sdtPr>
                          <w:alias w:val="Numeris"/>
                          <w:tag w:val="nr_2e611bb3575841459eb8de231197f9cb"/>
                          <w:lock w:val="sdtLocked"/>
                          <w:richText/>
                        </w:sdtPr>
                        <w:sdtContent>
                          <w:r>
                            <w:rPr>
                              <w:color w:val="000000"/>
                              <w:szCs w:val="24"/>
                              <w:lang w:val="lt" w:eastAsia="zh-CN"/>
                            </w:rPr>
                            <w:t>21.4</w:t>
                          </w:r>
                        </w:sdtContent>
                      </w:sdt>
                      <w:r>
                        <w:rPr>
                          <w:color w:val="000000"/>
                          <w:szCs w:val="24"/>
                          <w:lang w:val="lt" w:eastAsia="zh-CN"/>
                        </w:rPr>
                        <w:t xml:space="preserve">. įrenginio eksploatavimo vietos sąlygos (aplinkos elementų, į kuriuos bus išmetami (išleidžiami) teršalai, foninis užterštumo lygis pagal atskirus iš įrenginio </w:t>
                      </w:r>
                      <w:r>
                        <w:rPr>
                          <w:szCs w:val="24"/>
                          <w:lang w:eastAsia="lt-LT"/>
                        </w:rPr>
                        <w:t xml:space="preserve">ūkinės </w:t>
                      </w:r>
                      <w:r>
                        <w:rPr>
                          <w:color w:val="000000"/>
                          <w:szCs w:val="24"/>
                          <w:lang w:val="lt" w:eastAsia="zh-CN"/>
                        </w:rPr>
                        <w:t>veiklos vykdymo metu išmetamus (išleidžiamus) teršalus, geografinės sąlygos (kalnas, slėnis ir pan., atvira neapgyvendinta vietovė ir kt.)), ūkinės veiklos padėtis schemoje su sodo namų, gyvenamosios, viešbučių, kultūros, mokslo, sporto, gydymo, poilsio, religinės paskirties, su apgyvendinimu susijusios specialiosios paskirties pastatų ir pastatų, kuriuose įrengtos nurodytos paskirties patalpos, suformuotos atskirais nekilnojamojo turto objektais, gretimų įmonių, rekreacinių, saugomų teritorijų ir biotopų, paviršinių vandens telkinių apsaugos juostų ir zonų, vandenviečių apsaugos zonų išsidėstymu. Foninis aplinkos oro užterštumo lygis yra pagal Lietuvos Respublikos aplinkos ministro 2007 m. lapkričio 30 d. įsakymą Nr. D1-653 „Dėl teršalų sklaidos skaičiavimo modelių, foninio aplinkos oro užterštumo duomenų ir meteorologinių duomenų naudojimo ūkinės veiklos poveikiui aplinkos orui įvertinti“ įvertintas aplinkos oro užterštumo lygis;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21.5 p."/>
                    <w:tag w:val="part_171e6d178dc449bd97de8b250e8a6124"/>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171e6d178dc449bd97de8b250e8a6124"/>
                          <w:lock w:val="sdtLocked"/>
                          <w:richText/>
                        </w:sdtPr>
                        <w:sdtContent>
                          <w:r>
                            <w:rPr>
                              <w:szCs w:val="24"/>
                            </w:rPr>
                            <w:t>21.5</w:t>
                          </w:r>
                        </w:sdtContent>
                      </w:sdt>
                      <w:r>
                        <w:rPr>
                          <w:szCs w:val="24"/>
                        </w:rPr>
                        <w:t xml:space="preserve">. naujam įrenginiui – statybos pradžia ir planuojama ūkinės veiklos pradžia. Esamam įrenginiui, kurio veikimą planuojama pakeisti ar išplėsti, – numatoma ūkinės veiklos, dėl kurios prašoma pakeisti leidimą, pradžia. Jei </w:t>
                      </w:r>
                      <w:r>
                        <w:rPr>
                          <w:szCs w:val="24"/>
                          <w:lang w:eastAsia="lt-LT"/>
                        </w:rPr>
                        <w:t>numatomos kelios skirtingos įrenginio (-ių) ar jo (jų) dalių eksploatavimo ir (ar) veiklos pradžios datos, jos turi būti išvardytos paraiškoje, nurodant, koks įrenginys (-ai) ar jo (jų) dalis kokiais etapais bus pradėtas eksploatuoti</w:t>
                      </w:r>
                      <w:r>
                        <w:rPr>
                          <w:szCs w:val="24"/>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21.5-1 pp."/>
                    <w:tag w:val="part_e98a6531d46640438357e90b76b9048c"/>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pPr>
                      <w:sdt>
                        <w:sdtPr>
                          <w:alias w:val="Numeris"/>
                          <w:tag w:val="nr_e98a6531d46640438357e90b76b9048c"/>
                          <w:lock w:val="sdtLocked"/>
                          <w:richText/>
                        </w:sdtPr>
                        <w:sdtContent>
                          <w:r>
                            <w:rPr>
                              <w:szCs w:val="24"/>
                              <w:lang w:eastAsia="lt-LT"/>
                            </w:rPr>
                            <w:t>21.5</w:t>
                          </w:r>
                          <w:r>
                            <w:rPr>
                              <w:szCs w:val="24"/>
                              <w:vertAlign w:val="superscript"/>
                              <w:lang w:eastAsia="lt-LT"/>
                            </w:rPr>
                            <w:t>1</w:t>
                          </w:r>
                        </w:sdtContent>
                      </w:sdt>
                      <w:r>
                        <w:rPr>
                          <w:szCs w:val="24"/>
                          <w:lang w:eastAsia="lt-LT"/>
                        </w:rPr>
                        <w:t>. statybą leidžiančio dokumento numeris ir data, kai jį privaloma turėti įstatymų ir kitų teisės aktų nustatyta tvarka;</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21.5-2 pp."/>
                    <w:tag w:val="part_48042fbfdefa4ecb8a25a2fef6a738a0"/>
                    <w:lock w:val="sdtLocked"/>
                    <w:richText/>
                  </w:sdtPr>
                  <w:sdtContent>
                    <w:p>
                      <w:pPr>
                        <w:ind w:firstLine="567"/>
                        <w:jc w:val="both"/>
                      </w:pPr>
                      <w:sdt>
                        <w:sdtPr>
                          <w:alias w:val="Numeris"/>
                          <w:tag w:val="nr_48042fbfdefa4ecb8a25a2fef6a738a0"/>
                          <w:lock w:val="sdtLocked"/>
                          <w:richText/>
                        </w:sdtPr>
                        <w:sdtContent>
                          <w:r>
                            <w:rPr>
                              <w:szCs w:val="24"/>
                            </w:rPr>
                            <w:t>21.5</w:t>
                          </w:r>
                          <w:r>
                            <w:rPr>
                              <w:szCs w:val="24"/>
                              <w:vertAlign w:val="superscript"/>
                            </w:rPr>
                            <w:t>2</w:t>
                          </w:r>
                        </w:sdtContent>
                      </w:sdt>
                      <w:r>
                        <w:rPr>
                          <w:szCs w:val="24"/>
                        </w:rPr>
                        <w:t xml:space="preserve">. jei atliktos atrankos ar poveikio aplinkai vertinimo procedūros – </w:t>
                      </w:r>
                      <w:r>
                        <w:rPr>
                          <w:szCs w:val="24"/>
                          <w:lang w:eastAsia="lt-LT"/>
                        </w:rPr>
                        <w:t>PAV sprendimo ar atrankos išvados data, numeris</w:t>
                      </w:r>
                      <w:r>
                        <w:rPr>
                          <w:szCs w:val="24"/>
                        </w:rPr>
                        <w:t xml:space="preserve"> ir išsami informacija, kaip bus iki </w:t>
                      </w:r>
                      <w:r>
                        <w:rPr>
                          <w:szCs w:val="24"/>
                          <w:lang w:eastAsia="lt-LT"/>
                        </w:rPr>
                        <w:t xml:space="preserve">ūkinės </w:t>
                      </w:r>
                      <w:r>
                        <w:rPr>
                          <w:szCs w:val="24"/>
                        </w:rPr>
                        <w:t xml:space="preserve">veiklos vykdymo pradžios įgyvendintos PAV sprendime nustatytos </w:t>
                      </w:r>
                      <w:r>
                        <w:rPr>
                          <w:color w:val="000000"/>
                          <w:szCs w:val="24"/>
                          <w:shd w:val="clear" w:color="auto" w:fill="FFFFFF"/>
                          <w:lang w:eastAsia="zh-CN"/>
                        </w:rPr>
                        <w:t>planuojamos ūkinės veiklos įgyvendinimo</w:t>
                      </w:r>
                      <w:r>
                        <w:rPr>
                          <w:color w:val="000000"/>
                          <w:szCs w:val="24"/>
                          <w:lang w:eastAsia="lt-LT"/>
                        </w:rPr>
                        <w:t xml:space="preserve"> </w:t>
                      </w:r>
                      <w:r>
                        <w:rPr>
                          <w:szCs w:val="24"/>
                        </w:rPr>
                        <w:t xml:space="preserve">sąlygos ir </w:t>
                      </w:r>
                      <w:r>
                        <w:rPr>
                          <w:color w:val="000000"/>
                          <w:szCs w:val="24"/>
                          <w:lang w:eastAsia="lt-LT"/>
                        </w:rPr>
                        <w:t xml:space="preserve">priemonės </w:t>
                      </w:r>
                      <w:r>
                        <w:rPr>
                          <w:szCs w:val="24"/>
                          <w:shd w:val="clear" w:color="auto" w:fill="FFFFFF"/>
                        </w:rPr>
                        <w:t xml:space="preserve">reikšmingam neigiamam poveikiui </w:t>
                      </w:r>
                      <w:r>
                        <w:rPr>
                          <w:color w:val="000000"/>
                          <w:szCs w:val="24"/>
                          <w:shd w:val="clear" w:color="auto" w:fill="FFFFFF"/>
                          <w:lang w:eastAsia="zh-CN"/>
                        </w:rPr>
                        <w:t>aplinkai</w:t>
                      </w:r>
                      <w:r>
                        <w:rPr>
                          <w:color w:val="000000"/>
                          <w:szCs w:val="24"/>
                          <w:lang w:eastAsia="lt-LT"/>
                        </w:rPr>
                        <w:t xml:space="preserve"> išvengti</w:t>
                      </w:r>
                      <w:r>
                        <w:rPr>
                          <w:color w:val="000000"/>
                          <w:szCs w:val="24"/>
                          <w:shd w:val="clear" w:color="auto" w:fill="FFFFFF"/>
                          <w:lang w:eastAsia="zh-CN"/>
                        </w:rPr>
                        <w:t>, jį sumažinti, atkurti tai, kas pažeista, ir (ar)</w:t>
                      </w:r>
                      <w:r>
                        <w:rPr>
                          <w:color w:val="000000"/>
                          <w:szCs w:val="24"/>
                          <w:lang w:eastAsia="lt-LT"/>
                        </w:rPr>
                        <w:t xml:space="preserve"> jį </w:t>
                      </w:r>
                      <w:r>
                        <w:rPr>
                          <w:color w:val="000000"/>
                          <w:szCs w:val="24"/>
                          <w:shd w:val="clear" w:color="auto" w:fill="FFFFFF"/>
                          <w:lang w:eastAsia="zh-CN"/>
                        </w:rPr>
                        <w:t>kompensuoti arba</w:t>
                      </w:r>
                      <w:r>
                        <w:rPr>
                          <w:szCs w:val="24"/>
                        </w:rPr>
                        <w:t xml:space="preserve"> atrankos išvadoje nustatytos priemonės </w:t>
                      </w:r>
                      <w:r>
                        <w:rPr>
                          <w:szCs w:val="24"/>
                          <w:shd w:val="clear" w:color="auto" w:fill="FFFFFF"/>
                        </w:rPr>
                        <w:t xml:space="preserve">reikšmingam neigiamam poveikiui </w:t>
                      </w:r>
                      <w:r>
                        <w:rPr>
                          <w:color w:val="000000"/>
                          <w:szCs w:val="24"/>
                          <w:shd w:val="clear" w:color="auto" w:fill="FFFFFF"/>
                          <w:lang w:eastAsia="zh-CN"/>
                        </w:rPr>
                        <w:t>aplinkai</w:t>
                      </w:r>
                      <w:r>
                        <w:rPr>
                          <w:color w:val="000000"/>
                          <w:szCs w:val="24"/>
                          <w:lang w:eastAsia="lt-LT"/>
                        </w:rPr>
                        <w:t xml:space="preserve"> išvengti</w:t>
                      </w:r>
                      <w:r>
                        <w:rPr>
                          <w:color w:val="000000"/>
                          <w:szCs w:val="24"/>
                          <w:lang w:eastAsia="zh-CN"/>
                        </w:rPr>
                        <w:t xml:space="preserve"> ir (ar) užkirsti jam kelią</w:t>
                      </w:r>
                      <w:r>
                        <w:rPr>
                          <w:szCs w:val="24"/>
                        </w:rPr>
                        <w:t xml:space="preserve">, kurios turi būti įgyvendintos iki </w:t>
                      </w:r>
                      <w:r>
                        <w:rPr>
                          <w:szCs w:val="24"/>
                          <w:lang w:eastAsia="lt-LT"/>
                        </w:rPr>
                        <w:t xml:space="preserve">ūkinės </w:t>
                      </w:r>
                      <w:r>
                        <w:rPr>
                          <w:szCs w:val="24"/>
                        </w:rPr>
                        <w:t>veiklos vykdymo pradžios;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21.5-3 pp."/>
                    <w:tag w:val="part_9208d5ac4e2a432db9b47c3345fca47d"/>
                    <w:lock w:val="sdtLocked"/>
                    <w:richText/>
                  </w:sdtPr>
                  <w:sdtContent>
                    <w:p>
                      <w:pPr>
                        <w:ind w:firstLine="567"/>
                        <w:jc w:val="both"/>
                        <w:rPr>
                          <w:color w:val="000000"/>
                          <w:szCs w:val="24"/>
                          <w:lang w:eastAsia="lt-LT"/>
                        </w:rPr>
                      </w:pPr>
                      <w:sdt>
                        <w:sdtPr>
                          <w:alias w:val="Numeris"/>
                          <w:tag w:val="nr_9208d5ac4e2a432db9b47c3345fca47d"/>
                          <w:lock w:val="sdtLocked"/>
                          <w:richText/>
                        </w:sdtPr>
                        <w:sdtContent>
                          <w:r>
                            <w:t>21.5</w:t>
                          </w:r>
                          <w:r>
                            <w:rPr>
                              <w:vertAlign w:val="superscript"/>
                            </w:rPr>
                            <w:t>3</w:t>
                          </w:r>
                        </w:sdtContent>
                      </w:sdt>
                      <w:r>
                        <w:t xml:space="preserve">. kai, vadovaujantis Lietuvos Respublikos visuomenės sveikatos priežiūros įstatymu atliktas poveikio visuomenės sveikatai vertinimas, pateikiama nuoroda į poveikio visuomenės sveikatai vertinimo dokumentus.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21.6 p."/>
                    <w:tag w:val="part_c6afcc9d12fd492796a3f9eb964b757a"/>
                    <w:lock w:val="sdtLocked"/>
                    <w:richText/>
                  </w:sdtPr>
                  <w:sdtContent>
                    <w:p>
                      <w:pPr>
                        <w:widowControl w:val="0"/>
                        <w:suppressAutoHyphens/>
                        <w:spacing w:line="259" w:lineRule="exact"/>
                        <w:ind w:firstLine="549"/>
                        <w:jc w:val="both"/>
                        <w:textAlignment w:val="baseline"/>
                        <w:rPr>
                          <w:color w:val="000000"/>
                          <w:szCs w:val="24"/>
                          <w:lang w:eastAsia="lt-LT"/>
                        </w:rPr>
                      </w:pPr>
                      <w:sdt>
                        <w:sdtPr>
                          <w:alias w:val="Numeris"/>
                          <w:tag w:val="nr_c6afcc9d12fd492796a3f9eb964b757a"/>
                          <w:lock w:val="sdtLocked"/>
                          <w:richText/>
                        </w:sdtPr>
                        <w:sdtContent>
                          <w:r>
                            <w:rPr>
                              <w:color w:val="000000"/>
                              <w:szCs w:val="24"/>
                            </w:rPr>
                            <w:t>21.6</w:t>
                          </w:r>
                        </w:sdtContent>
                      </w:sdt>
                      <w:r>
                        <w:rPr>
                          <w:color w:val="000000"/>
                          <w:szCs w:val="24"/>
                        </w:rPr>
                        <w:t xml:space="preserve">. </w:t>
                      </w:r>
                      <w:r>
                        <w:rPr>
                          <w:color w:val="000000"/>
                          <w:szCs w:val="24"/>
                          <w:lang w:val="lt"/>
                        </w:rPr>
                        <w:t xml:space="preserve">detalus įrenginyje vykdomos ir (ar) planuojamos vykdyti ūkinės veiklos rūšių aprašymas ir išdėstymas teritorijoje; naudojamos technologijos, gamybos būdai ir priemonės, trumpas naudojamų technologijų, gamybos būdų ir priemonių alternatyvų aprašymas; įrenginio išmetamų teršalų šaltiniai, planuojamas iš įrenginio į kiekvieną aplinkos elementą (terpę) išmetamų teršalų kiekis; nustatytas išmetamųjų teršalų poveikis aplinkai ir teršalų išmetimo ribinės vertės, kurias veiklos vykdytojas prašo įrašyti leidime; informacija apie įrenginio skleidžiamo triukšmo, skleidžiamų kvapų atitiktį visuomenės sveikatos saugos teisės aktams, numatomi skleisti kvapai (kvapo emisijos rodikliai) iš kiekvieno stacionaraus kvapų šaltinio, kvapų valdymo (mažinimo) priemonės ir jų efektyvumo rodikliai, įrenginių priskyrimas prie potencialiai pavojingų įrenginių pagal Lietuvos Respublikos potencialiai pavojingų įrenginių priežiūros įstatymą. </w:t>
                      </w:r>
                      <w:r>
                        <w:rPr>
                          <w:szCs w:val="24"/>
                        </w:rPr>
                        <w:t xml:space="preserve">Nurodyta informacija ar jos dalis gali būti neteikiama, jei ši informacija ar jos dalis išdėstoma kartu su paraiška teikiamame atliekų naudojimo ar šalinimo techniniame reglamente, nurodytame Atliekų tvarkymo įstatymo 10 straipsnyje ir parengtame pagal Atliekų tvarkymo taisyklių, patvirtintų Lietuvos Respublikos aplinkos ministro 1999 m. liepos 14 d. įsakymu Nr. 217 „Dėl Atliekų tvarkymo taisyklių patvirtinimo“ (toliau – Atliekų tvarkymo taisyklės), 3 priedą </w:t>
                      </w:r>
                      <w:r>
                        <w:rPr>
                          <w:color w:val="000000"/>
                          <w:szCs w:val="24"/>
                        </w:rPr>
                        <w:t>(toliau – atliekų naudojimo ar šalinimo techninis reglamentas)</w:t>
                      </w:r>
                      <w:r>
                        <w:rPr>
                          <w:szCs w:val="24"/>
                        </w:rPr>
                        <w:t xml:space="preserve">. Tokiu atveju pateikiama nuoroda į konkretų atliekų naudojimo ar šalinimo techninio reglamento punktą;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5344301d2e11edb4cae1b158f98ea5">
                        <w:r w:rsidRPr="00532B9F">
                          <w:rPr>
                            <w:rFonts w:ascii="Arial" w:eastAsia="MS Mincho" w:hAnsi="Arial"/>
                            <w:sz w:val="20"/>
                            <w:i/>
                            <w:iCs/>
                            <w:color w:val="0000FF" w:themeColor="hyperlink"/>
                            <w:u w:val="single"/>
                          </w:rPr>
                          <w:t>D1-263</w:t>
                        </w:r>
                      </w:fldSimple>
                      <w:r>
                        <w:rPr>
                          <w:rFonts w:ascii="Arial" w:eastAsia="MS Mincho" w:hAnsi="Arial"/>
                          <w:sz w:val="20"/>
                          <w:i/>
                          <w:iCs/>
                        </w:rPr>
                        <w:t>,
2022-08-16,
paskelbta TAR 2022-08-16, i. k. 2022-17141            </w:t>
                      </w:r>
                    </w:p>
                    <w:p/>
                  </w:sdtContent>
                </w:sdt>
                <w:sdt>
                  <w:sdtPr>
                    <w:alias w:val="21.7 p."/>
                    <w:tag w:val="part_da695cc3319940ab98c7014084481048"/>
                    <w:lock w:val="sdtLocked"/>
                    <w:richText/>
                  </w:sdtPr>
                  <w:sdtContent>
                    <w:p>
                      <w:pPr>
                        <w:ind w:firstLine="567"/>
                        <w:jc w:val="both"/>
                        <w:rPr>
                          <w:color w:val="000000"/>
                          <w:szCs w:val="24"/>
                          <w:lang w:eastAsia="lt-LT"/>
                        </w:rPr>
                      </w:pPr>
                      <w:sdt>
                        <w:sdtPr>
                          <w:alias w:val="Numeris"/>
                          <w:tag w:val="nr_da695cc3319940ab98c7014084481048"/>
                          <w:lock w:val="sdtLocked"/>
                          <w:richText/>
                        </w:sdtPr>
                        <w:sdtContent>
                          <w:r>
                            <w:rPr>
                              <w:color w:val="000000"/>
                              <w:szCs w:val="24"/>
                              <w:lang w:eastAsia="zh-CN"/>
                            </w:rPr>
                            <w:t>21.7</w:t>
                          </w:r>
                        </w:sdtContent>
                      </w:sdt>
                      <w:r>
                        <w:rPr>
                          <w:color w:val="000000"/>
                          <w:szCs w:val="24"/>
                          <w:lang w:eastAsia="zh-CN"/>
                        </w:rPr>
                        <w:t xml:space="preserve">. sąrašai planuojamų naudoti ir (ar) naudojamų žaliavų ir pagalbinių medžiagų, įskaitant chemines medžiagas, cheminius mišinius ir kurą, jų kiekis, saugos duomenų lapai. Planuojant eksploatuoti įrenginius, kuriuose vykdant </w:t>
                      </w:r>
                      <w:r>
                        <w:rPr>
                          <w:szCs w:val="24"/>
                          <w:lang w:eastAsia="lt-LT"/>
                        </w:rPr>
                        <w:t xml:space="preserve">ūkinės </w:t>
                      </w:r>
                      <w:r>
                        <w:rPr>
                          <w:color w:val="000000"/>
                          <w:szCs w:val="24"/>
                          <w:lang w:eastAsia="zh-CN"/>
                        </w:rPr>
                        <w:t>veiklą naudojamos tirpiklių turinčios medžiagos ir mišiniai, būtina nurodyti naudojamų tirpiklių, turinčių lakiųjų organinių junginių (toliau – LOJ), medžiagų pavadinimus (cheminius bei sutartinius techninius ar prekybinius), jų kiekį, sudėtį, sudėtyje esančių LOJ pavojingumo frazes (H frazes) ir pateikti informaciją pagal Tirpiklių tvarkos 5 priedo duomenis;</w:t>
                      </w:r>
                      <w:r>
                        <w:rPr>
                          <w:szCs w:val="24"/>
                          <w:lang w:eastAsia="zh-CN"/>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21.8 p."/>
                    <w:tag w:val="part_4b1415cb48444cc1a26764474d674ce3"/>
                    <w:lock w:val="sdtLocked"/>
                    <w:richText/>
                  </w:sdtPr>
                  <w:sdtContent>
                    <w:p>
                      <w:pPr>
                        <w:widowControl w:val="0"/>
                        <w:ind w:firstLine="567"/>
                        <w:jc w:val="both"/>
                        <w:rPr>
                          <w:color w:val="000000"/>
                          <w:szCs w:val="24"/>
                          <w:lang w:eastAsia="lt-LT"/>
                        </w:rPr>
                      </w:pPr>
                      <w:sdt>
                        <w:sdtPr>
                          <w:alias w:val="Numeris"/>
                          <w:tag w:val="nr_4b1415cb48444cc1a26764474d674ce3"/>
                          <w:lock w:val="sdtLocked"/>
                          <w:richText/>
                        </w:sdtPr>
                        <w:sdtContent>
                          <w:r>
                            <w:rPr>
                              <w:color w:val="000000"/>
                              <w:szCs w:val="24"/>
                              <w:lang w:eastAsia="lt-LT"/>
                            </w:rPr>
                            <w:t>21.8</w:t>
                          </w:r>
                        </w:sdtContent>
                      </w:sdt>
                      <w:r>
                        <w:rPr>
                          <w:color w:val="000000"/>
                          <w:szCs w:val="24"/>
                          <w:lang w:eastAsia="lt-LT"/>
                        </w:rPr>
                        <w:t>. energijos šaltiniai, jos gamyba ir (ar) vartojimas;</w:t>
                      </w:r>
                    </w:p>
                  </w:sdtContent>
                </w:sdt>
                <w:sdt>
                  <w:sdtPr>
                    <w:alias w:val="21.9 p."/>
                    <w:tag w:val="part_217a48d2789b45ebb31835f4d70942ea"/>
                    <w:lock w:val="sdtLocked"/>
                    <w:richText/>
                  </w:sdtPr>
                  <w:sdtContent>
                    <w:p>
                      <w:pPr>
                        <w:widowControl w:val="0"/>
                        <w:ind w:firstLine="567"/>
                        <w:jc w:val="both"/>
                        <w:rPr>
                          <w:color w:val="000000"/>
                          <w:szCs w:val="24"/>
                          <w:lang w:eastAsia="lt-LT"/>
                        </w:rPr>
                      </w:pPr>
                      <w:sdt>
                        <w:sdtPr>
                          <w:alias w:val="Numeris"/>
                          <w:tag w:val="nr_217a48d2789b45ebb31835f4d70942ea"/>
                          <w:lock w:val="sdtLocked"/>
                          <w:richText/>
                        </w:sdtPr>
                        <w:sdtContent>
                          <w:r>
                            <w:rPr>
                              <w:color w:val="000000"/>
                              <w:szCs w:val="24"/>
                              <w:lang w:eastAsia="lt-LT"/>
                            </w:rPr>
                            <w:t>21.9</w:t>
                          </w:r>
                        </w:sdtContent>
                      </w:sdt>
                      <w:r>
                        <w:rPr>
                          <w:color w:val="000000"/>
                          <w:szCs w:val="24"/>
                          <w:lang w:eastAsia="lt-LT"/>
                        </w:rPr>
                        <w:t>. pasirinkta technologija ir kiti metodai teršalų išmetimo iš įrenginio prevencijai arba, jeigu tai neįmanoma, teršalų išmetimo iš įrenginio mažinimui;</w:t>
                      </w:r>
                    </w:p>
                  </w:sdtContent>
                </w:sdt>
                <w:sdt>
                  <w:sdtPr>
                    <w:alias w:val="21.10 p."/>
                    <w:tag w:val="part_ec9fc6d4cf314891a589f872e2173351"/>
                    <w:lock w:val="sdtLocked"/>
                    <w:richText/>
                  </w:sdtPr>
                  <w:sdtContent>
                    <w:p>
                      <w:pPr>
                        <w:widowControl w:val="0"/>
                        <w:ind w:firstLine="567"/>
                        <w:jc w:val="both"/>
                        <w:rPr>
                          <w:color w:val="000000"/>
                          <w:szCs w:val="24"/>
                          <w:lang w:eastAsia="lt-LT"/>
                        </w:rPr>
                      </w:pPr>
                      <w:sdt>
                        <w:sdtPr>
                          <w:alias w:val="Numeris"/>
                          <w:tag w:val="nr_ec9fc6d4cf314891a589f872e2173351"/>
                          <w:lock w:val="sdtLocked"/>
                          <w:richText/>
                        </w:sdtPr>
                        <w:sdtContent>
                          <w:r>
                            <w:rPr>
                              <w:color w:val="000000"/>
                              <w:szCs w:val="24"/>
                              <w:lang w:eastAsia="lt-LT"/>
                            </w:rPr>
                            <w:t>21.10</w:t>
                          </w:r>
                        </w:sdtContent>
                      </w:sdt>
                      <w:r>
                        <w:rPr>
                          <w:color w:val="000000"/>
                          <w:szCs w:val="24"/>
                          <w:lang w:eastAsia="lt-LT"/>
                        </w:rPr>
                        <w:t>. palyginimas, kaip veiklos vykdytojo naudojama technologija, veiklos metodai ir taršos prevencijos bei monitoringo (stebėsenos) priemonės atitinka GPGB išvadose nurodytus GPGB;</w:t>
                      </w:r>
                    </w:p>
                  </w:sdtContent>
                </w:sdt>
                <w:sdt>
                  <w:sdtPr>
                    <w:alias w:val="21.11 p."/>
                    <w:tag w:val="part_63c110f014b64b2cb3dd62a073779f38"/>
                    <w:lock w:val="sdtLocked"/>
                    <w:richText/>
                  </w:sdtPr>
                  <w:sdtContent>
                    <w:p>
                      <w:pPr>
                        <w:widowControl w:val="0"/>
                        <w:ind w:firstLine="567"/>
                        <w:jc w:val="both"/>
                        <w:rPr>
                          <w:color w:val="000000"/>
                          <w:szCs w:val="24"/>
                          <w:lang w:eastAsia="lt-LT"/>
                        </w:rPr>
                      </w:pPr>
                      <w:sdt>
                        <w:sdtPr>
                          <w:alias w:val="Numeris"/>
                          <w:tag w:val="nr_63c110f014b64b2cb3dd62a073779f38"/>
                          <w:lock w:val="sdtLocked"/>
                          <w:richText/>
                        </w:sdtPr>
                        <w:sdtContent>
                          <w:r>
                            <w:rPr>
                              <w:color w:val="000000"/>
                              <w:szCs w:val="24"/>
                              <w:lang w:eastAsia="lt-LT"/>
                            </w:rPr>
                            <w:t>21.11</w:t>
                          </w:r>
                        </w:sdtContent>
                      </w:sdt>
                      <w:r>
                        <w:rPr>
                          <w:color w:val="000000"/>
                          <w:szCs w:val="24"/>
                          <w:lang w:eastAsia="lt-LT"/>
                        </w:rPr>
                        <w:t>. planuojami naudoti vandens šaltiniai, vandens poreikis;</w:t>
                      </w:r>
                    </w:p>
                  </w:sdtContent>
                </w:sdt>
                <w:sdt>
                  <w:sdtPr>
                    <w:alias w:val="21.12 p."/>
                    <w:tag w:val="part_e45512203aa74176828e4eaed2c26e94"/>
                    <w:lock w:val="sdtLocked"/>
                    <w:richText/>
                  </w:sdtPr>
                  <w:sdtContent>
                    <w:p>
                      <w:pPr>
                        <w:tabs>
                          <w:tab w:val="left" w:pos="993"/>
                        </w:tabs>
                        <w:suppressAutoHyphens/>
                        <w:ind w:firstLine="567"/>
                        <w:jc w:val="both"/>
                        <w:textAlignment w:val="baseline"/>
                        <w:rPr>
                          <w:color w:val="000000"/>
                          <w:szCs w:val="24"/>
                          <w:lang w:eastAsia="lt-LT"/>
                        </w:rPr>
                      </w:pPr>
                      <w:sdt>
                        <w:sdtPr>
                          <w:alias w:val="Numeris"/>
                          <w:tag w:val="nr_e45512203aa74176828e4eaed2c26e94"/>
                          <w:lock w:val="sdtLocked"/>
                          <w:richText/>
                        </w:sdtPr>
                        <w:sdtContent>
                          <w:r>
                            <w:rPr>
                              <w:color w:val="000000"/>
                              <w:lang w:eastAsia="zh-CN"/>
                            </w:rPr>
                            <w:t>21.12</w:t>
                          </w:r>
                        </w:sdtContent>
                      </w:sdt>
                      <w:r>
                        <w:rPr>
                          <w:color w:val="000000"/>
                          <w:lang w:eastAsia="zh-CN"/>
                        </w:rPr>
                        <w:t>. veiklos rūšys ir įrenginio šaltiniai, iš kurių į atmosferą išmetamos šiltnamio efektą sukeliančios dujos (toliau – ŠESD), nurodytos Lietuvos Respublikos klimato kaitos valdymo įstatymo 1 priede;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bba30608cfa11eea5a28c81c82193a8">
                        <w:r w:rsidRPr="00532B9F">
                          <w:rPr>
                            <w:rFonts w:ascii="Arial" w:eastAsia="MS Mincho" w:hAnsi="Arial"/>
                            <w:sz w:val="20"/>
                            <w:i/>
                            <w:iCs/>
                            <w:color w:val="0000FF" w:themeColor="hyperlink"/>
                            <w:u w:val="single"/>
                          </w:rPr>
                          <w:t>D1-381</w:t>
                        </w:r>
                      </w:fldSimple>
                      <w:r>
                        <w:rPr>
                          <w:rFonts w:ascii="Arial" w:eastAsia="MS Mincho" w:hAnsi="Arial"/>
                          <w:sz w:val="20"/>
                          <w:i/>
                          <w:iCs/>
                        </w:rPr>
                        <w:t>,
2023-11-27,
paskelbta TAR 2023-11-27, i. k. 2023-22748            </w:t>
                      </w:r>
                    </w:p>
                    <w:p/>
                  </w:sdtContent>
                </w:sdt>
                <w:sdt>
                  <w:sdtPr>
                    <w:alias w:val="21.13 p."/>
                    <w:tag w:val="part_8ba74420bcef47639a253fdfb4f04003"/>
                    <w:lock w:val="sdtLocked"/>
                    <w:richText/>
                  </w:sdtPr>
                  <w:sdtContent>
                    <w:p>
                      <w:pPr>
                        <w:widowControl w:val="0"/>
                        <w:ind w:firstLine="567"/>
                        <w:jc w:val="both"/>
                        <w:rPr>
                          <w:color w:val="000000"/>
                          <w:szCs w:val="24"/>
                          <w:lang w:eastAsia="lt-LT"/>
                        </w:rPr>
                      </w:pPr>
                      <w:sdt>
                        <w:sdtPr>
                          <w:alias w:val="Numeris"/>
                          <w:tag w:val="nr_8ba74420bcef47639a253fdfb4f04003"/>
                          <w:lock w:val="sdtLocked"/>
                          <w:richText/>
                        </w:sdtPr>
                        <w:sdtContent>
                          <w:r>
                            <w:rPr>
                              <w:color w:val="000000"/>
                              <w:szCs w:val="24"/>
                              <w:lang w:eastAsia="lt-LT"/>
                            </w:rPr>
                            <w:t>21.13</w:t>
                          </w:r>
                        </w:sdtContent>
                      </w:sdt>
                      <w:r>
                        <w:rPr>
                          <w:color w:val="000000"/>
                          <w:szCs w:val="24"/>
                          <w:lang w:eastAsia="lt-LT"/>
                        </w:rPr>
                        <w:t>. atliekų susidarymo įrenginyje prevencijos, parengimo pakartotiniam naudojimui, perdirbimo ir jų naudojimo priemonės (taikoma ne atliekas tvarkančioms įmonėms);</w:t>
                      </w:r>
                    </w:p>
                  </w:sdtContent>
                </w:sdt>
                <w:sdt>
                  <w:sdtPr>
                    <w:alias w:val="21.14 p."/>
                    <w:tag w:val="part_984c38aca6494719b8a36c3f9bf2feb6"/>
                    <w:lock w:val="sdtLocked"/>
                    <w:richText/>
                  </w:sdtPr>
                  <w:sdtContent>
                    <w:p>
                      <w:pPr>
                        <w:widowControl w:val="0"/>
                        <w:ind w:firstLine="567"/>
                        <w:jc w:val="both"/>
                        <w:rPr>
                          <w:color w:val="000000"/>
                          <w:szCs w:val="24"/>
                          <w:lang w:eastAsia="lt-LT"/>
                        </w:rPr>
                      </w:pPr>
                      <w:sdt>
                        <w:sdtPr>
                          <w:alias w:val="Numeris"/>
                          <w:tag w:val="nr_984c38aca6494719b8a36c3f9bf2feb6"/>
                          <w:lock w:val="sdtLocked"/>
                          <w:richText/>
                        </w:sdtPr>
                        <w:sdtContent>
                          <w:r>
                            <w:rPr>
                              <w:color w:val="000000"/>
                              <w:szCs w:val="24"/>
                              <w:lang w:eastAsia="lt-LT"/>
                            </w:rPr>
                            <w:t>21.14</w:t>
                          </w:r>
                        </w:sdtContent>
                      </w:sdt>
                      <w:r>
                        <w:rPr>
                          <w:color w:val="000000"/>
                          <w:szCs w:val="24"/>
                          <w:lang w:eastAsia="lt-LT"/>
                        </w:rPr>
                        <w:t>. galima oro, vandens, žemės tarša esant neįprastoms (neatitiktinėms) veiklos sąlygoms ir priemonės galimai taršai esant tokioms sąlygoms išvengti ar ją riboti;</w:t>
                      </w:r>
                    </w:p>
                  </w:sdtContent>
                </w:sdt>
                <w:sdt>
                  <w:sdtPr>
                    <w:alias w:val="21.15 p."/>
                    <w:tag w:val="part_e1c420b3f0f64f39804d1a54ca6990a7"/>
                    <w:lock w:val="sdtLocked"/>
                    <w:richText/>
                  </w:sdtPr>
                  <w:sdtContent>
                    <w:p>
                      <w:pPr>
                        <w:widowControl w:val="0"/>
                        <w:ind w:firstLine="567"/>
                        <w:jc w:val="both"/>
                        <w:rPr>
                          <w:color w:val="000000"/>
                          <w:szCs w:val="24"/>
                          <w:lang w:eastAsia="lt-LT"/>
                        </w:rPr>
                      </w:pPr>
                      <w:sdt>
                        <w:sdtPr>
                          <w:alias w:val="Numeris"/>
                          <w:tag w:val="nr_e1c420b3f0f64f39804d1a54ca6990a7"/>
                          <w:lock w:val="sdtLocked"/>
                          <w:richText/>
                        </w:sdtPr>
                        <w:sdtContent>
                          <w:r>
                            <w:rPr>
                              <w:color w:val="000000"/>
                              <w:szCs w:val="24"/>
                              <w:lang w:eastAsia="lt-LT"/>
                            </w:rPr>
                            <w:t>21.15</w:t>
                          </w:r>
                        </w:sdtContent>
                      </w:sdt>
                      <w:r>
                        <w:rPr>
                          <w:color w:val="000000"/>
                          <w:szCs w:val="24"/>
                          <w:lang w:eastAsia="lt-LT"/>
                        </w:rPr>
                        <w:t>. kitos papildomos priemonės, kad būtų įgyvendinti Taisyklių 17 punkte nustatyti pagrindiniai principai;</w:t>
                      </w:r>
                    </w:p>
                  </w:sdtContent>
                </w:sdt>
                <w:sdt>
                  <w:sdtPr>
                    <w:alias w:val="21.16 p."/>
                    <w:tag w:val="part_499c803e62dc43c989b742a73273dd32"/>
                    <w:lock w:val="sdtLocked"/>
                    <w:richText/>
                  </w:sdtPr>
                  <w:sdtContent>
                    <w:p>
                      <w:pPr>
                        <w:widowControl w:val="0"/>
                        <w:ind w:firstLine="567"/>
                        <w:jc w:val="both"/>
                        <w:rPr>
                          <w:color w:val="000000"/>
                          <w:szCs w:val="24"/>
                          <w:lang w:eastAsia="lt-LT"/>
                        </w:rPr>
                      </w:pPr>
                      <w:sdt>
                        <w:sdtPr>
                          <w:alias w:val="Numeris"/>
                          <w:tag w:val="nr_499c803e62dc43c989b742a73273dd32"/>
                          <w:lock w:val="sdtLocked"/>
                          <w:richText/>
                        </w:sdtPr>
                        <w:sdtContent>
                          <w:r>
                            <w:rPr>
                              <w:color w:val="000000"/>
                              <w:szCs w:val="24"/>
                              <w:lang w:eastAsia="lt-LT"/>
                            </w:rPr>
                            <w:t>21.16</w:t>
                          </w:r>
                        </w:sdtContent>
                      </w:sdt>
                      <w:r>
                        <w:rPr>
                          <w:color w:val="000000"/>
                          <w:szCs w:val="24"/>
                          <w:lang w:eastAsia="lt-LT"/>
                        </w:rPr>
                        <w:t>. avarijų prevencijos priemonės, jei neteikiamas 22.14 punkte nurodytas dokumentas;</w:t>
                      </w:r>
                    </w:p>
                  </w:sdtContent>
                </w:sdt>
                <w:sdt>
                  <w:sdtPr>
                    <w:alias w:val="21.17 p."/>
                    <w:tag w:val="part_2b332e0438d3434fb5f3563b6d425220"/>
                    <w:lock w:val="sdtLocked"/>
                    <w:richText/>
                  </w:sdtPr>
                  <w:sdtContent>
                    <w:p>
                      <w:pPr>
                        <w:suppressAutoHyphens/>
                        <w:ind w:firstLine="567"/>
                        <w:jc w:val="both"/>
                        <w:rPr>
                          <w:color w:val="000000"/>
                          <w:szCs w:val="24"/>
                          <w:lang w:eastAsia="lt-LT"/>
                        </w:rPr>
                      </w:pPr>
                      <w:sdt>
                        <w:sdtPr>
                          <w:alias w:val="Numeris"/>
                          <w:tag w:val="nr_2b332e0438d3434fb5f3563b6d425220"/>
                          <w:lock w:val="sdtLocked"/>
                          <w:richText/>
                        </w:sdtPr>
                        <w:sdtContent>
                          <w:r>
                            <w:rPr>
                              <w:color w:val="000000"/>
                              <w:szCs w:val="24"/>
                              <w:lang w:val="lt" w:eastAsia="zh-CN"/>
                            </w:rPr>
                            <w:t>21.17</w:t>
                          </w:r>
                        </w:sdtContent>
                      </w:sdt>
                      <w:r>
                        <w:rPr>
                          <w:color w:val="000000"/>
                          <w:szCs w:val="24"/>
                          <w:lang w:val="lt" w:eastAsia="zh-CN"/>
                        </w:rPr>
                        <w:t xml:space="preserve">. aplinkosaugos veiksmų planas, jei </w:t>
                      </w:r>
                      <w:r>
                        <w:rPr>
                          <w:szCs w:val="24"/>
                          <w:lang w:eastAsia="lt-LT"/>
                        </w:rPr>
                        <w:t xml:space="preserve">ūkinės </w:t>
                      </w:r>
                      <w:r>
                        <w:rPr>
                          <w:color w:val="000000"/>
                          <w:szCs w:val="24"/>
                          <w:lang w:val="lt" w:eastAsia="zh-CN"/>
                        </w:rPr>
                        <w:t>veiklos vykdytojas prašo aplinkosaugos reikalavimų įgyvendinimo išlygų arba naudoja pavojingąsias medžiagas ir pagal Taisyklių 17.7 papunktyje nurodytą principą turi mažinti jų naudojimą. Aplinkosaugos veiksmų plane turi būti apibrėžtos konkrečios taršos prevencijos ir (ar) mažinimo priemonės, nurodyti parametrai, vienetai, siekiamos ribinės vertės (pagal GPGB), esamos vertės, pavojingųjų medžiagų naudojimo mažinimo priemonės, įskaitant pavojingųjų medžiagų pakeitimą mažiau pavojingomis medžiagomis ar kitomis alternatyviomis technologijomis, preliminarus priemonių įgyvendinimo grafikas;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21.18 p."/>
                    <w:tag w:val="part_17a13c449a09404389f636f7f2602d78"/>
                    <w:lock w:val="sdtLocked"/>
                    <w:richText/>
                  </w:sdtPr>
                  <w:sdtContent>
                    <w:p>
                      <w:pPr>
                        <w:widowControl w:val="0"/>
                        <w:ind w:firstLine="567"/>
                        <w:jc w:val="both"/>
                        <w:rPr>
                          <w:color w:val="000000"/>
                          <w:szCs w:val="24"/>
                          <w:lang w:eastAsia="lt-LT"/>
                        </w:rPr>
                      </w:pPr>
                      <w:sdt>
                        <w:sdtPr>
                          <w:alias w:val="Numeris"/>
                          <w:tag w:val="nr_17a13c449a09404389f636f7f2602d78"/>
                          <w:lock w:val="sdtLocked"/>
                          <w:richText/>
                        </w:sdtPr>
                        <w:sdtContent>
                          <w:r>
                            <w:rPr>
                              <w:color w:val="000000"/>
                              <w:szCs w:val="24"/>
                              <w:lang w:eastAsia="lt-LT"/>
                            </w:rPr>
                            <w:t>21.18</w:t>
                          </w:r>
                        </w:sdtContent>
                      </w:sdt>
                      <w:r>
                        <w:rPr>
                          <w:color w:val="000000"/>
                          <w:szCs w:val="24"/>
                          <w:lang w:eastAsia="lt-LT"/>
                        </w:rPr>
                        <w:t>. papildomi duomenys pagal Atliekų deginimo aplinkosauginius reikalavimus;</w:t>
                      </w:r>
                    </w:p>
                  </w:sdtContent>
                </w:sdt>
                <w:sdt>
                  <w:sdtPr>
                    <w:alias w:val="21.19 p."/>
                    <w:tag w:val="part_4e7388b665864b1c97525504406e168e"/>
                    <w:lock w:val="sdtLocked"/>
                    <w:richText/>
                  </w:sdtPr>
                  <w:sdtContent>
                    <w:p>
                      <w:pPr>
                        <w:widowControl w:val="0"/>
                        <w:ind w:firstLine="567"/>
                        <w:jc w:val="both"/>
                        <w:rPr>
                          <w:color w:val="000000"/>
                          <w:szCs w:val="24"/>
                          <w:lang w:eastAsia="lt-LT"/>
                        </w:rPr>
                      </w:pPr>
                      <w:sdt>
                        <w:sdtPr>
                          <w:alias w:val="Numeris"/>
                          <w:tag w:val="nr_4e7388b665864b1c97525504406e168e"/>
                          <w:lock w:val="sdtLocked"/>
                          <w:richText/>
                        </w:sdtPr>
                        <w:sdtContent>
                          <w:r>
                            <w:rPr>
                              <w:color w:val="000000"/>
                              <w:szCs w:val="24"/>
                              <w:lang w:eastAsia="lt-LT"/>
                            </w:rPr>
                            <w:t>21.19</w:t>
                          </w:r>
                        </w:sdtContent>
                      </w:sdt>
                      <w:r>
                        <w:rPr>
                          <w:color w:val="000000"/>
                          <w:szCs w:val="24"/>
                          <w:lang w:eastAsia="lt-LT"/>
                        </w:rPr>
                        <w:t>. papildomi duomenys pagal Atliekų sąvartynų įrengimo, eksploatavimo, uždarymo ir priežiūros po uždarymo taisyklių, patvirtintų Lietuvos Respublikos aplinkos ministro 2000 m. spalio 18 d. įsakymu Nr. 444 (Žin., 2000, Nr. </w:t>
                      </w:r>
                      <w:hyperlink r:id="rId21" w:tgtFrame="_blank" w:history="1">
                        <w:r>
                          <w:rPr>
                            <w:color w:val="0000FF" w:themeColor="hyperlink"/>
                            <w:szCs w:val="24"/>
                            <w:u w:val="single"/>
                            <w:lang w:eastAsia="lt-LT"/>
                          </w:rPr>
                          <w:t>96-3051</w:t>
                        </w:r>
                      </w:hyperlink>
                      <w:r>
                        <w:rPr>
                          <w:color w:val="000000"/>
                          <w:szCs w:val="24"/>
                          <w:lang w:eastAsia="lt-LT"/>
                        </w:rPr>
                        <w:t>), reikalavimus;</w:t>
                      </w:r>
                    </w:p>
                  </w:sdtContent>
                </w:sdt>
                <w:sdt>
                  <w:sdtPr>
                    <w:alias w:val="21.20 p."/>
                    <w:tag w:val="part_cae7d4bc59614c1b84d902a2e65f959f"/>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cae7d4bc59614c1b84d902a2e65f959f"/>
                          <w:lock w:val="sdtLocked"/>
                          <w:richText/>
                        </w:sdtPr>
                        <w:sdtContent>
                          <w:r>
                            <w:rPr>
                              <w:color w:val="000000"/>
                              <w:szCs w:val="24"/>
                              <w:lang w:eastAsia="lt-LT"/>
                            </w:rPr>
                            <w:t>21.20</w:t>
                          </w:r>
                        </w:sdtContent>
                      </w:sdt>
                      <w:r>
                        <w:rPr>
                          <w:color w:val="000000"/>
                          <w:szCs w:val="24"/>
                          <w:lang w:eastAsia="lt-LT"/>
                        </w:rPr>
                        <w:t>. papildomi duomenys pagal Specialiuosius reikalavimus dideliems kurą deginantiems įrenginiams, patvirtintus aplinkos ministro 2001 m. rugsėjo 28 d. įsakymu Nr. „Dėl Specialiųjų reikalavimų dideliems kurą deginantiems įrenginiams patvirtinimo“;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sdtContent>
                </w:sdt>
                <w:sdt>
                  <w:sdtPr>
                    <w:alias w:val="21.21 p."/>
                    <w:tag w:val="part_81b78a32e51f4deba29fdb31e8d4d86a"/>
                    <w:lock w:val="sdtLocked"/>
                    <w:richText/>
                  </w:sdtPr>
                  <w:sdtContent>
                    <w:p>
                      <w:pPr>
                        <w:widowControl w:val="0"/>
                        <w:suppressAutoHyphens/>
                        <w:ind w:firstLine="567"/>
                        <w:jc w:val="both"/>
                        <w:rPr>
                          <w:color w:val="000000"/>
                          <w:szCs w:val="24"/>
                          <w:lang w:eastAsia="lt-LT"/>
                        </w:rPr>
                      </w:pPr>
                      <w:sdt>
                        <w:sdtPr>
                          <w:alias w:val="Numeris"/>
                          <w:tag w:val="nr_81b78a32e51f4deba29fdb31e8d4d86a"/>
                          <w:lock w:val="sdtLocked"/>
                          <w:richText/>
                        </w:sdtPr>
                        <w:sdtContent>
                          <w:r>
                            <w:rPr>
                              <w:color w:val="000000"/>
                              <w:szCs w:val="24"/>
                              <w:lang w:eastAsia="lt-LT"/>
                            </w:rPr>
                            <w:t>21.21</w:t>
                          </w:r>
                        </w:sdtContent>
                      </w:sdt>
                      <w:r>
                        <w:rPr>
                          <w:color w:val="000000"/>
                          <w:szCs w:val="24"/>
                          <w:lang w:eastAsia="lt-LT"/>
                        </w:rPr>
                        <w:t xml:space="preserve">. netechninio pobūdžio santrauka, kurioje turi būti pateikta lengvai suprantama ir visuomenei, ir valstybės institucijų atstovams apibendrinta paraiškoje pateikta informacija, išskiriant svarbiausius paraiškoje pateiktos informacijos aspektus. Netechninio pobūdžio santraukoje turi būti aiškiai aprašytas leidimo keitimo tikslas (ką planuojama pakeisti, koks </w:t>
                      </w:r>
                      <w:r>
                        <w:rPr>
                          <w:szCs w:val="24"/>
                          <w:lang w:eastAsia="lt-LT"/>
                        </w:rPr>
                        <w:t xml:space="preserve">ūkinės </w:t>
                      </w:r>
                      <w:r>
                        <w:rPr>
                          <w:color w:val="000000"/>
                          <w:szCs w:val="24"/>
                          <w:lang w:eastAsia="lt-LT"/>
                        </w:rPr>
                        <w:t>veiklos pakeitimo pobūdis, mastas ir pan.).</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Content>
            </w:sdt>
            <w:sdt>
              <w:sdtPr>
                <w:alias w:val="22 p."/>
                <w:tag w:val="part_a68c53e7318243b9b210042a6a9d329c"/>
                <w:lock w:val="sdtLocked"/>
                <w:richText/>
              </w:sdtPr>
              <w:sdtContent>
                <w:p>
                  <w:pPr>
                    <w:widowControl w:val="0"/>
                    <w:ind w:firstLine="567"/>
                    <w:jc w:val="both"/>
                    <w:rPr>
                      <w:color w:val="000000"/>
                      <w:szCs w:val="24"/>
                      <w:lang w:eastAsia="lt-LT"/>
                    </w:rPr>
                  </w:pPr>
                  <w:sdt>
                    <w:sdtPr>
                      <w:alias w:val="Numeris"/>
                      <w:tag w:val="nr_a68c53e7318243b9b210042a6a9d329c"/>
                      <w:lock w:val="sdtLocked"/>
                      <w:richText/>
                    </w:sdtPr>
                    <w:sdtContent>
                      <w:r>
                        <w:rPr>
                          <w:szCs w:val="24"/>
                          <w:lang w:eastAsia="lt-LT"/>
                        </w:rPr>
                        <w:t>22</w:t>
                      </w:r>
                    </w:sdtContent>
                  </w:sdt>
                  <w:r>
                    <w:rPr>
                      <w:szCs w:val="24"/>
                      <w:lang w:eastAsia="lt-LT"/>
                    </w:rPr>
                    <w:t>. Paraiškoje teikiami šie dokumentai ar įmonės patvirtinti jų nuorašai: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sdt>
                  <w:sdtPr>
                    <w:alias w:val="22.1 p."/>
                    <w:tag w:val="part_fb3aee899cab4b90b52b1d3b7236e1ec"/>
                    <w:lock w:val="sdtLocked"/>
                    <w:richText/>
                  </w:sdtPr>
                  <w:sdtContent>
                    <w:p>
                      <w:pPr>
                        <w:widowControl w:val="0"/>
                        <w:ind w:firstLine="567"/>
                        <w:jc w:val="both"/>
                        <w:rPr>
                          <w:color w:val="000000"/>
                          <w:szCs w:val="24"/>
                          <w:lang w:eastAsia="lt-LT"/>
                        </w:rPr>
                      </w:pPr>
                      <w:sdt>
                        <w:sdtPr>
                          <w:alias w:val="Numeris"/>
                          <w:tag w:val="nr_fb3aee899cab4b90b52b1d3b7236e1ec"/>
                          <w:lock w:val="sdtLocked"/>
                          <w:richText/>
                        </w:sdtPr>
                        <w:sdtContent>
                          <w:r>
                            <w:rPr>
                              <w:color w:val="000000"/>
                              <w:szCs w:val="24"/>
                              <w:lang w:eastAsia="lt-LT"/>
                            </w:rPr>
                            <w:t>22.1</w:t>
                          </w:r>
                        </w:sdtContent>
                      </w:sdt>
                      <w:r>
                        <w:rPr>
                          <w:color w:val="000000"/>
                          <w:szCs w:val="24"/>
                          <w:lang w:eastAsia="lt-LT"/>
                        </w:rPr>
                        <w:t>. ūkinės veiklos objekto sklypo planas (schema) su pažymėtais taršos šaltiniais;</w:t>
                      </w:r>
                    </w:p>
                  </w:sdtContent>
                </w:sdt>
                <w:sdt>
                  <w:sdtPr>
                    <w:alias w:val="22.2 p."/>
                    <w:tag w:val="part_299cbadccf0e451d8b9f2f76c1e8ce93"/>
                    <w:lock w:val="sdtLocked"/>
                    <w:richText/>
                  </w:sdtPr>
                  <w:sdtContent>
                    <w:p>
                      <w:pPr>
                        <w:widowControl w:val="0"/>
                        <w:ind w:firstLine="567"/>
                        <w:jc w:val="both"/>
                        <w:rPr>
                          <w:color w:val="000000"/>
                          <w:szCs w:val="24"/>
                          <w:lang w:eastAsia="lt-LT"/>
                        </w:rPr>
                      </w:pPr>
                      <w:sdt>
                        <w:sdtPr>
                          <w:alias w:val="Numeris"/>
                          <w:tag w:val="nr_299cbadccf0e451d8b9f2f76c1e8ce93"/>
                          <w:lock w:val="sdtLocked"/>
                          <w:richText/>
                        </w:sdtPr>
                        <w:sdtContent>
                          <w:r>
                            <w:rPr>
                              <w:color w:val="000000"/>
                              <w:szCs w:val="24"/>
                              <w:lang w:eastAsia="lt-LT"/>
                            </w:rPr>
                            <w:t>22.2</w:t>
                          </w:r>
                        </w:sdtContent>
                      </w:sdt>
                      <w:r>
                        <w:rPr>
                          <w:color w:val="000000"/>
                          <w:szCs w:val="24"/>
                          <w:lang w:eastAsia="lt-LT"/>
                        </w:rPr>
                        <w:t>. objekto / įrenginio schema / planas, kuriame aiškiai pažymėti ir sunumeruoti vandens šaltiniai, vandens išgavimo vietos;</w:t>
                      </w:r>
                    </w:p>
                  </w:sdtContent>
                </w:sdt>
                <w:sdt>
                  <w:sdtPr>
                    <w:alias w:val="22.3 p."/>
                    <w:tag w:val="part_294b96f2b1c9475f9c50de0242afa165"/>
                    <w:lock w:val="sdtLocked"/>
                    <w:richText/>
                  </w:sdtPr>
                  <w:sdtContent>
                    <w:p>
                      <w:pPr>
                        <w:widowControl w:val="0"/>
                        <w:ind w:firstLine="567"/>
                        <w:jc w:val="both"/>
                        <w:rPr>
                          <w:color w:val="000000"/>
                          <w:szCs w:val="24"/>
                          <w:lang w:eastAsia="lt-LT"/>
                        </w:rPr>
                      </w:pPr>
                      <w:sdt>
                        <w:sdtPr>
                          <w:alias w:val="Numeris"/>
                          <w:tag w:val="nr_294b96f2b1c9475f9c50de0242afa165"/>
                          <w:lock w:val="sdtLocked"/>
                          <w:richText/>
                        </w:sdtPr>
                        <w:sdtContent>
                          <w:r>
                            <w:rPr>
                              <w:color w:val="000000"/>
                              <w:szCs w:val="24"/>
                              <w:lang w:eastAsia="lt-LT"/>
                            </w:rPr>
                            <w:t>22.3</w:t>
                          </w:r>
                        </w:sdtContent>
                      </w:sdt>
                      <w:r>
                        <w:rPr>
                          <w:color w:val="000000"/>
                          <w:szCs w:val="24"/>
                          <w:lang w:eastAsia="lt-LT"/>
                        </w:rPr>
                        <w:t>. ūkio subjekto aplinkos monitoringo programa, parengta pagal Ūkio subjektų aplinkos monitoringo nuostatus, patvirtintus aplinkos ministro 2009 m. rugsėjo 16 d. įsakymu Nr. D1-546 (Žin., 2009, Nr. </w:t>
                      </w:r>
                      <w:hyperlink r:id="rId22" w:tgtFrame="_blank" w:history="1">
                        <w:r>
                          <w:rPr>
                            <w:color w:val="0000FF" w:themeColor="hyperlink"/>
                            <w:szCs w:val="24"/>
                            <w:u w:val="single"/>
                            <w:lang w:eastAsia="lt-LT"/>
                          </w:rPr>
                          <w:t>113-4831</w:t>
                        </w:r>
                      </w:hyperlink>
                      <w:r>
                        <w:rPr>
                          <w:color w:val="000000"/>
                          <w:szCs w:val="24"/>
                          <w:lang w:eastAsia="lt-LT"/>
                        </w:rPr>
                        <w:t>) (toliau – Monitoringo nuostatai);</w:t>
                      </w:r>
                    </w:p>
                  </w:sdtContent>
                </w:sdt>
                <w:sdt>
                  <w:sdtPr>
                    <w:alias w:val="22.4 p."/>
                    <w:tag w:val="part_9e34a308940e4613acecb4388cecbeba"/>
                    <w:lock w:val="sdtLocked"/>
                    <w:richText/>
                  </w:sdtPr>
                  <w:sdtContent>
                    <w:p>
                      <w:pPr>
                        <w:widowControl w:val="0"/>
                        <w:ind w:firstLine="567"/>
                        <w:jc w:val="both"/>
                        <w:rPr>
                          <w:color w:val="000000"/>
                          <w:szCs w:val="24"/>
                          <w:lang w:eastAsia="lt-LT"/>
                        </w:rPr>
                      </w:pPr>
                      <w:sdt>
                        <w:sdtPr>
                          <w:alias w:val="Numeris"/>
                          <w:tag w:val="nr_9e34a308940e4613acecb4388cecbeba"/>
                          <w:lock w:val="sdtLocked"/>
                          <w:richText/>
                        </w:sdtPr>
                        <w:sdtContent>
                          <w:r>
                            <w:rPr>
                              <w:color w:val="000000"/>
                              <w:szCs w:val="24"/>
                              <w:lang w:eastAsia="lt-LT"/>
                            </w:rPr>
                            <w:t>22.4</w:t>
                          </w:r>
                        </w:sdtContent>
                      </w:sdt>
                      <w:r>
                        <w:rPr>
                          <w:color w:val="000000"/>
                          <w:szCs w:val="24"/>
                          <w:lang w:eastAsia="lt-LT"/>
                        </w:rPr>
                        <w:t>. užterštumo būklės ataskaita, kai ją būtina rengti pagal Taisyklių XIII skyrių, kurioje teikiama informacija, reikalinga dirvožemio ir požeminių vandenų užterštumo būklei nustatyti, siekiant kiekybiškai palyginti su būkle galutinai nutraukus veiklą. Ji turi būti parengta ir įvertinta pagal reikalavimus, nurodytus Ekogeologinių tyrimų reglamente, patvirtintame Lietuvos geologijos tarnybos prie Aplinkos ministerijos (toliau – LGT) direktoriaus 2008 m. birželio 17 d. įsakymu Nr. 1-104 (Žin., 2008, Nr. </w:t>
                      </w:r>
                      <w:hyperlink r:id="rId23" w:tgtFrame="_blank" w:history="1">
                        <w:r>
                          <w:rPr>
                            <w:color w:val="0000FF" w:themeColor="hyperlink"/>
                            <w:szCs w:val="24"/>
                            <w:u w:val="single"/>
                            <w:lang w:eastAsia="lt-LT"/>
                          </w:rPr>
                          <w:t>71-2759</w:t>
                        </w:r>
                      </w:hyperlink>
                      <w:r>
                        <w:rPr>
                          <w:color w:val="000000"/>
                          <w:szCs w:val="24"/>
                          <w:lang w:eastAsia="lt-LT"/>
                        </w:rPr>
                        <w:t>);</w:t>
                      </w:r>
                    </w:p>
                  </w:sdtContent>
                </w:sdt>
                <w:sdt>
                  <w:sdtPr>
                    <w:alias w:val="22.5 p."/>
                    <w:tag w:val="part_5b89bbf605254db6a802f1daccf32f40"/>
                    <w:lock w:val="sdtLocked"/>
                    <w:richText/>
                  </w:sdtPr>
                  <w:sdtContent>
                    <w:p>
                      <w:pPr>
                        <w:widowControl w:val="0"/>
                        <w:ind w:firstLine="567"/>
                        <w:jc w:val="both"/>
                        <w:rPr>
                          <w:color w:val="000000"/>
                          <w:szCs w:val="24"/>
                          <w:lang w:eastAsia="lt-LT"/>
                        </w:rPr>
                      </w:pPr>
                      <w:sdt>
                        <w:sdtPr>
                          <w:alias w:val="Numeris"/>
                          <w:tag w:val="nr_5b89bbf605254db6a802f1daccf32f40"/>
                          <w:lock w:val="sdtLocked"/>
                          <w:richText/>
                        </w:sdtPr>
                        <w:sdtContent>
                          <w:r>
                            <w:rPr>
                              <w:color w:val="000000"/>
                              <w:szCs w:val="24"/>
                              <w:lang w:eastAsia="lt-LT"/>
                            </w:rPr>
                            <w:t>22.5</w:t>
                          </w:r>
                        </w:sdtContent>
                      </w:sdt>
                      <w:r>
                        <w:rPr>
                          <w:color w:val="000000"/>
                          <w:szCs w:val="24"/>
                          <w:lang w:eastAsia="lt-LT"/>
                        </w:rPr>
                        <w:t>. potencialaus geologinės aplinkos taršos židinio inventorizavimo anketa (deklaracija), kurios forma patvirtinta LGT direktoriaus 2003 m. vasario 3 d. įsakymu Nr. 1-06 „Dėl Pavojingų medžiagų išleidimo į požeminį vandenį inventorizavimo ir informacijos rinkimo tvarkos patvirtinimo“ (Žin., 2003, Nr. </w:t>
                      </w:r>
                      <w:hyperlink r:id="rId24" w:tgtFrame="_blank" w:history="1">
                        <w:r>
                          <w:rPr>
                            <w:color w:val="0000FF" w:themeColor="hyperlink"/>
                            <w:szCs w:val="24"/>
                            <w:u w:val="single"/>
                            <w:lang w:eastAsia="lt-LT"/>
                          </w:rPr>
                          <w:t>17-770</w:t>
                        </w:r>
                      </w:hyperlink>
                      <w:r>
                        <w:rPr>
                          <w:color w:val="000000"/>
                          <w:szCs w:val="24"/>
                          <w:lang w:eastAsia="lt-LT"/>
                        </w:rPr>
                        <w:t>);</w:t>
                      </w:r>
                    </w:p>
                  </w:sdtContent>
                </w:sdt>
                <w:sdt>
                  <w:sdtPr>
                    <w:alias w:val="22.6 p."/>
                    <w:tag w:val="part_b1cf785f95fb4e85a19940c2aadb7c56"/>
                    <w:lock w:val="sdtLocked"/>
                    <w:richText/>
                  </w:sdtPr>
                  <w:sdtContent>
                    <w:p>
                      <w:pPr>
                        <w:widowControl w:val="0"/>
                        <w:ind w:firstLine="567"/>
                        <w:jc w:val="both"/>
                        <w:rPr>
                          <w:color w:val="000000"/>
                          <w:szCs w:val="24"/>
                          <w:lang w:eastAsia="lt-LT"/>
                        </w:rPr>
                      </w:pPr>
                      <w:sdt>
                        <w:sdtPr>
                          <w:alias w:val="Numeris"/>
                          <w:tag w:val="nr_b1cf785f95fb4e85a19940c2aadb7c56"/>
                          <w:lock w:val="sdtLocked"/>
                          <w:richText/>
                        </w:sdtPr>
                        <w:sdtContent>
                          <w:r>
                            <w:rPr>
                              <w:color w:val="000000"/>
                              <w:szCs w:val="24"/>
                              <w:lang w:eastAsia="lt-LT"/>
                            </w:rPr>
                            <w:t>22.6</w:t>
                          </w:r>
                        </w:sdtContent>
                      </w:sdt>
                      <w:r>
                        <w:rPr>
                          <w:color w:val="000000"/>
                          <w:szCs w:val="24"/>
                          <w:lang w:eastAsia="lt-LT"/>
                        </w:rPr>
                        <w:t xml:space="preserve">. ŠESD stebėsenos planas, parengtas vadovaujantis </w:t>
                      </w:r>
                      <w:r>
                        <w:rPr>
                          <w:lang w:eastAsia="lt-LT"/>
                        </w:rPr>
                        <w:t>Europos Sąjungos šiltnamio efektą sukeliančių dujų apyvartinių taršos leidimų prekybos sistemoje dalyvaujančių veiklos vykdytojų ir orlaivio naudotojų šiltnamio efektą sukeliančių dujų išmetimo stebėsenos, apskaitos ir ataskaitų teikimo tvarkos apraše, patvirtintame Lietuvos Respublikos aplinkos ministro 2015 m. vasario 26 d. įsakymu Nr. D1-168 „Dėl Europos Sąjungos šiltnamio efektą sukeliančių dujų apyvartinių taršos leidimų prekybos sistemoje dalyvaujančių veiklos vykdytojų ir orlaivio naudotojų šiltnamio efektą sukeliančių dujų išmetimo stebėsenos, apskaitos ir ataskaitų teikimo tvarkos aprašo patvirtinimo“ nustatyta tvarka</w:t>
                      </w:r>
                      <w:r>
                        <w:rPr>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22.7 p."/>
                    <w:tag w:val="part_f13c156f9de54d41ac48ffc0959bf5b5"/>
                    <w:lock w:val="sdtLocked"/>
                    <w:richText/>
                  </w:sdtPr>
                  <w:sdtContent>
                    <w:p>
                      <w:pPr>
                        <w:widowControl w:val="0"/>
                        <w:ind w:firstLine="567"/>
                        <w:jc w:val="both"/>
                        <w:rPr>
                          <w:color w:val="000000"/>
                          <w:szCs w:val="24"/>
                          <w:lang w:eastAsia="lt-LT"/>
                        </w:rPr>
                      </w:pPr>
                      <w:sdt>
                        <w:sdtPr>
                          <w:alias w:val="Numeris"/>
                          <w:tag w:val="nr_f13c156f9de54d41ac48ffc0959bf5b5"/>
                          <w:lock w:val="sdtLocked"/>
                          <w:richText/>
                        </w:sdtPr>
                        <w:sdtContent>
                          <w:r>
                            <w:rPr>
                              <w:color w:val="000000"/>
                              <w:szCs w:val="24"/>
                              <w:lang w:eastAsia="lt-LT"/>
                            </w:rPr>
                            <w:t>22.7</w:t>
                          </w:r>
                        </w:sdtContent>
                      </w:sdt>
                      <w:r>
                        <w:rPr>
                          <w:color w:val="000000"/>
                          <w:szCs w:val="24"/>
                          <w:lang w:eastAsia="lt-LT"/>
                        </w:rPr>
                        <w:t>. jeigu numatyta teisės aktuose, reglamentuojančiuose vandenų apsaugą arba nuotekų išleidimą, turi būti pateikiami planuojamo nuotekų išleidimo poveikio priimtuvui skaičiavimai, atlikti vadovaujantis Nuotekų tvarkymo reglamento, patvirtinto Lietuvos Respublikos aplinkos ministro 2006 m. gegužės 17 d. įsakymu Nr. D1-236 (Žin., 2006, Nr. </w:t>
                      </w:r>
                      <w:hyperlink r:id="rId25" w:tgtFrame="_blank" w:history="1">
                        <w:r>
                          <w:rPr>
                            <w:color w:val="0000FF" w:themeColor="hyperlink"/>
                            <w:szCs w:val="24"/>
                            <w:u w:val="single"/>
                            <w:lang w:eastAsia="lt-LT"/>
                          </w:rPr>
                          <w:t>59-2103</w:t>
                        </w:r>
                      </w:hyperlink>
                      <w:r>
                        <w:rPr>
                          <w:color w:val="000000"/>
                          <w:szCs w:val="24"/>
                          <w:lang w:eastAsia="lt-LT"/>
                        </w:rPr>
                        <w:t>; 2007, Nr. </w:t>
                      </w:r>
                      <w:hyperlink r:id="rId26" w:tgtFrame="_blank" w:history="1">
                        <w:r>
                          <w:rPr>
                            <w:color w:val="0000FF" w:themeColor="hyperlink"/>
                            <w:szCs w:val="24"/>
                            <w:u w:val="single"/>
                            <w:lang w:eastAsia="lt-LT"/>
                          </w:rPr>
                          <w:t>110-4522</w:t>
                        </w:r>
                      </w:hyperlink>
                      <w:r>
                        <w:rPr>
                          <w:color w:val="000000"/>
                          <w:szCs w:val="24"/>
                          <w:lang w:eastAsia="lt-LT"/>
                        </w:rPr>
                        <w:t>) (toliau – Nuotekų tvarkymo reglamentas) reikalavimais;</w:t>
                      </w:r>
                    </w:p>
                  </w:sdtContent>
                </w:sdt>
                <w:sdt>
                  <w:sdtPr>
                    <w:alias w:val="22.7-1 pp."/>
                    <w:tag w:val="part_8d9c3385417d4d19a76d7b42e58eae35"/>
                    <w:lock w:val="sdtLocked"/>
                    <w:richText/>
                  </w:sdtPr>
                  <w:sdtContent>
                    <w:p>
                      <w:pPr>
                        <w:ind w:firstLine="567"/>
                        <w:jc w:val="both"/>
                        <w:rPr>
                          <w:color w:val="000000"/>
                          <w:szCs w:val="24"/>
                          <w:lang w:eastAsia="lt-LT"/>
                        </w:rPr>
                      </w:pPr>
                      <w:sdt>
                        <w:sdtPr>
                          <w:alias w:val="Numeris"/>
                          <w:tag w:val="nr_8d9c3385417d4d19a76d7b42e58eae35"/>
                          <w:lock w:val="sdtLocked"/>
                          <w:richText/>
                        </w:sdtPr>
                        <w:sdtContent>
                          <w:r>
                            <w:t>22.7</w:t>
                          </w:r>
                          <w:r>
                            <w:rPr>
                              <w:vertAlign w:val="superscript"/>
                            </w:rPr>
                            <w:t>1</w:t>
                          </w:r>
                        </w:sdtContent>
                      </w:sdt>
                      <w:r>
                        <w:t xml:space="preserve">. kai nuotekos išleidžiamos į aplinką – </w:t>
                      </w:r>
                      <w:r>
                        <w:rPr>
                          <w:lang w:eastAsia="lt-LT"/>
                        </w:rPr>
                        <w:t>detali nuotekų valymo įrenginių schema, kurioje pažymėtos visos nevalytų, valomų ir išvalytų nuotekų tekėjimo linijos ir jas valdančios sklendės, vietos, kuriose viena nuotekų linija sujungta su kita (pvz., apvadinė linija), ir vietos, kuriose galimas nuotekų patekimas į aplinką (išleistuvas, avarinis išleistuvas). Išvardyti elementai nuotekų valymo įrenginiuose privalo būti pažymėti taip pat, kaip ir šioje schemoje;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22.8 p."/>
                    <w:tag w:val="part_13be56745f024f8c80f203e2931c2967"/>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13be56745f024f8c80f203e2931c2967"/>
                          <w:lock w:val="sdtLocked"/>
                          <w:richText/>
                        </w:sdtPr>
                        <w:sdtContent>
                          <w:r>
                            <w:rPr>
                              <w:szCs w:val="24"/>
                              <w:lang w:eastAsia="lt-LT"/>
                            </w:rPr>
                            <w:t>22.8</w:t>
                          </w:r>
                        </w:sdtContent>
                      </w:sdt>
                      <w:r>
                        <w:rPr>
                          <w:szCs w:val="24"/>
                          <w:lang w:eastAsia="lt-LT"/>
                        </w:rPr>
                        <w:t>. jeigu nuotekas numatoma išleisti (atiduoti) į kito asmens nuotekų tvarkymo sistemą, paraiškoje teikiami nuotekų tvarkymo paslaugų teikimą patvirtinančių dokumentų, nurodytų Lietuvos Respublikos geriamojo vandens tiekimo ir nuotekų tvarkymo įstatyme, nuorašai;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sdtContent>
                </w:sdt>
                <w:sdt>
                  <w:sdtPr>
                    <w:alias w:val="22.9 p."/>
                    <w:tag w:val="part_27fade5459ad4b46a0449c74bcf7f880"/>
                    <w:lock w:val="sdtLocked"/>
                    <w:richText/>
                  </w:sdtPr>
                  <w:sdtContent>
                    <w:p>
                      <w:pPr>
                        <w:widowControl w:val="0"/>
                        <w:ind w:firstLine="567"/>
                        <w:jc w:val="both"/>
                        <w:rPr>
                          <w:color w:val="000000"/>
                          <w:szCs w:val="24"/>
                          <w:lang w:eastAsia="lt-LT"/>
                        </w:rPr>
                      </w:pPr>
                      <w:sdt>
                        <w:sdtPr>
                          <w:alias w:val="Numeris"/>
                          <w:tag w:val="nr_27fade5459ad4b46a0449c74bcf7f880"/>
                          <w:lock w:val="sdtLocked"/>
                          <w:richText/>
                        </w:sdtPr>
                        <w:sdtContent>
                          <w:r>
                            <w:rPr>
                              <w:color w:val="000000"/>
                              <w:szCs w:val="24"/>
                              <w:lang w:eastAsia="lt-LT"/>
                            </w:rPr>
                            <w:t>22.9</w:t>
                          </w:r>
                        </w:sdtContent>
                      </w:sdt>
                      <w:r>
                        <w:rPr>
                          <w:color w:val="000000"/>
                          <w:szCs w:val="24"/>
                          <w:lang w:eastAsia="lt-LT"/>
                        </w:rPr>
                        <w:t>. vandenų taršos pavojingomis medžiagomis mažinimo programa, planuojant taršą ar esant vandenų taršai pavojingomis medžiagomis, parengta pagal Nuotekų tvarkymo reglamento reikalavimus;</w:t>
                      </w:r>
                    </w:p>
                  </w:sdtContent>
                </w:sdt>
                <w:sdt>
                  <w:sdtPr>
                    <w:alias w:val="22.10 p."/>
                    <w:tag w:val="part_3ba2bd74a8d74e3692774ddae881e858"/>
                    <w:lock w:val="sdtLocked"/>
                    <w:richText/>
                  </w:sdtPr>
                  <w:sdtContent>
                    <w:p>
                      <w:pPr>
                        <w:widowControl w:val="0"/>
                        <w:ind w:firstLine="567"/>
                        <w:jc w:val="both"/>
                        <w:rPr>
                          <w:color w:val="000000"/>
                          <w:szCs w:val="24"/>
                          <w:lang w:eastAsia="lt-LT"/>
                        </w:rPr>
                      </w:pPr>
                      <w:sdt>
                        <w:sdtPr>
                          <w:alias w:val="Numeris"/>
                          <w:tag w:val="nr_3ba2bd74a8d74e3692774ddae881e858"/>
                          <w:lock w:val="sdtLocked"/>
                          <w:richText/>
                        </w:sdtPr>
                        <w:sdtContent>
                          <w:r>
                            <w:rPr>
                              <w:color w:val="000000"/>
                              <w:szCs w:val="24"/>
                              <w:lang w:eastAsia="lt-LT"/>
                            </w:rPr>
                            <w:t>22.10</w:t>
                          </w:r>
                        </w:sdtContent>
                      </w:sdt>
                      <w:r>
                        <w:rPr>
                          <w:color w:val="000000"/>
                          <w:szCs w:val="24"/>
                          <w:lang w:eastAsia="lt-LT"/>
                        </w:rPr>
                        <w:t>. objekto / įrenginio ir jo nuotakyno schema / planas, su aiškiai pažymėtais ir sunumeruotais nuotekų valymo įrenginiais, nuotekų išleistuvais, nuotekų apskaitos prietaisais, laboratorinės kontrolės vietomis;</w:t>
                      </w:r>
                    </w:p>
                  </w:sdtContent>
                </w:sdt>
                <w:sdt>
                  <w:sdtPr>
                    <w:alias w:val="22.11 p."/>
                    <w:tag w:val="part_ed873021984344cf9157c82778daeb20"/>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ed873021984344cf9157c82778daeb20"/>
                          <w:lock w:val="sdtLocked"/>
                          <w:richText/>
                        </w:sdtPr>
                        <w:sdtContent>
                          <w:r>
                            <w:rPr>
                              <w:szCs w:val="24"/>
                              <w:lang w:eastAsia="lt-LT"/>
                            </w:rPr>
                            <w:t>22.11</w:t>
                          </w:r>
                        </w:sdtContent>
                      </w:sdt>
                      <w:r>
                        <w:rPr>
                          <w:szCs w:val="24"/>
                          <w:lang w:eastAsia="lt-LT"/>
                        </w:rPr>
                        <w:t xml:space="preserve">. veiklos atitiktį triukšmo ribiniams dydžiams ir įrenginio skleidžiamų kvapų atitiktį visuomenės sveikatos saugos teisės aktams pagrindžiantys dokumentai (laboratoriniai tyrimai, skaičiavimai), planas su pažymėtais triukšmo šaltiniais, triukšmo įvertinimo taškais, </w:t>
                      </w:r>
                      <w:r>
                        <w:rPr>
                          <w:lang w:eastAsia="lt-LT"/>
                        </w:rPr>
                        <w:t>kvapų šaltinių vietos žemėlapis su pažymėtu kiekvienu kvapo šaltiniu</w:t>
                      </w:r>
                      <w:r>
                        <w:rPr>
                          <w:szCs w:val="24"/>
                          <w:lang w:eastAsia="lt-LT"/>
                        </w:rPr>
                        <w:t xml:space="preserve">; kvapų ir cheminių medžiagų, skleidžiančių kvapus, sklidimą ir atitiktį visuomenės sveikatos saugos teisės aktams pagrindžiantys dokumentai (laboratoriniai tyrimai, skaičiavimai </w:t>
                      </w:r>
                      <w:r>
                        <w:rPr>
                          <w:lang w:eastAsia="lt-LT"/>
                        </w:rPr>
                        <w:t>įrenginių techniniai dokumentai (specifikacijos), iš kurių galima matyti konkretaus įrenginio sąlygojamą triukšmo lygį ir (ar) kt.</w:t>
                      </w:r>
                      <w:r>
                        <w:rPr>
                          <w:szCs w:val="24"/>
                          <w:lang w:eastAsia="lt-LT"/>
                        </w:rPr>
                        <w:t xml:space="preserve">), kvapų valdymo </w:t>
                      </w:r>
                      <w:r>
                        <w:rPr>
                          <w:bCs/>
                          <w:szCs w:val="24"/>
                          <w:lang w:eastAsia="lt-LT"/>
                        </w:rPr>
                        <w:t>(mažinimo) priemonės</w:t>
                      </w:r>
                      <w:r>
                        <w:rPr>
                          <w:szCs w:val="24"/>
                          <w:lang w:eastAsia="lt-LT"/>
                        </w:rPr>
                        <w:t xml:space="preserve"> ir efektyvumo rodikliai. Kai vadovaujantis Lietuvos Respublikos visuomenės sveikatos priežiūros įstatymu atliktas poveikio visuomenės sveikatai vertinimas, pateikiama nuoroda į poveikio visuomenės sveikatai vertinimo dokumentus;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22.12 p."/>
                    <w:tag w:val="part_df6ea2efc4914755a3088a972c64d781"/>
                    <w:lock w:val="sdtLocked"/>
                    <w:richText/>
                  </w:sdtPr>
                  <w:sdtContent>
                    <w:p>
                      <w:pPr>
                        <w:suppressAutoHyphens/>
                        <w:ind w:firstLine="567"/>
                        <w:jc w:val="both"/>
                        <w:textAlignment w:val="center"/>
                        <w:rPr>
                          <w:color w:val="000000"/>
                          <w:szCs w:val="24"/>
                          <w:lang w:eastAsia="lt-LT"/>
                        </w:rPr>
                      </w:pPr>
                      <w:sdt>
                        <w:sdtPr>
                          <w:alias w:val="Numeris"/>
                          <w:tag w:val="nr_df6ea2efc4914755a3088a972c64d781"/>
                          <w:lock w:val="sdtLocked"/>
                          <w:richText/>
                        </w:sdtPr>
                        <w:sdtContent>
                          <w:r>
                            <w:t>22.12</w:t>
                          </w:r>
                        </w:sdtContent>
                      </w:sdt>
                      <w:r>
                        <w:t xml:space="preserve">. </w:t>
                      </w:r>
                      <w:r>
                        <w:rPr>
                          <w:color w:val="000000"/>
                        </w:rPr>
                        <w:t>atliekų naudojimo ar šalinimo techninis reglamentas;</w:t>
                      </w:r>
                      <w:r>
                        <w:rPr>
                          <w:color w:val="000000"/>
                          <w:szCs w:val="24"/>
                        </w:rPr>
                        <w:t xml:space="preserve"> prievolių įvykdymo užtikrinimo sumos apskaičiavimo forma, užpildyta pagal Atliekas naudojančių ar šalinančių įmonių prievolių įvykdymo užtikrinimo tvarkos aprašo 4 priede pateiktą pavyzdinę formą (toliau – apskaičiavimo forma), jei atliekas naudojanti ar šalinanti įmonė privalo turėti laidavimo draudimo sutartį, banko garantiją ar maksimaliąją hipoteką, nurodytą Atliekų tvarkymo įstatymo 11 straipsnyje (toliau – prievolių įvykdymo užtikrinimo dokumentas)</w:t>
                      </w:r>
                      <w:r>
                        <w:rPr>
                          <w:color w:val="000000"/>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e6e470accc11e78a4c904b1afa0332">
                        <w:r w:rsidRPr="00532B9F">
                          <w:rPr>
                            <w:rFonts w:ascii="Arial" w:eastAsia="MS Mincho" w:hAnsi="Arial"/>
                            <w:sz w:val="20"/>
                            <w:i/>
                            <w:iCs/>
                            <w:color w:val="0000FF" w:themeColor="hyperlink"/>
                            <w:u w:val="single"/>
                          </w:rPr>
                          <w:t>D1-798</w:t>
                        </w:r>
                      </w:fldSimple>
                      <w:r>
                        <w:rPr>
                          <w:rFonts w:ascii="Arial" w:eastAsia="MS Mincho" w:hAnsi="Arial"/>
                          <w:sz w:val="20"/>
                          <w:i/>
                          <w:iCs/>
                        </w:rPr>
                        <w:t>,
2017-09-29,
paskelbta TAR 2017-10-09, i. k. 2017-15989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519680364811e78397ae072f58c508">
                        <w:r w:rsidRPr="00532B9F">
                          <w:rPr>
                            <w:rFonts w:ascii="Arial" w:eastAsia="MS Mincho" w:hAnsi="Arial"/>
                            <w:sz w:val="20"/>
                            <w:i/>
                            <w:iCs/>
                            <w:color w:val="0000FF" w:themeColor="hyperlink"/>
                            <w:u w:val="single"/>
                          </w:rPr>
                          <w:t>D1-402</w:t>
                        </w:r>
                      </w:fldSimple>
                      <w:r>
                        <w:rPr>
                          <w:rFonts w:ascii="Arial" w:eastAsia="MS Mincho" w:hAnsi="Arial"/>
                          <w:sz w:val="20"/>
                          <w:i/>
                          <w:iCs/>
                        </w:rPr>
                        <w:t>,
2017-05-11,
paskelbta TAR 2017-05-12, i. k. 2017-08064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5344301d2e11edb4cae1b158f98ea5">
                        <w:r w:rsidRPr="00532B9F">
                          <w:rPr>
                            <w:rFonts w:ascii="Arial" w:eastAsia="MS Mincho" w:hAnsi="Arial"/>
                            <w:sz w:val="20"/>
                            <w:i/>
                            <w:iCs/>
                            <w:color w:val="0000FF" w:themeColor="hyperlink"/>
                            <w:u w:val="single"/>
                          </w:rPr>
                          <w:t>D1-263</w:t>
                        </w:r>
                      </w:fldSimple>
                      <w:r>
                        <w:rPr>
                          <w:rFonts w:ascii="Arial" w:eastAsia="MS Mincho" w:hAnsi="Arial"/>
                          <w:sz w:val="20"/>
                          <w:i/>
                          <w:iCs/>
                        </w:rPr>
                        <w:t>,
2022-08-16,
paskelbta TAR 2022-08-16, i. k. 2022-17141            </w:t>
                      </w:r>
                    </w:p>
                    <w:p/>
                  </w:sdtContent>
                </w:sdt>
                <w:sdt>
                  <w:sdtPr>
                    <w:alias w:val="22.13 p."/>
                    <w:tag w:val="part_6633a0384ed0499c8606d124b2100312"/>
                    <w:lock w:val="sdtLocked"/>
                    <w:richText/>
                  </w:sdtPr>
                  <w:sdtContent>
                    <w:p>
                      <w:pPr>
                        <w:suppressAutoHyphens/>
                        <w:ind w:firstLine="567"/>
                        <w:jc w:val="both"/>
                      </w:pPr>
                      <w:sdt>
                        <w:sdtPr>
                          <w:alias w:val="Numeris"/>
                          <w:tag w:val="nr_6633a0384ed0499c8606d124b2100312"/>
                          <w:lock w:val="sdtLocked"/>
                          <w:richText/>
                        </w:sdtPr>
                        <w:sdtContent>
                          <w:r>
                            <w:rPr>
                              <w:color w:val="000000"/>
                              <w:lang w:eastAsia="zh-CN"/>
                            </w:rPr>
                            <w:t>22.13</w:t>
                          </w:r>
                        </w:sdtContent>
                      </w:sdt>
                      <w:r>
                        <w:rPr>
                          <w:color w:val="000000"/>
                          <w:lang w:eastAsia="zh-CN"/>
                        </w:rPr>
                        <w:t xml:space="preserve">. teršalų sklaidos aplinkos ore skaičiavimo rezultatai (aprašomoji medžiaga ir žemėlapiai) su pažymėtomis teritorijomis, kuriose užtikrinamas teršalo ribinės aplinkos oro užterštumo vertės laikymasis; teršalų sklaidos aplinkos ore skaičiavimo modelio pasirinkimo pagal Aplinkos apsaugos agentūros direktoriaus tvirtinamas ūkinės veiklos poveikiui aplinkos orui vertinti teršalų sklaidos skaičiavimo modelių pasirinkimo rekomendacijas, pagrindimas; pagal Aplinkos apsaugos agentūros direktoriaus tvirtinamas foninio aplinkos oro užterštumo duomenų naudojimo ūkinės veiklos poveikiui aplinkos orui įvertinti rekomendacijas naudoti foninio aplinkos oro užterštumo duomenys; pagal Teršalų sklaidos skaičiavimo modelių, foninio aplinkos oro užterštumo duomenų ir meteorologinių duomenų naudojimo tvarką, nustatytą Lietuvos Respublikos aplinkos ministro 2007 m. lapkričio 30 d. įsakymu Nr. D1-653 „Dėl teršalų sklaidos skaičiavimo modelių, foninio aplinkos oro užterštumo duomenų ir meteorologinių duomenų naudojimo ūkinės veiklos poveikiui aplinkos orui įvertinti“, naudoti vietovės meteorologiniai duomenys; teritorijos, kurioje atlikti teršalų sklaidos aplinkos ore skaičiavimai, ploto arba atskirų taškų koordinatės. Jei šiame papunktyje nurodyti duomenys yra poveikio aplinkai vertinimo dokumentuose, pakanka nurodyti dokumentų pavadinimus, kuriuose yra ši informacija. </w:t>
                      </w:r>
                      <w:r>
                        <w:rPr>
                          <w:lang w:eastAsia="zh-CN"/>
                        </w:rPr>
                        <w:t xml:space="preserve">Teikiant paraišką pakeisti leidimą, teršalų sklaidos </w:t>
                      </w:r>
                      <w:r>
                        <w:rPr>
                          <w:color w:val="000000"/>
                          <w:lang w:eastAsia="zh-CN"/>
                        </w:rPr>
                        <w:t xml:space="preserve">aplinkos ore </w:t>
                      </w:r>
                      <w:r>
                        <w:rPr>
                          <w:lang w:eastAsia="zh-CN"/>
                        </w:rPr>
                        <w:t>skaičiavimo rezultatų pateikti neprivaloma, jeigu nekeičiami leidime nurodyti į aplinkos orą išmetami teršalai ir jiems nustatytos išmetimo į aplinkos orą ribinės vertės (leidžiama tarša) arba sumažinamas leidime nurodytų į aplinkos orą išmetamų teršalų skaičius ir (ar)</w:t>
                      </w:r>
                      <w:r>
                        <w:rPr>
                          <w:color w:val="000000"/>
                          <w:szCs w:val="24"/>
                          <w:lang w:eastAsia="lt-LT"/>
                        </w:rPr>
                        <w:t xml:space="preserve"> įsigaliojus naujiems arba pasikeitus teisės aktų reikalavimams</w:t>
                      </w:r>
                      <w:r>
                        <w:rPr>
                          <w:lang w:eastAsia="zh-CN"/>
                        </w:rPr>
                        <w:t xml:space="preserve"> leidime nurodytiems į aplinkos orą išmetamiems teršalams nustatomos griežtesnės į aplinkos orą išmetamų teršalų ribinės vertės (leidžiama tarša), ir nesikeičia taršos šaltinių fiziniai duomenys (aukštis, skersmuo, dujų srauto greitis, temperatūra, tūrio debitas), ir (ar) veiklos mastas ar pobūdis, kurie daro poveikį išmetamų teršalų sklaidai</w:t>
                      </w:r>
                      <w:r>
                        <w:rPr>
                          <w:color w:val="000000"/>
                          <w:lang w:eastAsia="zh-CN"/>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bba30608cfa11eea5a28c81c82193a8">
                        <w:r w:rsidRPr="00532B9F">
                          <w:rPr>
                            <w:rFonts w:ascii="Arial" w:eastAsia="MS Mincho" w:hAnsi="Arial"/>
                            <w:sz w:val="20"/>
                            <w:i/>
                            <w:iCs/>
                            <w:color w:val="0000FF" w:themeColor="hyperlink"/>
                            <w:u w:val="single"/>
                          </w:rPr>
                          <w:t>D1-381</w:t>
                        </w:r>
                      </w:fldSimple>
                      <w:r>
                        <w:rPr>
                          <w:rFonts w:ascii="Arial" w:eastAsia="MS Mincho" w:hAnsi="Arial"/>
                          <w:sz w:val="20"/>
                          <w:i/>
                          <w:iCs/>
                        </w:rPr>
                        <w:t>,
2023-11-27,
paskelbta TAR 2023-11-27, i. k. 2023-22748            </w:t>
                      </w:r>
                    </w:p>
                    <w:p/>
                  </w:sdtContent>
                </w:sdt>
                <w:sdt>
                  <w:sdtPr>
                    <w:alias w:val="22.13-1 pp."/>
                    <w:tag w:val="part_c516d9bd5b4c4fe994fc33297da45664"/>
                    <w:lock w:val="sdtLocked"/>
                    <w:richText/>
                  </w:sdtPr>
                  <w:sdtContent>
                    <w:p>
                      <w:pPr>
                        <w:ind w:firstLine="567"/>
                        <w:jc w:val="both"/>
                        <w:rPr>
                          <w:color w:val="000000"/>
                          <w:szCs w:val="24"/>
                          <w:lang w:eastAsia="lt-LT"/>
                        </w:rPr>
                      </w:pPr>
                      <w:sdt>
                        <w:sdtPr>
                          <w:alias w:val="Numeris"/>
                          <w:tag w:val="nr_c516d9bd5b4c4fe994fc33297da45664"/>
                          <w:lock w:val="sdtLocked"/>
                          <w:richText/>
                        </w:sdtPr>
                        <w:sdtContent>
                          <w:r>
                            <w:rPr>
                              <w:color w:val="000000"/>
                              <w:szCs w:val="24"/>
                            </w:rPr>
                            <w:t>22.13</w:t>
                          </w:r>
                          <w:r>
                            <w:rPr>
                              <w:color w:val="000000"/>
                              <w:szCs w:val="24"/>
                              <w:vertAlign w:val="superscript"/>
                            </w:rPr>
                            <w:t>1</w:t>
                          </w:r>
                        </w:sdtContent>
                      </w:sdt>
                      <w:r>
                        <w:rPr>
                          <w:color w:val="000000"/>
                          <w:szCs w:val="24"/>
                        </w:rPr>
                        <w:t>. esamą situaciją atitinkanti stacionarių oro taršos šaltinių išdėstymo schema su pagal Aplinkos oro taršos šaltinių ir iš jų išmetamų teršalų inventorizacijos ir ataskaitų teikimo taisykles, patvirtintas Lietuvos Respublikos aplinkos ministro 2002 m. birželio 27 d. įsakymu Nr. 340 „Dėl Aplinkos oro taršos šaltinių ir iš jų išmetamų teršalų inventorizacijos ir ataskaitų teikimo taisyklių patvirtinimo“, pažymėtais stacionarių oro taršos šaltinių numeriais ir pagal  Stacionarių taršos šaltinių išmetamų į aplinkos orą teršalų ir teršalų aplinkos ore ėminių laboratoriniams tyrimams atlikti ėmimo, matavimų ir tyrimų atlikimo taisykles, patvirtintas Lietuvos Respublikos aplinkos ministro 2004 m. vasario 11 d. įsakymu Nr. D1-68 „Dėl Stacionarių taršos šaltinių išmetamų į aplinkos orą teršalų ir teršalų aplinkos ore ėminių laboratoriniams tyrimams atlikti ėmimo, matavimų ir tyrimų atlikimo taisyklių patvirtinimo“, nurodytomis įrengtomis ėminių ėmimo vietomis arba pagal Planuojamos ūkinės veiklos poveikio aplinkai vertinimo procedūrų vykdymo tvarkos aprašą, patvirtintą Lietuvos Respublikos aplinkos ministro 2017 m. spalio 31 d. įsakymu Nr. D1-885 „Dėl Planuojamos ūkinės veiklos poveikio aplinkai vertinimo tvarkos aprašų patvirtinimo“, parengtoje Planuojamos ūkinės veiklos poveikio aplinkai vertinimo ataskaitoje pateiktas žemės sklypo planas, kuriame pažymėti planuojami stacionarūs oro taršos šaltiniai (toliau – stacionarių oro taršos šaltinių išdėstymo schema).</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22.14 p."/>
                    <w:tag w:val="part_3e950e7380394a64a263f4d0d38922e4"/>
                    <w:lock w:val="sdtLocked"/>
                    <w:richText/>
                  </w:sdtPr>
                  <w:sdtContent>
                    <w:p>
                      <w:pPr>
                        <w:widowControl w:val="0"/>
                        <w:ind w:firstLine="567"/>
                        <w:jc w:val="both"/>
                        <w:rPr>
                          <w:color w:val="000000"/>
                          <w:szCs w:val="24"/>
                          <w:lang w:eastAsia="lt-LT"/>
                        </w:rPr>
                      </w:pPr>
                      <w:sdt>
                        <w:sdtPr>
                          <w:alias w:val="Numeris"/>
                          <w:tag w:val="nr_3e950e7380394a64a263f4d0d38922e4"/>
                          <w:lock w:val="sdtLocked"/>
                          <w:richText/>
                        </w:sdtPr>
                        <w:sdtContent>
                          <w:r>
                            <w:rPr>
                              <w:color w:val="000000"/>
                              <w:szCs w:val="24"/>
                              <w:lang w:eastAsia="lt-LT"/>
                            </w:rPr>
                            <w:t>22.14</w:t>
                          </w:r>
                        </w:sdtContent>
                      </w:sdt>
                      <w:r>
                        <w:rPr>
                          <w:color w:val="000000"/>
                          <w:szCs w:val="24"/>
                          <w:lang w:eastAsia="lt-LT"/>
                        </w:rPr>
                        <w:t xml:space="preserve">. ekstremaliųjų situacijų valdymo plano ar pavojingo objekto saugos ataskaitos titulinio lapo kopija su Priešgaisrinės apsaugos ir gelbėjimo departamento prie Vidaus reikalų ministerijos šios ataskaitos apibendrintos išvados kopija, jei </w:t>
                      </w:r>
                      <w:r>
                        <w:rPr>
                          <w:szCs w:val="24"/>
                        </w:rPr>
                        <w:t xml:space="preserve">Pramoninių avarijų prevencijos, likvidavimo ir tyrimo nuostatuose, patvirtintuose Lietuvos Respublikos Vyriausybės 2004 m. rugpjūčio 17 d. nutarimu Nr. 966 „Dėl Pramoninių avarijų prevencijos, likvidavimo ir tyrimo nuostatų ir Pavojingųjų medžiagų ir mišinių sąrašo, jų kvalifikacinių kiekių nustatymo ir cheminių medžiagų bei mišinių priskyrimo pavojingosioms medžiagoms kriterijų aprašo patvirtinimo“ </w:t>
                      </w:r>
                      <w:r>
                        <w:rPr>
                          <w:color w:val="000000"/>
                          <w:szCs w:val="24"/>
                          <w:lang w:eastAsia="lt-LT"/>
                        </w:rPr>
                        <w:t>nustatyta, kad veiklos vykdytojas privalo rengti tokius dokumentus;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22.15 p."/>
                    <w:tag w:val="part_806e5123017742a89fe8c31a4524426c"/>
                    <w:lock w:val="sdtLocked"/>
                    <w:richText/>
                  </w:sdtPr>
                  <w:sdtContent>
                    <w:p>
                      <w:pPr>
                        <w:pStyle w:val="PlainText"/>
                        <w:ind w:firstLine="567"/>
                        <w:jc w:val="both"/>
                        <w:rPr>
                          <w:rFonts w:ascii="Arial" w:hAnsi="Arial"/>
                          <w:b/>
                          <w:bCs/>
                          <w:sz w:val="22"/>
                        </w:rPr>
                      </w:pPr>
                      <w:r>
                        <w:rPr>
                          <w:rFonts w:ascii="Arial" w:hAnsi="Arial"/>
                          <w:sz w:val="22"/>
                        </w:rPr>
                        <w:t>22.15</w:t>
                      </w:r>
                      <w:r>
                        <w:rPr>
                          <w:rFonts w:ascii="Arial" w:hAnsi="Arial"/>
                          <w:sz w:val="22"/>
                        </w:rPr>
                        <w:t>.</w:t>
                      </w:r>
                      <w:r>
                        <w:rPr>
                          <w:rFonts w:ascii="Arial" w:eastAsia="MS Mincho" w:hAnsi="Arial"/>
                          <w:sz w:val="20"/>
                          <w:i/>
                          <w:iCs/>
                        </w:rPr>
                        <w:t xml:space="preserve"> Neteko galios nuo 2016-01-12</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22.16 p."/>
                    <w:tag w:val="part_77ff5a4e230145d08c7a2a181dea913b"/>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77ff5a4e230145d08c7a2a181dea913b"/>
                          <w:lock w:val="sdtLocked"/>
                          <w:richText/>
                        </w:sdtPr>
                        <w:sdtContent>
                          <w:r>
                            <w:rPr>
                              <w:szCs w:val="24"/>
                              <w:lang w:eastAsia="lt-LT"/>
                            </w:rPr>
                            <w:t>22.16</w:t>
                          </w:r>
                        </w:sdtContent>
                      </w:sdt>
                      <w:r>
                        <w:rPr>
                          <w:szCs w:val="24"/>
                          <w:lang w:eastAsia="lt-LT"/>
                        </w:rPr>
                        <w:t>. deklaracija (Taisyklių 4 priedo 1 priedėlis), patvirtinanti prisiimtus įsipareigojimus ir kad paraiškoje pateikiami duomenys yra teisingi, tikslūs ir išsamūs. Deklaracijos 4 pastraipos 3 punktas pildomas kai Lietuvos Respublikos aplinkos ministro nustatyta tvarka įrenginys priskiriamas prie įrenginių, kuriuos eksploatuoti reikia gauti leidimą išmesti šiltnamio efektą sukeliančias dujas;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22.17 p."/>
                    <w:tag w:val="part_9571c8b5118e46318af6ffbf72e91845"/>
                    <w:lock w:val="sdtLocked"/>
                    <w:richText/>
                  </w:sdtPr>
                  <w:sdtContent>
                    <w:p>
                      <w:pPr>
                        <w:widowControl w:val="0"/>
                        <w:ind w:firstLine="567"/>
                        <w:jc w:val="both"/>
                      </w:pPr>
                      <w:sdt>
                        <w:sdtPr>
                          <w:alias w:val="Numeris"/>
                          <w:tag w:val="nr_9571c8b5118e46318af6ffbf72e91845"/>
                          <w:lock w:val="sdtLocked"/>
                          <w:richText/>
                        </w:sdtPr>
                        <w:sdtContent>
                          <w:r>
                            <w:rPr>
                              <w:color w:val="000000"/>
                              <w:szCs w:val="24"/>
                              <w:lang w:eastAsia="lt-LT"/>
                            </w:rPr>
                            <w:t>22.17</w:t>
                          </w:r>
                        </w:sdtContent>
                      </w:sdt>
                      <w:r>
                        <w:rPr>
                          <w:color w:val="000000"/>
                          <w:szCs w:val="24"/>
                          <w:lang w:eastAsia="lt-LT"/>
                        </w:rPr>
                        <w:t>. Taisyklių 14 punkte nurodytu atveju – deklaracija (laisva forma), kurioje nurodomas atsakomybės pasidalijimas tarp įrenginį valdančių subjektų (ūkinės veiklos vykdytojų ir pateikiamas visų subjektų (ūkinės veiklos vykdytojų) patvirtinimas, kad jie supranta, kad atsiradus bent vienai Aplinkos apsaugos įstatymo 19</w:t>
                      </w:r>
                      <w:r>
                        <w:rPr>
                          <w:color w:val="000000"/>
                          <w:szCs w:val="24"/>
                          <w:vertAlign w:val="superscript"/>
                          <w:lang w:eastAsia="lt-LT"/>
                        </w:rPr>
                        <w:t>1</w:t>
                      </w:r>
                      <w:r>
                        <w:rPr>
                          <w:color w:val="000000"/>
                          <w:szCs w:val="24"/>
                          <w:lang w:eastAsia="lt-LT"/>
                        </w:rPr>
                        <w:t xml:space="preserve"> straipsnio 14 dalyje nurodytų leidimo galiojimo panaikinimo aplinkybių, leidimas bus naikinamas visas;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22.18 p."/>
                    <w:tag w:val="part_606cfc357d4946d39a026f56fec27ad7"/>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pPr>
                      <w:sdt>
                        <w:sdtPr>
                          <w:alias w:val="Numeris"/>
                          <w:tag w:val="nr_606cfc357d4946d39a026f56fec27ad7"/>
                          <w:lock w:val="sdtLocked"/>
                          <w:richText/>
                        </w:sdtPr>
                        <w:sdtContent>
                          <w:r>
                            <w:rPr>
                              <w:szCs w:val="24"/>
                              <w:lang w:eastAsia="lt-LT"/>
                            </w:rPr>
                            <w:t>22.18</w:t>
                          </w:r>
                        </w:sdtContent>
                      </w:sdt>
                      <w:r>
                        <w:rPr>
                          <w:szCs w:val="24"/>
                          <w:lang w:eastAsia="lt-LT"/>
                        </w:rPr>
                        <w:t>. valstybės rinkliavos už leidimo išdavimą ar pakeitimą sumokėjimą patvirtinantis dokumentas;</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22.19 pp."/>
                    <w:tag w:val="part_1ed887fe214c43dc8a9cdd7426ab42f2"/>
                    <w:lock w:val="sdtLocked"/>
                    <w:richText/>
                  </w:sdtPr>
                  <w:sdtContent>
                    <w:p>
                      <w:pPr>
                        <w:ind w:firstLine="567"/>
                        <w:jc w:val="both"/>
                        <w:rPr>
                          <w:color w:val="000000"/>
                          <w:szCs w:val="24"/>
                          <w:lang w:eastAsia="lt-LT"/>
                        </w:rPr>
                      </w:pPr>
                      <w:sdt>
                        <w:sdtPr>
                          <w:alias w:val="Numeris"/>
                          <w:tag w:val="nr_1ed887fe214c43dc8a9cdd7426ab42f2"/>
                          <w:lock w:val="sdtLocked"/>
                          <w:richText/>
                        </w:sdtPr>
                        <w:sdtContent>
                          <w:r>
                            <w:rPr>
                              <w:szCs w:val="24"/>
                            </w:rPr>
                            <w:t>22.19</w:t>
                          </w:r>
                        </w:sdtContent>
                      </w:sdt>
                      <w:r>
                        <w:rPr>
                          <w:szCs w:val="24"/>
                        </w:rPr>
                        <w:t xml:space="preserve">. </w:t>
                      </w:r>
                      <w:r>
                        <w:rPr>
                          <w:lang w:eastAsia="zh-CN"/>
                        </w:rPr>
                        <w:t>dokumentas, įrodantis</w:t>
                      </w:r>
                      <w:r>
                        <w:rPr>
                          <w:color w:val="000000"/>
                          <w:lang w:eastAsia="zh-CN"/>
                        </w:rPr>
                        <w:t xml:space="preserve">, kad ūkinės veiklos vykdytojas žemės sklypą ar jo dalį, </w:t>
                      </w:r>
                      <w:r>
                        <w:rPr>
                          <w:lang w:eastAsia="zh-CN"/>
                        </w:rPr>
                        <w:t>statinį ar jo dalį, kuriame įrengtas ūkinės veiklos objektas, naudoja ar valdo nuosavybės, nuomos, panaudos, patikėjimo teisės ar kitu teisiniu pagrindu, jeigu informacijos apie dokumentą nėra Nekilnojamojo turto registre</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Content>
            </w:sdt>
            <w:sdt>
              <w:sdtPr>
                <w:alias w:val="23 p."/>
                <w:tag w:val="part_311d93c0f5f84cb5902d7663d7945d84"/>
                <w:lock w:val="sdtLocked"/>
                <w:richText/>
              </w:sdtPr>
              <w:sdtContent>
                <w:p>
                  <w:pPr>
                    <w:widowControl w:val="0"/>
                    <w:ind w:firstLine="567"/>
                    <w:jc w:val="both"/>
                    <w:rPr>
                      <w:color w:val="000000"/>
                      <w:szCs w:val="24"/>
                      <w:lang w:eastAsia="lt-LT"/>
                    </w:rPr>
                  </w:pPr>
                  <w:sdt>
                    <w:sdtPr>
                      <w:alias w:val="Numeris"/>
                      <w:tag w:val="nr_311d93c0f5f84cb5902d7663d7945d84"/>
                      <w:lock w:val="sdtLocked"/>
                      <w:richText/>
                    </w:sdtPr>
                    <w:sdtContent>
                      <w:r>
                        <w:rPr>
                          <w:color w:val="000000"/>
                          <w:szCs w:val="24"/>
                          <w:lang w:eastAsia="lt-LT"/>
                        </w:rPr>
                        <w:t>23</w:t>
                      </w:r>
                    </w:sdtContent>
                  </w:sdt>
                  <w:r>
                    <w:rPr>
                      <w:color w:val="000000"/>
                      <w:szCs w:val="24"/>
                      <w:lang w:eastAsia="lt-LT"/>
                    </w:rPr>
                    <w:t>. Ūkinės veiklos vykdytojas su paraiška gali teikti, jo nuomone, reikalingą, bet nenurodytą Taisyklėse ar p</w:t>
                  </w:r>
                  <w:r>
                    <w:rPr>
                      <w:color w:val="000000"/>
                      <w:lang w:eastAsia="zh-CN"/>
                    </w:rPr>
                    <w:t xml:space="preserve">araiškos leidimui gauti ar pakeisti </w:t>
                  </w:r>
                  <w:r>
                    <w:rPr>
                      <w:color w:val="000000"/>
                      <w:szCs w:val="24"/>
                      <w:lang w:eastAsia="lt-LT"/>
                    </w:rPr>
                    <w:t>rekomenduojamoje formoje informaciją ir su eksploatuojamu įrenginiu ir jame vykdoma ūkine veikla susijusius duomenis.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24 p."/>
                <w:tag w:val="part_3bb6805c5df145c7ba9120de122b3f62"/>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3bb6805c5df145c7ba9120de122b3f62"/>
                      <w:lock w:val="sdtLocked"/>
                      <w:richText/>
                    </w:sdtPr>
                    <w:sdtContent>
                      <w:r>
                        <w:rPr>
                          <w:color w:val="000000"/>
                          <w:szCs w:val="24"/>
                          <w:lang w:eastAsia="lt-LT"/>
                        </w:rPr>
                        <w:t>24</w:t>
                      </w:r>
                    </w:sdtContent>
                  </w:sdt>
                  <w:r>
                    <w:rPr>
                      <w:color w:val="000000"/>
                      <w:szCs w:val="24"/>
                      <w:lang w:eastAsia="lt-LT"/>
                    </w:rPr>
                    <w:t xml:space="preserve">. Veiklos vykdytojas gali nurodyti, kokius duomenis </w:t>
                  </w:r>
                  <w:r>
                    <w:rPr>
                      <w:lang w:eastAsia="lt-LT"/>
                    </w:rPr>
                    <w:t>pagal Lietuvos Respublikos civilinio kodekso 1.116 straipsnio reikalavimus</w:t>
                  </w:r>
                  <w:r>
                    <w:rPr>
                      <w:color w:val="000000"/>
                      <w:szCs w:val="24"/>
                      <w:lang w:eastAsia="lt-LT"/>
                    </w:rPr>
                    <w:t xml:space="preserve"> jis laiko komercine (gamybine) paslaptimi, kurie neviešinami ar kitaip neteikiami tretiesiems asmenims be raštiško veiklos vykdytojo sutikimo. Tokia informacija ir informacija, susijusi su fiziniais asmenimis, kurių apsaugą reglamentuoja Lietuvos Respublikos asmens duomenų teisinės apsaugos įstatymas, teikiant paraišką elektroninėmis ryšio priemonėmis ar skaitmeninėje laikmenoje, turi būti atskirta ir pateikta atskirame aplanke, o teikiant paraišką popieriniu formatu, – pateikta atskirame voke. Ši informacija privalo būti saugoma ir naudojama AAA teisės aktų nustatyta tvarka taip, kad ji būtų apsaugota nuo neteisėto gavimo, naudojimo ar atskleidimo. Veiklos vykdytojo kaip komercinė (gamybinė) paslaptis nurodyti duomenys negali būti skelbiami viešai ar kitaip pateikiami tretiesiems asmenims be raštiško veiklos vykdytojo sutikimo.</w:t>
                  </w:r>
                  <w:r>
                    <w:rPr>
                      <w:szCs w:val="24"/>
                      <w:lang w:eastAsia="lt-LT"/>
                    </w:rPr>
                    <w:t xml:space="preserve"> Teikdama paraišką derinti kitoms institucijoms, šią informaciją ir (ar) duomenis,</w:t>
                  </w:r>
                  <w:r>
                    <w:rPr>
                      <w:bCs/>
                      <w:iCs/>
                      <w:sz w:val="23"/>
                      <w:szCs w:val="23"/>
                      <w:lang w:eastAsia="lt-LT"/>
                    </w:rPr>
                    <w:t xml:space="preserve"> </w:t>
                  </w:r>
                  <w:r>
                    <w:rPr>
                      <w:bCs/>
                      <w:iCs/>
                      <w:szCs w:val="24"/>
                      <w:lang w:eastAsia="lt-LT"/>
                    </w:rPr>
                    <w:t xml:space="preserve">taip pat informaciją, susijusią su fiziniais asmenimis, kurių apsaugą reglamentuoja Lietuvos Respublikos asmens duomenų teisinės apsaugos įstatymas, AAA privalo informuoti, kad teikiami duomenys ir (arba) informacija laikomi komercine paslaptimi ir užtikrinti, kad teikiant paraišką elektroninėmis ryšio priemonėmis, tokia informacija būtų atskirta ir pateikta atskirame aplanke, teikiant paraišką popieriniu formatu, – pateikta atskirame voke. </w:t>
                  </w:r>
                  <w:r>
                    <w:rPr>
                      <w:szCs w:val="24"/>
                      <w:lang w:eastAsia="lt-LT"/>
                    </w:rPr>
                    <w:t>Komercine (gamybine) paslaptimi negali būti laikoma informacija ir duomenys, kurie įstatymų ir kitus teisės aktų nustatyta tvarka turi būti prieinami visuomenei.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25 p."/>
                <w:tag w:val="part_9a43bd89366f4524a8a25a1fd01d4cb2"/>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pPr>
                  <w:sdt>
                    <w:sdtPr>
                      <w:alias w:val="Numeris"/>
                      <w:tag w:val="nr_9a43bd89366f4524a8a25a1fd01d4cb2"/>
                      <w:lock w:val="sdtLocked"/>
                      <w:richText/>
                    </w:sdtPr>
                    <w:sdtContent>
                      <w:r>
                        <w:rPr>
                          <w:szCs w:val="24"/>
                          <w:lang w:eastAsia="lt-LT"/>
                        </w:rPr>
                        <w:t>25</w:t>
                      </w:r>
                    </w:sdtContent>
                  </w:sdt>
                  <w:r>
                    <w:rPr>
                      <w:szCs w:val="24"/>
                      <w:lang w:eastAsia="lt-LT"/>
                    </w:rPr>
                    <w:t>. Jeigu AAA ir (ar) NVSC nepakanka duomenų ir informacijos, kurią veiklos vykdytojas pateikė pagal Taisyklių 19–22 punktus, siekiant nustatyti leidimo sąlygas, AAA ir (ar) NVSC paraiškos derinimo metu turi teisę motyvuotai pareikalauti, kad veiklos vykdytojas pateiktų papildomus duomenis ir informaciją nurodydami, kokioms konkrečioms leidimo sąlygoms nustatyti trūksta informacijos ir (ar) duomenų.</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ecf770f03111e5989ee743dd0efbb0">
                    <w:r w:rsidRPr="00532B9F">
                      <w:rPr>
                        <w:rFonts w:ascii="Arial" w:eastAsia="MS Mincho" w:hAnsi="Arial"/>
                        <w:sz w:val="20"/>
                        <w:i/>
                        <w:iCs/>
                        <w:color w:val="0000FF" w:themeColor="hyperlink"/>
                        <w:u w:val="single"/>
                      </w:rPr>
                      <w:t>D1-202</w:t>
                    </w:r>
                  </w:fldSimple>
                  <w:r>
                    <w:rPr>
                      <w:rFonts w:ascii="Arial" w:eastAsia="MS Mincho" w:hAnsi="Arial"/>
                      <w:sz w:val="20"/>
                      <w:i/>
                      <w:iCs/>
                    </w:rPr>
                    <w:t>,
2016-03-18,
paskelbta TAR 2016-03-22, i. k. 2016-05516            </w:t>
                  </w:r>
                </w:p>
                <w:p/>
              </w:sdtContent>
            </w:sdt>
            <w:sdt>
              <w:sdtPr>
                <w:alias w:val="26 p."/>
                <w:tag w:val="part_947e0568e93a4bb9a9f9c6c209a395b7"/>
                <w:lock w:val="sdtLocked"/>
                <w:richText/>
              </w:sdtPr>
              <w:sdtContent>
                <w:p>
                  <w:pPr>
                    <w:widowControl w:val="0"/>
                    <w:ind w:firstLine="567"/>
                    <w:jc w:val="both"/>
                    <w:rPr>
                      <w:color w:val="000000"/>
                      <w:szCs w:val="24"/>
                      <w:lang w:eastAsia="lt-LT"/>
                    </w:rPr>
                  </w:pPr>
                  <w:sdt>
                    <w:sdtPr>
                      <w:alias w:val="Numeris"/>
                      <w:tag w:val="nr_947e0568e93a4bb9a9f9c6c209a395b7"/>
                      <w:lock w:val="sdtLocked"/>
                      <w:richText/>
                    </w:sdtPr>
                    <w:sdtContent>
                      <w:r>
                        <w:rPr>
                          <w:color w:val="000000"/>
                          <w:szCs w:val="24"/>
                          <w:lang w:eastAsia="lt-LT"/>
                        </w:rPr>
                        <w:t>26</w:t>
                      </w:r>
                    </w:sdtContent>
                  </w:sdt>
                  <w:r>
                    <w:rPr>
                      <w:color w:val="000000"/>
                      <w:szCs w:val="24"/>
                      <w:lang w:eastAsia="lt-LT"/>
                    </w:rPr>
                    <w:t>. Paraiška leidimui pakeisti pildoma atsižvelgiant į Taisyklių 31 punkto nuostatas.</w:t>
                  </w:r>
                </w:p>
              </w:sdtContent>
            </w:sdt>
            <w:sdt>
              <w:sdtPr>
                <w:alias w:val="27 p."/>
                <w:tag w:val="part_811d9e04e1974f649c2d0db7fb77ba50"/>
                <w:lock w:val="sdtLocked"/>
                <w:richText/>
              </w:sdtPr>
              <w:sdtContent>
                <w:p>
                  <w:pPr>
                    <w:widowControl w:val="0"/>
                    <w:ind w:firstLine="567"/>
                    <w:jc w:val="both"/>
                    <w:rPr>
                      <w:color w:val="000000"/>
                      <w:szCs w:val="24"/>
                      <w:lang w:eastAsia="lt-LT"/>
                    </w:rPr>
                  </w:pPr>
                  <w:sdt>
                    <w:sdtPr>
                      <w:alias w:val="Numeris"/>
                      <w:tag w:val="nr_811d9e04e1974f649c2d0db7fb77ba50"/>
                      <w:lock w:val="sdtLocked"/>
                      <w:richText/>
                    </w:sdtPr>
                    <w:sdtContent>
                      <w:r>
                        <w:rPr>
                          <w:color w:val="000000"/>
                          <w:szCs w:val="24"/>
                          <w:lang w:eastAsia="lt-LT"/>
                        </w:rPr>
                        <w:t>27</w:t>
                      </w:r>
                    </w:sdtContent>
                  </w:sdt>
                  <w:r>
                    <w:rPr>
                      <w:color w:val="000000"/>
                      <w:szCs w:val="24"/>
                      <w:lang w:eastAsia="lt-LT"/>
                    </w:rPr>
                    <w:t>. Jei įrenginyje vykdoma ar planuojama vykdyti veikla neapima tam tikrų sričių, apie kurias prašoma informacijos (pvz., nenaudoja biologiškai skaidžių atliekų tręšimui ar pan.) arba vykdoma veikla neturi tam tikro poveikio aplinkos komponentams ar žmonių sveikatai (pvz., neskleidžia triukšmo, kvapų ar pan.), pildant paraiškos formą atitinkamos lentelės nepildomos ir neteikiamos, tačiau paliekamas jų eilės numeris, pavadinimas ir lentelės vietoje nurodoma, kodėl informacija ar duomenys neteikiami.</w:t>
                  </w:r>
                </w:p>
                <w:p>
                  <w:pPr>
                    <w:widowControl w:val="0"/>
                    <w:ind w:firstLine="567"/>
                    <w:jc w:val="both"/>
                    <w:rPr>
                      <w:color w:val="000000"/>
                      <w:szCs w:val="24"/>
                      <w:lang w:eastAsia="lt-LT"/>
                    </w:rPr>
                  </w:pPr>
                </w:p>
              </w:sdtContent>
            </w:sdt>
          </w:sdtContent>
        </w:sdt>
        <w:sdt>
          <w:sdtPr>
            <w:alias w:val="skyrius"/>
            <w:tag w:val="part_1e14df9aa4bc4f699921cf45b5cbfe65"/>
            <w:lock w:val="sdtLocked"/>
            <w:richText/>
          </w:sdtPr>
          <w:sdtContent>
            <w:p>
              <w:pPr>
                <w:widowControl w:val="0"/>
                <w:jc w:val="center"/>
                <w:rPr>
                  <w:b/>
                  <w:bCs/>
                  <w:caps/>
                  <w:color w:val="000000"/>
                  <w:szCs w:val="24"/>
                  <w:lang w:eastAsia="lt-LT"/>
                </w:rPr>
              </w:pPr>
              <w:sdt>
                <w:sdtPr>
                  <w:alias w:val="Numeris"/>
                  <w:tag w:val="nr_1e14df9aa4bc4f699921cf45b5cbfe65"/>
                  <w:lock w:val="sdtLocked"/>
                  <w:richText/>
                </w:sdtPr>
                <w:sdtContent>
                  <w:r>
                    <w:rPr>
                      <w:b/>
                      <w:bCs/>
                      <w:caps/>
                      <w:color w:val="000000"/>
                      <w:szCs w:val="24"/>
                      <w:lang w:eastAsia="lt-LT"/>
                    </w:rPr>
                    <w:t>VI</w:t>
                  </w:r>
                </w:sdtContent>
              </w:sdt>
              <w:r>
                <w:rPr>
                  <w:b/>
                  <w:bCs/>
                  <w:caps/>
                  <w:color w:val="000000"/>
                  <w:szCs w:val="24"/>
                  <w:lang w:eastAsia="lt-LT"/>
                </w:rPr>
                <w:t xml:space="preserve">. </w:t>
              </w:r>
              <w:sdt>
                <w:sdtPr>
                  <w:alias w:val="Pavadinimas"/>
                  <w:tag w:val="title_1e14df9aa4bc4f699921cf45b5cbfe65"/>
                  <w:lock w:val="sdtLocked"/>
                  <w:richText/>
                </w:sdtPr>
                <w:sdtContent>
                  <w:r>
                    <w:rPr>
                      <w:b/>
                      <w:bCs/>
                      <w:caps/>
                      <w:color w:val="000000"/>
                      <w:szCs w:val="24"/>
                      <w:lang w:eastAsia="lt-LT"/>
                    </w:rPr>
                    <w:t>PARAIŠKOS LEIDIMUI GAUTI AR PAKEISTI TEIKIMAS IR DERINIMAS</w:t>
                  </w:r>
                </w:sdtContent>
              </w:sdt>
            </w:p>
            <w:p>
              <w:pPr>
                <w:widowControl w:val="0"/>
                <w:ind w:firstLine="567"/>
                <w:jc w:val="both"/>
                <w:rPr>
                  <w:color w:val="000000"/>
                  <w:szCs w:val="24"/>
                  <w:lang w:eastAsia="lt-LT"/>
                </w:rPr>
              </w:pPr>
            </w:p>
            <w:sdt>
              <w:sdtPr>
                <w:alias w:val="28 p."/>
                <w:tag w:val="part_8896f8a986b5439a9bafb5f88169f021"/>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8896f8a986b5439a9bafb5f88169f021"/>
                      <w:lock w:val="sdtLocked"/>
                      <w:richText/>
                    </w:sdtPr>
                    <w:sdtContent>
                      <w:r>
                        <w:rPr>
                          <w:szCs w:val="24"/>
                          <w:lang w:eastAsia="lt-LT"/>
                        </w:rPr>
                        <w:t>28</w:t>
                      </w:r>
                    </w:sdtContent>
                  </w:sdt>
                  <w:r>
                    <w:rPr>
                      <w:szCs w:val="24"/>
                      <w:lang w:eastAsia="lt-LT"/>
                    </w:rPr>
                    <w:t xml:space="preserve">. Paraiška gauti ar pakeisti leidimą su pagal Taisykles reikalaujamais </w:t>
                  </w:r>
                  <w:r>
                    <w:rPr>
                      <w:lang w:eastAsia="lt-LT"/>
                    </w:rPr>
                    <w:t>joje pateiktais dokumentais teikiama AAA el. paštu ar kitomis elektroninėmis ryšio priemonėmis, tiesiogiai ar per kontaktinį centrą, nurodytą Lietuvos Respublikos paslaugų įstatyme, išskyrus atvejus, kai nėra techninių galimybių tokiu būdu pateiktos informacijos atgaminti ar perskaityti. Tokiu atveju paraiška teikiama popieriniame formate (susegta ar surišta) ir skaitmeninėje laikmenoje. Su paraiška teikiamas lydraštis. Teikiant paraišką elektroniniu formatu, teikimo lydraštis ir Taisyklėse nurodytos deklaracijos turi būti pasirašytos kvalifikuotu elektroniniu parašu arba suformuotas elektroninėmis ryšio priemonėmis, kurios leidžia užtikrinti teksto vientisumą, nepakeičiamumą ir leidžia identifikuoti paraišką teikiantį asmenį. Paraiškos skaitmeninė rinkmena turi būti pateikta *.docx ar *.odt formatu ir *.pdf formatu, kiti kartu pateikiami dokumentai –*.pdf, *.docx, *.xlsx, *.odt, *.ods, *.tif formatais (pasirinktinai). Paraiškos priedai, kurių teikimą tik popieriniame formate nustato kiti teisės aktai, arba dokumentai, kurių teikti galima tik originalą, teikiami atskirai, lydraštyje atskirai nurodant popierinių dokumentų sąrašą</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29 p."/>
                <w:tag w:val="part_0633a655963a4c0a81d42554f07db901"/>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0633a655963a4c0a81d42554f07db901"/>
                      <w:lock w:val="sdtLocked"/>
                      <w:richText/>
                    </w:sdtPr>
                    <w:sdtContent>
                      <w:r>
                        <w:rPr>
                          <w:szCs w:val="24"/>
                          <w:lang w:eastAsia="lt-LT"/>
                        </w:rPr>
                        <w:t>29</w:t>
                      </w:r>
                    </w:sdtContent>
                  </w:sdt>
                  <w:r>
                    <w:rPr>
                      <w:szCs w:val="24"/>
                      <w:lang w:eastAsia="lt-LT"/>
                    </w:rPr>
                    <w:t>. Paraiška leidimui gauti arba pakeisti gali būti teikiama per Aplinkosauginių leidimų informacinę sistemą (toliau – ALIS), užpildžius interneto svetainėje https://www.alisas.lt/ pateiktą formą.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ecf770f03111e5989ee743dd0efbb0">
                    <w:r w:rsidRPr="00532B9F">
                      <w:rPr>
                        <w:rFonts w:ascii="Arial" w:eastAsia="MS Mincho" w:hAnsi="Arial"/>
                        <w:sz w:val="20"/>
                        <w:i/>
                        <w:iCs/>
                        <w:color w:val="0000FF" w:themeColor="hyperlink"/>
                        <w:u w:val="single"/>
                      </w:rPr>
                      <w:t>D1-202</w:t>
                    </w:r>
                  </w:fldSimple>
                  <w:r>
                    <w:rPr>
                      <w:rFonts w:ascii="Arial" w:eastAsia="MS Mincho" w:hAnsi="Arial"/>
                      <w:sz w:val="20"/>
                      <w:i/>
                      <w:iCs/>
                    </w:rPr>
                    <w:t>,
2016-03-18,
paskelbta TAR 2016-03-22, i. k. 2016-05516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30 p."/>
                <w:tag w:val="part_ba5b4002c2c640f09a2c39ddec8e1b13"/>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ba5b4002c2c640f09a2c39ddec8e1b13"/>
                      <w:lock w:val="sdtLocked"/>
                      <w:richText/>
                    </w:sdtPr>
                    <w:sdtContent>
                      <w:r>
                        <w:rPr>
                          <w:szCs w:val="24"/>
                          <w:lang w:eastAsia="lt-LT"/>
                        </w:rPr>
                        <w:t>30</w:t>
                      </w:r>
                    </w:sdtContent>
                  </w:sdt>
                  <w:r>
                    <w:rPr>
                      <w:szCs w:val="24"/>
                      <w:lang w:eastAsia="lt-LT"/>
                    </w:rPr>
                    <w:t>. Paraišką leidimui naujiems įrenginiams eksploatuoti arba leidimui pakeisti privaloma teikti AAA atsižvelgiant į Taisyklėse nustatytus paraiškos derinimo ir leidimo išdavimo terminus.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31 p."/>
                <w:tag w:val="part_46a66660d58141fdbd089a2565a3cde1"/>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pPr>
                  <w:sdt>
                    <w:sdtPr>
                      <w:alias w:val="Numeris"/>
                      <w:tag w:val="nr_46a66660d58141fdbd089a2565a3cde1"/>
                      <w:lock w:val="sdtLocked"/>
                      <w:richText/>
                    </w:sdtPr>
                    <w:sdtContent>
                      <w:r>
                        <w:rPr>
                          <w:szCs w:val="24"/>
                          <w:lang w:eastAsia="lt-LT"/>
                        </w:rPr>
                        <w:t>31</w:t>
                      </w:r>
                    </w:sdtContent>
                  </w:sdt>
                  <w:r>
                    <w:rPr>
                      <w:szCs w:val="24"/>
                      <w:lang w:eastAsia="lt-LT"/>
                    </w:rPr>
                    <w:t>. Paraiškoje leidimui pakeisti pateikiami duomenys, kurie keičiasi ir (ar) kuriuos reikia įvertinti keičiant leidimą ir nustatant naujas leidimo sąlygas. Informacija ir (ar) duomenys, kurie, palyginti su paraiška, pagal kurią išduotas leidimas, nesikeitė, paraiškoje leidimui pakeisti nepildomi ir neteikiami, tačiau paraiškoje paliekami jų eilės numeriai, pavadinimai ir nurodoma, kodėl informacija ar duomenys neteikiami, tačiau ūkinės veiklos vykdytojas turi teisę raštu prašyti, kad būtų pakeistas visas leidimas. Tokiu atveju turi būti teikiama visiškai užpildyta paraiška, joje ir (ar) pridedamuose dokumentuose turi būti nurodyta, kurie duomenys keičiasi ir (ar) kuriuos reikia įvertinti keičiant leidimą ir nustatant naujas leidimo sąlygas.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31-1 p."/>
                <w:tag w:val="part_bfaf5f96d5de455c8817f9067b142e7f"/>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bfaf5f96d5de455c8817f9067b142e7f"/>
                      <w:lock w:val="sdtLocked"/>
                      <w:richText/>
                    </w:sdtPr>
                    <w:sdtContent>
                      <w:r>
                        <w:rPr>
                          <w:szCs w:val="24"/>
                          <w:lang w:eastAsia="lt-LT"/>
                        </w:rPr>
                        <w:t>31</w:t>
                      </w:r>
                      <w:r>
                        <w:rPr>
                          <w:szCs w:val="24"/>
                          <w:vertAlign w:val="superscript"/>
                          <w:lang w:eastAsia="lt-LT"/>
                        </w:rPr>
                        <w:t>1</w:t>
                      </w:r>
                    </w:sdtContent>
                  </w:sdt>
                  <w:r>
                    <w:rPr>
                      <w:szCs w:val="24"/>
                      <w:lang w:eastAsia="lt-LT"/>
                    </w:rPr>
                    <w:t>. Jei keičiami Taisyklių 68.8, 68.10, 68.11, 68.12, 68.13 papunkčiuose nurodyti dokumentai, bet nesikeičia leidimo formoje (Taisyklių 5 priedas) nustatytos sąlygos, paraiška leidimui pakeisti neteikiama. Šie dokumentai keičiami pagal šių dokumentų rengimui ir (ar) keitimui nustatytus reikalavimus. Pakeisti dokumentai pateikiami AAA su lydraščiu, nurodant šių dokumentų pakeitimo priežastį.</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32 p."/>
                <w:tag w:val="part_00d277b7e55b4ad69381fb21db09a833"/>
                <w:lock w:val="sdtLocked"/>
                <w:richText/>
              </w:sdtPr>
              <w:sdtContent>
                <w:p>
                  <w:pPr>
                    <w:widowControl w:val="0"/>
                    <w:ind w:firstLine="567"/>
                    <w:jc w:val="both"/>
                    <w:rPr>
                      <w:color w:val="000000"/>
                      <w:szCs w:val="24"/>
                      <w:lang w:eastAsia="lt-LT"/>
                    </w:rPr>
                  </w:pPr>
                  <w:sdt>
                    <w:sdtPr>
                      <w:alias w:val="Numeris"/>
                      <w:tag w:val="nr_00d277b7e55b4ad69381fb21db09a833"/>
                      <w:lock w:val="sdtLocked"/>
                      <w:richText/>
                    </w:sdtPr>
                    <w:sdtContent>
                      <w:r>
                        <w:rPr>
                          <w:color w:val="000000"/>
                          <w:szCs w:val="24"/>
                          <w:lang w:eastAsia="lt-LT"/>
                        </w:rPr>
                        <w:t>32</w:t>
                      </w:r>
                    </w:sdtContent>
                  </w:sdt>
                  <w:r>
                    <w:rPr>
                      <w:color w:val="000000"/>
                      <w:szCs w:val="24"/>
                      <w:lang w:eastAsia="lt-LT"/>
                    </w:rPr>
                    <w:t xml:space="preserve">. Gavusi paraišką, AAA ją užregistruoja, per 3 darbo dienas nuo gavimo dienos viešai paskelbia ALIS arba AAA interneto svetainėje ir pateikia: </w:t>
                  </w:r>
                </w:p>
                <w:sdt>
                  <w:sdtPr>
                    <w:alias w:val="32.1 pp."/>
                    <w:tag w:val="part_682da27a72124dd4a9b059a7cf41497b"/>
                    <w:lock w:val="sdtLocked"/>
                    <w:richText/>
                  </w:sdtPr>
                  <w:sdtContent>
                    <w:p>
                      <w:pPr>
                        <w:widowControl w:val="0"/>
                        <w:ind w:firstLine="567"/>
                        <w:jc w:val="both"/>
                        <w:rPr>
                          <w:color w:val="000000"/>
                          <w:szCs w:val="24"/>
                          <w:lang w:eastAsia="lt-LT"/>
                        </w:rPr>
                      </w:pPr>
                      <w:sdt>
                        <w:sdtPr>
                          <w:alias w:val="Numeris"/>
                          <w:tag w:val="nr_682da27a72124dd4a9b059a7cf41497b"/>
                          <w:lock w:val="sdtLocked"/>
                          <w:richText/>
                        </w:sdtPr>
                        <w:sdtContent>
                          <w:r>
                            <w:rPr>
                              <w:color w:val="000000"/>
                              <w:szCs w:val="24"/>
                              <w:lang w:eastAsia="lt-LT"/>
                            </w:rPr>
                            <w:t>32.1</w:t>
                          </w:r>
                        </w:sdtContent>
                      </w:sdt>
                      <w:r>
                        <w:rPr>
                          <w:color w:val="000000"/>
                          <w:szCs w:val="24"/>
                          <w:lang w:eastAsia="lt-LT"/>
                        </w:rPr>
                        <w:t>. derinti – NVSC;</w:t>
                      </w:r>
                    </w:p>
                  </w:sdtContent>
                </w:sdt>
                <w:sdt>
                  <w:sdtPr>
                    <w:alias w:val="32.2 pp."/>
                    <w:tag w:val="part_da64c5216dcd498f8c3ce5cd18a87785"/>
                    <w:lock w:val="sdtLocked"/>
                    <w:richText/>
                  </w:sdtPr>
                  <w:sdtContent>
                    <w:p>
                      <w:pPr>
                        <w:widowControl w:val="0"/>
                        <w:ind w:firstLine="567"/>
                        <w:jc w:val="both"/>
                        <w:rPr>
                          <w:color w:val="000000"/>
                          <w:szCs w:val="24"/>
                          <w:lang w:eastAsia="lt-LT"/>
                        </w:rPr>
                      </w:pPr>
                      <w:sdt>
                        <w:sdtPr>
                          <w:alias w:val="Numeris"/>
                          <w:tag w:val="nr_da64c5216dcd498f8c3ce5cd18a87785"/>
                          <w:lock w:val="sdtLocked"/>
                          <w:richText/>
                        </w:sdtPr>
                        <w:sdtContent>
                          <w:r>
                            <w:rPr>
                              <w:color w:val="000000"/>
                              <w:szCs w:val="24"/>
                              <w:lang w:eastAsia="lt-LT"/>
                            </w:rPr>
                            <w:t>32.2</w:t>
                          </w:r>
                        </w:sdtContent>
                      </w:sdt>
                      <w:r>
                        <w:rPr>
                          <w:color w:val="000000"/>
                          <w:szCs w:val="24"/>
                          <w:lang w:eastAsia="lt-LT"/>
                        </w:rPr>
                        <w:t>. jei paraiška pateikta su Taisyklių 22.12 papunktyje nurodytais dokumentais, – AAD pastaboms ir (ar) pasiūlymams gauti</w:t>
                      </w:r>
                      <w:r>
                        <w:rPr>
                          <w:szCs w:val="24"/>
                        </w:rPr>
                        <w:t>;</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33 p."/>
                <w:tag w:val="part_f75c33e76701475c92f0cba7d1ce23ea"/>
                <w:lock w:val="sdtLocked"/>
                <w:richText/>
              </w:sdtPr>
              <w:sdtContent>
                <w:p>
                  <w:pPr>
                    <w:widowControl w:val="0"/>
                    <w:ind w:firstLine="567"/>
                    <w:jc w:val="both"/>
                  </w:pPr>
                  <w:sdt>
                    <w:sdtPr>
                      <w:alias w:val="Numeris"/>
                      <w:tag w:val="nr_f75c33e76701475c92f0cba7d1ce23ea"/>
                      <w:lock w:val="sdtLocked"/>
                      <w:richText/>
                    </w:sdtPr>
                    <w:sdtContent>
                      <w:r>
                        <w:rPr>
                          <w:color w:val="000000"/>
                          <w:szCs w:val="24"/>
                          <w:lang w:eastAsia="lt-LT"/>
                        </w:rPr>
                        <w:t>33</w:t>
                      </w:r>
                    </w:sdtContent>
                  </w:sdt>
                  <w:r>
                    <w:rPr>
                      <w:color w:val="000000"/>
                      <w:szCs w:val="24"/>
                      <w:lang w:eastAsia="lt-LT"/>
                    </w:rPr>
                    <w:t xml:space="preserve">. Paraiška su lydraščiu NVSC teikiama el. paštu ar kitomis elektroninėmis ryšio priemonėmis vienu iš Taisyklių 28 punkte nurodytų formatų, išskyrus atvejus, kai nėra techninių galimybių tokiu būdu pateiktos informacijos atgaminti ar perskaityti. Lydraštyje nurodoma, kad pastabos turi būti pateiktos AAA ir paraišką pateikusiam </w:t>
                  </w:r>
                  <w:r>
                    <w:rPr>
                      <w:szCs w:val="24"/>
                      <w:lang w:eastAsia="lt-LT"/>
                    </w:rPr>
                    <w:t xml:space="preserve">ūkinės </w:t>
                  </w:r>
                  <w:r>
                    <w:rPr>
                      <w:color w:val="000000"/>
                      <w:szCs w:val="24"/>
                      <w:lang w:eastAsia="lt-LT"/>
                    </w:rPr>
                    <w:t xml:space="preserve">veiklos vykdytojui; nustatant sąlygas triukšmo ir kvapų valdymo srityje turėtų būti vadovaujamasi poveikio visuomenės sveikatai vertinimo dokumentais, jei toks vertinimas atliktas </w:t>
                  </w:r>
                  <w:r>
                    <w:rPr>
                      <w:szCs w:val="24"/>
                      <w:lang w:eastAsia="lt-LT"/>
                    </w:rPr>
                    <w:t xml:space="preserve">ūkinei </w:t>
                  </w:r>
                  <w:r>
                    <w:rPr>
                      <w:color w:val="000000"/>
                      <w:szCs w:val="24"/>
                      <w:lang w:eastAsia="lt-LT"/>
                    </w:rPr>
                    <w:t>veiklai, kuriai teikiama paraiška. Jei galiojantis leidimas paskelbtas ALIS arba AAA interneto svetainėje, teikiant NVSC derinti paraišką pakeisti leidimą, AAA pateikia leidimo internete nuorodą.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ecf770f03111e5989ee743dd0efbb0">
                    <w:r w:rsidRPr="00532B9F">
                      <w:rPr>
                        <w:rFonts w:ascii="Arial" w:eastAsia="MS Mincho" w:hAnsi="Arial"/>
                        <w:sz w:val="20"/>
                        <w:i/>
                        <w:iCs/>
                        <w:color w:val="0000FF" w:themeColor="hyperlink"/>
                        <w:u w:val="single"/>
                      </w:rPr>
                      <w:t>D1-202</w:t>
                    </w:r>
                  </w:fldSimple>
                  <w:r>
                    <w:rPr>
                      <w:rFonts w:ascii="Arial" w:eastAsia="MS Mincho" w:hAnsi="Arial"/>
                      <w:sz w:val="20"/>
                      <w:i/>
                      <w:iCs/>
                    </w:rPr>
                    <w:t>,
2016-03-18,
paskelbta TAR 2016-03-22, i. k. 2016-05516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33-1 p."/>
                <w:tag w:val="part_170588d945ac4c5a921e445234a0deec"/>
                <w:lock w:val="sdtLocked"/>
                <w:richText/>
              </w:sdtPr>
              <w:sdtContent>
                <w:p>
                  <w:pPr>
                    <w:ind w:firstLine="567"/>
                    <w:rPr>
                      <w:color w:val="000000"/>
                      <w:szCs w:val="24"/>
                      <w:lang w:eastAsia="lt-LT"/>
                    </w:rPr>
                  </w:pPr>
                  <w:sdt>
                    <w:sdtPr>
                      <w:alias w:val="Numeris"/>
                      <w:tag w:val="nr_170588d945ac4c5a921e445234a0deec"/>
                      <w:lock w:val="sdtLocked"/>
                      <w:richText/>
                    </w:sdtPr>
                    <w:sdtContent>
                      <w:r>
                        <w:t>33</w:t>
                      </w:r>
                      <w:r>
                        <w:rPr>
                          <w:vertAlign w:val="superscript"/>
                        </w:rPr>
                        <w:t>1</w:t>
                      </w:r>
                    </w:sdtContent>
                  </w:sdt>
                  <w:r>
                    <w:t xml:space="preserve">. Jei yra techninės galimybės, paraiška NVSC ir AAD gali būti teikiama per ALIS.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34 p."/>
                <w:tag w:val="part_fbe03ba88d1a4e63bc305cddbf4751a5"/>
                <w:lock w:val="sdtLocked"/>
                <w:richText/>
              </w:sdtPr>
              <w:sdtContent>
                <w:p>
                  <w:pPr>
                    <w:widowControl w:val="0"/>
                    <w:ind w:firstLine="567"/>
                    <w:jc w:val="both"/>
                    <w:rPr>
                      <w:color w:val="000000"/>
                      <w:szCs w:val="24"/>
                      <w:lang w:eastAsia="lt-LT"/>
                    </w:rPr>
                  </w:pPr>
                  <w:sdt>
                    <w:sdtPr>
                      <w:alias w:val="Numeris"/>
                      <w:tag w:val="nr_fbe03ba88d1a4e63bc305cddbf4751a5"/>
                      <w:lock w:val="sdtLocked"/>
                      <w:richText/>
                    </w:sdtPr>
                    <w:sdtContent>
                      <w:r>
                        <w:rPr>
                          <w:color w:val="000000"/>
                          <w:szCs w:val="24"/>
                          <w:lang w:eastAsia="lt-LT"/>
                        </w:rPr>
                        <w:t>34</w:t>
                      </w:r>
                    </w:sdtContent>
                  </w:sdt>
                  <w:r>
                    <w:rPr>
                      <w:color w:val="000000"/>
                      <w:szCs w:val="24"/>
                      <w:lang w:eastAsia="lt-LT"/>
                    </w:rPr>
                    <w:t>. NVSC, vykdydamas Lietuvos Respublikos visuomenės sveikatos priežiūros įstatyme, Lietuvos Respublikos triukšmo valdymo įstatyme nustatytas funkcijas, ne vėliau kaip per 15 darbo dienų nuo paraiškos gavimo iš AAA dienos pagal kompetenciją įvertina, ar paraiška atitinka visuomenės sveikatos saugą reglamentuojančių teisės aktų ir Taisyklių reikalavimus triukšmo ir kvapų valdymo srityje. NVSC raštu derina paraišką pagal kompetenciją kartu pateikdamas AAA sąlygas leidimui (</w:t>
                  </w:r>
                  <w:r>
                    <w:rPr>
                      <w:szCs w:val="24"/>
                    </w:rPr>
                    <w:t>užpildytus 5 priedo 17–19 punktus)</w:t>
                  </w:r>
                  <w:r>
                    <w:rPr>
                      <w:color w:val="000000"/>
                      <w:szCs w:val="24"/>
                      <w:lang w:eastAsia="lt-LT"/>
                    </w:rPr>
                    <w:t xml:space="preserve"> arba pateikia AAA motyvuotas pastabas pataisyti paraišką.</w:t>
                  </w:r>
                  <w:r>
                    <w:rPr>
                      <w:szCs w:val="24"/>
                    </w:rPr>
                    <w:t xml:space="preserve"> </w:t>
                  </w:r>
                  <w:r>
                    <w:rPr>
                      <w:color w:val="000000"/>
                      <w:szCs w:val="24"/>
                      <w:lang w:eastAsia="lt-LT"/>
                    </w:rPr>
                    <w:t xml:space="preserve">Nustatydamas sąlygas triukšmo ir kvapų valdymo srityje, NVSC vadovaujasi poveikio visuomenės sveikatai vertinimo dokumentais, jei toks vertinimas atliktas ūkinei veiklai, kuriai teikiama paraiška ir (ar) kitais Taisyklių 45 punkte nurodytais dokumentais. NVSC derinimo dokumentus AAA turi teikti elektroniniu paštu ar kitomis elektroninėmis ryšio priemonėmis, išskyrus atvejus, kai nėra techninių galimybių tokiu būdu pateiktos informacijos atgaminti ar perskaityti. Jei NVSC nepakanka duomenų ir informacijos triukšmo ar kvapų valdymo sąlygoms nustatyti, jis per šiame punkte nurodytą terminą informuoja AAA, kokius papildomus duomenis ir informaciją </w:t>
                  </w:r>
                  <w:r>
                    <w:rPr>
                      <w:szCs w:val="24"/>
                      <w:lang w:eastAsia="lt-LT"/>
                    </w:rPr>
                    <w:t xml:space="preserve">ūkinės </w:t>
                  </w:r>
                  <w:r>
                    <w:rPr>
                      <w:color w:val="000000"/>
                      <w:szCs w:val="24"/>
                      <w:lang w:eastAsia="lt-LT"/>
                    </w:rPr>
                    <w:t>veiklos vykdytojas turi pateikti, nurodydamas teisinį pagrindą ir kokioms konkrečioms leidimo sąlygoms nustatyti trūksta informacijos ir (ar) duomenų.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ecf770f03111e5989ee743dd0efbb0">
                    <w:r w:rsidRPr="00532B9F">
                      <w:rPr>
                        <w:rFonts w:ascii="Arial" w:eastAsia="MS Mincho" w:hAnsi="Arial"/>
                        <w:sz w:val="20"/>
                        <w:i/>
                        <w:iCs/>
                        <w:color w:val="0000FF" w:themeColor="hyperlink"/>
                        <w:u w:val="single"/>
                      </w:rPr>
                      <w:t>D1-202</w:t>
                    </w:r>
                  </w:fldSimple>
                  <w:r>
                    <w:rPr>
                      <w:rFonts w:ascii="Arial" w:eastAsia="MS Mincho" w:hAnsi="Arial"/>
                      <w:sz w:val="20"/>
                      <w:i/>
                      <w:iCs/>
                    </w:rPr>
                    <w:t>,
2016-03-18,
paskelbta TAR 2016-03-22, i. k. 2016-05516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35 p."/>
                <w:tag w:val="part_cadc1a4de1994e2da15961b96a183e00"/>
                <w:lock w:val="sdtLocked"/>
                <w:richText/>
              </w:sdtPr>
              <w:sdtContent>
                <w:p>
                  <w:pPr>
                    <w:pStyle w:val="PlainText"/>
                    <w:ind w:firstLine="567"/>
                    <w:jc w:val="both"/>
                    <w:rPr>
                      <w:rFonts w:ascii="Arial" w:hAnsi="Arial"/>
                      <w:b/>
                      <w:bCs/>
                      <w:sz w:val="22"/>
                    </w:rPr>
                  </w:pPr>
                  <w:r>
                    <w:rPr>
                      <w:rFonts w:ascii="Arial" w:hAnsi="Arial"/>
                      <w:sz w:val="22"/>
                    </w:rPr>
                    <w:t>35</w:t>
                  </w:r>
                  <w:r>
                    <w:rPr>
                      <w:rFonts w:ascii="Arial" w:hAnsi="Arial"/>
                      <w:sz w:val="22"/>
                    </w:rPr>
                    <w:t>.</w:t>
                  </w:r>
                  <w:r>
                    <w:rPr>
                      <w:rFonts w:ascii="Arial" w:eastAsia="MS Mincho" w:hAnsi="Arial"/>
                      <w:sz w:val="20"/>
                      <w:i/>
                      <w:iCs/>
                    </w:rPr>
                    <w:t xml:space="preserve"> Neteko galios nuo 2024-05-01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ecf770f03111e5989ee743dd0efbb0">
                    <w:r w:rsidRPr="00532B9F">
                      <w:rPr>
                        <w:rFonts w:ascii="Arial" w:eastAsia="MS Mincho" w:hAnsi="Arial"/>
                        <w:sz w:val="20"/>
                        <w:i/>
                        <w:iCs/>
                        <w:color w:val="0000FF" w:themeColor="hyperlink"/>
                        <w:u w:val="single"/>
                      </w:rPr>
                      <w:t>D1-202</w:t>
                    </w:r>
                  </w:fldSimple>
                  <w:r>
                    <w:rPr>
                      <w:rFonts w:ascii="Arial" w:eastAsia="MS Mincho" w:hAnsi="Arial"/>
                      <w:sz w:val="20"/>
                      <w:i/>
                      <w:iCs/>
                    </w:rPr>
                    <w:t>,
2016-03-18,
paskelbta TAR 2016-03-22, i. k. 2016-05516            </w:t>
                  </w:r>
                </w:p>
                <w:p/>
              </w:sdtContent>
            </w:sdt>
            <w:sdt>
              <w:sdtPr>
                <w:alias w:val="36 p."/>
                <w:tag w:val="part_64b5ca3711a54bb38811100d0e275b55"/>
                <w:lock w:val="sdtLocked"/>
                <w:richText/>
              </w:sdtPr>
              <w:sdtContent>
                <w:p>
                  <w:pPr>
                    <w:suppressAutoHyphens/>
                    <w:ind w:firstLine="567"/>
                    <w:jc w:val="both"/>
                    <w:textAlignment w:val="baseline"/>
                    <w:rPr>
                      <w:szCs w:val="24"/>
                      <w:lang w:eastAsia="en-GB"/>
                    </w:rPr>
                  </w:pPr>
                  <w:sdt>
                    <w:sdtPr>
                      <w:alias w:val="Numeris"/>
                      <w:tag w:val="nr_64b5ca3711a54bb38811100d0e275b55"/>
                      <w:lock w:val="sdtLocked"/>
                      <w:richText/>
                    </w:sdtPr>
                    <w:sdtContent>
                      <w:r>
                        <w:rPr>
                          <w:color w:val="000000"/>
                          <w:szCs w:val="24"/>
                          <w:lang w:eastAsia="lt-LT"/>
                        </w:rPr>
                        <w:t>36</w:t>
                      </w:r>
                    </w:sdtContent>
                  </w:sdt>
                  <w:r>
                    <w:rPr>
                      <w:color w:val="000000"/>
                      <w:szCs w:val="24"/>
                      <w:lang w:eastAsia="lt-LT"/>
                    </w:rPr>
                    <w:t>. AAD pastabas ir (ar) pasiūlymus dėl atliekų naudojimo ar šalinimo techninio reglamento; jei paraiška pateikta pakeisti leidimą, – ir dėl paraiškos, turi pateikti AAA ne vėliau kaip per 15 darbo dienų nuo paraiškos gavimo iš AAA: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sdt>
                  <w:sdtPr>
                    <w:alias w:val="36.1 pp."/>
                    <w:tag w:val="part_36d7c87bd497403f972a3cf3fb2e9e28"/>
                    <w:lock w:val="sdtLocked"/>
                    <w:richText/>
                  </w:sdtPr>
                  <w:sdtContent>
                    <w:p>
                      <w:pPr>
                        <w:suppressAutoHyphens/>
                        <w:ind w:firstLine="567"/>
                        <w:jc w:val="both"/>
                        <w:textAlignment w:val="baseline"/>
                        <w:rPr>
                          <w:szCs w:val="24"/>
                          <w:lang w:eastAsia="lt-LT"/>
                        </w:rPr>
                      </w:pPr>
                      <w:sdt>
                        <w:sdtPr>
                          <w:alias w:val="Numeris"/>
                          <w:tag w:val="nr_36d7c87bd497403f972a3cf3fb2e9e28"/>
                          <w:lock w:val="sdtLocked"/>
                          <w:richText/>
                        </w:sdtPr>
                        <w:sdtContent>
                          <w:r>
                            <w:rPr>
                              <w:szCs w:val="24"/>
                              <w:lang w:eastAsia="lt-LT"/>
                            </w:rPr>
                            <w:t>36.1</w:t>
                          </w:r>
                        </w:sdtContent>
                      </w:sdt>
                      <w:r>
                        <w:rPr>
                          <w:szCs w:val="24"/>
                          <w:lang w:eastAsia="lt-LT"/>
                        </w:rPr>
                        <w:t xml:space="preserve">. </w:t>
                      </w:r>
                      <w:r>
                        <w:rPr>
                          <w:iCs/>
                          <w:szCs w:val="24"/>
                          <w:lang w:eastAsia="lt-LT"/>
                        </w:rPr>
                        <w:t xml:space="preserve">pagal </w:t>
                      </w:r>
                      <w:r>
                        <w:rPr>
                          <w:iCs/>
                          <w:szCs w:val="24"/>
                          <w:lang w:eastAsia="en-GB"/>
                        </w:rPr>
                        <w:t>Atliekų tvarkymo taisyklių 72</w:t>
                      </w:r>
                      <w:r>
                        <w:rPr>
                          <w:iCs/>
                          <w:szCs w:val="24"/>
                          <w:vertAlign w:val="superscript"/>
                          <w:lang w:eastAsia="en-GB"/>
                        </w:rPr>
                        <w:t>2</w:t>
                      </w:r>
                      <w:r>
                        <w:rPr>
                          <w:iCs/>
                          <w:szCs w:val="24"/>
                          <w:lang w:eastAsia="en-GB"/>
                        </w:rPr>
                        <w:t>.1 ir 72</w:t>
                      </w:r>
                      <w:r>
                        <w:rPr>
                          <w:iCs/>
                          <w:szCs w:val="24"/>
                          <w:vertAlign w:val="superscript"/>
                          <w:lang w:eastAsia="en-GB"/>
                        </w:rPr>
                        <w:t>2</w:t>
                      </w:r>
                      <w:r>
                        <w:rPr>
                          <w:iCs/>
                          <w:szCs w:val="24"/>
                          <w:lang w:eastAsia="en-GB"/>
                        </w:rPr>
                        <w:t>.2 papunkčiuose nustatytus reikalavimus</w:t>
                      </w:r>
                      <w:r>
                        <w:rPr>
                          <w:szCs w:val="24"/>
                          <w:lang w:eastAsia="lt-LT"/>
                        </w:rPr>
                        <w:t>;</w:t>
                      </w:r>
                    </w:p>
                  </w:sdtContent>
                </w:sdt>
                <w:sdt>
                  <w:sdtPr>
                    <w:alias w:val="36.2 pp."/>
                    <w:tag w:val="part_414dbb8f81104b28bcd272f1992aca4a"/>
                    <w:lock w:val="sdtLocked"/>
                    <w:richText/>
                  </w:sdtPr>
                  <w:sdtContent>
                    <w:p>
                      <w:pPr>
                        <w:suppressAutoHyphens/>
                        <w:ind w:firstLine="567"/>
                        <w:jc w:val="both"/>
                        <w:textAlignment w:val="baseline"/>
                      </w:pPr>
                      <w:sdt>
                        <w:sdtPr>
                          <w:alias w:val="Numeris"/>
                          <w:tag w:val="nr_414dbb8f81104b28bcd272f1992aca4a"/>
                          <w:lock w:val="sdtLocked"/>
                          <w:richText/>
                        </w:sdtPr>
                        <w:sdtContent>
                          <w:r>
                            <w:rPr>
                              <w:szCs w:val="24"/>
                              <w:lang w:eastAsia="lt-LT"/>
                            </w:rPr>
                            <w:t>36.2</w:t>
                          </w:r>
                        </w:sdtContent>
                      </w:sdt>
                      <w:r>
                        <w:rPr>
                          <w:szCs w:val="24"/>
                          <w:lang w:eastAsia="lt-LT"/>
                        </w:rPr>
                        <w:t>. ar paraiškoje pakeisti leidimą nurodyti numatomi leidimo sąlygų pakeitimai atsižvelgiant į veiklos vykdytojo aplinkos apsaugos kontrolės rezultatus</w:t>
                      </w:r>
                      <w:r>
                        <w:rPr>
                          <w:color w:val="000000"/>
                          <w:szCs w:val="24"/>
                          <w:shd w:val="clear" w:color="auto" w:fill="FFFFFF"/>
                          <w:lang w:eastAsia="en-GB"/>
                        </w:rPr>
                        <w:t xml:space="preserve"> galimi leidimo sąlygų ir teisės aktų, reglamentuojančių atliekų tvarkymą, reikalavimų laikymosi užtikrinimui</w:t>
                      </w:r>
                      <w:r>
                        <w:rPr>
                          <w:szCs w:val="24"/>
                          <w:lang w:eastAsia="lt-LT"/>
                        </w:rPr>
                        <w:t>.</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5344301d2e11edb4cae1b158f98ea5">
                    <w:r w:rsidRPr="00532B9F">
                      <w:rPr>
                        <w:rFonts w:ascii="Arial" w:eastAsia="MS Mincho" w:hAnsi="Arial"/>
                        <w:sz w:val="20"/>
                        <w:i/>
                        <w:iCs/>
                        <w:color w:val="0000FF" w:themeColor="hyperlink"/>
                        <w:u w:val="single"/>
                      </w:rPr>
                      <w:t>D1-263</w:t>
                    </w:r>
                  </w:fldSimple>
                  <w:r>
                    <w:rPr>
                      <w:rFonts w:ascii="Arial" w:eastAsia="MS Mincho" w:hAnsi="Arial"/>
                      <w:sz w:val="20"/>
                      <w:i/>
                      <w:iCs/>
                    </w:rPr>
                    <w:t>,
2022-08-16,
paskelbta TAR 2022-08-16, i. k. 2022-17141            </w:t>
                  </w:r>
                </w:p>
                <w:p/>
              </w:sdtContent>
            </w:sdt>
            <w:sdt>
              <w:sdtPr>
                <w:alias w:val="36-1 p."/>
                <w:tag w:val="part_0f5aff5d91214e38b215924d70fbd3ea"/>
                <w:lock w:val="sdtLocked"/>
                <w:richText/>
              </w:sdtPr>
              <w:sdtContent>
                <w:p>
                  <w:pPr>
                    <w:ind w:firstLine="567"/>
                    <w:jc w:val="both"/>
                    <w:textAlignment w:val="baseline"/>
                    <w:rPr>
                      <w:szCs w:val="24"/>
                      <w:lang w:eastAsia="lt-LT"/>
                    </w:rPr>
                  </w:pPr>
                  <w:sdt>
                    <w:sdtPr>
                      <w:alias w:val="Numeris"/>
                      <w:tag w:val="nr_0f5aff5d91214e38b215924d70fbd3ea"/>
                      <w:lock w:val="sdtLocked"/>
                      <w:richText/>
                    </w:sdtPr>
                    <w:sdtContent>
                      <w:r>
                        <w:rPr>
                          <w:szCs w:val="24"/>
                          <w:lang w:eastAsia="lt-LT"/>
                        </w:rPr>
                        <w:t>36</w:t>
                      </w:r>
                      <w:r>
                        <w:rPr>
                          <w:szCs w:val="24"/>
                          <w:vertAlign w:val="superscript"/>
                          <w:lang w:eastAsia="lt-LT"/>
                        </w:rPr>
                        <w:t>1</w:t>
                      </w:r>
                    </w:sdtContent>
                  </w:sdt>
                  <w:r>
                    <w:rPr>
                      <w:szCs w:val="24"/>
                      <w:lang w:eastAsia="lt-LT"/>
                    </w:rPr>
                    <w:t>. Ne vėliau kaip per 30 darbo dienų nuo gavimo dienos AAA įvertina paraišką, ar ji pateikta pagal Taisyklių reikalavimus, ar pateikti visi tinkamai įforminti duomenys ir (ar) dokumentai, ar pakanka informacijos ir duomenų, įskaitant informaciją, gautą atliekant Lietuvos Respublikos planuojamos ūkinės veiklos poveikio aplinkai vertinimo įstatyme nustatytas procedūras, jei tokios atliktos, leidimo sąlygoms nustatyti, įvertina AAD, savivaldybės administracijos ir (ar) suinteresuotos visuomenės pastabas ir (ar) pasiūlymus:</w:t>
                  </w:r>
                </w:p>
                <w:sdt>
                  <w:sdtPr>
                    <w:alias w:val="36-1.1 pp."/>
                    <w:tag w:val="part_025d6176b75b4a2d9e494a42a10de94d"/>
                    <w:lock w:val="sdtLocked"/>
                    <w:richText/>
                  </w:sdtPr>
                  <w:sdtContent>
                    <w:p>
                      <w:pPr>
                        <w:ind w:firstLine="567"/>
                        <w:jc w:val="both"/>
                        <w:textAlignment w:val="baseline"/>
                        <w:rPr>
                          <w:szCs w:val="24"/>
                          <w:lang w:eastAsia="lt-LT"/>
                        </w:rPr>
                      </w:pPr>
                      <w:sdt>
                        <w:sdtPr>
                          <w:alias w:val="Numeris"/>
                          <w:tag w:val="nr_025d6176b75b4a2d9e494a42a10de94d"/>
                          <w:lock w:val="sdtLocked"/>
                          <w:richText/>
                        </w:sdtPr>
                        <w:sdtContent>
                          <w:r>
                            <w:rPr>
                              <w:szCs w:val="24"/>
                              <w:lang w:eastAsia="lt-LT"/>
                            </w:rPr>
                            <w:t>36</w:t>
                          </w:r>
                          <w:r>
                            <w:rPr>
                              <w:szCs w:val="24"/>
                              <w:vertAlign w:val="superscript"/>
                              <w:lang w:eastAsia="lt-LT"/>
                            </w:rPr>
                            <w:t>1</w:t>
                          </w:r>
                          <w:r>
                            <w:rPr>
                              <w:szCs w:val="24"/>
                              <w:lang w:eastAsia="lt-LT"/>
                            </w:rPr>
                            <w:t>.1</w:t>
                          </w:r>
                        </w:sdtContent>
                      </w:sdt>
                      <w:r>
                        <w:rPr>
                          <w:szCs w:val="24"/>
                          <w:lang w:eastAsia="lt-LT"/>
                        </w:rPr>
                        <w:t>. jei paraiška leidimui gauti arba pakeisti atitinka Taisyklių reikalavimus, paraiškoje pateikti visi tinkamai įforminti duomenys ir (ar) dokumentai ir pakanka duomenų leidimo sąlygoms nustatyti, yra NVSC sprendimas derinti paraišką, AAD, savivaldybės administracija ir (ar) suinteresuota visuomenė nepateikė pastabų ir (ar) pasiūlymų paraiškai ir pateiktiems dokumentams per nustatytus terminus arba AAA, įvertinusi AAD, suinteresuotos visuomenės ir savivaldybės administracijos pastabas ir (ar) pasiūlymus, nustato, kad jie neturi įtakos paraiškos priėmimui ir (ar) leidimo išdavimui, – AAA, išskyrus Taisyklių 42</w:t>
                      </w:r>
                      <w:r>
                        <w:rPr>
                          <w:szCs w:val="24"/>
                          <w:vertAlign w:val="superscript"/>
                          <w:lang w:eastAsia="lt-LT"/>
                        </w:rPr>
                        <w:t>1</w:t>
                      </w:r>
                      <w:r>
                        <w:rPr>
                          <w:szCs w:val="24"/>
                          <w:lang w:eastAsia="lt-LT"/>
                        </w:rPr>
                        <w:t xml:space="preserve"> punkte nurodytą atvejį, priima sprendimą priimti paraišką, kurį surašo ant AAA blanko;</w:t>
                      </w:r>
                    </w:p>
                  </w:sdtContent>
                </w:sdt>
                <w:sdt>
                  <w:sdtPr>
                    <w:alias w:val="36-1.2 pp."/>
                    <w:tag w:val="part_24cc6abd2f90471bac37c639f1ed0e84"/>
                    <w:lock w:val="sdtLocked"/>
                    <w:richText/>
                  </w:sdtPr>
                  <w:sdtContent>
                    <w:p>
                      <w:pPr>
                        <w:ind w:firstLine="567"/>
                        <w:jc w:val="both"/>
                        <w:textAlignment w:val="baseline"/>
                      </w:pPr>
                      <w:sdt>
                        <w:sdtPr>
                          <w:alias w:val="Numeris"/>
                          <w:tag w:val="nr_24cc6abd2f90471bac37c639f1ed0e84"/>
                          <w:lock w:val="sdtLocked"/>
                          <w:richText/>
                        </w:sdtPr>
                        <w:sdtContent>
                          <w:r>
                            <w:rPr>
                              <w:szCs w:val="24"/>
                              <w:lang w:eastAsia="lt-LT"/>
                            </w:rPr>
                            <w:t>36</w:t>
                          </w:r>
                          <w:r>
                            <w:rPr>
                              <w:szCs w:val="24"/>
                              <w:vertAlign w:val="superscript"/>
                              <w:lang w:eastAsia="lt-LT"/>
                            </w:rPr>
                            <w:t>1</w:t>
                          </w:r>
                          <w:r>
                            <w:rPr>
                              <w:szCs w:val="24"/>
                              <w:lang w:eastAsia="lt-LT"/>
                            </w:rPr>
                            <w:t>.2</w:t>
                          </w:r>
                        </w:sdtContent>
                      </w:sdt>
                      <w:r>
                        <w:rPr>
                          <w:szCs w:val="24"/>
                          <w:lang w:eastAsia="lt-LT"/>
                        </w:rPr>
                        <w:t>. jei paraiška leidimui gauti arba pakeisti neatitinka Taisyklių reikalavimų, paraiškoje pateikti ne visi ar netinkamai įforminti duomenys ir (ar) dokumentai, nepakanka duomenų leidimo sąlygoms nustatyti ar nustatoma kita Lietuvos Respublikos aplinkos apsaugos įstatymo 19</w:t>
                      </w:r>
                      <w:r>
                        <w:rPr>
                          <w:szCs w:val="24"/>
                          <w:vertAlign w:val="superscript"/>
                          <w:lang w:eastAsia="lt-LT"/>
                        </w:rPr>
                        <w:t>1</w:t>
                      </w:r>
                      <w:r>
                        <w:rPr>
                          <w:szCs w:val="24"/>
                          <w:lang w:eastAsia="lt-LT"/>
                        </w:rPr>
                        <w:t xml:space="preserve"> straipsnyje nustatyta sąlyga, dėl kurios paraiška negali būti priimta, NVSC, savivaldybės administracija ir (ar) suinteresuota visuomenė pateikė pastabų, AAD pateikė pastabų ir (ar) pasiūlymų paraiškai ir (ar) pateiktiems dokumentams ir AAA nustato bent vieną iš Lietuvos Respublikos aplinkos apsaugos įstatymo 19</w:t>
                      </w:r>
                      <w:r>
                        <w:rPr>
                          <w:szCs w:val="24"/>
                          <w:vertAlign w:val="superscript"/>
                          <w:lang w:eastAsia="lt-LT"/>
                        </w:rPr>
                        <w:t>1</w:t>
                      </w:r>
                      <w:r>
                        <w:rPr>
                          <w:szCs w:val="24"/>
                          <w:lang w:eastAsia="lt-LT"/>
                        </w:rPr>
                        <w:t xml:space="preserve"> straipsnyje nustatytų paraiškos nepriėmimo sąlygų, AAA priima sprendimą nepriimti paraiškos ir apibendrintas AAD, suinteresuotos visuomenės, savivaldybės administracijos ir savo pastabas ir (ar) pasiūlymus, taip pat NVSC pastabas raštu teikia pareiškėjui patikslinti paraiškai ir (ar) pateikti paaiškinimams, grąžindama paraišką ir nurodydama, kad terminas leidimui išduoti bus skaičiuojamas nuo paraiškos priėmimo dienos. Paraiška negrąžinama, jei buvo pateikta el. paštu ar kitomis elektroninėmis ryšio priemonėmis. Jei paraiška leidimui pakeisti buvo pateikta, nes buvo nustatytas Aplinkos apsaugos įstatymo 19</w:t>
                      </w:r>
                      <w:r>
                        <w:rPr>
                          <w:szCs w:val="24"/>
                          <w:vertAlign w:val="superscript"/>
                          <w:lang w:eastAsia="lt-LT"/>
                        </w:rPr>
                        <w:t>1</w:t>
                      </w:r>
                      <w:r>
                        <w:rPr>
                          <w:szCs w:val="24"/>
                          <w:lang w:eastAsia="lt-LT"/>
                        </w:rPr>
                        <w:t xml:space="preserve"> straipsnio 12 dalies 4 arba 5 punkte nurodytas leidimo pakeitimo atvejis, sprendime nepriimti paraiškos nurodomas ne trumpesnis kaip 20 darbo dienų, </w:t>
                      </w:r>
                      <w:r>
                        <w:rPr>
                          <w:szCs w:val="24"/>
                        </w:rPr>
                        <w:t>bet ne ilgesnis kaip 30 darbo dienų</w:t>
                      </w:r>
                      <w:r>
                        <w:rPr>
                          <w:szCs w:val="24"/>
                          <w:lang w:eastAsia="lt-LT"/>
                        </w:rPr>
                        <w:t xml:space="preserve"> terminas pateikti patikslintą paraišką ir nurodoma, kad per šį terminą nepateikus patikslintos paraiškos, bus pradėta leidimo galiojimo panaikinimo procedūra Aplinkos apsaugos įstatymo 19</w:t>
                      </w:r>
                      <w:r>
                        <w:rPr>
                          <w:szCs w:val="24"/>
                          <w:vertAlign w:val="superscript"/>
                          <w:lang w:eastAsia="lt-LT"/>
                        </w:rPr>
                        <w:t>1</w:t>
                      </w:r>
                      <w:r>
                        <w:rPr>
                          <w:szCs w:val="24"/>
                          <w:lang w:eastAsia="lt-LT"/>
                        </w:rPr>
                        <w:t xml:space="preserve"> straipsnio 14 dalies 4 punkte nurodytu pagrindu.</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b7ec10747d11e8ae2bfd1913d66d57">
                    <w:r w:rsidRPr="00532B9F">
                      <w:rPr>
                        <w:rFonts w:ascii="Arial" w:eastAsia="MS Mincho" w:hAnsi="Arial"/>
                        <w:sz w:val="20"/>
                        <w:i/>
                        <w:iCs/>
                        <w:color w:val="0000FF" w:themeColor="hyperlink"/>
                        <w:u w:val="single"/>
                      </w:rPr>
                      <w:t>D1-537</w:t>
                    </w:r>
                  </w:fldSimple>
                  <w:r>
                    <w:rPr>
                      <w:rFonts w:ascii="Arial" w:eastAsia="MS Mincho" w:hAnsi="Arial"/>
                      <w:sz w:val="20"/>
                      <w:i/>
                      <w:iCs/>
                    </w:rPr>
                    <w:t>,
2018-06-19,
paskelbta TAR 2018-06-20, i. k. 2018-10131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36-2 p."/>
                <w:tag w:val="part_421010e209224a1d99a521b2d039dc53"/>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421010e209224a1d99a521b2d039dc53"/>
                      <w:lock w:val="sdtLocked"/>
                      <w:richText/>
                    </w:sdtPr>
                    <w:sdtContent>
                      <w:r>
                        <w:rPr>
                          <w:szCs w:val="24"/>
                        </w:rPr>
                        <w:t>36</w:t>
                      </w:r>
                      <w:r>
                        <w:rPr>
                          <w:szCs w:val="24"/>
                          <w:vertAlign w:val="superscript"/>
                        </w:rPr>
                        <w:t>2</w:t>
                      </w:r>
                    </w:sdtContent>
                  </w:sdt>
                  <w:r>
                    <w:rPr>
                      <w:szCs w:val="24"/>
                    </w:rPr>
                    <w:t>. Sprendimas priimti TIPK paraišką arba, vadovaujantis Lietuvos Respublikos aplinkos apsaugos įstatymo 19</w:t>
                  </w:r>
                  <w:r>
                    <w:rPr>
                      <w:szCs w:val="24"/>
                      <w:vertAlign w:val="superscript"/>
                    </w:rPr>
                    <w:t>1</w:t>
                  </w:r>
                  <w:r>
                    <w:rPr>
                      <w:szCs w:val="24"/>
                    </w:rPr>
                    <w:t xml:space="preserve"> straipsnyje nustatytais pagrindais, nepriimti TIPK paraiškos priimamas ne vėliau kaip per 30 darbo dienų nuo TIPK paraiškos gavimo dienos, išskyrus atvejus, kai įrenginio eksploatavimas gali daryti reikšmingą poveikį kitos Europos Sąjungos valstybės narės aplinkai arba jeigu Europos Sąjungos valstybė narė, kuriai gali būti daromas reikšmingas poveikis, prašo pateikti informaciją apie gautą TIPK paraišką.</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sdtContent>
            </w:sdt>
            <w:sdt>
              <w:sdtPr>
                <w:alias w:val="37 p."/>
                <w:tag w:val="part_7ad8cb0082a541808b69fdc9eacdb43c"/>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7ad8cb0082a541808b69fdc9eacdb43c"/>
                      <w:lock w:val="sdtLocked"/>
                      <w:richText/>
                    </w:sdtPr>
                    <w:sdtContent>
                      <w:r>
                        <w:rPr>
                          <w:szCs w:val="24"/>
                          <w:lang w:eastAsia="lt-LT"/>
                        </w:rPr>
                        <w:t>37</w:t>
                      </w:r>
                    </w:sdtContent>
                  </w:sdt>
                  <w:r>
                    <w:rPr>
                      <w:szCs w:val="24"/>
                      <w:lang w:eastAsia="lt-LT"/>
                    </w:rPr>
                    <w:t>. Kai pagal Taisyklių IX skyriaus nuostatas atliekamos tarpvalstybinės konsultacijos, sprendimas priimti paraišką ar nepriimti paraiškos gali būti pratęstas 2 mėnesiams. Priimdama sprendimą priimti paraišką, AAA privalo įvertinti atsakyme iš ES valstybės narės pateiktus komentarus, jei jie gauti per Taisyklių 79 punkte nustatytą 40 dienų terminą, ir prireikus į juos atsižvelgti.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sdtContent>
            </w:sdt>
            <w:sdt>
              <w:sdtPr>
                <w:alias w:val="38 p."/>
                <w:tag w:val="part_e9722e51f15442eea7bc0c4010432401"/>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e9722e51f15442eea7bc0c4010432401"/>
                      <w:lock w:val="sdtLocked"/>
                      <w:richText/>
                    </w:sdtPr>
                    <w:sdtContent>
                      <w:r>
                        <w:rPr>
                          <w:szCs w:val="24"/>
                          <w:lang w:eastAsia="lt-LT"/>
                        </w:rPr>
                        <w:t>38</w:t>
                      </w:r>
                    </w:sdtContent>
                  </w:sdt>
                  <w:r>
                    <w:rPr>
                      <w:szCs w:val="24"/>
                      <w:lang w:eastAsia="lt-LT"/>
                    </w:rPr>
                    <w:t>. Patikslinta paraiška ir (ar) paaiškinimai teikiami NVSC Taisyklių 33 punkte nustatyta tvarka, išskyrus atvejus, jei patikslinus paraišką nepasikeitė paraiškos informacija, susijusi su NVSC kompetencija, ir NVSC jau yra suderinęs paraišką.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ecf770f03111e5989ee743dd0efbb0">
                    <w:r w:rsidRPr="00532B9F">
                      <w:rPr>
                        <w:rFonts w:ascii="Arial" w:eastAsia="MS Mincho" w:hAnsi="Arial"/>
                        <w:sz w:val="20"/>
                        <w:i/>
                        <w:iCs/>
                        <w:color w:val="0000FF" w:themeColor="hyperlink"/>
                        <w:u w:val="single"/>
                      </w:rPr>
                      <w:t>D1-202</w:t>
                    </w:r>
                  </w:fldSimple>
                  <w:r>
                    <w:rPr>
                      <w:rFonts w:ascii="Arial" w:eastAsia="MS Mincho" w:hAnsi="Arial"/>
                      <w:sz w:val="20"/>
                      <w:i/>
                      <w:iCs/>
                    </w:rPr>
                    <w:t>,
2016-03-18,
paskelbta TAR 2016-03-22, i. k. 2016-05516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38-1 p."/>
                <w:tag w:val="part_688b3e0eab0d4d9da469700d9786ee76"/>
                <w:lock w:val="sdtLocked"/>
                <w:richText/>
              </w:sdtPr>
              <w:sdtContent>
                <w:p>
                  <w:pPr>
                    <w:ind w:firstLine="567"/>
                    <w:jc w:val="both"/>
                    <w:rPr>
                      <w:color w:val="000000"/>
                      <w:szCs w:val="24"/>
                      <w:lang w:eastAsia="lt-LT"/>
                    </w:rPr>
                  </w:pPr>
                  <w:sdt>
                    <w:sdtPr>
                      <w:alias w:val="Numeris"/>
                      <w:tag w:val="nr_688b3e0eab0d4d9da469700d9786ee76"/>
                      <w:lock w:val="sdtLocked"/>
                      <w:richText/>
                    </w:sdtPr>
                    <w:sdtContent>
                      <w:r>
                        <w:t>38</w:t>
                      </w:r>
                      <w:r>
                        <w:rPr>
                          <w:vertAlign w:val="superscript"/>
                        </w:rPr>
                        <w:t>1</w:t>
                      </w:r>
                    </w:sdtContent>
                  </w:sdt>
                  <w:r>
                    <w:t>. Patikslintos paraiškos skaitmeninė versija AAD teikiama Taisyklių 32 ir 33</w:t>
                  </w:r>
                  <w:r>
                    <w:rPr>
                      <w:vertAlign w:val="superscript"/>
                    </w:rPr>
                    <w:t>1</w:t>
                  </w:r>
                  <w:r>
                    <w:t xml:space="preserve"> punktuose nustatyta tvarka.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b7ec10747d11e8ae2bfd1913d66d57">
                    <w:r w:rsidRPr="00532B9F">
                      <w:rPr>
                        <w:rFonts w:ascii="Arial" w:eastAsia="MS Mincho" w:hAnsi="Arial"/>
                        <w:sz w:val="20"/>
                        <w:i/>
                        <w:iCs/>
                        <w:color w:val="0000FF" w:themeColor="hyperlink"/>
                        <w:u w:val="single"/>
                      </w:rPr>
                      <w:t>D1-537</w:t>
                    </w:r>
                  </w:fldSimple>
                  <w:r>
                    <w:rPr>
                      <w:rFonts w:ascii="Arial" w:eastAsia="MS Mincho" w:hAnsi="Arial"/>
                      <w:sz w:val="20"/>
                      <w:i/>
                      <w:iCs/>
                    </w:rPr>
                    <w:t>,
2018-06-19,
paskelbta TAR 2018-06-20, i. k. 2018-10131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39 p."/>
                <w:tag w:val="part_072f5268ee164ced9810fd726ae8b605"/>
                <w:lock w:val="sdtLocked"/>
                <w:richText/>
              </w:sdtPr>
              <w:sdtContent>
                <w:p>
                  <w:pPr>
                    <w:ind w:firstLine="567"/>
                    <w:jc w:val="both"/>
                    <w:rPr>
                      <w:color w:val="000000"/>
                      <w:szCs w:val="24"/>
                      <w:lang w:eastAsia="lt-LT"/>
                    </w:rPr>
                  </w:pPr>
                  <w:sdt>
                    <w:sdtPr>
                      <w:alias w:val="Numeris"/>
                      <w:tag w:val="nr_072f5268ee164ced9810fd726ae8b605"/>
                      <w:lock w:val="sdtLocked"/>
                      <w:richText/>
                    </w:sdtPr>
                    <w:sdtContent>
                      <w:r>
                        <w:rPr>
                          <w:bCs/>
                        </w:rPr>
                        <w:t>39</w:t>
                      </w:r>
                    </w:sdtContent>
                  </w:sdt>
                  <w:r>
                    <w:rPr>
                      <w:bCs/>
                    </w:rPr>
                    <w:t>.</w:t>
                  </w:r>
                  <w:r>
                    <w:t xml:space="preserve"> </w:t>
                  </w:r>
                  <w:r>
                    <w:rPr>
                      <w:bCs/>
                    </w:rPr>
                    <w:t>Nagrinėjant patikslintą paraišką, negali būti teikiamos pastabos dėl paraiškos atitikties Taisyklių reikalavimams, reikalaujama informacijos ir (arba) duomenų, kurių AAA ir (ar) NVSC nenurodė ir (arba) neprašė nagrinėdami pirminę paraišką, tačiau galėjo pareikalauti. Ši nuostata netaikoma, jei</w:t>
                  </w:r>
                  <w:r>
                    <w:t xml:space="preserve"> AAA arba NVSC </w:t>
                  </w:r>
                  <w:r>
                    <w:rPr>
                      <w:bCs/>
                    </w:rPr>
                    <w:t>pateikia motyvuotą pagrindimą, kodėl nepateikė tam tikrų pastabų pirminei paraiškai, arba jei patikslintoje paraiškoje pasikeitė kiti duomenys ar informacija arba atsirado kitų duomenų ar informacijos, dėl kurių paraiška negali būti priimta Taisyklėse nustatyta tvarka, nors dėl jų nebuvo pateiktos pastabos nagrinėjant pirmą kartą pateiktą paraišką.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ecf770f03111e5989ee743dd0efbb0">
                    <w:r w:rsidRPr="00532B9F">
                      <w:rPr>
                        <w:rFonts w:ascii="Arial" w:eastAsia="MS Mincho" w:hAnsi="Arial"/>
                        <w:sz w:val="20"/>
                        <w:i/>
                        <w:iCs/>
                        <w:color w:val="0000FF" w:themeColor="hyperlink"/>
                        <w:u w:val="single"/>
                      </w:rPr>
                      <w:t>D1-202</w:t>
                    </w:r>
                  </w:fldSimple>
                  <w:r>
                    <w:rPr>
                      <w:rFonts w:ascii="Arial" w:eastAsia="MS Mincho" w:hAnsi="Arial"/>
                      <w:sz w:val="20"/>
                      <w:i/>
                      <w:iCs/>
                    </w:rPr>
                    <w:t>,
2016-03-18,
paskelbta TAR 2016-03-22, i. k. 2016-05516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40 p."/>
                <w:tag w:val="part_dbc180b121c84eb19ff1f2a3343f17c4"/>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dbc180b121c84eb19ff1f2a3343f17c4"/>
                      <w:lock w:val="sdtLocked"/>
                      <w:richText/>
                    </w:sdtPr>
                    <w:sdtContent>
                      <w:r>
                        <w:rPr>
                          <w:szCs w:val="24"/>
                          <w:lang w:eastAsia="lt-LT"/>
                        </w:rPr>
                        <w:t>40</w:t>
                      </w:r>
                    </w:sdtContent>
                  </w:sdt>
                  <w:r>
                    <w:rPr>
                      <w:szCs w:val="24"/>
                      <w:lang w:eastAsia="lt-LT"/>
                    </w:rPr>
                    <w:t>. NVSC ne vėliau kaip per 10 darbo dienų nuo patikslintos paraiškos ir (ar) paaiškinimų gavimo iš AAA dienos derina paraišką Taisyklių 34 punkte nustatyta tvarka raštu ir elektroniniu paštu teikdamas AAA sąlygas leidimui arba motyvuotas pastabas dėl patikslintos paraiškos ir (ar) paaiškinimų.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ecf770f03111e5989ee743dd0efbb0">
                    <w:r w:rsidRPr="00532B9F">
                      <w:rPr>
                        <w:rFonts w:ascii="Arial" w:eastAsia="MS Mincho" w:hAnsi="Arial"/>
                        <w:sz w:val="20"/>
                        <w:i/>
                        <w:iCs/>
                        <w:color w:val="0000FF" w:themeColor="hyperlink"/>
                        <w:u w:val="single"/>
                      </w:rPr>
                      <w:t>D1-202</w:t>
                    </w:r>
                  </w:fldSimple>
                  <w:r>
                    <w:rPr>
                      <w:rFonts w:ascii="Arial" w:eastAsia="MS Mincho" w:hAnsi="Arial"/>
                      <w:sz w:val="20"/>
                      <w:i/>
                      <w:iCs/>
                    </w:rPr>
                    <w:t>,
2016-03-18,
paskelbta TAR 2016-03-22, i. k. 2016-05516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41 p."/>
                <w:tag w:val="part_be05af98cdbb426384bd7806d9496847"/>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be05af98cdbb426384bd7806d9496847"/>
                      <w:lock w:val="sdtLocked"/>
                      <w:richText/>
                    </w:sdtPr>
                    <w:sdtContent>
                      <w:r>
                        <w:rPr>
                          <w:szCs w:val="24"/>
                          <w:lang w:eastAsia="lt-LT"/>
                        </w:rPr>
                        <w:t>41</w:t>
                      </w:r>
                    </w:sdtContent>
                  </w:sdt>
                  <w:r>
                    <w:rPr>
                      <w:szCs w:val="24"/>
                      <w:lang w:eastAsia="lt-LT"/>
                    </w:rPr>
                    <w:t xml:space="preserve">. Jei paraiška buvo nepriimta nustačius </w:t>
                  </w:r>
                  <w:r>
                    <w:rPr>
                      <w:rFonts w:eastAsia="Andale Sans UI"/>
                      <w:szCs w:val="24"/>
                      <w:lang w:bidi="en-US"/>
                    </w:rPr>
                    <w:t xml:space="preserve">Lietuvos Respublikos </w:t>
                  </w:r>
                  <w:r>
                    <w:rPr>
                      <w:szCs w:val="24"/>
                      <w:lang w:eastAsia="lt-LT"/>
                    </w:rPr>
                    <w:t>aplinkos apsaugos įstatymo 19</w:t>
                  </w:r>
                  <w:r>
                    <w:rPr>
                      <w:szCs w:val="24"/>
                      <w:vertAlign w:val="superscript"/>
                      <w:lang w:eastAsia="lt-LT"/>
                    </w:rPr>
                    <w:t>1</w:t>
                  </w:r>
                  <w:r>
                    <w:rPr>
                      <w:szCs w:val="24"/>
                      <w:lang w:eastAsia="lt-LT"/>
                    </w:rPr>
                    <w:t xml:space="preserve"> straipsnio aštuntosios dalies 1 punkte nurodytą sąlygą, AAA ne vėliau kaip per 20 darbo dienų nuo patikslintos paraiškos ir (ar) paaiškinimų pateikimo dienos įvertina patikslintą paraišką ir (ar) pateiktus paaiškinimus, taip pat NVSC pagal Taisyklių 40 punktą pateiktas pastabas, jei buvo pateiktos, ir priima sprendimą priimti paraišką arba sprendimą nepriimti paraiškos.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ecf770f03111e5989ee743dd0efbb0">
                    <w:r w:rsidRPr="00532B9F">
                      <w:rPr>
                        <w:rFonts w:ascii="Arial" w:eastAsia="MS Mincho" w:hAnsi="Arial"/>
                        <w:sz w:val="20"/>
                        <w:i/>
                        <w:iCs/>
                        <w:color w:val="0000FF" w:themeColor="hyperlink"/>
                        <w:u w:val="single"/>
                      </w:rPr>
                      <w:t>D1-202</w:t>
                    </w:r>
                  </w:fldSimple>
                  <w:r>
                    <w:rPr>
                      <w:rFonts w:ascii="Arial" w:eastAsia="MS Mincho" w:hAnsi="Arial"/>
                      <w:sz w:val="20"/>
                      <w:i/>
                      <w:iCs/>
                    </w:rPr>
                    <w:t>,
2016-03-18,
paskelbta TAR 2016-03-22, i. k. 2016-05516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42 p."/>
                <w:tag w:val="part_d9518b37db6945d5b738f9fa1708e198"/>
                <w:lock w:val="sdtLocked"/>
                <w:richText/>
              </w:sdtPr>
              <w:sdtContent>
                <w:p>
                  <w:pPr>
                    <w:widowControl w:val="0"/>
                    <w:ind w:firstLine="567"/>
                    <w:jc w:val="both"/>
                    <w:rPr>
                      <w:color w:val="000000"/>
                      <w:szCs w:val="24"/>
                      <w:lang w:eastAsia="lt-LT"/>
                    </w:rPr>
                  </w:pPr>
                  <w:sdt>
                    <w:sdtPr>
                      <w:alias w:val="Numeris"/>
                      <w:tag w:val="nr_d9518b37db6945d5b738f9fa1708e198"/>
                      <w:lock w:val="sdtLocked"/>
                      <w:richText/>
                    </w:sdtPr>
                    <w:sdtContent>
                      <w:r>
                        <w:rPr>
                          <w:color w:val="000000"/>
                          <w:szCs w:val="24"/>
                          <w:lang w:eastAsia="lt-LT"/>
                        </w:rPr>
                        <w:t>42</w:t>
                      </w:r>
                    </w:sdtContent>
                  </w:sdt>
                  <w:r>
                    <w:rPr>
                      <w:color w:val="000000"/>
                      <w:szCs w:val="24"/>
                      <w:lang w:eastAsia="lt-LT"/>
                    </w:rPr>
                    <w:t>. Kiekvieną kartą patikslinta paraiška teikiama, nagrinėjama ir derinama Taisyklių 38–41 punktuose nustatyta tvarka.</w:t>
                  </w:r>
                </w:p>
              </w:sdtContent>
            </w:sdt>
            <w:sdt>
              <w:sdtPr>
                <w:alias w:val="42-1 p."/>
                <w:tag w:val="part_a930202ca5424ff38f38e59dd865b59a"/>
                <w:lock w:val="sdtLocked"/>
                <w:richText/>
              </w:sdtPr>
              <w:sdtContent>
                <w:p>
                  <w:pPr>
                    <w:ind w:firstLine="567"/>
                    <w:jc w:val="both"/>
                  </w:pPr>
                  <w:sdt>
                    <w:sdtPr>
                      <w:alias w:val="Numeris"/>
                      <w:tag w:val="nr_a930202ca5424ff38f38e59dd865b59a"/>
                      <w:lock w:val="sdtLocked"/>
                      <w:richText/>
                    </w:sdtPr>
                    <w:sdtContent>
                      <w:r>
                        <w:t>42</w:t>
                      </w:r>
                      <w:r>
                        <w:rPr>
                          <w:vertAlign w:val="superscript"/>
                        </w:rPr>
                        <w:t>1</w:t>
                      </w:r>
                    </w:sdtContent>
                  </w:sdt>
                  <w:r>
                    <w:t xml:space="preserve">. </w:t>
                  </w:r>
                  <w:r>
                    <w:rPr>
                      <w:lang w:eastAsia="lt-LT"/>
                    </w:rPr>
                    <w:t xml:space="preserve">Jei veiklos vykdytojas privalo turėti prievolių įvykdymo užtikrinimo dokumentą Atliekų tvarkymo įstatymo 11 straipsnio 2 dalyje nustatytais atvejais ir AAA sprendimas pakeisti leidimą ar patikslinti leidimo sąlygas turės įtakos prievolių įvykdymo užtikrinimo dokumente nurodytos prievolių įvykdymo užtikrinimo sumos dydžiui, AAA, </w:t>
                  </w:r>
                  <w:r>
                    <w:rPr>
                      <w:szCs w:val="24"/>
                    </w:rPr>
                    <w:t xml:space="preserve">suderinusi apskaičiavimo formą, </w:t>
                  </w:r>
                  <w:r>
                    <w:rPr>
                      <w:color w:val="000000"/>
                    </w:rPr>
                    <w:t xml:space="preserve">nurodo, kad atsižvelgiant į </w:t>
                  </w:r>
                  <w:r>
                    <w:rPr>
                      <w:lang w:eastAsia="lt-LT"/>
                    </w:rPr>
                    <w:t>Atliekų</w:t>
                  </w:r>
                  <w:r>
                    <w:rPr>
                      <w:color w:val="000000"/>
                    </w:rPr>
                    <w:t xml:space="preserve"> tvarkymo įstatymo </w:t>
                  </w:r>
                  <w:r>
                    <w:rPr>
                      <w:lang w:eastAsia="lt-LT"/>
                    </w:rPr>
                    <w:t xml:space="preserve">11 straipsnio 3 dalyje nustatytus reikalavimus atliekas naudojančioms ar šalinančioms įmonėms, sprendimas priimti paraišką pakeisti leidimą ar patikslinti leidimo sąlygas bus priimtas, kai veiklos vykdytojas AAD pateiks </w:t>
                  </w:r>
                  <w:r>
                    <w:rPr>
                      <w:szCs w:val="24"/>
                    </w:rPr>
                    <w:t>prievolių įvykdymo užtikrinimo dokumentą, kuris atitinka Atliekas naudojančių ar šalinančių įmonių prievolių įvykdymo užtikrinimo tvarkos apraše nustatytus reikalavimus</w:t>
                  </w:r>
                  <w:r>
                    <w:rPr>
                      <w:color w:val="000000"/>
                    </w:rPr>
                    <w:t>.</w:t>
                  </w:r>
                  <w:r>
                    <w:rPr>
                      <w:szCs w:val="24"/>
                    </w:rPr>
                    <w:t xml:space="preserve"> AAD pateikus informaciją dėl prievolių įvykdymo užtikrinimo dokumento priėmimo</w:t>
                  </w:r>
                  <w:r>
                    <w:rPr>
                      <w:color w:val="000000"/>
                    </w:rPr>
                    <w:t xml:space="preserve">, </w:t>
                  </w:r>
                  <w:r>
                    <w:rPr>
                      <w:lang w:eastAsia="lt-LT"/>
                    </w:rPr>
                    <w:t>AAA priima sprendimą priimti paraišką pakeisti leidimą ar patikslinti leidimo sąlygas ne vėliau kaip per</w:t>
                  </w:r>
                  <w:r>
                    <w:rPr>
                      <w:b/>
                      <w:bCs/>
                      <w:lang w:eastAsia="lt-LT"/>
                    </w:rPr>
                    <w:t xml:space="preserve"> </w:t>
                  </w:r>
                  <w:r>
                    <w:rPr>
                      <w:lang w:eastAsia="lt-LT"/>
                    </w:rPr>
                    <w:t xml:space="preserve">4 darbo dienas nuo </w:t>
                  </w:r>
                  <w:r>
                    <w:rPr>
                      <w:szCs w:val="24"/>
                    </w:rPr>
                    <w:t>informacijos iš AAD gavimo dienos,</w:t>
                  </w:r>
                  <w:r>
                    <w:rPr>
                      <w:lang w:eastAsia="lt-LT"/>
                    </w:rPr>
                    <w:t xml:space="preserve"> išskyrus, kai pagal Taisyklių 36</w:t>
                  </w:r>
                  <w:r>
                    <w:rPr>
                      <w:vertAlign w:val="superscript"/>
                      <w:lang w:eastAsia="lt-LT"/>
                    </w:rPr>
                    <w:t>1</w:t>
                  </w:r>
                  <w:r>
                    <w:rPr>
                      <w:lang w:eastAsia="lt-LT"/>
                    </w:rPr>
                    <w:t>.2 papunkčio reikalavimus</w:t>
                  </w:r>
                  <w:r>
                    <w:rPr>
                      <w:color w:val="000000"/>
                    </w:rPr>
                    <w:t xml:space="preserve"> nustato, </w:t>
                  </w:r>
                  <w:r>
                    <w:rPr>
                      <w:lang w:eastAsia="lt-LT"/>
                    </w:rPr>
                    <w:t>kad dėl kitų priežasčių paraiškos negalima priimti, ir per 5 darbo dienas nuo sprendimo priėmimo išsiunčia pareiškėjui pranešimą apie priimtą sprendimą, kad paraiška nepriimta.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5344301d2e11edb4cae1b158f98ea5">
                    <w:r w:rsidRPr="00532B9F">
                      <w:rPr>
                        <w:rFonts w:ascii="Arial" w:eastAsia="MS Mincho" w:hAnsi="Arial"/>
                        <w:sz w:val="20"/>
                        <w:i/>
                        <w:iCs/>
                        <w:color w:val="0000FF" w:themeColor="hyperlink"/>
                        <w:u w:val="single"/>
                      </w:rPr>
                      <w:t>D1-263</w:t>
                    </w:r>
                  </w:fldSimple>
                  <w:r>
                    <w:rPr>
                      <w:rFonts w:ascii="Arial" w:eastAsia="MS Mincho" w:hAnsi="Arial"/>
                      <w:sz w:val="20"/>
                      <w:i/>
                      <w:iCs/>
                    </w:rPr>
                    <w:t>,
2022-08-16,
paskelbta TAR 2022-08-16, i. k. 2022-17141            </w:t>
                  </w:r>
                </w:p>
                <w:p/>
              </w:sdtContent>
            </w:sdt>
            <w:sdt>
              <w:sdtPr>
                <w:alias w:val="42-2 p."/>
                <w:tag w:val="part_d778f382fb99442298bb24cf4bd90237"/>
                <w:lock w:val="sdtLocked"/>
                <w:richText/>
              </w:sdtPr>
              <w:sdtContent>
                <w:p>
                  <w:pPr>
                    <w:pStyle w:val="PlainText"/>
                    <w:ind w:firstLine="567"/>
                    <w:jc w:val="both"/>
                    <w:rPr>
                      <w:rFonts w:ascii="Arial" w:hAnsi="Arial"/>
                      <w:b/>
                      <w:bCs/>
                      <w:sz w:val="22"/>
                    </w:rPr>
                  </w:pPr>
                  <w:r>
                    <w:rPr>
                      <w:rFonts w:ascii="Arial" w:hAnsi="Arial"/>
                      <w:sz w:val="22"/>
                    </w:rPr>
                    <w:t>42</w:t>
                  </w:r>
                  <w:r>
                    <w:rPr>
                      <w:rFonts w:ascii="Arial" w:hAnsi="Arial"/>
                      <w:vertAlign w:val="superscript"/>
                      <w:sz w:val="22"/>
                    </w:rPr>
                    <w:t>2</w:t>
                  </w:r>
                  <w:r>
                    <w:rPr>
                      <w:rFonts w:ascii="Arial" w:hAnsi="Arial"/>
                      <w:sz w:val="22"/>
                    </w:rPr>
                    <w:t>.</w:t>
                  </w:r>
                  <w:r>
                    <w:rPr>
                      <w:rFonts w:ascii="Arial" w:eastAsia="MS Mincho" w:hAnsi="Arial"/>
                      <w:sz w:val="20"/>
                      <w:i/>
                      <w:iCs/>
                    </w:rPr>
                    <w:t xml:space="preserve"> Neteko galios nuo 2018-02-02</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43 p."/>
                <w:tag w:val="part_f85c0ccbdee34f13b1fb19fdbb170835"/>
                <w:lock w:val="sdtLocked"/>
                <w:richText/>
              </w:sdtPr>
              <w:sdtContent>
                <w:p>
                  <w:pPr>
                    <w:widowControl w:val="0"/>
                    <w:ind w:firstLine="567"/>
                    <w:jc w:val="both"/>
                    <w:rPr>
                      <w:color w:val="000000"/>
                      <w:szCs w:val="24"/>
                      <w:lang w:eastAsia="lt-LT"/>
                    </w:rPr>
                  </w:pPr>
                  <w:sdt>
                    <w:sdtPr>
                      <w:alias w:val="Numeris"/>
                      <w:tag w:val="nr_f85c0ccbdee34f13b1fb19fdbb170835"/>
                      <w:lock w:val="sdtLocked"/>
                      <w:richText/>
                    </w:sdtPr>
                    <w:sdtContent>
                      <w:r>
                        <w:rPr>
                          <w:color w:val="000000"/>
                          <w:szCs w:val="24"/>
                          <w:lang w:eastAsia="lt-LT"/>
                        </w:rPr>
                        <w:t>43</w:t>
                      </w:r>
                    </w:sdtContent>
                  </w:sdt>
                  <w:r>
                    <w:rPr>
                      <w:color w:val="000000"/>
                      <w:szCs w:val="24"/>
                      <w:lang w:eastAsia="lt-LT"/>
                    </w:rPr>
                    <w:t xml:space="preserve">. </w:t>
                  </w:r>
                  <w:r>
                    <w:rPr>
                      <w:lang w:eastAsia="lt-LT"/>
                    </w:rPr>
                    <w:t xml:space="preserve">Prieš priimdama sprendimą dėl paraiškos priėmimo ar nepriėmimo, AAA savo iniciatyva arba veiklos vykdytojui paprašius turi teisę žodžiu aptarti pastabas paraiškai ir su ja pateiktiems dokumentams su veiklos vykdytoju. Pastabų aptarimo rezultatai įforminami pasitarimo protokolu ir pateikiami veiklos vykdytojui su spendimu priimti paraišką ar sprendimu nepriimti paraiškos. </w:t>
                  </w:r>
                  <w:r>
                    <w:rPr>
                      <w:color w:val="000000"/>
                      <w:szCs w:val="24"/>
                      <w:lang w:eastAsia="lt-LT"/>
                    </w:rPr>
                    <w:t>AAA sprendimas priimti paraišką arba nepriimti paraiškos įforminamas Lietuvos Respublikos viešojo administravimo įstatymo nustatyta tvarka ir išsiunčiamas pareiškėjui ne vėliau kaip kitą darbo dieną nuo sprendimo priėmimo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Content>
        </w:sdt>
        <w:sdt>
          <w:sdtPr>
            <w:alias w:val="skyrius"/>
            <w:tag w:val="part_a9a01eebdf594e52a65cdcdb8578cad0"/>
            <w:lock w:val="sdtLocked"/>
            <w:richText/>
          </w:sdtPr>
          <w:sdtContent>
            <w:p>
              <w:pPr>
                <w:widowControl w:val="0"/>
                <w:shd w:val="clear" w:color="000000" w:fill="auto"/>
                <w:jc w:val="center"/>
                <w:rPr>
                  <w:b/>
                  <w:bCs/>
                  <w:caps/>
                  <w:color w:val="000000"/>
                  <w:szCs w:val="24"/>
                  <w:lang w:eastAsia="lt-LT"/>
                </w:rPr>
              </w:pPr>
              <w:sdt>
                <w:sdtPr>
                  <w:alias w:val="Numeris"/>
                  <w:tag w:val="nr_a9a01eebdf594e52a65cdcdb8578cad0"/>
                  <w:lock w:val="sdtLocked"/>
                  <w:richText/>
                </w:sdtPr>
                <w:sdtContent>
                  <w:r>
                    <w:rPr>
                      <w:b/>
                      <w:bCs/>
                      <w:caps/>
                      <w:color w:val="000000"/>
                      <w:szCs w:val="24"/>
                      <w:lang w:eastAsia="lt-LT"/>
                    </w:rPr>
                    <w:t>VII</w:t>
                  </w:r>
                </w:sdtContent>
              </w:sdt>
              <w:r>
                <w:rPr>
                  <w:b/>
                  <w:bCs/>
                  <w:caps/>
                  <w:color w:val="000000"/>
                  <w:szCs w:val="24"/>
                  <w:lang w:eastAsia="lt-LT"/>
                </w:rPr>
                <w:t xml:space="preserve">. </w:t>
              </w:r>
              <w:sdt>
                <w:sdtPr>
                  <w:alias w:val="Pavadinimas"/>
                  <w:tag w:val="title_a9a01eebdf594e52a65cdcdb8578cad0"/>
                  <w:lock w:val="sdtLocked"/>
                  <w:richText/>
                </w:sdtPr>
                <w:sdtContent>
                  <w:r>
                    <w:rPr>
                      <w:b/>
                      <w:bCs/>
                      <w:caps/>
                      <w:color w:val="000000"/>
                      <w:szCs w:val="24"/>
                      <w:lang w:eastAsia="lt-LT"/>
                    </w:rPr>
                    <w:t>REIKALAVIMAI LEIDIMui RENGtI</w:t>
                  </w:r>
                </w:sdtContent>
              </w:sdt>
            </w:p>
            <w:p>
              <w:pPr>
                <w:widowControl w:val="0"/>
                <w:shd w:val="clear" w:color="000000" w:fill="auto"/>
                <w:ind w:firstLine="567"/>
                <w:jc w:val="both"/>
                <w:rPr>
                  <w:color w:val="000000"/>
                  <w:szCs w:val="24"/>
                  <w:lang w:eastAsia="lt-LT"/>
                </w:rPr>
              </w:pPr>
            </w:p>
            <w:sdt>
              <w:sdtPr>
                <w:alias w:val="44 p."/>
                <w:tag w:val="part_7d81ecb1cf174f868da961ee53bd45d5"/>
                <w:lock w:val="sdtLocked"/>
                <w:richText/>
              </w:sdtPr>
              <w:sdtContent>
                <w:p>
                  <w:pPr>
                    <w:widowControl w:val="0"/>
                    <w:shd w:val="clear" w:color="000000" w:fill="auto"/>
                    <w:ind w:firstLine="567"/>
                    <w:jc w:val="both"/>
                    <w:rPr>
                      <w:color w:val="000000"/>
                      <w:szCs w:val="24"/>
                      <w:lang w:eastAsia="lt-LT"/>
                    </w:rPr>
                  </w:pPr>
                  <w:sdt>
                    <w:sdtPr>
                      <w:alias w:val="Numeris"/>
                      <w:tag w:val="nr_7d81ecb1cf174f868da961ee53bd45d5"/>
                      <w:lock w:val="sdtLocked"/>
                      <w:richText/>
                    </w:sdtPr>
                    <w:sdtContent>
                      <w:r>
                        <w:rPr>
                          <w:color w:val="000000"/>
                          <w:szCs w:val="24"/>
                          <w:lang w:eastAsia="lt-LT"/>
                        </w:rPr>
                        <w:t>44</w:t>
                      </w:r>
                    </w:sdtContent>
                  </w:sdt>
                  <w:r>
                    <w:rPr>
                      <w:color w:val="000000"/>
                      <w:szCs w:val="24"/>
                      <w:lang w:eastAsia="lt-LT"/>
                    </w:rPr>
                    <w:t>. Pagal Taisyklių 5 priede pateiktą pavyzdį leidimą rengia AAA.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45 p."/>
                <w:tag w:val="part_4499cc86eb7d4255a7ee4b528e395548"/>
                <w:lock w:val="sdtLocked"/>
                <w:richText/>
              </w:sdtPr>
              <w:sdtContent>
                <w:p>
                  <w:pPr>
                    <w:widowControl w:val="0"/>
                    <w:shd w:val="clear" w:color="000000" w:fill="auto"/>
                    <w:ind w:firstLine="567"/>
                    <w:jc w:val="both"/>
                    <w:rPr>
                      <w:color w:val="000000"/>
                      <w:szCs w:val="24"/>
                      <w:lang w:eastAsia="lt-LT"/>
                    </w:rPr>
                  </w:pPr>
                  <w:sdt>
                    <w:sdtPr>
                      <w:alias w:val="Numeris"/>
                      <w:tag w:val="nr_4499cc86eb7d4255a7ee4b528e395548"/>
                      <w:lock w:val="sdtLocked"/>
                      <w:richText/>
                    </w:sdtPr>
                    <w:sdtContent>
                      <w:r>
                        <w:rPr>
                          <w:color w:val="000000"/>
                          <w:szCs w:val="24"/>
                          <w:lang w:eastAsia="lt-LT"/>
                        </w:rPr>
                        <w:t>45</w:t>
                      </w:r>
                    </w:sdtContent>
                  </w:sdt>
                  <w:r>
                    <w:rPr>
                      <w:color w:val="000000"/>
                      <w:szCs w:val="24"/>
                      <w:lang w:eastAsia="lt-LT"/>
                    </w:rPr>
                    <w:t>. Leidimui parengti naudojami šie duomenys ir dokumentai:</w:t>
                  </w:r>
                </w:p>
                <w:sdt>
                  <w:sdtPr>
                    <w:alias w:val="45.1 p."/>
                    <w:tag w:val="part_8abfc07e0f5346c7bbe3975c1e1eb5f8"/>
                    <w:lock w:val="sdtLocked"/>
                    <w:richText/>
                  </w:sdtPr>
                  <w:sdtContent>
                    <w:p>
                      <w:pPr>
                        <w:widowControl w:val="0"/>
                        <w:shd w:val="clear" w:color="000000" w:fill="auto"/>
                        <w:ind w:firstLine="567"/>
                        <w:jc w:val="both"/>
                        <w:rPr>
                          <w:color w:val="000000"/>
                          <w:szCs w:val="24"/>
                          <w:lang w:eastAsia="lt-LT"/>
                        </w:rPr>
                      </w:pPr>
                      <w:sdt>
                        <w:sdtPr>
                          <w:alias w:val="Numeris"/>
                          <w:tag w:val="nr_8abfc07e0f5346c7bbe3975c1e1eb5f8"/>
                          <w:lock w:val="sdtLocked"/>
                          <w:richText/>
                        </w:sdtPr>
                        <w:sdtContent>
                          <w:r>
                            <w:rPr>
                              <w:color w:val="000000"/>
                              <w:szCs w:val="24"/>
                              <w:lang w:eastAsia="lt-LT"/>
                            </w:rPr>
                            <w:t>45.1</w:t>
                          </w:r>
                        </w:sdtContent>
                      </w:sdt>
                      <w:r>
                        <w:rPr>
                          <w:color w:val="000000"/>
                          <w:szCs w:val="24"/>
                          <w:lang w:eastAsia="lt-LT"/>
                        </w:rPr>
                        <w:t>. paraiška ir kartu teikiami dokumentai, duomenys ir informacija;</w:t>
                      </w:r>
                    </w:p>
                  </w:sdtContent>
                </w:sdt>
                <w:sdt>
                  <w:sdtPr>
                    <w:alias w:val="45.2 p."/>
                    <w:tag w:val="part_f18ae520aea742d9b40a6aab61077abf"/>
                    <w:lock w:val="sdtLocked"/>
                    <w:richText/>
                  </w:sdtPr>
                  <w:sdtContent>
                    <w:p>
                      <w:pPr>
                        <w:widowControl w:val="0"/>
                        <w:shd w:val="clear" w:color="000000" w:fill="auto"/>
                        <w:ind w:firstLine="567"/>
                        <w:jc w:val="both"/>
                        <w:rPr>
                          <w:color w:val="000000"/>
                          <w:szCs w:val="24"/>
                          <w:lang w:eastAsia="lt-LT"/>
                        </w:rPr>
                      </w:pPr>
                      <w:sdt>
                        <w:sdtPr>
                          <w:alias w:val="Numeris"/>
                          <w:tag w:val="nr_f18ae520aea742d9b40a6aab61077abf"/>
                          <w:lock w:val="sdtLocked"/>
                          <w:richText/>
                        </w:sdtPr>
                        <w:sdtContent>
                          <w:r>
                            <w:rPr>
                              <w:color w:val="000000"/>
                              <w:szCs w:val="24"/>
                              <w:lang w:eastAsia="lt-LT"/>
                            </w:rPr>
                            <w:t>45.2</w:t>
                          </w:r>
                        </w:sdtContent>
                      </w:sdt>
                      <w:r>
                        <w:rPr>
                          <w:color w:val="000000"/>
                          <w:szCs w:val="24"/>
                          <w:lang w:eastAsia="lt-LT"/>
                        </w:rPr>
                        <w:t>. GPGB išvados;</w:t>
                      </w:r>
                    </w:p>
                  </w:sdtContent>
                </w:sdt>
                <w:sdt>
                  <w:sdtPr>
                    <w:alias w:val="45.3 p."/>
                    <w:tag w:val="part_630ffc6f068d45baa49a1afe41c8b8de"/>
                    <w:lock w:val="sdtLocked"/>
                    <w:richText/>
                  </w:sdtPr>
                  <w:sdtContent>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630ffc6f068d45baa49a1afe41c8b8de"/>
                          <w:lock w:val="sdtLocked"/>
                          <w:richText/>
                        </w:sdtPr>
                        <w:sdtContent>
                          <w:r>
                            <w:rPr>
                              <w:szCs w:val="24"/>
                              <w:lang w:eastAsia="lt-LT"/>
                            </w:rPr>
                            <w:t>45.3</w:t>
                          </w:r>
                        </w:sdtContent>
                      </w:sdt>
                      <w:r>
                        <w:rPr>
                          <w:szCs w:val="24"/>
                          <w:lang w:eastAsia="lt-LT"/>
                        </w:rPr>
                        <w:t>. teisės aktai, kuriuose nustatyti aplinkos apsaugos, prireikus – ir visuomenės sveikatos priežiūros reikalavimai įrenginyje vykdomai veiklai (kai tokie reikalavimai nustatyti), planuojamos ūkinės veiklos PAV ataskaitos ir PAV sprendimo arba atrankos informacijos ir išvados duomenys, jei atliktos Lietuvos Respublikos planuojamos ūkinės veiklos poveikio aplinkai vertinimo įstatyme nustatytos procedūros;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45.4 p."/>
                    <w:tag w:val="part_1d9c4a5e19ab47259bbdb24d8f9ed0a9"/>
                    <w:lock w:val="sdtLocked"/>
                    <w:richText/>
                  </w:sdtPr>
                  <w:sdtContent>
                    <w:p>
                      <w:pPr>
                        <w:widowControl w:val="0"/>
                        <w:shd w:val="clear" w:color="000000" w:fill="auto"/>
                        <w:ind w:firstLine="567"/>
                        <w:jc w:val="both"/>
                        <w:rPr>
                          <w:color w:val="000000"/>
                          <w:szCs w:val="24"/>
                          <w:lang w:eastAsia="lt-LT"/>
                        </w:rPr>
                      </w:pPr>
                      <w:sdt>
                        <w:sdtPr>
                          <w:alias w:val="Numeris"/>
                          <w:tag w:val="nr_1d9c4a5e19ab47259bbdb24d8f9ed0a9"/>
                          <w:lock w:val="sdtLocked"/>
                          <w:richText/>
                        </w:sdtPr>
                        <w:sdtContent>
                          <w:r>
                            <w:rPr>
                              <w:color w:val="000000"/>
                              <w:szCs w:val="24"/>
                              <w:lang w:eastAsia="lt-LT"/>
                            </w:rPr>
                            <w:t>45.4</w:t>
                          </w:r>
                        </w:sdtContent>
                      </w:sdt>
                      <w:r>
                        <w:rPr>
                          <w:color w:val="000000"/>
                          <w:szCs w:val="24"/>
                          <w:lang w:eastAsia="lt-LT"/>
                        </w:rPr>
                        <w:t>.</w:t>
                      </w:r>
                      <w:r>
                        <w:rPr>
                          <w:i/>
                          <w:iCs/>
                          <w:color w:val="000000"/>
                          <w:szCs w:val="24"/>
                          <w:lang w:eastAsia="lt-LT"/>
                        </w:rPr>
                        <w:t> </w:t>
                      </w:r>
                      <w:r>
                        <w:rPr>
                          <w:color w:val="000000"/>
                          <w:szCs w:val="24"/>
                          <w:lang w:eastAsia="lt-LT"/>
                        </w:rPr>
                        <w:t>statinio techniniame projekte pateikti duomenys, jei toks projektas pagal teisės aktų reikalavimus parengtas;</w:t>
                      </w:r>
                    </w:p>
                  </w:sdtContent>
                </w:sdt>
                <w:sdt>
                  <w:sdtPr>
                    <w:alias w:val="45.5 p."/>
                    <w:tag w:val="part_3ec59e194b6743b992c05844cf172bc9"/>
                    <w:lock w:val="sdtLocked"/>
                    <w:richText/>
                  </w:sdtPr>
                  <w:sdtContent>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3ec59e194b6743b992c05844cf172bc9"/>
                          <w:lock w:val="sdtLocked"/>
                          <w:richText/>
                        </w:sdtPr>
                        <w:sdtContent>
                          <w:r>
                            <w:rPr>
                              <w:szCs w:val="24"/>
                              <w:lang w:eastAsia="lt-LT"/>
                            </w:rPr>
                            <w:t>45.5</w:t>
                          </w:r>
                        </w:sdtContent>
                      </w:sdt>
                      <w:r>
                        <w:rPr>
                          <w:szCs w:val="24"/>
                          <w:lang w:eastAsia="lt-LT"/>
                        </w:rPr>
                        <w:t>. paraiškos derinimo su NVSC dokumentai;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ecf770f03111e5989ee743dd0efbb0">
                        <w:r w:rsidRPr="00532B9F">
                          <w:rPr>
                            <w:rFonts w:ascii="Arial" w:eastAsia="MS Mincho" w:hAnsi="Arial"/>
                            <w:sz w:val="20"/>
                            <w:i/>
                            <w:iCs/>
                            <w:color w:val="0000FF" w:themeColor="hyperlink"/>
                            <w:u w:val="single"/>
                          </w:rPr>
                          <w:t>D1-202</w:t>
                        </w:r>
                      </w:fldSimple>
                      <w:r>
                        <w:rPr>
                          <w:rFonts w:ascii="Arial" w:eastAsia="MS Mincho" w:hAnsi="Arial"/>
                          <w:sz w:val="20"/>
                          <w:i/>
                          <w:iCs/>
                        </w:rPr>
                        <w:t>,
2016-03-18,
paskelbta TAR 2016-03-22, i. k. 2016-05516            </w:t>
                      </w:r>
                    </w:p>
                    <w:p/>
                  </w:sdtContent>
                </w:sdt>
                <w:sdt>
                  <w:sdtPr>
                    <w:alias w:val="45.6 p."/>
                    <w:tag w:val="part_688c16e8dc14420bb0e0df49679d5b29"/>
                    <w:lock w:val="sdtLocked"/>
                    <w:richText/>
                  </w:sdtPr>
                  <w:sdtContent>
                    <w:p>
                      <w:pPr>
                        <w:widowControl w:val="0"/>
                        <w:shd w:val="clear" w:color="000000" w:fill="auto"/>
                        <w:ind w:firstLine="567"/>
                        <w:jc w:val="both"/>
                        <w:rPr>
                          <w:i/>
                          <w:iCs/>
                          <w:color w:val="000000"/>
                          <w:szCs w:val="24"/>
                          <w:lang w:eastAsia="lt-LT"/>
                        </w:rPr>
                      </w:pPr>
                      <w:sdt>
                        <w:sdtPr>
                          <w:alias w:val="Numeris"/>
                          <w:tag w:val="nr_688c16e8dc14420bb0e0df49679d5b29"/>
                          <w:lock w:val="sdtLocked"/>
                          <w:richText/>
                        </w:sdtPr>
                        <w:sdtContent>
                          <w:r>
                            <w:rPr>
                              <w:color w:val="000000"/>
                              <w:szCs w:val="24"/>
                              <w:lang w:eastAsia="lt-LT"/>
                            </w:rPr>
                            <w:t>45.6</w:t>
                          </w:r>
                        </w:sdtContent>
                      </w:sdt>
                      <w:r>
                        <w:rPr>
                          <w:color w:val="000000"/>
                          <w:szCs w:val="24"/>
                          <w:lang w:eastAsia="lt-LT"/>
                        </w:rPr>
                        <w:t>. AAA surinkti duomenys ir informacija,</w:t>
                      </w:r>
                      <w:r>
                        <w:rPr>
                          <w:i/>
                          <w:iCs/>
                          <w:color w:val="000000"/>
                          <w:szCs w:val="24"/>
                          <w:lang w:eastAsia="lt-LT"/>
                        </w:rPr>
                        <w:t xml:space="preserve"> </w:t>
                      </w:r>
                      <w:r>
                        <w:rPr>
                          <w:color w:val="000000"/>
                          <w:szCs w:val="24"/>
                          <w:lang w:eastAsia="lt-LT"/>
                        </w:rPr>
                        <w:t>savivaldybės, kitų institucijų ir suinteresuotos visuomenės teikta informacija, pastabos ir pasiūlymai;</w:t>
                      </w:r>
                    </w:p>
                  </w:sdtContent>
                </w:sdt>
                <w:sdt>
                  <w:sdtPr>
                    <w:alias w:val="45.7 p."/>
                    <w:tag w:val="part_cb64c24b082f41a583beda34043767c9"/>
                    <w:lock w:val="sdtLocked"/>
                    <w:richText/>
                  </w:sdtPr>
                  <w:sdtContent>
                    <w:p>
                      <w:pPr>
                        <w:widowControl w:val="0"/>
                        <w:ind w:firstLine="567"/>
                        <w:jc w:val="both"/>
                        <w:rPr>
                          <w:color w:val="000000"/>
                          <w:szCs w:val="24"/>
                          <w:lang w:eastAsia="lt-LT"/>
                        </w:rPr>
                      </w:pPr>
                      <w:sdt>
                        <w:sdtPr>
                          <w:alias w:val="Numeris"/>
                          <w:tag w:val="nr_cb64c24b082f41a583beda34043767c9"/>
                          <w:lock w:val="sdtLocked"/>
                          <w:richText/>
                        </w:sdtPr>
                        <w:sdtContent>
                          <w:r>
                            <w:rPr>
                              <w:color w:val="000000"/>
                              <w:lang w:eastAsia="lt-LT"/>
                            </w:rPr>
                            <w:t>45.7</w:t>
                          </w:r>
                        </w:sdtContent>
                      </w:sdt>
                      <w:r>
                        <w:rPr>
                          <w:color w:val="000000"/>
                          <w:lang w:eastAsia="lt-LT"/>
                        </w:rPr>
                        <w:t xml:space="preserve">. Lietuvos Respublikos teisės aktai, </w:t>
                      </w:r>
                      <w:r>
                        <w:rPr>
                          <w:color w:val="000000"/>
                          <w:szCs w:val="24"/>
                          <w:lang w:eastAsia="zh-CN"/>
                        </w:rPr>
                        <w:t>tiesiogiai taikomi Europos Sąjungos teisės aktai aplinkos apsaugos srityje,</w:t>
                      </w:r>
                      <w:r>
                        <w:rPr>
                          <w:rFonts w:ascii="Calibri" w:eastAsia="Calibri" w:hAnsi="Calibri" w:cs="Calibri"/>
                          <w:color w:val="000000"/>
                          <w:sz w:val="22"/>
                          <w:szCs w:val="22"/>
                          <w:lang w:eastAsia="zh-CN"/>
                        </w:rPr>
                        <w:t xml:space="preserve"> </w:t>
                      </w:r>
                      <w:r>
                        <w:rPr>
                          <w:color w:val="000000"/>
                          <w:lang w:eastAsia="lt-LT"/>
                        </w:rPr>
                        <w:t xml:space="preserve">kuriuose nustatytos išmetamųjų teršalų ribinės vertės ar kiti reikalavimai, pagal kuriuos nustatomos leidimo sąlygos. Keičiant leidimą eksploatuoti </w:t>
                      </w:r>
                      <w:r>
                        <w:t>įrenginius, kuriuose vykdoma Taisyklių 1 priedo 6.6.2 ir 6.6.3 papunkčiuose nurodyta ūkinė veikla, vadovaujamasi Taisyklių 8 priede pateiktais metodiniais nurodymais</w:t>
                      </w:r>
                      <w:r>
                        <w:rPr>
                          <w:color w:val="000000"/>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Content>
            </w:sdt>
            <w:sdt>
              <w:sdtPr>
                <w:alias w:val="46 p."/>
                <w:tag w:val="part_b944582d9d9942a68bff5dcd37ceb84b"/>
                <w:lock w:val="sdtLocked"/>
                <w:richText/>
              </w:sdtPr>
              <w:sdtContent>
                <w:p>
                  <w:pPr>
                    <w:widowControl w:val="0"/>
                    <w:shd w:val="clear" w:color="000000" w:fill="auto"/>
                    <w:ind w:firstLine="567"/>
                    <w:jc w:val="both"/>
                    <w:rPr>
                      <w:color w:val="000000"/>
                      <w:szCs w:val="24"/>
                      <w:lang w:eastAsia="lt-LT"/>
                    </w:rPr>
                  </w:pPr>
                  <w:sdt>
                    <w:sdtPr>
                      <w:alias w:val="Numeris"/>
                      <w:tag w:val="nr_b944582d9d9942a68bff5dcd37ceb84b"/>
                      <w:lock w:val="sdtLocked"/>
                      <w:richText/>
                    </w:sdtPr>
                    <w:sdtContent>
                      <w:r>
                        <w:rPr>
                          <w:color w:val="000000"/>
                          <w:szCs w:val="24"/>
                          <w:lang w:eastAsia="lt-LT"/>
                        </w:rPr>
                        <w:t>46</w:t>
                      </w:r>
                    </w:sdtContent>
                  </w:sdt>
                  <w:r>
                    <w:rPr>
                      <w:color w:val="000000"/>
                      <w:szCs w:val="24"/>
                      <w:lang w:eastAsia="lt-LT"/>
                    </w:rPr>
                    <w:t>. Rengdama leidimą AAA privalo patikrinti, ar veiklos vykdytojo paraiškoje nurodyta technologija, veiklos metodai ir taršos prevencijos priemonės atitinka GPGB išvadose nurodytus reikalavimus ir teisės aktuose nustatytas aplinkos kokybės normas. Jeigu aplinkos kokybės normos reikalauja griežtesnių sąlygų už įvykdomas taikant GPGB, AAA turi nustatyti papildomus leidimo reikalavimus, kad įrenginys būtų eksploatuojamas nepažeidžiant aplinkos kokybės normų.</w:t>
                  </w:r>
                </w:p>
              </w:sdtContent>
            </w:sdt>
            <w:sdt>
              <w:sdtPr>
                <w:alias w:val="47 p."/>
                <w:tag w:val="part_820e0579d0a047b282937398245e0be2"/>
                <w:lock w:val="sdtLocked"/>
                <w:richText/>
              </w:sdtPr>
              <w:sdtContent>
                <w:p>
                  <w:pPr>
                    <w:widowControl w:val="0"/>
                    <w:ind w:firstLine="567"/>
                    <w:jc w:val="both"/>
                    <w:rPr>
                      <w:color w:val="000000"/>
                      <w:szCs w:val="24"/>
                    </w:rPr>
                  </w:pPr>
                  <w:sdt>
                    <w:sdtPr>
                      <w:alias w:val="Numeris"/>
                      <w:tag w:val="nr_820e0579d0a047b282937398245e0be2"/>
                      <w:lock w:val="sdtLocked"/>
                      <w:richText/>
                    </w:sdtPr>
                    <w:sdtContent>
                      <w:r>
                        <w:rPr>
                          <w:color w:val="000000"/>
                          <w:szCs w:val="24"/>
                        </w:rPr>
                        <w:t>47</w:t>
                      </w:r>
                    </w:sdtContent>
                  </w:sdt>
                  <w:r>
                    <w:rPr>
                      <w:color w:val="000000"/>
                      <w:szCs w:val="24"/>
                    </w:rPr>
                    <w:t>. Leidimo sąlygos nustatomos ir pagrindžiamos remiantis paraiška, Taisyklių 45 punkte nurodytais duomenimis ir dokumentais, įvertinus įrenginio eksploatavimo vietos sąlygas. Leidime nustatomos sąlygos: </w:t>
                  </w:r>
                </w:p>
                <w:sdt>
                  <w:sdtPr>
                    <w:alias w:val="47.1 pp."/>
                    <w:tag w:val="part_ecb915c6cd7e41c5923e8f5ed16a37ce"/>
                    <w:lock w:val="sdtLocked"/>
                    <w:richText/>
                  </w:sdtPr>
                  <w:sdtContent>
                    <w:p>
                      <w:pPr>
                        <w:widowControl w:val="0"/>
                        <w:ind w:firstLine="567"/>
                        <w:jc w:val="both"/>
                        <w:rPr>
                          <w:color w:val="000000"/>
                          <w:szCs w:val="24"/>
                        </w:rPr>
                      </w:pPr>
                      <w:sdt>
                        <w:sdtPr>
                          <w:alias w:val="Numeris"/>
                          <w:tag w:val="nr_ecb915c6cd7e41c5923e8f5ed16a37ce"/>
                          <w:lock w:val="sdtLocked"/>
                          <w:richText/>
                        </w:sdtPr>
                        <w:sdtContent>
                          <w:r>
                            <w:rPr>
                              <w:color w:val="000000"/>
                              <w:szCs w:val="24"/>
                            </w:rPr>
                            <w:t>47.1</w:t>
                          </w:r>
                        </w:sdtContent>
                      </w:sdt>
                      <w:r>
                        <w:rPr>
                          <w:color w:val="000000"/>
                          <w:szCs w:val="24"/>
                        </w:rPr>
                        <w:t>. kurios privalo būti įgyvendintos iki ūkinės veiklos vykdymo arba įrenginio eksploatavimo pradžios;  </w:t>
                      </w:r>
                    </w:p>
                  </w:sdtContent>
                </w:sdt>
                <w:sdt>
                  <w:sdtPr>
                    <w:alias w:val="47.2 pp."/>
                    <w:tag w:val="part_704576c8b4984172a8d56c3c56d7ae50"/>
                    <w:lock w:val="sdtLocked"/>
                    <w:richText/>
                  </w:sdtPr>
                  <w:sdtContent>
                    <w:p>
                      <w:pPr>
                        <w:widowControl w:val="0"/>
                        <w:ind w:firstLine="567"/>
                        <w:jc w:val="both"/>
                        <w:rPr>
                          <w:color w:val="000000"/>
                          <w:szCs w:val="24"/>
                        </w:rPr>
                      </w:pPr>
                      <w:sdt>
                        <w:sdtPr>
                          <w:alias w:val="Numeris"/>
                          <w:tag w:val="nr_704576c8b4984172a8d56c3c56d7ae50"/>
                          <w:lock w:val="sdtLocked"/>
                          <w:richText/>
                        </w:sdtPr>
                        <w:sdtContent>
                          <w:r>
                            <w:rPr>
                              <w:color w:val="000000"/>
                              <w:szCs w:val="24"/>
                            </w:rPr>
                            <w:t>47.2</w:t>
                          </w:r>
                        </w:sdtContent>
                      </w:sdt>
                      <w:r>
                        <w:rPr>
                          <w:color w:val="000000"/>
                          <w:szCs w:val="24"/>
                        </w:rPr>
                        <w:t>. kurių privaloma laikytis vykdant ūkinę veiklą arba eksploatuojant įrenginį;   </w:t>
                      </w:r>
                    </w:p>
                  </w:sdtContent>
                </w:sdt>
                <w:sdt>
                  <w:sdtPr>
                    <w:alias w:val="47.3 pp."/>
                    <w:tag w:val="part_742172bf3bd74c94b97e293cc371cefe"/>
                    <w:lock w:val="sdtLocked"/>
                    <w:richText/>
                  </w:sdtPr>
                  <w:sdtContent>
                    <w:p>
                      <w:pPr>
                        <w:widowControl w:val="0"/>
                        <w:ind w:firstLine="567"/>
                        <w:jc w:val="both"/>
                      </w:pPr>
                      <w:sdt>
                        <w:sdtPr>
                          <w:alias w:val="Numeris"/>
                          <w:tag w:val="nr_742172bf3bd74c94b97e293cc371cefe"/>
                          <w:lock w:val="sdtLocked"/>
                          <w:richText/>
                        </w:sdtPr>
                        <w:sdtContent>
                          <w:r>
                            <w:rPr>
                              <w:color w:val="000000"/>
                              <w:szCs w:val="24"/>
                            </w:rPr>
                            <w:t>47.3</w:t>
                          </w:r>
                        </w:sdtContent>
                      </w:sdt>
                      <w:r>
                        <w:rPr>
                          <w:color w:val="000000"/>
                          <w:szCs w:val="24"/>
                        </w:rPr>
                        <w:t>. kurių privaloma laikytis užbaigiant vykdyti ūkinę veiklą arba eksploatuoti įrenginį.</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47-1 p."/>
                <w:tag w:val="part_4b9aa92cd071473686f24228e9761116"/>
                <w:lock w:val="sdtLocked"/>
                <w:richText/>
              </w:sdtPr>
              <w:sdtContent>
                <w:p>
                  <w:pPr>
                    <w:widowControl w:val="0"/>
                    <w:ind w:firstLine="567"/>
                    <w:jc w:val="both"/>
                    <w:rPr>
                      <w:color w:val="000000"/>
                      <w:szCs w:val="24"/>
                      <w:lang w:eastAsia="lt-LT"/>
                    </w:rPr>
                  </w:pPr>
                  <w:sdt>
                    <w:sdtPr>
                      <w:alias w:val="Numeris"/>
                      <w:tag w:val="nr_4b9aa92cd071473686f24228e9761116"/>
                      <w:lock w:val="sdtLocked"/>
                      <w:richText/>
                    </w:sdtPr>
                    <w:sdtContent>
                      <w:r>
                        <w:rPr>
                          <w:color w:val="000000"/>
                          <w:szCs w:val="24"/>
                        </w:rPr>
                        <w:t>47</w:t>
                      </w:r>
                      <w:r>
                        <w:rPr>
                          <w:color w:val="000000"/>
                          <w:szCs w:val="24"/>
                          <w:vertAlign w:val="superscript"/>
                        </w:rPr>
                        <w:t>1</w:t>
                      </w:r>
                    </w:sdtContent>
                  </w:sdt>
                  <w:r>
                    <w:rPr>
                      <w:color w:val="000000"/>
                      <w:szCs w:val="24"/>
                    </w:rPr>
                    <w:t xml:space="preserve">. Jei atliktos Planuojamos ūkinės veiklos poveikio aplinkai vertinimo įstatyme nustatytos procedūros, leidimo sąlygose įrašoma, kaip turi būti įgyvendintos PAV sprendime nustatytos </w:t>
                  </w:r>
                  <w:r>
                    <w:rPr>
                      <w:color w:val="000000"/>
                      <w:szCs w:val="24"/>
                      <w:shd w:val="clear" w:color="auto" w:fill="FFFFFF"/>
                    </w:rPr>
                    <w:t>planuojamos ūkinės veiklos įgyvendinimo</w:t>
                  </w:r>
                  <w:r>
                    <w:rPr>
                      <w:color w:val="000000"/>
                      <w:szCs w:val="24"/>
                    </w:rPr>
                    <w:t xml:space="preserve"> sąlygos ir priemonės </w:t>
                  </w:r>
                  <w:r>
                    <w:rPr>
                      <w:color w:val="000000"/>
                      <w:szCs w:val="24"/>
                      <w:shd w:val="clear" w:color="auto" w:fill="FFFFFF"/>
                    </w:rPr>
                    <w:t>reikšmingam neigiamam poveikiui aplinkai išvengti, jį sumažinti, atkurti</w:t>
                  </w:r>
                  <w:r>
                    <w:rPr>
                      <w:color w:val="000000"/>
                      <w:szCs w:val="24"/>
                      <w:shd w:val="clear" w:color="auto" w:fill="FFFFFF"/>
                      <w:lang w:eastAsia="zh-CN"/>
                    </w:rPr>
                    <w:t xml:space="preserve"> tai</w:t>
                  </w:r>
                  <w:r>
                    <w:rPr>
                      <w:color w:val="000000"/>
                      <w:szCs w:val="24"/>
                      <w:shd w:val="clear" w:color="auto" w:fill="FFFFFF"/>
                    </w:rPr>
                    <w:t>, kas pažeista, ir (ar)</w:t>
                  </w:r>
                  <w:r>
                    <w:rPr>
                      <w:color w:val="000000"/>
                      <w:szCs w:val="24"/>
                    </w:rPr>
                    <w:t xml:space="preserve"> jį </w:t>
                  </w:r>
                  <w:r>
                    <w:rPr>
                      <w:color w:val="000000"/>
                      <w:szCs w:val="24"/>
                      <w:shd w:val="clear" w:color="auto" w:fill="FFFFFF"/>
                    </w:rPr>
                    <w:t xml:space="preserve">kompensuoti, </w:t>
                  </w:r>
                  <w:r>
                    <w:rPr>
                      <w:color w:val="000000"/>
                      <w:szCs w:val="24"/>
                    </w:rPr>
                    <w:t>atrankos išvadoje nurodytos priemonės reikšmingam neigiamam poveikiui aplinkai išvengti ir (ar) užkirsti jam kelią.</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48 p."/>
                <w:tag w:val="part_9d77e9666e7b4bed969146d222ef3cda"/>
                <w:lock w:val="sdtLocked"/>
                <w:richText/>
              </w:sdtPr>
              <w:sdtContent>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9d77e9666e7b4bed969146d222ef3cda"/>
                      <w:lock w:val="sdtLocked"/>
                      <w:richText/>
                    </w:sdtPr>
                    <w:sdtContent>
                      <w:r>
                        <w:rPr>
                          <w:szCs w:val="24"/>
                          <w:lang w:eastAsia="lt-LT"/>
                        </w:rPr>
                        <w:t>48</w:t>
                      </w:r>
                    </w:sdtContent>
                  </w:sdt>
                  <w:r>
                    <w:rPr>
                      <w:szCs w:val="24"/>
                      <w:lang w:eastAsia="lt-LT"/>
                    </w:rPr>
                    <w:t>. Jeigu įrenginyje vykdomai veiklai arba gamybos proceso rūšiai GPGB išvados neparengtos arba jeigu išvadose nenumatytos visos galimos veiklos ar proceso poveikio aplinkai rūšys, AAA, pasikonsultavusi raštu su veiklos vykdytoju, atsižvelgdama į Taisyklių 2 priede išvardintus kriterijus, nustato leidimo sąlygas remdamasi GPGB, kuriuos ji nustatė atitinkamai veiklai ar procesams. Kol nėra patvirtintų GPGB išvadų, apibrėžtų Taisyklių 7.9 punkte, kaip GPGB išvados taikomos GPGB informaciniuose dokumentuose, patvirtintuose iki 2011 m. sausio 7 d., pateiktos išvados dėl GPGB, išskyrus Taisyklių 49 ir 51 punktuose nurodytus atvejus.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58dcda07c7011e4abe983995522ea30">
                    <w:r w:rsidRPr="00532B9F">
                      <w:rPr>
                        <w:rFonts w:ascii="Arial" w:eastAsia="MS Mincho" w:hAnsi="Arial"/>
                        <w:sz w:val="20"/>
                        <w:i/>
                        <w:iCs/>
                        <w:color w:val="0000FF" w:themeColor="hyperlink"/>
                        <w:u w:val="single"/>
                      </w:rPr>
                      <w:t>D1-983</w:t>
                    </w:r>
                  </w:fldSimple>
                  <w:r>
                    <w:rPr>
                      <w:rFonts w:ascii="Arial" w:eastAsia="MS Mincho" w:hAnsi="Arial"/>
                      <w:sz w:val="20"/>
                      <w:i/>
                      <w:iCs/>
                    </w:rPr>
                    <w:t>,
2014-12-04,
paskelbta TAR 2014-12-05, i. k. 2014-19056            </w:t>
                  </w:r>
                </w:p>
                <w:p/>
              </w:sdtContent>
            </w:sdt>
            <w:sdt>
              <w:sdtPr>
                <w:alias w:val="49 p."/>
                <w:tag w:val="part_7e57c0768dd84aa083405b88e776dfa3"/>
                <w:lock w:val="sdtLocked"/>
                <w:richText/>
              </w:sdtPr>
              <w:sdtContent>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Cs w:val="24"/>
                      <w:lang w:eastAsia="lt-LT"/>
                    </w:rPr>
                  </w:pPr>
                  <w:sdt>
                    <w:sdtPr>
                      <w:alias w:val="Numeris"/>
                      <w:tag w:val="nr_7e57c0768dd84aa083405b88e776dfa3"/>
                      <w:lock w:val="sdtLocked"/>
                      <w:richText/>
                    </w:sdtPr>
                    <w:sdtContent>
                      <w:r>
                        <w:rPr>
                          <w:szCs w:val="24"/>
                          <w:lang w:eastAsia="lt-LT"/>
                        </w:rPr>
                        <w:t>49</w:t>
                      </w:r>
                    </w:sdtContent>
                  </w:sdt>
                  <w:r>
                    <w:rPr>
                      <w:szCs w:val="24"/>
                      <w:lang w:eastAsia="lt-LT"/>
                    </w:rPr>
                    <w:t>. AAA leidime naujam įrenginiui ir esminiam įrenginio pakeitimui nustato išmetamųjų teršalų ribines vertes, kuriomis užtikrinama, kad įprastinėmis eksploatacijos sąlygomis išmetamas teršalų kiekis neviršytų išmetamųjų teršalų kiekio, taikomo pagal GPGB, nurodyto aprobuotose GPGB išvadose, vienu iš šių būdų:</w:t>
                  </w:r>
                </w:p>
                <w:sdt>
                  <w:sdtPr>
                    <w:alias w:val="49.1 pp."/>
                    <w:tag w:val="part_3415cde612294c0abdecda4b4a520c68"/>
                    <w:lock w:val="sdtLocked"/>
                    <w:richText/>
                  </w:sdtPr>
                  <w:sdtContent>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Cs w:val="24"/>
                          <w:lang w:eastAsia="lt-LT"/>
                        </w:rPr>
                      </w:pPr>
                      <w:sdt>
                        <w:sdtPr>
                          <w:alias w:val="Numeris"/>
                          <w:tag w:val="nr_3415cde612294c0abdecda4b4a520c68"/>
                          <w:lock w:val="sdtLocked"/>
                          <w:richText/>
                        </w:sdtPr>
                        <w:sdtContent>
                          <w:r>
                            <w:rPr>
                              <w:szCs w:val="24"/>
                              <w:lang w:eastAsia="lt-LT"/>
                            </w:rPr>
                            <w:t>49.1</w:t>
                          </w:r>
                        </w:sdtContent>
                      </w:sdt>
                      <w:r>
                        <w:rPr>
                          <w:szCs w:val="24"/>
                          <w:lang w:eastAsia="lt-LT"/>
                        </w:rPr>
                        <w:t>. nustatydama išmetamųjų teršalų ribines vertes, neviršijančias išmetamųjų teršalų kiekio, nustatyto GPGB. Išmetamųjų teršalų ribinės vertės nustatomos tam pačiam arba trumpesniam laikotarpiui ir tomis pačiomis nustatytomis sąlygomis kaip ir išmetamųjų teršalų kiekis, nustatytas GPGB;</w:t>
                      </w:r>
                    </w:p>
                  </w:sdtContent>
                </w:sdt>
                <w:sdt>
                  <w:sdtPr>
                    <w:alias w:val="49.2 pp."/>
                    <w:tag w:val="part_95cd9c4439d04d18b6cde3fd702e1fc9"/>
                    <w:lock w:val="sdtLocked"/>
                    <w:richText/>
                  </w:sdtPr>
                  <w:sdtContent>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95cd9c4439d04d18b6cde3fd702e1fc9"/>
                          <w:lock w:val="sdtLocked"/>
                          <w:richText/>
                        </w:sdtPr>
                        <w:sdtContent>
                          <w:r>
                            <w:rPr>
                              <w:szCs w:val="24"/>
                              <w:lang w:eastAsia="lt-LT"/>
                            </w:rPr>
                            <w:t>49.2</w:t>
                          </w:r>
                        </w:sdtContent>
                      </w:sdt>
                      <w:r>
                        <w:rPr>
                          <w:szCs w:val="24"/>
                          <w:lang w:eastAsia="lt-LT"/>
                        </w:rPr>
                        <w:t>. nustatydama kitokias, nei nurodytos Taisyklių 49.1 punkte, išmetamųjų teršalų ribinių verčių skaitines išraiškas, laikotarpius ir sąlygas. Tokiu atveju AAA ne rečiau kaip kartą metuose privalo vertinti išmetamųjų teršalų monitoringo (stebėsenos) rezultatus, kad užtikrintų, jog įprastinėmis įrenginio eksploatacijos sąlygomis išmetamieji teršalai neviršytų išmetamųjų teršalų kiekio, nustatyto GPGB.</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sdtContent>
            </w:sdt>
            <w:sdt>
              <w:sdtPr>
                <w:alias w:val="50 p."/>
                <w:tag w:val="part_87b3c086daf6486eac2e77c05af26ca7"/>
                <w:lock w:val="sdtLocked"/>
                <w:richText/>
              </w:sdtPr>
              <w:sdtContent>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87b3c086daf6486eac2e77c05af26ca7"/>
                      <w:lock w:val="sdtLocked"/>
                      <w:richText/>
                    </w:sdtPr>
                    <w:sdtContent>
                      <w:r>
                        <w:rPr>
                          <w:szCs w:val="24"/>
                          <w:lang w:eastAsia="lt-LT"/>
                        </w:rPr>
                        <w:t>50</w:t>
                      </w:r>
                    </w:sdtContent>
                  </w:sdt>
                  <w:r>
                    <w:rPr>
                      <w:szCs w:val="24"/>
                      <w:lang w:eastAsia="lt-LT"/>
                    </w:rPr>
                    <w:t>. Keičiant leidimą, nustatant išmetamųjų teršalų ribines vertes pagal Taisyklių 49 punktą, jei veiklos vykdytojas prašo, turi būti suteiktas ne trumpesnis kaip dvejų metų laikotarpis nuo GPGB išvadų priėmimo, per kurį turi būti užtikrinta, kad įrenginio išmetamieji teršalai neviršys išmetamųjų teršalų kiekio, nurodyto aprobuotose GPGB išvadose.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sdtContent>
            </w:sdt>
            <w:sdt>
              <w:sdtPr>
                <w:alias w:val="51 p."/>
                <w:tag w:val="part_06e51446bca9437ab7f0ad6f70d8c817"/>
                <w:lock w:val="sdtLocked"/>
                <w:richText/>
              </w:sdtPr>
              <w:sdtContent>
                <w:p>
                  <w:pPr>
                    <w:widowControl w:val="0"/>
                    <w:shd w:val="clear" w:color="000000" w:fill="auto"/>
                    <w:ind w:firstLine="567"/>
                    <w:jc w:val="both"/>
                    <w:rPr>
                      <w:color w:val="000000"/>
                      <w:szCs w:val="24"/>
                      <w:lang w:eastAsia="lt-LT"/>
                    </w:rPr>
                  </w:pPr>
                  <w:sdt>
                    <w:sdtPr>
                      <w:alias w:val="Numeris"/>
                      <w:tag w:val="nr_06e51446bca9437ab7f0ad6f70d8c817"/>
                      <w:lock w:val="sdtLocked"/>
                      <w:richText/>
                    </w:sdtPr>
                    <w:sdtContent>
                      <w:r>
                        <w:rPr>
                          <w:szCs w:val="24"/>
                          <w:lang w:eastAsia="lt-LT"/>
                        </w:rPr>
                        <w:t>51</w:t>
                      </w:r>
                    </w:sdtContent>
                  </w:sdt>
                  <w:r>
                    <w:rPr>
                      <w:szCs w:val="24"/>
                      <w:lang w:eastAsia="lt-LT"/>
                    </w:rPr>
                    <w:t xml:space="preserve">. Jeigu aplinkos kokybės normos nereikalauja griežtesnių sąlygų už tas, kurios įvykdomos taikant GPGB, atsižvelgdama į vietos sąlygas, teršalų sklaidą ir kitas su leidimo sąlygomis susijusias aplinkybes, AAA turi teisę, veiklos vykdytojui prašant ir pateikus galimų sprendimų (techninių ar kt.) ekonominio naudos ir sąnaudų vertinimo dokumentus, nustatyti ne tokias griežtas išmetamųjų teršalų ribines vertes. Jei </w:t>
                  </w:r>
                  <w:r>
                    <w:rPr>
                      <w:szCs w:val="24"/>
                    </w:rPr>
                    <w:t>neturi pakankamų ekspertinių žinių, AAA turi teisę Lietuvos Respublikos viešųjų pirkimų įstatyme nustatyta tvarka pasitelkti konsultantus šiems dokumentams nagrinėti, vertinti ir išvadoms pateikti</w:t>
                  </w:r>
                  <w:r>
                    <w:rPr>
                      <w:szCs w:val="24"/>
                      <w:lang w:eastAsia="lt-LT"/>
                    </w:rPr>
                    <w:t>. Šiame punkte nurodyta išimtis gali būti taikoma tik, kai galimų sprendimų ekonominis naudos ir sąnaudų vertinimas ir jo rezultatai patvirtina, kad nustatant išmetamųjų teršalų kiekį pagal GPGB, kurie aprašyti GPGB išvadose, atsirastų neproporcingai didelės, palyginti su aplinkai teikiama nauda, sąnaudos dėl:</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sdt>
                  <w:sdtPr>
                    <w:alias w:val="51.1 p."/>
                    <w:tag w:val="part_2c55eaa8625c4dedafd56f3e8ad146a2"/>
                    <w:lock w:val="sdtLocked"/>
                    <w:richText/>
                  </w:sdtPr>
                  <w:sdtContent>
                    <w:p>
                      <w:pPr>
                        <w:widowControl w:val="0"/>
                        <w:shd w:val="clear" w:color="000000" w:fill="auto"/>
                        <w:ind w:firstLine="567"/>
                        <w:jc w:val="both"/>
                        <w:rPr>
                          <w:color w:val="000000"/>
                          <w:szCs w:val="24"/>
                          <w:lang w:eastAsia="lt-LT"/>
                        </w:rPr>
                      </w:pPr>
                      <w:sdt>
                        <w:sdtPr>
                          <w:alias w:val="Numeris"/>
                          <w:tag w:val="nr_2c55eaa8625c4dedafd56f3e8ad146a2"/>
                          <w:lock w:val="sdtLocked"/>
                          <w:richText/>
                        </w:sdtPr>
                        <w:sdtContent>
                          <w:r>
                            <w:rPr>
                              <w:color w:val="000000"/>
                              <w:szCs w:val="24"/>
                              <w:lang w:eastAsia="lt-LT"/>
                            </w:rPr>
                            <w:t>51.1</w:t>
                          </w:r>
                        </w:sdtContent>
                      </w:sdt>
                      <w:r>
                        <w:rPr>
                          <w:color w:val="000000"/>
                          <w:szCs w:val="24"/>
                          <w:lang w:eastAsia="lt-LT"/>
                        </w:rPr>
                        <w:t>. atitinkamo įrenginio geografinės padėties ir vietos aplinkos sąlygų arba</w:t>
                      </w:r>
                    </w:p>
                  </w:sdtContent>
                </w:sdt>
                <w:sdt>
                  <w:sdtPr>
                    <w:alias w:val="51.2 p."/>
                    <w:tag w:val="part_626303ea4433461091267a7def5868c2"/>
                    <w:lock w:val="sdtLocked"/>
                    <w:richText/>
                  </w:sdtPr>
                  <w:sdtContent>
                    <w:p>
                      <w:pPr>
                        <w:widowControl w:val="0"/>
                        <w:shd w:val="clear" w:color="000000" w:fill="auto"/>
                        <w:ind w:firstLine="567"/>
                        <w:jc w:val="both"/>
                        <w:rPr>
                          <w:color w:val="000000"/>
                          <w:szCs w:val="24"/>
                          <w:lang w:eastAsia="lt-LT"/>
                        </w:rPr>
                      </w:pPr>
                      <w:sdt>
                        <w:sdtPr>
                          <w:alias w:val="Numeris"/>
                          <w:tag w:val="nr_626303ea4433461091267a7def5868c2"/>
                          <w:lock w:val="sdtLocked"/>
                          <w:richText/>
                        </w:sdtPr>
                        <w:sdtContent>
                          <w:r>
                            <w:rPr>
                              <w:color w:val="000000"/>
                              <w:szCs w:val="24"/>
                              <w:lang w:eastAsia="lt-LT"/>
                            </w:rPr>
                            <w:t>51.2</w:t>
                          </w:r>
                        </w:sdtContent>
                      </w:sdt>
                      <w:r>
                        <w:rPr>
                          <w:color w:val="000000"/>
                          <w:szCs w:val="24"/>
                          <w:lang w:eastAsia="lt-LT"/>
                        </w:rPr>
                        <w:t>. atitinkamo įrenginio techninių savybių.</w:t>
                      </w:r>
                    </w:p>
                  </w:sdtContent>
                </w:sdt>
              </w:sdtContent>
            </w:sdt>
            <w:sdt>
              <w:sdtPr>
                <w:alias w:val="52 p."/>
                <w:tag w:val="part_65ee0138aec047ec9edab68e073fba87"/>
                <w:lock w:val="sdtLocked"/>
                <w:richText/>
              </w:sdtPr>
              <w:sdtContent>
                <w:p>
                  <w:pPr>
                    <w:shd w:val="clear" w:color="000000" w:fill="auto"/>
                    <w:ind w:firstLine="567"/>
                    <w:jc w:val="both"/>
                    <w:rPr>
                      <w:color w:val="000000"/>
                      <w:szCs w:val="24"/>
                      <w:lang w:eastAsia="lt-LT"/>
                    </w:rPr>
                  </w:pPr>
                  <w:sdt>
                    <w:sdtPr>
                      <w:alias w:val="Numeris"/>
                      <w:tag w:val="nr_65ee0138aec047ec9edab68e073fba87"/>
                      <w:lock w:val="sdtLocked"/>
                      <w:richText/>
                    </w:sdtPr>
                    <w:sdtContent>
                      <w:r>
                        <w:rPr>
                          <w:color w:val="000000"/>
                          <w:szCs w:val="24"/>
                          <w:lang w:eastAsia="lt-LT"/>
                        </w:rPr>
                        <w:t>52</w:t>
                      </w:r>
                    </w:sdtContent>
                  </w:sdt>
                  <w:r>
                    <w:rPr>
                      <w:color w:val="000000"/>
                      <w:szCs w:val="24"/>
                      <w:lang w:eastAsia="lt-LT"/>
                    </w:rPr>
                    <w:t>. Jeigu taikomos Taisyklių 51 punkte nurodytos išimtys, vykdydamas kontrolę AAD turi užtikrinti, kad nebūtų pažeidžiamos aplinkos kokybės normos ir būtų pasiektas aukštas aplinkos apsaugos lygis.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b7ec10747d11e8ae2bfd1913d66d57">
                    <w:r w:rsidRPr="00532B9F">
                      <w:rPr>
                        <w:rFonts w:ascii="Arial" w:eastAsia="MS Mincho" w:hAnsi="Arial"/>
                        <w:sz w:val="20"/>
                        <w:i/>
                        <w:iCs/>
                        <w:color w:val="0000FF" w:themeColor="hyperlink"/>
                        <w:u w:val="single"/>
                      </w:rPr>
                      <w:t>D1-537</w:t>
                    </w:r>
                  </w:fldSimple>
                  <w:r>
                    <w:rPr>
                      <w:rFonts w:ascii="Arial" w:eastAsia="MS Mincho" w:hAnsi="Arial"/>
                      <w:sz w:val="20"/>
                      <w:i/>
                      <w:iCs/>
                    </w:rPr>
                    <w:t>,
2018-06-19,
paskelbta TAR 2018-06-20, i. k. 2018-10131            </w:t>
                  </w:r>
                </w:p>
                <w:p/>
              </w:sdtContent>
            </w:sdt>
            <w:sdt>
              <w:sdtPr>
                <w:alias w:val="53 p."/>
                <w:tag w:val="part_4c31e48ee25845e2bc25569a0594d780"/>
                <w:lock w:val="sdtLocked"/>
                <w:richText/>
              </w:sdtPr>
              <w:sdtContent>
                <w:p>
                  <w:pPr>
                    <w:widowControl w:val="0"/>
                    <w:shd w:val="clear" w:color="000000" w:fill="auto"/>
                    <w:ind w:firstLine="567"/>
                    <w:jc w:val="both"/>
                    <w:rPr>
                      <w:color w:val="000000"/>
                      <w:szCs w:val="24"/>
                      <w:lang w:eastAsia="lt-LT"/>
                    </w:rPr>
                  </w:pPr>
                  <w:sdt>
                    <w:sdtPr>
                      <w:alias w:val="Numeris"/>
                      <w:tag w:val="nr_4c31e48ee25845e2bc25569a0594d780"/>
                      <w:lock w:val="sdtLocked"/>
                      <w:richText/>
                    </w:sdtPr>
                    <w:sdtContent>
                      <w:r>
                        <w:rPr>
                          <w:color w:val="000000"/>
                          <w:szCs w:val="24"/>
                          <w:lang w:eastAsia="lt-LT"/>
                        </w:rPr>
                        <w:t>53</w:t>
                      </w:r>
                    </w:sdtContent>
                  </w:sdt>
                  <w:r>
                    <w:rPr>
                      <w:color w:val="000000"/>
                      <w:szCs w:val="24"/>
                      <w:lang w:eastAsia="lt-LT"/>
                    </w:rPr>
                    <w:t>. Jeigu leidimo sąlygoms nustatyti taikoma išimtis pagal Taisyklių 51 punktą, AAA leidimo priede įrašo išimties taikymo motyvus, įskaitant 51 punkte nurodyto vertinimo rezultatus ir nustatytų leidimo sąlygų pagrindimą.</w:t>
                  </w:r>
                </w:p>
              </w:sdtContent>
            </w:sdt>
            <w:sdt>
              <w:sdtPr>
                <w:alias w:val="54 p."/>
                <w:tag w:val="part_bee899db9c804b2cb0bd11fa34df8212"/>
                <w:lock w:val="sdtLocked"/>
                <w:richText/>
              </w:sdtPr>
              <w:sdtContent>
                <w:p>
                  <w:pPr>
                    <w:widowControl w:val="0"/>
                    <w:shd w:val="clear" w:color="000000" w:fill="auto"/>
                    <w:ind w:firstLine="567"/>
                    <w:jc w:val="both"/>
                    <w:rPr>
                      <w:color w:val="000000"/>
                      <w:szCs w:val="24"/>
                      <w:lang w:eastAsia="lt-LT"/>
                    </w:rPr>
                  </w:pPr>
                  <w:sdt>
                    <w:sdtPr>
                      <w:alias w:val="Numeris"/>
                      <w:tag w:val="nr_bee899db9c804b2cb0bd11fa34df8212"/>
                      <w:lock w:val="sdtLocked"/>
                      <w:richText/>
                    </w:sdtPr>
                    <w:sdtContent>
                      <w:r>
                        <w:rPr>
                          <w:color w:val="000000"/>
                          <w:szCs w:val="24"/>
                          <w:lang w:eastAsia="lt-LT"/>
                        </w:rPr>
                        <w:t>54</w:t>
                      </w:r>
                    </w:sdtContent>
                  </w:sdt>
                  <w:r>
                    <w:rPr>
                      <w:color w:val="000000"/>
                      <w:szCs w:val="24"/>
                      <w:lang w:eastAsia="lt-LT"/>
                    </w:rPr>
                    <w:t>. Kai išmetamųjų teršalų ribinės vertės nustatomos pagal 51 punktą, jos neturi viršyti Taisyklių 6.1, 6.2, 6.3 ir 6.5 punktuose išvardintuose teisės aktuose nustatytų išmetamųjų teršalų ribinių verčių.</w:t>
                  </w:r>
                </w:p>
              </w:sdtContent>
            </w:sdt>
            <w:sdt>
              <w:sdtPr>
                <w:alias w:val="55 p."/>
                <w:tag w:val="part_9e98ce9420c345de909c7a479ec37789"/>
                <w:lock w:val="sdtLocked"/>
                <w:richText/>
              </w:sdtPr>
              <w:sdtContent>
                <w:p>
                  <w:pPr>
                    <w:widowControl w:val="0"/>
                    <w:shd w:val="clear" w:color="000000" w:fill="auto"/>
                    <w:ind w:firstLine="567"/>
                    <w:jc w:val="both"/>
                    <w:rPr>
                      <w:color w:val="000000"/>
                      <w:szCs w:val="24"/>
                      <w:lang w:eastAsia="lt-LT"/>
                    </w:rPr>
                  </w:pPr>
                  <w:sdt>
                    <w:sdtPr>
                      <w:alias w:val="Numeris"/>
                      <w:tag w:val="nr_9e98ce9420c345de909c7a479ec37789"/>
                      <w:lock w:val="sdtLocked"/>
                      <w:richText/>
                    </w:sdtPr>
                    <w:sdtContent>
                      <w:r>
                        <w:rPr>
                          <w:color w:val="000000"/>
                          <w:szCs w:val="24"/>
                          <w:lang w:eastAsia="lt-LT"/>
                        </w:rPr>
                        <w:t>55</w:t>
                      </w:r>
                    </w:sdtContent>
                  </w:sdt>
                  <w:r>
                    <w:rPr>
                      <w:color w:val="000000"/>
                      <w:szCs w:val="24"/>
                      <w:lang w:eastAsia="lt-LT"/>
                    </w:rPr>
                    <w:t>. Jeigu aplinkos kokybės normos nereikalauja griežtesnių sąlygų nei tos, kurios įvykdomos taikant GPGB, išmetamųjų teršalų ribinės vertės ir lygiaverčiai parametrai bei techninės priemonės, nurodytos Taisyklių 59 ir 65 punktuose, grindžiami GPGB nenustatant kokio nors vieno būdo ar konkrečios technologijos.</w:t>
                  </w:r>
                </w:p>
              </w:sdtContent>
            </w:sdt>
            <w:sdt>
              <w:sdtPr>
                <w:alias w:val="56 p."/>
                <w:tag w:val="part_2d08d00b7c794058be0ec5c7f7d35f80"/>
                <w:lock w:val="sdtLocked"/>
                <w:richText/>
              </w:sdtPr>
              <w:sdtContent>
                <w:p>
                  <w:pPr>
                    <w:widowControl w:val="0"/>
                    <w:shd w:val="clear" w:color="000000" w:fill="auto"/>
                    <w:ind w:firstLine="567"/>
                    <w:jc w:val="both"/>
                    <w:rPr>
                      <w:color w:val="000000"/>
                      <w:szCs w:val="24"/>
                      <w:lang w:eastAsia="lt-LT"/>
                    </w:rPr>
                  </w:pPr>
                  <w:sdt>
                    <w:sdtPr>
                      <w:alias w:val="Numeris"/>
                      <w:tag w:val="nr_2d08d00b7c794058be0ec5c7f7d35f80"/>
                      <w:lock w:val="sdtLocked"/>
                      <w:richText/>
                    </w:sdtPr>
                    <w:sdtContent>
                      <w:r>
                        <w:rPr>
                          <w:color w:val="000000"/>
                          <w:szCs w:val="24"/>
                          <w:lang w:eastAsia="lt-LT"/>
                        </w:rPr>
                        <w:t>56</w:t>
                      </w:r>
                    </w:sdtContent>
                  </w:sdt>
                  <w:r>
                    <w:rPr>
                      <w:color w:val="000000"/>
                      <w:szCs w:val="24"/>
                      <w:lang w:eastAsia="lt-LT"/>
                    </w:rPr>
                    <w:t>. Nustatant atitinkamo įrenginio netiesiogiai išleidžiamų į vandenį teršalų ribines vertes, gali būti atsižvelgiama į nuotekų valymo įrenginių efektyvumą, jeigu užtikrinamas vienodas aplinkos apsaugos lygis ir jeigu tai nesukelia didesnės aplinkos taršos.</w:t>
                  </w:r>
                </w:p>
              </w:sdtContent>
            </w:sdt>
            <w:sdt>
              <w:sdtPr>
                <w:alias w:val="57 p."/>
                <w:tag w:val="part_da33a6d8b0ae4246888fb292bfc6e2e8"/>
                <w:lock w:val="sdtLocked"/>
                <w:richText/>
              </w:sdtPr>
              <w:sdtContent>
                <w:p>
                  <w:pPr>
                    <w:ind w:firstLine="567"/>
                    <w:jc w:val="both"/>
                    <w:rPr>
                      <w:color w:val="000000"/>
                      <w:szCs w:val="24"/>
                      <w:lang w:eastAsia="lt-LT"/>
                    </w:rPr>
                  </w:pPr>
                  <w:sdt>
                    <w:sdtPr>
                      <w:alias w:val="Numeris"/>
                      <w:tag w:val="nr_da33a6d8b0ae4246888fb292bfc6e2e8"/>
                      <w:lock w:val="sdtLocked"/>
                      <w:richText/>
                    </w:sdtPr>
                    <w:sdtContent>
                      <w:r>
                        <w:rPr>
                          <w:color w:val="000000"/>
                          <w:szCs w:val="24"/>
                          <w:lang w:eastAsia="lt-LT"/>
                        </w:rPr>
                        <w:t>57</w:t>
                      </w:r>
                    </w:sdtContent>
                  </w:sdt>
                  <w:r>
                    <w:rPr>
                      <w:color w:val="000000"/>
                      <w:szCs w:val="24"/>
                      <w:lang w:eastAsia="lt-LT"/>
                    </w:rPr>
                    <w:t>. Išmetamųjų / išleidžiamų į gamtinę aplinką teršalų ribinės vertės nustatomos toje vietoje, kurioje teršalai išmetami / išleidžiami iš įrenginio; į jų sklaidą (koncentraciją) iki išmetimo / išleidimo į gamtinę aplinką vietos neatsižvelgiama, t. y. nenustatomi reikalavimai teršalų koncentracijos dydžiui iki tų teršalų išmetimo / išleidimo į gamtinę aplinką vietos.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58 p."/>
                <w:tag w:val="part_cabb075ac39f47888d89881b69bd24fd"/>
                <w:lock w:val="sdtLocked"/>
                <w:richText/>
              </w:sdtPr>
              <w:sdtContent>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cabb075ac39f47888d89881b69bd24fd"/>
                      <w:lock w:val="sdtLocked"/>
                      <w:richText/>
                    </w:sdtPr>
                    <w:sdtContent>
                      <w:r>
                        <w:rPr>
                          <w:szCs w:val="24"/>
                          <w:lang w:eastAsia="lt-LT"/>
                        </w:rPr>
                        <w:t>58</w:t>
                      </w:r>
                    </w:sdtContent>
                  </w:sdt>
                  <w:r>
                    <w:rPr>
                      <w:szCs w:val="24"/>
                      <w:lang w:eastAsia="lt-LT"/>
                    </w:rPr>
                    <w:t>. Bandant ir diegiant naujus gamybos būdus, AAA turi teisę, veiklos vykdytojui paprašius ir pateikus įrodymus, kad Taisyklių 49 ir 55 punktuose nustatytų reikalavimų laikymasis sąlygotų neproporcingai dideles, palyginti su aplinkai teikiama nauda, sąnaudas, suteikti laikinas išimtis, leidžiančias netaikyti Taisyklių 49 ir 55 punktuose nurodytų reikalavimų ir nesilaikyti Taisyklių 17.2 papunktyje nurodytų principų, laikotarpiui, neviršijančiam devynių mėnesių, jei po nurodyto laikotarpio gamybos būdas nutraukiamas arba vykdant veiklą išmetamieji teršalai neviršija išmetamųjų teršalų kiekio, nustatyto GPGB.</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58dcda07c7011e4abe983995522ea30">
                    <w:r w:rsidRPr="00532B9F">
                      <w:rPr>
                        <w:rFonts w:ascii="Arial" w:eastAsia="MS Mincho" w:hAnsi="Arial"/>
                        <w:sz w:val="20"/>
                        <w:i/>
                        <w:iCs/>
                        <w:color w:val="0000FF" w:themeColor="hyperlink"/>
                        <w:u w:val="single"/>
                      </w:rPr>
                      <w:t>D1-983</w:t>
                    </w:r>
                  </w:fldSimple>
                  <w:r>
                    <w:rPr>
                      <w:rFonts w:ascii="Arial" w:eastAsia="MS Mincho" w:hAnsi="Arial"/>
                      <w:sz w:val="20"/>
                      <w:i/>
                      <w:iCs/>
                    </w:rPr>
                    <w:t>,
2014-12-04,
paskelbta TAR 2014-12-05, i. k. 2014-19056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sdtContent>
            </w:sdt>
            <w:sdt>
              <w:sdtPr>
                <w:alias w:val="59 p."/>
                <w:tag w:val="part_fa8eb407e02e4a8c9f73b65579a846f4"/>
                <w:lock w:val="sdtLocked"/>
                <w:richText/>
              </w:sdtPr>
              <w:sdtContent>
                <w:p>
                  <w:pPr>
                    <w:widowControl w:val="0"/>
                    <w:shd w:val="clear" w:color="000000" w:fill="auto"/>
                    <w:ind w:firstLine="567"/>
                    <w:jc w:val="both"/>
                    <w:rPr>
                      <w:color w:val="000000"/>
                      <w:szCs w:val="24"/>
                      <w:lang w:eastAsia="lt-LT"/>
                    </w:rPr>
                  </w:pPr>
                  <w:sdt>
                    <w:sdtPr>
                      <w:alias w:val="Numeris"/>
                      <w:tag w:val="nr_fa8eb407e02e4a8c9f73b65579a846f4"/>
                      <w:lock w:val="sdtLocked"/>
                      <w:richText/>
                    </w:sdtPr>
                    <w:sdtContent>
                      <w:r>
                        <w:rPr>
                          <w:color w:val="000000"/>
                          <w:szCs w:val="24"/>
                          <w:lang w:eastAsia="lt-LT"/>
                        </w:rPr>
                        <w:t>59</w:t>
                      </w:r>
                    </w:sdtContent>
                  </w:sdt>
                  <w:r>
                    <w:rPr>
                      <w:color w:val="000000"/>
                      <w:szCs w:val="24"/>
                      <w:lang w:eastAsia="lt-LT"/>
                    </w:rPr>
                    <w:t>. Išmetamųjų / išleidžiamų teršalų ribinės vertės, nustatytos atsižvelgiant į teršalų savybes ir tikimybę, kad jie iš vienos terpės pateks į kitą, gali būti papildytos arba pakeičiamos lygiaverčiais parametrais arba techninėmis priemonėmis, užtikrinant tokį patį aplinkos apsaugos lygį.</w:t>
                  </w:r>
                </w:p>
              </w:sdtContent>
            </w:sdt>
            <w:sdt>
              <w:sdtPr>
                <w:alias w:val="60 p."/>
                <w:tag w:val="part_972762ee91c848688af26576b15efc95"/>
                <w:lock w:val="sdtLocked"/>
                <w:richText/>
              </w:sdtPr>
              <w:sdtContent>
                <w:p>
                  <w:pPr>
                    <w:widowControl w:val="0"/>
                    <w:shd w:val="clear" w:color="000000" w:fill="auto"/>
                    <w:ind w:firstLine="567"/>
                    <w:jc w:val="both"/>
                    <w:rPr>
                      <w:color w:val="000000"/>
                      <w:szCs w:val="24"/>
                      <w:lang w:eastAsia="lt-LT"/>
                    </w:rPr>
                  </w:pPr>
                  <w:sdt>
                    <w:sdtPr>
                      <w:alias w:val="Numeris"/>
                      <w:tag w:val="nr_972762ee91c848688af26576b15efc95"/>
                      <w:lock w:val="sdtLocked"/>
                      <w:richText/>
                    </w:sdtPr>
                    <w:sdtContent>
                      <w:r>
                        <w:rPr>
                          <w:color w:val="000000"/>
                          <w:szCs w:val="24"/>
                          <w:lang w:eastAsia="lt-LT"/>
                        </w:rPr>
                        <w:t>60</w:t>
                      </w:r>
                    </w:sdtContent>
                  </w:sdt>
                  <w:r>
                    <w:rPr>
                      <w:color w:val="000000"/>
                      <w:szCs w:val="24"/>
                      <w:lang w:eastAsia="lt-LT"/>
                    </w:rPr>
                    <w:t>. Kai AAA nustato leidimo sąlygas remdamasi GPGB, kuris neaprašytas atitinkamose GPGB išvadose, ji turi užtikrinti, kad:</w:t>
                  </w:r>
                </w:p>
                <w:sdt>
                  <w:sdtPr>
                    <w:alias w:val="60.1 p."/>
                    <w:tag w:val="part_c9d9f427996f4bbbabf85b198ee0c9d7"/>
                    <w:lock w:val="sdtLocked"/>
                    <w:richText/>
                  </w:sdtPr>
                  <w:sdtContent>
                    <w:p>
                      <w:pPr>
                        <w:widowControl w:val="0"/>
                        <w:shd w:val="clear" w:color="000000" w:fill="auto"/>
                        <w:ind w:firstLine="567"/>
                        <w:jc w:val="both"/>
                        <w:rPr>
                          <w:color w:val="000000"/>
                          <w:szCs w:val="24"/>
                          <w:lang w:eastAsia="lt-LT"/>
                        </w:rPr>
                      </w:pPr>
                      <w:sdt>
                        <w:sdtPr>
                          <w:alias w:val="Numeris"/>
                          <w:tag w:val="nr_c9d9f427996f4bbbabf85b198ee0c9d7"/>
                          <w:lock w:val="sdtLocked"/>
                          <w:richText/>
                        </w:sdtPr>
                        <w:sdtContent>
                          <w:r>
                            <w:rPr>
                              <w:color w:val="000000"/>
                              <w:szCs w:val="24"/>
                              <w:lang w:eastAsia="lt-LT"/>
                            </w:rPr>
                            <w:t>60.1</w:t>
                          </w:r>
                        </w:sdtContent>
                      </w:sdt>
                      <w:r>
                        <w:rPr>
                          <w:color w:val="000000"/>
                          <w:szCs w:val="24"/>
                          <w:lang w:eastAsia="lt-LT"/>
                        </w:rPr>
                        <w:t>. tas gamybos būdas būtų nustatytas atsižvelgiant į Taisyklių 2 priede išdėstytus kriterijus;</w:t>
                      </w:r>
                    </w:p>
                  </w:sdtContent>
                </w:sdt>
                <w:sdt>
                  <w:sdtPr>
                    <w:alias w:val="60.2 p."/>
                    <w:tag w:val="part_7bce45f4952f4500aeb78fc609bcd23f"/>
                    <w:lock w:val="sdtLocked"/>
                    <w:richText/>
                  </w:sdtPr>
                  <w:sdtContent>
                    <w:p>
                      <w:pPr>
                        <w:widowControl w:val="0"/>
                        <w:shd w:val="clear" w:color="000000" w:fill="auto"/>
                        <w:ind w:firstLine="567"/>
                        <w:jc w:val="both"/>
                        <w:rPr>
                          <w:color w:val="000000"/>
                          <w:szCs w:val="24"/>
                          <w:lang w:eastAsia="lt-LT"/>
                        </w:rPr>
                      </w:pPr>
                      <w:sdt>
                        <w:sdtPr>
                          <w:alias w:val="Numeris"/>
                          <w:tag w:val="nr_7bce45f4952f4500aeb78fc609bcd23f"/>
                          <w:lock w:val="sdtLocked"/>
                          <w:richText/>
                        </w:sdtPr>
                        <w:sdtContent>
                          <w:r>
                            <w:rPr>
                              <w:color w:val="000000"/>
                              <w:szCs w:val="24"/>
                              <w:lang w:eastAsia="lt-LT"/>
                            </w:rPr>
                            <w:t>60.2</w:t>
                          </w:r>
                        </w:sdtContent>
                      </w:sdt>
                      <w:r>
                        <w:rPr>
                          <w:color w:val="000000"/>
                          <w:szCs w:val="24"/>
                          <w:lang w:eastAsia="lt-LT"/>
                        </w:rPr>
                        <w:t>. būtų laikomasi Taisyklių 49, 51–56 ir 58 punktuose nustatytų reikalavimų.</w:t>
                      </w:r>
                    </w:p>
                  </w:sdtContent>
                </w:sdt>
              </w:sdtContent>
            </w:sdt>
            <w:sdt>
              <w:sdtPr>
                <w:alias w:val="61 p."/>
                <w:tag w:val="part_8ee77e16011442649af3f88d54d5e900"/>
                <w:lock w:val="sdtLocked"/>
                <w:richText/>
              </w:sdtPr>
              <w:sdtContent>
                <w:p>
                  <w:pPr>
                    <w:widowControl w:val="0"/>
                    <w:shd w:val="clear" w:color="000000" w:fill="auto"/>
                    <w:ind w:firstLine="567"/>
                    <w:jc w:val="both"/>
                    <w:rPr>
                      <w:color w:val="000000"/>
                      <w:szCs w:val="24"/>
                      <w:lang w:eastAsia="lt-LT"/>
                    </w:rPr>
                  </w:pPr>
                  <w:sdt>
                    <w:sdtPr>
                      <w:alias w:val="Numeris"/>
                      <w:tag w:val="nr_8ee77e16011442649af3f88d54d5e900"/>
                      <w:lock w:val="sdtLocked"/>
                      <w:richText/>
                    </w:sdtPr>
                    <w:sdtContent>
                      <w:r>
                        <w:rPr>
                          <w:color w:val="000000"/>
                          <w:szCs w:val="24"/>
                          <w:lang w:eastAsia="lt-LT"/>
                        </w:rPr>
                        <w:t>61</w:t>
                      </w:r>
                    </w:sdtContent>
                  </w:sdt>
                  <w:r>
                    <w:rPr>
                      <w:color w:val="000000"/>
                      <w:szCs w:val="24"/>
                      <w:lang w:eastAsia="lt-LT"/>
                    </w:rPr>
                    <w:t>. Kai GPGB išvadose nenurodyti su GPGB siejami teršalų išmetimo / išleidimo lygiai, pagal 60.1 punkto reikalavimus AAA parenka tokį gamybos būdą, kuris užtikrintų aplinkos apsaugos lygį, prilygstantį GPGB išvadose aprašytam GPGB lygiui.</w:t>
                  </w:r>
                </w:p>
              </w:sdtContent>
            </w:sdt>
            <w:sdt>
              <w:sdtPr>
                <w:alias w:val="62 p."/>
                <w:tag w:val="part_4a3fd517ddad4b85a2515f379fe3c59f"/>
                <w:lock w:val="sdtLocked"/>
                <w:richText/>
              </w:sdtPr>
              <w:sdtContent>
                <w:p>
                  <w:pPr>
                    <w:widowControl w:val="0"/>
                    <w:shd w:val="clear" w:color="000000" w:fill="auto"/>
                    <w:ind w:firstLine="567"/>
                    <w:jc w:val="both"/>
                    <w:rPr>
                      <w:color w:val="000000"/>
                      <w:szCs w:val="24"/>
                      <w:lang w:eastAsia="lt-LT"/>
                    </w:rPr>
                  </w:pPr>
                  <w:sdt>
                    <w:sdtPr>
                      <w:alias w:val="Numeris"/>
                      <w:tag w:val="nr_4a3fd517ddad4b85a2515f379fe3c59f"/>
                      <w:lock w:val="sdtLocked"/>
                      <w:richText/>
                    </w:sdtPr>
                    <w:sdtContent>
                      <w:r>
                        <w:rPr>
                          <w:color w:val="000000"/>
                          <w:szCs w:val="24"/>
                          <w:lang w:eastAsia="lt-LT"/>
                        </w:rPr>
                        <w:t>62</w:t>
                      </w:r>
                    </w:sdtContent>
                  </w:sdt>
                  <w:r>
                    <w:rPr>
                      <w:color w:val="000000"/>
                      <w:szCs w:val="24"/>
                      <w:lang w:eastAsia="lt-LT"/>
                    </w:rPr>
                    <w:t>. Leidimą sudaro:</w:t>
                  </w:r>
                </w:p>
                <w:sdt>
                  <w:sdtPr>
                    <w:alias w:val="62.1 p."/>
                    <w:tag w:val="part_712e58cb7a9242d696e73d7990d1de64"/>
                    <w:lock w:val="sdtLocked"/>
                    <w:richText/>
                  </w:sdtPr>
                  <w:sdtContent>
                    <w:p>
                      <w:pPr>
                        <w:widowControl w:val="0"/>
                        <w:shd w:val="clear" w:color="000000" w:fill="auto"/>
                        <w:ind w:firstLine="567"/>
                        <w:jc w:val="both"/>
                        <w:rPr>
                          <w:color w:val="000000"/>
                          <w:szCs w:val="24"/>
                          <w:lang w:eastAsia="lt-LT"/>
                        </w:rPr>
                      </w:pPr>
                      <w:sdt>
                        <w:sdtPr>
                          <w:alias w:val="Numeris"/>
                          <w:tag w:val="nr_712e58cb7a9242d696e73d7990d1de64"/>
                          <w:lock w:val="sdtLocked"/>
                          <w:richText/>
                        </w:sdtPr>
                        <w:sdtContent>
                          <w:r>
                            <w:rPr>
                              <w:color w:val="000000"/>
                              <w:szCs w:val="24"/>
                              <w:lang w:eastAsia="lt-LT"/>
                            </w:rPr>
                            <w:t>62.1</w:t>
                          </w:r>
                        </w:sdtContent>
                      </w:sdt>
                      <w:r>
                        <w:rPr>
                          <w:color w:val="000000"/>
                          <w:szCs w:val="24"/>
                          <w:lang w:eastAsia="lt-LT"/>
                        </w:rPr>
                        <w:t>. titulinis lapas;</w:t>
                      </w:r>
                    </w:p>
                  </w:sdtContent>
                </w:sdt>
                <w:sdt>
                  <w:sdtPr>
                    <w:alias w:val="62.2 p."/>
                    <w:tag w:val="part_fa2cc9e9043642af9fca2cf2ddb16801"/>
                    <w:lock w:val="sdtLocked"/>
                    <w:richText/>
                  </w:sdtPr>
                  <w:sdtContent>
                    <w:p>
                      <w:pPr>
                        <w:widowControl w:val="0"/>
                        <w:shd w:val="clear" w:color="000000" w:fill="auto"/>
                        <w:ind w:firstLine="567"/>
                        <w:jc w:val="both"/>
                        <w:rPr>
                          <w:color w:val="000000"/>
                          <w:szCs w:val="24"/>
                          <w:lang w:eastAsia="lt-LT"/>
                        </w:rPr>
                      </w:pPr>
                      <w:sdt>
                        <w:sdtPr>
                          <w:alias w:val="Numeris"/>
                          <w:tag w:val="nr_fa2cc9e9043642af9fca2cf2ddb16801"/>
                          <w:lock w:val="sdtLocked"/>
                          <w:richText/>
                        </w:sdtPr>
                        <w:sdtContent>
                          <w:r>
                            <w:rPr>
                              <w:color w:val="000000"/>
                              <w:szCs w:val="24"/>
                              <w:lang w:eastAsia="lt-LT"/>
                            </w:rPr>
                            <w:t>62.2</w:t>
                          </w:r>
                        </w:sdtContent>
                      </w:sdt>
                      <w:r>
                        <w:rPr>
                          <w:color w:val="000000"/>
                          <w:szCs w:val="24"/>
                          <w:lang w:eastAsia="lt-LT"/>
                        </w:rPr>
                        <w:t>. bendroji dalis;</w:t>
                      </w:r>
                    </w:p>
                  </w:sdtContent>
                </w:sdt>
                <w:sdt>
                  <w:sdtPr>
                    <w:alias w:val="62.3 p."/>
                    <w:tag w:val="part_8cf7ae5a35984556864ee7d826b279e1"/>
                    <w:lock w:val="sdtLocked"/>
                    <w:richText/>
                  </w:sdtPr>
                  <w:sdtContent>
                    <w:p>
                      <w:pPr>
                        <w:widowControl w:val="0"/>
                        <w:shd w:val="clear" w:color="000000" w:fill="auto"/>
                        <w:ind w:firstLine="567"/>
                        <w:jc w:val="both"/>
                        <w:rPr>
                          <w:color w:val="000000"/>
                          <w:szCs w:val="24"/>
                          <w:lang w:eastAsia="lt-LT"/>
                        </w:rPr>
                      </w:pPr>
                      <w:sdt>
                        <w:sdtPr>
                          <w:alias w:val="Numeris"/>
                          <w:tag w:val="nr_8cf7ae5a35984556864ee7d826b279e1"/>
                          <w:lock w:val="sdtLocked"/>
                          <w:richText/>
                        </w:sdtPr>
                        <w:sdtContent>
                          <w:r>
                            <w:rPr>
                              <w:color w:val="000000"/>
                              <w:szCs w:val="24"/>
                              <w:lang w:eastAsia="lt-LT"/>
                            </w:rPr>
                            <w:t>62.3</w:t>
                          </w:r>
                        </w:sdtContent>
                      </w:sdt>
                      <w:r>
                        <w:rPr>
                          <w:color w:val="000000"/>
                          <w:szCs w:val="24"/>
                          <w:lang w:eastAsia="lt-LT"/>
                        </w:rPr>
                        <w:t>. leidimo sąlygos;</w:t>
                      </w:r>
                    </w:p>
                  </w:sdtContent>
                </w:sdt>
                <w:sdt>
                  <w:sdtPr>
                    <w:alias w:val="62.4 p."/>
                    <w:tag w:val="part_a2daca8ca9f94d71a74c597add1d985d"/>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a2daca8ca9f94d71a74c597add1d985d"/>
                          <w:lock w:val="sdtLocked"/>
                          <w:richText/>
                        </w:sdtPr>
                        <w:sdtContent>
                          <w:r>
                            <w:rPr>
                              <w:szCs w:val="24"/>
                              <w:lang w:eastAsia="lt-LT"/>
                            </w:rPr>
                            <w:t>62.4</w:t>
                          </w:r>
                        </w:sdtContent>
                      </w:sdt>
                      <w:r>
                        <w:rPr>
                          <w:szCs w:val="24"/>
                          <w:lang w:eastAsia="lt-LT"/>
                        </w:rPr>
                        <w:t>. leidimo priedai (kuriuose gali būti nustatytos leidimo sąlygos, jei taip nurodyta Taisyklių 68</w:t>
                      </w:r>
                      <w:r>
                        <w:rPr>
                          <w:szCs w:val="24"/>
                          <w:vertAlign w:val="superscript"/>
                          <w:lang w:eastAsia="lt-LT"/>
                        </w:rPr>
                        <w:t>1</w:t>
                      </w:r>
                      <w:r>
                        <w:rPr>
                          <w:szCs w:val="24"/>
                          <w:lang w:eastAsia="lt-LT"/>
                        </w:rPr>
                        <w:t xml:space="preserve"> punkte).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Content>
            </w:sdt>
            <w:sdt>
              <w:sdtPr>
                <w:alias w:val="63 p."/>
                <w:tag w:val="part_e1b88edf71a449ce9a066e453dc8f435"/>
                <w:lock w:val="sdtLocked"/>
                <w:richText/>
              </w:sdtPr>
              <w:sdtContent>
                <w:p>
                  <w:pPr>
                    <w:widowControl w:val="0"/>
                    <w:ind w:firstLine="567"/>
                    <w:jc w:val="both"/>
                    <w:rPr>
                      <w:color w:val="000000"/>
                      <w:szCs w:val="24"/>
                      <w:lang w:eastAsia="lt-LT"/>
                    </w:rPr>
                  </w:pPr>
                  <w:sdt>
                    <w:sdtPr>
                      <w:alias w:val="Numeris"/>
                      <w:tag w:val="nr_e1b88edf71a449ce9a066e453dc8f435"/>
                      <w:lock w:val="sdtLocked"/>
                      <w:richText/>
                    </w:sdtPr>
                    <w:sdtContent>
                      <w:r>
                        <w:rPr>
                          <w:color w:val="000000"/>
                          <w:szCs w:val="24"/>
                          <w:lang w:eastAsia="lt-LT"/>
                        </w:rPr>
                        <w:t>63</w:t>
                      </w:r>
                    </w:sdtContent>
                  </w:sdt>
                  <w:r>
                    <w:rPr>
                      <w:color w:val="000000"/>
                      <w:szCs w:val="24"/>
                      <w:lang w:eastAsia="lt-LT"/>
                    </w:rPr>
                    <w:t>. Leidimo tituliniame lape rašoma: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sdt>
                  <w:sdtPr>
                    <w:alias w:val="63.1 p."/>
                    <w:tag w:val="part_267986888ba343c39a35e409db2af78c"/>
                    <w:lock w:val="sdtLocked"/>
                    <w:richText/>
                  </w:sdtPr>
                  <w:sdtContent>
                    <w:p>
                      <w:pPr>
                        <w:widowControl w:val="0"/>
                        <w:ind w:firstLine="567"/>
                        <w:jc w:val="both"/>
                        <w:rPr>
                          <w:color w:val="000000"/>
                          <w:szCs w:val="24"/>
                          <w:lang w:eastAsia="lt-LT"/>
                        </w:rPr>
                      </w:pPr>
                      <w:sdt>
                        <w:sdtPr>
                          <w:alias w:val="Numeris"/>
                          <w:tag w:val="nr_267986888ba343c39a35e409db2af78c"/>
                          <w:lock w:val="sdtLocked"/>
                          <w:richText/>
                        </w:sdtPr>
                        <w:sdtContent>
                          <w:r>
                            <w:rPr>
                              <w:color w:val="000000"/>
                              <w:szCs w:val="24"/>
                              <w:lang w:eastAsia="lt-LT"/>
                            </w:rPr>
                            <w:t>63.1</w:t>
                          </w:r>
                        </w:sdtContent>
                      </w:sdt>
                      <w:r>
                        <w:rPr>
                          <w:color w:val="000000"/>
                          <w:szCs w:val="24"/>
                          <w:lang w:eastAsia="lt-LT"/>
                        </w:rPr>
                        <w:t xml:space="preserve">. veiklos vykdytojo pavadinimas, juridinio asmens kodas, buveinės adresas, ūkinės veiklos objekto pavadinimas, adresas, kontaktai, kontaktinio asmens duomenys, </w:t>
                      </w:r>
                      <w:r>
                        <w:rPr>
                          <w:lang w:eastAsia="lt-LT"/>
                        </w:rPr>
                        <w:t>kita Taisyklių 5 priede pateiktame leidimo titulinio lapo pavyzdyje nurodyta informacija</w:t>
                      </w:r>
                      <w:r>
                        <w:rPr>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63.2 p."/>
                    <w:tag w:val="part_25685e9976674649b6738e834ab57d3d"/>
                    <w:lock w:val="sdtLocked"/>
                    <w:richText/>
                  </w:sdtPr>
                  <w:sdtContent>
                    <w:p>
                      <w:pPr>
                        <w:widowControl w:val="0"/>
                        <w:ind w:firstLine="567"/>
                        <w:jc w:val="both"/>
                        <w:rPr>
                          <w:color w:val="000000"/>
                          <w:szCs w:val="24"/>
                          <w:lang w:eastAsia="lt-LT"/>
                        </w:rPr>
                      </w:pPr>
                      <w:sdt>
                        <w:sdtPr>
                          <w:alias w:val="Numeris"/>
                          <w:tag w:val="nr_25685e9976674649b6738e834ab57d3d"/>
                          <w:lock w:val="sdtLocked"/>
                          <w:richText/>
                        </w:sdtPr>
                        <w:sdtContent>
                          <w:r>
                            <w:rPr>
                              <w:color w:val="000000"/>
                              <w:lang w:eastAsia="lt-LT"/>
                            </w:rPr>
                            <w:t>63.2</w:t>
                          </w:r>
                        </w:sdtContent>
                      </w:sdt>
                      <w:r>
                        <w:rPr>
                          <w:color w:val="000000"/>
                          <w:lang w:eastAsia="lt-LT"/>
                        </w:rPr>
                        <w:t>. leidimo išdavimo ir pakeitimo (jei leidimas keičiamas) data;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63.3 p."/>
                    <w:tag w:val="part_0f57f43e10534aac86751bd579afd707"/>
                    <w:lock w:val="sdtLocked"/>
                    <w:richText/>
                  </w:sdtPr>
                  <w:sdtContent>
                    <w:p>
                      <w:pPr>
                        <w:widowControl w:val="0"/>
                        <w:shd w:val="clear" w:color="000000" w:fill="auto"/>
                        <w:ind w:firstLine="567"/>
                        <w:jc w:val="both"/>
                        <w:rPr>
                          <w:color w:val="000000"/>
                          <w:szCs w:val="24"/>
                          <w:lang w:eastAsia="lt-LT"/>
                        </w:rPr>
                      </w:pPr>
                      <w:sdt>
                        <w:sdtPr>
                          <w:alias w:val="Numeris"/>
                          <w:tag w:val="nr_0f57f43e10534aac86751bd579afd707"/>
                          <w:lock w:val="sdtLocked"/>
                          <w:richText/>
                        </w:sdtPr>
                        <w:sdtContent>
                          <w:r>
                            <w:rPr>
                              <w:color w:val="000000"/>
                              <w:szCs w:val="24"/>
                              <w:lang w:eastAsia="lt-LT"/>
                            </w:rPr>
                            <w:t>63.3</w:t>
                          </w:r>
                        </w:sdtContent>
                      </w:sdt>
                      <w:r>
                        <w:rPr>
                          <w:color w:val="000000"/>
                          <w:szCs w:val="24"/>
                          <w:lang w:eastAsia="lt-LT"/>
                        </w:rPr>
                        <w:t>. paraišką suderinusios institucijos pavadinimas, suderinimo data.</w:t>
                      </w:r>
                    </w:p>
                  </w:sdtContent>
                </w:sdt>
              </w:sdtContent>
            </w:sdt>
            <w:sdt>
              <w:sdtPr>
                <w:alias w:val="64 p."/>
                <w:tag w:val="part_2e42e1f14ac342da98178bcc882582f0"/>
                <w:lock w:val="sdtLocked"/>
                <w:richText/>
              </w:sdtPr>
              <w:sdtContent>
                <w:p>
                  <w:pPr>
                    <w:widowControl w:val="0"/>
                    <w:shd w:val="clear" w:color="000000" w:fill="auto"/>
                    <w:ind w:firstLine="567"/>
                    <w:jc w:val="both"/>
                    <w:rPr>
                      <w:color w:val="000000"/>
                      <w:szCs w:val="24"/>
                      <w:lang w:eastAsia="lt-LT"/>
                    </w:rPr>
                  </w:pPr>
                  <w:sdt>
                    <w:sdtPr>
                      <w:alias w:val="Numeris"/>
                      <w:tag w:val="nr_2e42e1f14ac342da98178bcc882582f0"/>
                      <w:lock w:val="sdtLocked"/>
                      <w:richText/>
                    </w:sdtPr>
                    <w:sdtContent>
                      <w:r>
                        <w:rPr>
                          <w:color w:val="000000"/>
                          <w:szCs w:val="24"/>
                          <w:lang w:eastAsia="lt-LT"/>
                        </w:rPr>
                        <w:t>64</w:t>
                      </w:r>
                    </w:sdtContent>
                  </w:sdt>
                  <w:r>
                    <w:rPr>
                      <w:color w:val="000000"/>
                      <w:szCs w:val="24"/>
                      <w:lang w:eastAsia="lt-LT"/>
                    </w:rPr>
                    <w:t>. Leidimo bendrojoje dalyje nurodoma:</w:t>
                  </w:r>
                </w:p>
                <w:sdt>
                  <w:sdtPr>
                    <w:alias w:val="64.1 p."/>
                    <w:tag w:val="part_d57b3857f34b471fa2760bf3a190eaba"/>
                    <w:lock w:val="sdtLocked"/>
                    <w:richText/>
                  </w:sdtPr>
                  <w:sdtContent>
                    <w:p>
                      <w:pPr>
                        <w:widowControl w:val="0"/>
                        <w:shd w:val="clear" w:color="000000" w:fill="auto"/>
                        <w:ind w:firstLine="567"/>
                        <w:jc w:val="both"/>
                        <w:rPr>
                          <w:color w:val="000000"/>
                          <w:szCs w:val="24"/>
                          <w:lang w:eastAsia="lt-LT"/>
                        </w:rPr>
                      </w:pPr>
                      <w:sdt>
                        <w:sdtPr>
                          <w:alias w:val="Numeris"/>
                          <w:tag w:val="nr_d57b3857f34b471fa2760bf3a190eaba"/>
                          <w:lock w:val="sdtLocked"/>
                          <w:richText/>
                        </w:sdtPr>
                        <w:sdtContent>
                          <w:r>
                            <w:rPr>
                              <w:color w:val="000000"/>
                              <w:szCs w:val="24"/>
                              <w:lang w:eastAsia="lt-LT"/>
                            </w:rPr>
                            <w:t>64.1</w:t>
                          </w:r>
                        </w:sdtContent>
                      </w:sdt>
                      <w:r>
                        <w:rPr>
                          <w:color w:val="000000"/>
                          <w:szCs w:val="24"/>
                          <w:lang w:eastAsia="lt-LT"/>
                        </w:rPr>
                        <w:t>. duomenys apie įrenginį (įrenginius, jei išduodamas leidimas keliems įrenginiams):</w:t>
                      </w:r>
                    </w:p>
                    <w:sdt>
                      <w:sdtPr>
                        <w:alias w:val="64.1.1 p."/>
                        <w:tag w:val="part_58bc5f546b934e66a651d0fe16bb19a0"/>
                        <w:lock w:val="sdtLocked"/>
                        <w:richText/>
                      </w:sdtPr>
                      <w:sdtContent>
                        <w:p>
                          <w:pPr>
                            <w:widowControl w:val="0"/>
                            <w:shd w:val="clear" w:color="000000" w:fill="auto"/>
                            <w:ind w:firstLine="567"/>
                            <w:jc w:val="both"/>
                            <w:rPr>
                              <w:color w:val="000000"/>
                              <w:szCs w:val="24"/>
                              <w:lang w:eastAsia="lt-LT"/>
                            </w:rPr>
                          </w:pPr>
                          <w:sdt>
                            <w:sdtPr>
                              <w:alias w:val="Numeris"/>
                              <w:tag w:val="nr_58bc5f546b934e66a651d0fe16bb19a0"/>
                              <w:lock w:val="sdtLocked"/>
                              <w:richText/>
                            </w:sdtPr>
                            <w:sdtContent>
                              <w:r>
                                <w:rPr>
                                  <w:color w:val="000000"/>
                                  <w:szCs w:val="24"/>
                                  <w:lang w:eastAsia="lt-LT"/>
                                </w:rPr>
                                <w:t>64.1.1</w:t>
                              </w:r>
                            </w:sdtContent>
                          </w:sdt>
                          <w:r>
                            <w:rPr>
                              <w:color w:val="000000"/>
                              <w:szCs w:val="24"/>
                              <w:lang w:eastAsia="lt-LT"/>
                            </w:rPr>
                            <w:t>. ūkinės veiklos objekto (įrenginio) pavadinimas, veiklos vietos aprašymas (adresas, įrenginio veikimo vietos aprašymas, kita informacija);</w:t>
                          </w:r>
                        </w:p>
                      </w:sdtContent>
                    </w:sdt>
                    <w:sdt>
                      <w:sdtPr>
                        <w:alias w:val="64.1.2 p."/>
                        <w:tag w:val="part_64683587ab614e739f21041abfb27994"/>
                        <w:lock w:val="sdtLocked"/>
                        <w:richText/>
                      </w:sdtPr>
                      <w:sdtContent>
                        <w:p>
                          <w:pPr>
                            <w:widowControl w:val="0"/>
                            <w:shd w:val="clear" w:color="000000" w:fill="auto"/>
                            <w:ind w:firstLine="567"/>
                            <w:jc w:val="both"/>
                            <w:rPr>
                              <w:color w:val="000000"/>
                              <w:szCs w:val="24"/>
                              <w:lang w:eastAsia="lt-LT"/>
                            </w:rPr>
                          </w:pPr>
                          <w:sdt>
                            <w:sdtPr>
                              <w:alias w:val="Numeris"/>
                              <w:tag w:val="nr_64683587ab614e739f21041abfb27994"/>
                              <w:lock w:val="sdtLocked"/>
                              <w:richText/>
                            </w:sdtPr>
                            <w:sdtContent>
                              <w:r>
                                <w:rPr>
                                  <w:color w:val="000000"/>
                                  <w:szCs w:val="24"/>
                                  <w:lang w:eastAsia="lt-LT"/>
                                </w:rPr>
                                <w:t>64.1.2</w:t>
                              </w:r>
                            </w:sdtContent>
                          </w:sdt>
                          <w:r>
                            <w:rPr>
                              <w:color w:val="000000"/>
                              <w:szCs w:val="24"/>
                              <w:lang w:eastAsia="lt-LT"/>
                            </w:rPr>
                            <w:t>. konkreti kiekvieno ūkio subjekto (veiklos vykdytojo) atsakomybė pagal pateiktą deklaraciją;</w:t>
                          </w:r>
                        </w:p>
                      </w:sdtContent>
                    </w:sdt>
                  </w:sdtContent>
                </w:sdt>
                <w:sdt>
                  <w:sdtPr>
                    <w:alias w:val="64.2 p."/>
                    <w:tag w:val="part_56d40c8da1254bd69fa4d2099e6e03f7"/>
                    <w:lock w:val="sdtLocked"/>
                    <w:richText/>
                  </w:sdtPr>
                  <w:sdtContent>
                    <w:p>
                      <w:pPr>
                        <w:widowControl w:val="0"/>
                        <w:shd w:val="clear" w:color="000000" w:fill="auto"/>
                        <w:ind w:firstLine="567"/>
                        <w:jc w:val="both"/>
                        <w:rPr>
                          <w:color w:val="000000"/>
                          <w:szCs w:val="24"/>
                          <w:lang w:eastAsia="lt-LT"/>
                        </w:rPr>
                      </w:pPr>
                      <w:sdt>
                        <w:sdtPr>
                          <w:alias w:val="Numeris"/>
                          <w:tag w:val="nr_56d40c8da1254bd69fa4d2099e6e03f7"/>
                          <w:lock w:val="sdtLocked"/>
                          <w:richText/>
                        </w:sdtPr>
                        <w:sdtContent>
                          <w:r>
                            <w:rPr>
                              <w:color w:val="000000"/>
                              <w:szCs w:val="24"/>
                              <w:lang w:eastAsia="lt-LT"/>
                            </w:rPr>
                            <w:t>64.2</w:t>
                          </w:r>
                        </w:sdtContent>
                      </w:sdt>
                      <w:r>
                        <w:rPr>
                          <w:color w:val="000000"/>
                          <w:szCs w:val="24"/>
                          <w:lang w:eastAsia="lt-LT"/>
                        </w:rPr>
                        <w:t>. informacija apie kiekviename įrenginyje vykdomą ūkinę veiklą:</w:t>
                      </w:r>
                    </w:p>
                    <w:sdt>
                      <w:sdtPr>
                        <w:alias w:val="64.2.1 p."/>
                        <w:tag w:val="part_87d0e07e4219420cb5d580a6182a68d4"/>
                        <w:lock w:val="sdtLocked"/>
                        <w:richText/>
                      </w:sdtPr>
                      <w:sdtContent>
                        <w:p>
                          <w:pPr>
                            <w:widowControl w:val="0"/>
                            <w:shd w:val="clear" w:color="000000" w:fill="auto"/>
                            <w:ind w:firstLine="567"/>
                            <w:jc w:val="both"/>
                            <w:rPr>
                              <w:color w:val="000000"/>
                              <w:szCs w:val="24"/>
                              <w:lang w:eastAsia="lt-LT"/>
                            </w:rPr>
                          </w:pPr>
                          <w:sdt>
                            <w:sdtPr>
                              <w:alias w:val="Numeris"/>
                              <w:tag w:val="nr_87d0e07e4219420cb5d580a6182a68d4"/>
                              <w:lock w:val="sdtLocked"/>
                              <w:richText/>
                            </w:sdtPr>
                            <w:sdtContent>
                              <w:r>
                                <w:rPr>
                                  <w:color w:val="000000"/>
                                  <w:szCs w:val="24"/>
                                  <w:lang w:eastAsia="lt-LT"/>
                                </w:rPr>
                                <w:t>64.2.1</w:t>
                              </w:r>
                            </w:sdtContent>
                          </w:sdt>
                          <w:r>
                            <w:rPr>
                              <w:color w:val="000000"/>
                              <w:szCs w:val="24"/>
                              <w:lang w:eastAsia="lt-LT"/>
                            </w:rPr>
                            <w:t>. nurodomos įrenginyje vykdomos veiklos rūšys, dėl kurių išduodamas leidimas įrenginiui;</w:t>
                          </w:r>
                        </w:p>
                      </w:sdtContent>
                    </w:sdt>
                    <w:sdt>
                      <w:sdtPr>
                        <w:alias w:val="64.2.2 p."/>
                        <w:tag w:val="part_4b4c602896a84bb4a645adfcd73b07e2"/>
                        <w:lock w:val="sdtLocked"/>
                        <w:richText/>
                      </w:sdtPr>
                      <w:sdtContent>
                        <w:p>
                          <w:pPr>
                            <w:widowControl w:val="0"/>
                            <w:shd w:val="clear" w:color="000000" w:fill="auto"/>
                            <w:ind w:firstLine="567"/>
                            <w:jc w:val="both"/>
                            <w:rPr>
                              <w:color w:val="000000"/>
                              <w:szCs w:val="24"/>
                              <w:lang w:eastAsia="lt-LT"/>
                            </w:rPr>
                          </w:pPr>
                          <w:sdt>
                            <w:sdtPr>
                              <w:alias w:val="Numeris"/>
                              <w:tag w:val="nr_4b4c602896a84bb4a645adfcd73b07e2"/>
                              <w:lock w:val="sdtLocked"/>
                              <w:richText/>
                            </w:sdtPr>
                            <w:sdtContent>
                              <w:r>
                                <w:rPr>
                                  <w:color w:val="000000"/>
                                  <w:szCs w:val="24"/>
                                  <w:lang w:eastAsia="lt-LT"/>
                                </w:rPr>
                                <w:t>64.2.2</w:t>
                              </w:r>
                            </w:sdtContent>
                          </w:sdt>
                          <w:r>
                            <w:rPr>
                              <w:color w:val="000000"/>
                              <w:szCs w:val="24"/>
                              <w:lang w:eastAsia="lt-LT"/>
                            </w:rPr>
                            <w:t>. kai Lietuvos Respublikos aplinkos ministro nustatyta tvarka įrenginys priskiriamas prie įrenginių, kuriuos eksploatuoti reikia gauti leidimą išmesti šiltnamio efektą sukeliančias dujas, atskirai nurodoma, kuriai veiklos rūšiai ar rūšims priskiriama šiltnamio efektą sukeliančias dujas išmetanti ūkinė veikla, pateikiami duomenys apie to įrenginio gamybos (projektinį) pajėgumą;</w:t>
                          </w:r>
                        </w:p>
                      </w:sdtContent>
                    </w:sdt>
                    <w:sdt>
                      <w:sdtPr>
                        <w:alias w:val="64.2.3 p."/>
                        <w:tag w:val="part_4224ad4d4ec84b5bb764ca476c3d86aa"/>
                        <w:lock w:val="sdtLocked"/>
                        <w:richText/>
                      </w:sdtPr>
                      <w:sdtContent>
                        <w:p>
                          <w:pPr>
                            <w:widowControl w:val="0"/>
                            <w:shd w:val="clear" w:color="000000" w:fill="auto"/>
                            <w:ind w:firstLine="567"/>
                            <w:jc w:val="both"/>
                            <w:rPr>
                              <w:color w:val="000000"/>
                              <w:szCs w:val="24"/>
                              <w:lang w:eastAsia="lt-LT"/>
                            </w:rPr>
                          </w:pPr>
                          <w:sdt>
                            <w:sdtPr>
                              <w:alias w:val="Numeris"/>
                              <w:tag w:val="nr_4224ad4d4ec84b5bb764ca476c3d86aa"/>
                              <w:lock w:val="sdtLocked"/>
                              <w:richText/>
                            </w:sdtPr>
                            <w:sdtContent>
                              <w:r>
                                <w:rPr>
                                  <w:color w:val="000000"/>
                                  <w:szCs w:val="24"/>
                                  <w:lang w:eastAsia="lt-LT"/>
                                </w:rPr>
                                <w:t>64.2.3</w:t>
                              </w:r>
                            </w:sdtContent>
                          </w:sdt>
                          <w:r>
                            <w:rPr>
                              <w:color w:val="000000"/>
                              <w:szCs w:val="24"/>
                              <w:lang w:eastAsia="lt-LT"/>
                            </w:rPr>
                            <w:t>. ūkinės veiklos aprašymas;</w:t>
                          </w:r>
                        </w:p>
                      </w:sdtContent>
                    </w:sdt>
                  </w:sdtContent>
                </w:sdt>
                <w:sdt>
                  <w:sdtPr>
                    <w:alias w:val="64.3 p."/>
                    <w:tag w:val="part_da7663366f5a4f898a17c91c4efa9f00"/>
                    <w:lock w:val="sdtLocked"/>
                    <w:richText/>
                  </w:sdtPr>
                  <w:sdtContent>
                    <w:p>
                      <w:pPr>
                        <w:widowControl w:val="0"/>
                        <w:shd w:val="clear" w:color="000000" w:fill="auto"/>
                        <w:ind w:firstLine="567"/>
                        <w:jc w:val="both"/>
                        <w:rPr>
                          <w:color w:val="000000"/>
                          <w:szCs w:val="24"/>
                          <w:lang w:eastAsia="lt-LT"/>
                        </w:rPr>
                      </w:pPr>
                      <w:sdt>
                        <w:sdtPr>
                          <w:alias w:val="Numeris"/>
                          <w:tag w:val="nr_da7663366f5a4f898a17c91c4efa9f00"/>
                          <w:lock w:val="sdtLocked"/>
                          <w:richText/>
                        </w:sdtPr>
                        <w:sdtContent>
                          <w:r>
                            <w:rPr>
                              <w:color w:val="000000"/>
                              <w:szCs w:val="24"/>
                              <w:lang w:eastAsia="lt-LT"/>
                            </w:rPr>
                            <w:t>64.3</w:t>
                          </w:r>
                        </w:sdtContent>
                      </w:sdt>
                      <w:r>
                        <w:rPr>
                          <w:color w:val="000000"/>
                          <w:szCs w:val="24"/>
                          <w:lang w:eastAsia="lt-LT"/>
                        </w:rPr>
                        <w:t>. informacija apie ūkinės veiklos objekte įdiegtą vadybos sistemą;</w:t>
                      </w:r>
                    </w:p>
                  </w:sdtContent>
                </w:sdt>
                <w:sdt>
                  <w:sdtPr>
                    <w:alias w:val="64.4 p."/>
                    <w:tag w:val="part_eb555bb8b3fb4228b5c323221317ed44"/>
                    <w:lock w:val="sdtLocked"/>
                    <w:richText/>
                  </w:sdtPr>
                  <w:sdtContent>
                    <w:p>
                      <w:pPr>
                        <w:widowControl w:val="0"/>
                        <w:shd w:val="clear" w:color="000000" w:fill="auto"/>
                        <w:ind w:firstLine="567"/>
                        <w:jc w:val="both"/>
                      </w:pPr>
                      <w:sdt>
                        <w:sdtPr>
                          <w:alias w:val="Numeris"/>
                          <w:tag w:val="nr_eb555bb8b3fb4228b5c323221317ed44"/>
                          <w:lock w:val="sdtLocked"/>
                          <w:richText/>
                        </w:sdtPr>
                        <w:sdtContent>
                          <w:r>
                            <w:rPr>
                              <w:color w:val="000000"/>
                              <w:szCs w:val="24"/>
                              <w:lang w:eastAsia="lt-LT"/>
                            </w:rPr>
                            <w:t>64.4</w:t>
                          </w:r>
                        </w:sdtContent>
                      </w:sdt>
                      <w:r>
                        <w:rPr>
                          <w:color w:val="000000"/>
                          <w:szCs w:val="24"/>
                          <w:lang w:eastAsia="lt-LT"/>
                        </w:rPr>
                        <w:t>. įrenginio atitikties GPGB palyginamasis įvertinimas;</w:t>
                      </w:r>
                    </w:p>
                  </w:sdtContent>
                </w:sdt>
                <w:sdt>
                  <w:sdtPr>
                    <w:alias w:val="64.5 pp."/>
                    <w:tag w:val="part_4853ffb8d4a6433799466e9dbf0972e2"/>
                    <w:lock w:val="sdtLocked"/>
                    <w:richText/>
                  </w:sdtPr>
                  <w:sdtContent>
                    <w:p>
                      <w:pPr>
                        <w:suppressAutoHyphens/>
                        <w:ind w:firstLine="567"/>
                        <w:jc w:val="both"/>
                        <w:rPr>
                          <w:color w:val="000000"/>
                          <w:szCs w:val="24"/>
                          <w:lang w:eastAsia="lt-LT"/>
                        </w:rPr>
                      </w:pPr>
                      <w:sdt>
                        <w:sdtPr>
                          <w:alias w:val="Numeris"/>
                          <w:tag w:val="nr_4853ffb8d4a6433799466e9dbf0972e2"/>
                          <w:lock w:val="sdtLocked"/>
                          <w:richText/>
                        </w:sdtPr>
                        <w:sdtContent>
                          <w:r>
                            <w:rPr>
                              <w:color w:val="000000"/>
                              <w:lang w:eastAsia="lt-LT"/>
                            </w:rPr>
                            <w:t>64.5</w:t>
                          </w:r>
                        </w:sdtContent>
                      </w:sdt>
                      <w:r>
                        <w:rPr>
                          <w:color w:val="000000"/>
                          <w:lang w:eastAsia="lt-LT"/>
                        </w:rPr>
                        <w:t>. nuoroda į PAV sprendimą, kuriuo remiantis priimtas sprendimas išduoti ar pakeisti leidimą.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Content>
            </w:sdt>
            <w:sdt>
              <w:sdtPr>
                <w:alias w:val="65 p."/>
                <w:tag w:val="part_57d5b36690b34ce99e074965bfb781f7"/>
                <w:lock w:val="sdtLocked"/>
                <w:richText/>
              </w:sdtPr>
              <w:sdtContent>
                <w:p>
                  <w:pPr>
                    <w:widowControl w:val="0"/>
                    <w:shd w:val="clear" w:color="000000" w:fill="auto"/>
                    <w:ind w:firstLine="567"/>
                    <w:jc w:val="both"/>
                    <w:rPr>
                      <w:color w:val="000000"/>
                      <w:szCs w:val="24"/>
                      <w:lang w:eastAsia="lt-LT"/>
                    </w:rPr>
                  </w:pPr>
                  <w:sdt>
                    <w:sdtPr>
                      <w:alias w:val="Numeris"/>
                      <w:tag w:val="nr_57d5b36690b34ce99e074965bfb781f7"/>
                      <w:lock w:val="sdtLocked"/>
                      <w:richText/>
                    </w:sdtPr>
                    <w:sdtContent>
                      <w:r>
                        <w:rPr>
                          <w:color w:val="000000"/>
                          <w:szCs w:val="24"/>
                          <w:lang w:eastAsia="lt-LT"/>
                        </w:rPr>
                        <w:t>65</w:t>
                      </w:r>
                    </w:sdtContent>
                  </w:sdt>
                  <w:r>
                    <w:rPr>
                      <w:color w:val="000000"/>
                      <w:szCs w:val="24"/>
                      <w:lang w:eastAsia="lt-LT"/>
                    </w:rPr>
                    <w:t>. Leidimo sąlygose</w:t>
                  </w:r>
                  <w:r>
                    <w:rPr>
                      <w:b/>
                      <w:bCs/>
                      <w:color w:val="000000"/>
                      <w:szCs w:val="24"/>
                      <w:lang w:eastAsia="lt-LT"/>
                    </w:rPr>
                    <w:t xml:space="preserve"> </w:t>
                  </w:r>
                  <w:r>
                    <w:rPr>
                      <w:color w:val="000000"/>
                      <w:szCs w:val="24"/>
                      <w:lang w:eastAsia="lt-LT"/>
                    </w:rPr>
                    <w:t>turi būti nustatyta:</w:t>
                  </w:r>
                </w:p>
                <w:sdt>
                  <w:sdtPr>
                    <w:alias w:val="65.1 p."/>
                    <w:tag w:val="part_972e09c33ea0459a92a1d1b039611ac4"/>
                    <w:lock w:val="sdtLocked"/>
                    <w:richText/>
                  </w:sdtPr>
                  <w:sdtContent>
                    <w:p>
                      <w:pPr>
                        <w:widowControl w:val="0"/>
                        <w:shd w:val="clear" w:color="000000" w:fill="auto"/>
                        <w:ind w:firstLine="567"/>
                        <w:jc w:val="both"/>
                        <w:rPr>
                          <w:color w:val="000000"/>
                          <w:szCs w:val="24"/>
                          <w:lang w:eastAsia="lt-LT"/>
                        </w:rPr>
                      </w:pPr>
                      <w:sdt>
                        <w:sdtPr>
                          <w:alias w:val="Numeris"/>
                          <w:tag w:val="nr_972e09c33ea0459a92a1d1b039611ac4"/>
                          <w:lock w:val="sdtLocked"/>
                          <w:richText/>
                        </w:sdtPr>
                        <w:sdtContent>
                          <w:r>
                            <w:rPr>
                              <w:color w:val="000000"/>
                              <w:szCs w:val="24"/>
                              <w:lang w:eastAsia="lt-LT"/>
                            </w:rPr>
                            <w:t>65.1</w:t>
                          </w:r>
                        </w:sdtContent>
                      </w:sdt>
                      <w:r>
                        <w:rPr>
                          <w:color w:val="000000"/>
                          <w:szCs w:val="24"/>
                          <w:lang w:eastAsia="lt-LT"/>
                        </w:rPr>
                        <w:t>. Taisyklių 3 priede išvardintų išmetamųjų/išleidžiamų teršalų ir kitų teršalų, kurie gali būti dideliais kiekiais išmetami/išleidžiami iš įrenginio, ribinės vertės, nustatytos atsižvelgiant į teršalų savybes ir tikimybę, kad jie iš vienos terpės pateks į kitą;</w:t>
                      </w:r>
                    </w:p>
                  </w:sdtContent>
                </w:sdt>
                <w:sdt>
                  <w:sdtPr>
                    <w:alias w:val="65.2 p."/>
                    <w:tag w:val="part_381f806e630d4216a7e3f18f99bcd0cb"/>
                    <w:lock w:val="sdtLocked"/>
                    <w:richText/>
                  </w:sdtPr>
                  <w:sdtContent>
                    <w:p>
                      <w:pPr>
                        <w:widowControl w:val="0"/>
                        <w:shd w:val="clear" w:color="000000" w:fill="auto"/>
                        <w:ind w:firstLine="567"/>
                        <w:jc w:val="both"/>
                        <w:rPr>
                          <w:color w:val="000000"/>
                          <w:szCs w:val="24"/>
                          <w:lang w:eastAsia="lt-LT"/>
                        </w:rPr>
                      </w:pPr>
                      <w:sdt>
                        <w:sdtPr>
                          <w:alias w:val="Numeris"/>
                          <w:tag w:val="nr_381f806e630d4216a7e3f18f99bcd0cb"/>
                          <w:lock w:val="sdtLocked"/>
                          <w:richText/>
                        </w:sdtPr>
                        <w:sdtContent>
                          <w:r>
                            <w:rPr>
                              <w:color w:val="000000"/>
                              <w:szCs w:val="24"/>
                              <w:lang w:eastAsia="lt-LT"/>
                            </w:rPr>
                            <w:t>65.2</w:t>
                          </w:r>
                        </w:sdtContent>
                      </w:sdt>
                      <w:r>
                        <w:rPr>
                          <w:color w:val="000000"/>
                          <w:szCs w:val="24"/>
                          <w:lang w:eastAsia="lt-LT"/>
                        </w:rPr>
                        <w:t>. jei reikia, reikalavimai gamtos išteklių, įskaitant vandens, racionaliam naudojimui;</w:t>
                      </w:r>
                    </w:p>
                  </w:sdtContent>
                </w:sdt>
                <w:sdt>
                  <w:sdtPr>
                    <w:alias w:val="65.3 p."/>
                    <w:tag w:val="part_037871293f8c49cabbf5fd3e06060a00"/>
                    <w:lock w:val="sdtLocked"/>
                    <w:richText/>
                  </w:sdtPr>
                  <w:sdtContent>
                    <w:p>
                      <w:pPr>
                        <w:widowControl w:val="0"/>
                        <w:shd w:val="clear" w:color="000000" w:fill="auto"/>
                        <w:ind w:firstLine="567"/>
                        <w:jc w:val="both"/>
                        <w:rPr>
                          <w:color w:val="000000"/>
                          <w:szCs w:val="24"/>
                          <w:lang w:eastAsia="lt-LT"/>
                        </w:rPr>
                      </w:pPr>
                      <w:sdt>
                        <w:sdtPr>
                          <w:alias w:val="Numeris"/>
                          <w:tag w:val="nr_037871293f8c49cabbf5fd3e06060a00"/>
                          <w:lock w:val="sdtLocked"/>
                          <w:richText/>
                        </w:sdtPr>
                        <w:sdtContent>
                          <w:r>
                            <w:rPr>
                              <w:color w:val="000000"/>
                              <w:szCs w:val="24"/>
                              <w:lang w:eastAsia="lt-LT"/>
                            </w:rPr>
                            <w:t>65.3</w:t>
                          </w:r>
                        </w:sdtContent>
                      </w:sdt>
                      <w:r>
                        <w:rPr>
                          <w:color w:val="000000"/>
                          <w:szCs w:val="24"/>
                          <w:lang w:eastAsia="lt-LT"/>
                        </w:rPr>
                        <w:t>. reikalavimai dirvožemio ir požeminių vandenų apsaugai užtikrinti;</w:t>
                      </w:r>
                    </w:p>
                  </w:sdtContent>
                </w:sdt>
                <w:sdt>
                  <w:sdtPr>
                    <w:alias w:val="65.4 p."/>
                    <w:tag w:val="part_f59fd04697d740afb83bd7cb80b1b27f"/>
                    <w:lock w:val="sdtLocked"/>
                    <w:richText/>
                  </w:sdtPr>
                  <w:sdtContent>
                    <w:p>
                      <w:pPr>
                        <w:pStyle w:val="PlainText"/>
                        <w:ind w:firstLine="567"/>
                        <w:jc w:val="both"/>
                        <w:rPr>
                          <w:rFonts w:ascii="Arial" w:hAnsi="Arial"/>
                          <w:b/>
                          <w:bCs/>
                          <w:sz w:val="22"/>
                        </w:rPr>
                      </w:pPr>
                      <w:r>
                        <w:rPr>
                          <w:rFonts w:ascii="Arial" w:hAnsi="Arial"/>
                          <w:sz w:val="22"/>
                        </w:rPr>
                        <w:t>65.4</w:t>
                      </w:r>
                      <w:r>
                        <w:rPr>
                          <w:rFonts w:ascii="Arial" w:hAnsi="Arial"/>
                          <w:sz w:val="22"/>
                        </w:rPr>
                        <w:t>.</w:t>
                      </w:r>
                      <w:r>
                        <w:rPr>
                          <w:rFonts w:ascii="Arial" w:eastAsia="MS Mincho" w:hAnsi="Arial"/>
                          <w:sz w:val="20"/>
                          <w:i/>
                          <w:iCs/>
                        </w:rPr>
                        <w:t xml:space="preserve"> Neteko galios nuo 2022-08-17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5344301d2e11edb4cae1b158f98ea5">
                        <w:r w:rsidRPr="00532B9F">
                          <w:rPr>
                            <w:rFonts w:ascii="Arial" w:eastAsia="MS Mincho" w:hAnsi="Arial"/>
                            <w:sz w:val="20"/>
                            <w:i/>
                            <w:iCs/>
                            <w:color w:val="0000FF" w:themeColor="hyperlink"/>
                            <w:u w:val="single"/>
                          </w:rPr>
                          <w:t>D1-263</w:t>
                        </w:r>
                      </w:fldSimple>
                      <w:r>
                        <w:rPr>
                          <w:rFonts w:ascii="Arial" w:eastAsia="MS Mincho" w:hAnsi="Arial"/>
                          <w:sz w:val="20"/>
                          <w:i/>
                          <w:iCs/>
                        </w:rPr>
                        <w:t>,
2022-08-16,
paskelbta TAR 2022-08-16, i. k. 2022-17141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65.5 p."/>
                    <w:tag w:val="part_d6477b7d722a4632888886d5f01cfe91"/>
                    <w:lock w:val="sdtLocked"/>
                    <w:richText/>
                  </w:sdtPr>
                  <w:sdtContent>
                    <w:p>
                      <w:pPr>
                        <w:ind w:firstLine="567"/>
                        <w:jc w:val="both"/>
                        <w:rPr>
                          <w:color w:val="000000"/>
                          <w:szCs w:val="24"/>
                          <w:lang w:eastAsia="lt-LT"/>
                        </w:rPr>
                      </w:pPr>
                      <w:sdt>
                        <w:sdtPr>
                          <w:alias w:val="Numeris"/>
                          <w:tag w:val="nr_d6477b7d722a4632888886d5f01cfe91"/>
                          <w:lock w:val="sdtLocked"/>
                          <w:richText/>
                        </w:sdtPr>
                        <w:sdtContent>
                          <w:r>
                            <w:rPr>
                              <w:szCs w:val="24"/>
                            </w:rPr>
                            <w:t>65.5</w:t>
                          </w:r>
                        </w:sdtContent>
                      </w:sdt>
                      <w:r>
                        <w:rPr>
                          <w:szCs w:val="24"/>
                        </w:rPr>
                        <w:t>. stacionarūs kvapų šaltiniai ir kiekvieno jų leidžiamas kvapo emisijos rodiklis,</w:t>
                      </w:r>
                      <w:r>
                        <w:rPr>
                          <w:bCs/>
                          <w:szCs w:val="24"/>
                        </w:rPr>
                        <w:t xml:space="preserve"> triukšmo ir kvapų valdymo (mažinimo) priemonės</w:t>
                      </w:r>
                      <w:r>
                        <w:rPr>
                          <w:szCs w:val="24"/>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65.6 p."/>
                    <w:tag w:val="part_9b4e30261d1b45d8997bf1d7cfbb5b2c"/>
                    <w:lock w:val="sdtLocked"/>
                    <w:richText/>
                  </w:sdtPr>
                  <w:sdtContent>
                    <w:p>
                      <w:pPr>
                        <w:widowControl w:val="0"/>
                        <w:shd w:val="clear" w:color="000000" w:fill="auto"/>
                        <w:ind w:firstLine="567"/>
                        <w:jc w:val="both"/>
                        <w:rPr>
                          <w:color w:val="000000"/>
                          <w:szCs w:val="24"/>
                          <w:lang w:eastAsia="lt-LT"/>
                        </w:rPr>
                      </w:pPr>
                      <w:sdt>
                        <w:sdtPr>
                          <w:alias w:val="Numeris"/>
                          <w:tag w:val="nr_9b4e30261d1b45d8997bf1d7cfbb5b2c"/>
                          <w:lock w:val="sdtLocked"/>
                          <w:richText/>
                        </w:sdtPr>
                        <w:sdtContent>
                          <w:r>
                            <w:rPr>
                              <w:color w:val="000000"/>
                              <w:szCs w:val="24"/>
                              <w:lang w:eastAsia="lt-LT"/>
                            </w:rPr>
                            <w:t>65.6</w:t>
                          </w:r>
                        </w:sdtContent>
                      </w:sdt>
                      <w:r>
                        <w:rPr>
                          <w:color w:val="000000"/>
                          <w:szCs w:val="24"/>
                          <w:lang w:eastAsia="lt-LT"/>
                        </w:rPr>
                        <w:t>. priemonės, taikomos esant neįprastoms (neatitiktinėms) įrenginyje vykdomos veiklos sąlygoms;</w:t>
                      </w:r>
                    </w:p>
                  </w:sdtContent>
                </w:sdt>
                <w:sdt>
                  <w:sdtPr>
                    <w:alias w:val="65.7 p."/>
                    <w:tag w:val="part_520d7ee1381d407cb97fdfa86717e0e9"/>
                    <w:lock w:val="sdtLocked"/>
                    <w:richText/>
                  </w:sdtPr>
                  <w:sdtContent>
                    <w:p>
                      <w:pPr>
                        <w:widowControl w:val="0"/>
                        <w:shd w:val="clear" w:color="000000" w:fill="auto"/>
                        <w:ind w:firstLine="567"/>
                        <w:jc w:val="both"/>
                        <w:rPr>
                          <w:color w:val="000000"/>
                          <w:szCs w:val="24"/>
                          <w:lang w:eastAsia="lt-LT"/>
                        </w:rPr>
                      </w:pPr>
                      <w:sdt>
                        <w:sdtPr>
                          <w:alias w:val="Numeris"/>
                          <w:tag w:val="nr_520d7ee1381d407cb97fdfa86717e0e9"/>
                          <w:lock w:val="sdtLocked"/>
                          <w:richText/>
                        </w:sdtPr>
                        <w:sdtContent>
                          <w:r>
                            <w:rPr>
                              <w:color w:val="000000"/>
                              <w:szCs w:val="24"/>
                              <w:lang w:eastAsia="lt-LT"/>
                            </w:rPr>
                            <w:t>65.7</w:t>
                          </w:r>
                        </w:sdtContent>
                      </w:sdt>
                      <w:r>
                        <w:rPr>
                          <w:color w:val="000000"/>
                          <w:szCs w:val="24"/>
                          <w:lang w:eastAsia="lt-LT"/>
                        </w:rPr>
                        <w:t>. priemonės galutinai nutraukiant įrenginyje vykdomą veiklą;</w:t>
                      </w:r>
                    </w:p>
                  </w:sdtContent>
                </w:sdt>
                <w:sdt>
                  <w:sdtPr>
                    <w:alias w:val="65.8 p."/>
                    <w:tag w:val="part_75603be78be845d2897bdb1e40391f2e"/>
                    <w:lock w:val="sdtLocked"/>
                    <w:richText/>
                  </w:sdtPr>
                  <w:sdtContent>
                    <w:p>
                      <w:pPr>
                        <w:widowControl w:val="0"/>
                        <w:shd w:val="clear" w:color="000000" w:fill="auto"/>
                        <w:ind w:firstLine="567"/>
                        <w:jc w:val="both"/>
                        <w:rPr>
                          <w:color w:val="000000"/>
                          <w:szCs w:val="24"/>
                          <w:lang w:eastAsia="lt-LT"/>
                        </w:rPr>
                      </w:pPr>
                      <w:sdt>
                        <w:sdtPr>
                          <w:alias w:val="Numeris"/>
                          <w:tag w:val="nr_75603be78be845d2897bdb1e40391f2e"/>
                          <w:lock w:val="sdtLocked"/>
                          <w:richText/>
                        </w:sdtPr>
                        <w:sdtContent>
                          <w:r>
                            <w:rPr>
                              <w:color w:val="000000"/>
                              <w:szCs w:val="24"/>
                              <w:lang w:eastAsia="lt-LT"/>
                            </w:rPr>
                            <w:t>65.8</w:t>
                          </w:r>
                        </w:sdtContent>
                      </w:sdt>
                      <w:r>
                        <w:rPr>
                          <w:color w:val="000000"/>
                          <w:szCs w:val="24"/>
                          <w:lang w:eastAsia="lt-LT"/>
                        </w:rPr>
                        <w:t>. reikalavimai dėl tolimosios arba tarpvalstybinės taršos sumažinimo iki minimumo;</w:t>
                      </w:r>
                    </w:p>
                  </w:sdtContent>
                </w:sdt>
                <w:sdt>
                  <w:sdtPr>
                    <w:alias w:val="65.9 p."/>
                    <w:tag w:val="part_8e5eb419116f4842ac8b563498b2811f"/>
                    <w:lock w:val="sdtLocked"/>
                    <w:richText/>
                  </w:sdtPr>
                  <w:sdtContent>
                    <w:p>
                      <w:pPr>
                        <w:widowControl w:val="0"/>
                        <w:shd w:val="clear" w:color="000000" w:fill="auto"/>
                        <w:ind w:firstLine="567"/>
                        <w:jc w:val="both"/>
                        <w:rPr>
                          <w:color w:val="000000"/>
                          <w:szCs w:val="24"/>
                          <w:lang w:eastAsia="lt-LT"/>
                        </w:rPr>
                      </w:pPr>
                      <w:sdt>
                        <w:sdtPr>
                          <w:alias w:val="Numeris"/>
                          <w:tag w:val="nr_8e5eb419116f4842ac8b563498b2811f"/>
                          <w:lock w:val="sdtLocked"/>
                          <w:richText/>
                        </w:sdtPr>
                        <w:sdtContent>
                          <w:r>
                            <w:rPr>
                              <w:color w:val="000000"/>
                              <w:szCs w:val="24"/>
                              <w:lang w:eastAsia="lt-LT"/>
                            </w:rPr>
                            <w:t>65.9</w:t>
                          </w:r>
                        </w:sdtContent>
                      </w:sdt>
                      <w:r>
                        <w:rPr>
                          <w:color w:val="000000"/>
                          <w:szCs w:val="24"/>
                          <w:lang w:eastAsia="lt-LT"/>
                        </w:rPr>
                        <w:t>. sąlygos, kurios vertintos nustatant išmetamųjų teršalų ribines vertes arba nuoroda į kitus taikomus reikalavimus, nurodytus kituose dokumentuose;</w:t>
                      </w:r>
                    </w:p>
                  </w:sdtContent>
                </w:sdt>
                <w:sdt>
                  <w:sdtPr>
                    <w:alias w:val="65.10 p."/>
                    <w:tag w:val="part_b16a2b504df44adb90213ede24c36dd3"/>
                    <w:lock w:val="sdtLocked"/>
                    <w:richText/>
                  </w:sdtPr>
                  <w:sdtContent>
                    <w:p>
                      <w:pPr>
                        <w:widowControl w:val="0"/>
                        <w:shd w:val="clear" w:color="000000" w:fill="auto"/>
                        <w:ind w:firstLine="567"/>
                        <w:jc w:val="both"/>
                      </w:pPr>
                      <w:sdt>
                        <w:sdtPr>
                          <w:alias w:val="Numeris"/>
                          <w:tag w:val="nr_b16a2b504df44adb90213ede24c36dd3"/>
                          <w:lock w:val="sdtLocked"/>
                          <w:richText/>
                        </w:sdtPr>
                        <w:sdtContent>
                          <w:r>
                            <w:rPr>
                              <w:color w:val="000000"/>
                              <w:szCs w:val="24"/>
                              <w:lang w:eastAsia="lt-LT"/>
                            </w:rPr>
                            <w:t>65.10</w:t>
                          </w:r>
                        </w:sdtContent>
                      </w:sdt>
                      <w:r>
                        <w:rPr>
                          <w:color w:val="000000"/>
                          <w:szCs w:val="24"/>
                          <w:lang w:eastAsia="lt-LT"/>
                        </w:rPr>
                        <w:t>. aplinkosaugos veiksmų planas;</w:t>
                      </w:r>
                    </w:p>
                  </w:sdtContent>
                </w:sdt>
                <w:sdt>
                  <w:sdtPr>
                    <w:alias w:val="65.11 p."/>
                    <w:tag w:val="part_7db3a8c6f70946a18f45a82943abf457"/>
                    <w:lock w:val="sdtLocked"/>
                    <w:richText/>
                  </w:sdtPr>
                  <w:sdtContent>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pPr>
                      <w:sdt>
                        <w:sdtPr>
                          <w:alias w:val="Numeris"/>
                          <w:tag w:val="nr_7db3a8c6f70946a18f45a82943abf457"/>
                          <w:lock w:val="sdtLocked"/>
                          <w:richText/>
                        </w:sdtPr>
                        <w:sdtContent>
                          <w:r>
                            <w:rPr>
                              <w:szCs w:val="24"/>
                              <w:lang w:eastAsia="lt-LT"/>
                            </w:rPr>
                            <w:t>65.11</w:t>
                          </w:r>
                        </w:sdtContent>
                      </w:sdt>
                      <w:r>
                        <w:rPr>
                          <w:szCs w:val="24"/>
                          <w:lang w:eastAsia="lt-LT"/>
                        </w:rPr>
                        <w:t>. papildomos priemonės, kurių privaloma imtis, siekiant išvengti avarijų ir apriboti jų padarinius, kai paraiškoje neteikiamas Taisyklių 22.14 papunktyje nurodytas dokumentas;</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sdtContent>
                </w:sdt>
                <w:sdt>
                  <w:sdtPr>
                    <w:alias w:val="65.12 pp."/>
                    <w:tag w:val="part_7e7810834a1d41b4ae5a0aa49629de36"/>
                    <w:lock w:val="sdtLocked"/>
                    <w:richText/>
                  </w:sdtPr>
                  <w:sdtContent>
                    <w:p>
                      <w:pPr>
                        <w:suppressAutoHyphens/>
                        <w:ind w:firstLine="567"/>
                        <w:jc w:val="both"/>
                        <w:rPr>
                          <w:color w:val="000000"/>
                          <w:szCs w:val="24"/>
                          <w:lang w:eastAsia="lt-LT"/>
                        </w:rPr>
                      </w:pPr>
                      <w:sdt>
                        <w:sdtPr>
                          <w:alias w:val="Numeris"/>
                          <w:tag w:val="nr_7e7810834a1d41b4ae5a0aa49629de36"/>
                          <w:lock w:val="sdtLocked"/>
                          <w:richText/>
                        </w:sdtPr>
                        <w:sdtContent>
                          <w:r>
                            <w:rPr>
                              <w:color w:val="000000"/>
                              <w:szCs w:val="24"/>
                              <w:lang w:val="lt" w:eastAsia="zh-CN"/>
                            </w:rPr>
                            <w:t>65.12</w:t>
                          </w:r>
                        </w:sdtContent>
                      </w:sdt>
                      <w:r>
                        <w:rPr>
                          <w:color w:val="000000"/>
                          <w:szCs w:val="24"/>
                          <w:lang w:val="lt" w:eastAsia="zh-CN"/>
                        </w:rPr>
                        <w:t xml:space="preserve">. </w:t>
                      </w:r>
                      <w:r>
                        <w:rPr>
                          <w:color w:val="000000"/>
                          <w:szCs w:val="24"/>
                          <w:lang w:eastAsia="zh-CN"/>
                        </w:rPr>
                        <w:t>priemonės, kurių privaloma imtis taršos prevencijai ir (ar) siekiant mažinti pavojingųjų medžiagų naudojimą, kai jos neįrašytos aplinkosaugos veiksmų plane.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Content>
            </w:sdt>
            <w:sdt>
              <w:sdtPr>
                <w:alias w:val="66 p."/>
                <w:tag w:val="part_95045d2d38b24b1284450563ed0db822"/>
                <w:lock w:val="sdtLocked"/>
                <w:richText/>
              </w:sdtPr>
              <w:sdtContent>
                <w:p>
                  <w:pPr>
                    <w:pStyle w:val="PlainText"/>
                    <w:ind w:firstLine="567"/>
                    <w:jc w:val="both"/>
                    <w:rPr>
                      <w:rFonts w:ascii="Arial" w:hAnsi="Arial"/>
                      <w:b/>
                      <w:bCs/>
                      <w:sz w:val="22"/>
                    </w:rPr>
                  </w:pPr>
                  <w:r>
                    <w:rPr>
                      <w:rFonts w:ascii="Arial" w:hAnsi="Arial"/>
                      <w:sz w:val="22"/>
                    </w:rPr>
                    <w:t>66</w:t>
                  </w:r>
                  <w:r>
                    <w:rPr>
                      <w:rFonts w:ascii="Arial" w:hAnsi="Arial"/>
                      <w:sz w:val="22"/>
                    </w:rPr>
                    <w:t>.</w:t>
                  </w:r>
                  <w:r>
                    <w:rPr>
                      <w:rFonts w:ascii="Arial" w:eastAsia="MS Mincho" w:hAnsi="Arial"/>
                      <w:sz w:val="20"/>
                      <w:i/>
                      <w:iCs/>
                    </w:rPr>
                    <w:t xml:space="preserve"> Neteko galios nuo 2016-01-12</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67 p."/>
                <w:tag w:val="part_6dd5bad3fbeb4eb4a6cb32c7998042fc"/>
                <w:lock w:val="sdtLocked"/>
                <w:richText/>
              </w:sdtPr>
              <w:sdtContent>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i/>
                      <w:iCs/>
                      <w:color w:val="000000"/>
                      <w:szCs w:val="24"/>
                      <w:lang w:eastAsia="lt-LT"/>
                    </w:rPr>
                  </w:pPr>
                  <w:sdt>
                    <w:sdtPr>
                      <w:alias w:val="Numeris"/>
                      <w:tag w:val="nr_6dd5bad3fbeb4eb4a6cb32c7998042fc"/>
                      <w:lock w:val="sdtLocked"/>
                      <w:richText/>
                    </w:sdtPr>
                    <w:sdtContent>
                      <w:r>
                        <w:rPr>
                          <w:szCs w:val="24"/>
                          <w:lang w:eastAsia="lt-LT"/>
                        </w:rPr>
                        <w:t>67</w:t>
                      </w:r>
                    </w:sdtContent>
                  </w:sdt>
                  <w:r>
                    <w:rPr>
                      <w:szCs w:val="24"/>
                      <w:lang w:eastAsia="lt-LT"/>
                    </w:rPr>
                    <w:t>. Jeigu AAA išmetamųjų teršalų ribines vertes nustato taikydama 49.2 punktą, aplinkos monitoringo ataskaitoje, rengiamoje pagal Monitoringo nuostatų reikalavimus, rezultatai, gauti vykdant teršalų išmetimo monitoringą (stebėseną), turi būti pateikiami tais pačiais laikotarpiais ir sąlygomis, kaip ir išmetamųjų teršalų kiekis, nustatytas GPGB.</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sdtContent>
            </w:sdt>
            <w:sdt>
              <w:sdtPr>
                <w:alias w:val="68 p."/>
                <w:tag w:val="part_d46e1a4da5c44fdaab0b7c276c6220fc"/>
                <w:lock w:val="sdtLocked"/>
                <w:richText/>
              </w:sdtPr>
              <w:sdtContent>
                <w:p>
                  <w:pPr>
                    <w:widowControl w:val="0"/>
                    <w:shd w:val="clear" w:color="000000" w:fill="auto"/>
                    <w:ind w:firstLine="567"/>
                    <w:jc w:val="both"/>
                    <w:rPr>
                      <w:color w:val="000000"/>
                      <w:szCs w:val="24"/>
                      <w:lang w:eastAsia="lt-LT"/>
                    </w:rPr>
                  </w:pPr>
                  <w:sdt>
                    <w:sdtPr>
                      <w:alias w:val="Numeris"/>
                      <w:tag w:val="nr_d46e1a4da5c44fdaab0b7c276c6220fc"/>
                      <w:lock w:val="sdtLocked"/>
                      <w:richText/>
                    </w:sdtPr>
                    <w:sdtContent>
                      <w:r>
                        <w:rPr>
                          <w:color w:val="000000"/>
                          <w:szCs w:val="24"/>
                          <w:lang w:eastAsia="lt-LT"/>
                        </w:rPr>
                        <w:t>68</w:t>
                      </w:r>
                    </w:sdtContent>
                  </w:sdt>
                  <w:r>
                    <w:rPr>
                      <w:color w:val="000000"/>
                      <w:szCs w:val="24"/>
                      <w:lang w:eastAsia="lt-LT"/>
                    </w:rPr>
                    <w:t xml:space="preserve">. </w:t>
                  </w:r>
                  <w:r>
                    <w:rPr>
                      <w:szCs w:val="24"/>
                      <w:lang w:eastAsia="lt-LT"/>
                    </w:rPr>
                    <w:t>Leidimo prieduose pateikiama informacija ir šie dokumentų (tais atvejais, kai teisės aktų nustatyta tvarka jie turi būti rengiami) originalai ar jų patvirtinti nuorašai, ir šių dokumentų įrašai skaitmeninėje laikmenoje</w:t>
                  </w:r>
                  <w:r>
                    <w:rPr>
                      <w:color w:val="000000"/>
                      <w:szCs w:val="24"/>
                      <w:lang w:eastAsia="lt-LT"/>
                    </w:rPr>
                    <w:t>:</w:t>
                  </w:r>
                </w:p>
                <w:sdt>
                  <w:sdtPr>
                    <w:alias w:val="68.1 p."/>
                    <w:tag w:val="part_a4a59908b21048aab05c2c9ca0683512"/>
                    <w:lock w:val="sdtLocked"/>
                    <w:richText/>
                  </w:sdtPr>
                  <w:sdtContent>
                    <w:p>
                      <w:pPr>
                        <w:widowControl w:val="0"/>
                        <w:shd w:val="clear" w:color="000000" w:fill="auto"/>
                        <w:ind w:firstLine="567"/>
                        <w:jc w:val="both"/>
                        <w:rPr>
                          <w:color w:val="000000"/>
                          <w:szCs w:val="24"/>
                          <w:lang w:eastAsia="lt-LT"/>
                        </w:rPr>
                      </w:pPr>
                      <w:sdt>
                        <w:sdtPr>
                          <w:alias w:val="Numeris"/>
                          <w:tag w:val="nr_a4a59908b21048aab05c2c9ca0683512"/>
                          <w:lock w:val="sdtLocked"/>
                          <w:richText/>
                        </w:sdtPr>
                        <w:sdtContent>
                          <w:r>
                            <w:rPr>
                              <w:color w:val="000000"/>
                              <w:szCs w:val="24"/>
                              <w:lang w:eastAsia="lt-LT"/>
                            </w:rPr>
                            <w:t>68.1</w:t>
                          </w:r>
                        </w:sdtContent>
                      </w:sdt>
                      <w:r>
                        <w:rPr>
                          <w:color w:val="000000"/>
                          <w:szCs w:val="24"/>
                          <w:lang w:eastAsia="lt-LT"/>
                        </w:rPr>
                        <w:t>. nuoroda į paraišką, kurios pagrindu parengtas leidimas;</w:t>
                      </w:r>
                    </w:p>
                  </w:sdtContent>
                </w:sdt>
                <w:sdt>
                  <w:sdtPr>
                    <w:alias w:val="68.2 p."/>
                    <w:tag w:val="part_1276325f0d934d4797de91ef2e5cb85f"/>
                    <w:lock w:val="sdtLocked"/>
                    <w:richText/>
                  </w:sdtPr>
                  <w:sdtContent>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1276325f0d934d4797de91ef2e5cb85f"/>
                          <w:lock w:val="sdtLocked"/>
                          <w:richText/>
                        </w:sdtPr>
                        <w:sdtContent>
                          <w:r>
                            <w:rPr>
                              <w:szCs w:val="24"/>
                              <w:lang w:eastAsia="lt-LT"/>
                            </w:rPr>
                            <w:t>68.2</w:t>
                          </w:r>
                        </w:sdtContent>
                      </w:sdt>
                      <w:r>
                        <w:rPr>
                          <w:szCs w:val="24"/>
                          <w:lang w:eastAsia="lt-LT"/>
                        </w:rPr>
                        <w:t>. AAA motyvuotos išvados, jei leidime nustatytos sąlygos neatitinka paraiškoje prašytų sąlygų;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68.3 p."/>
                    <w:tag w:val="part_e90d9ebd891646b0965494f9cfb73497"/>
                    <w:lock w:val="sdtLocked"/>
                    <w:richText/>
                  </w:sdtPr>
                  <w:sdtContent>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e90d9ebd891646b0965494f9cfb73497"/>
                          <w:lock w:val="sdtLocked"/>
                          <w:richText/>
                        </w:sdtPr>
                        <w:sdtContent>
                          <w:r>
                            <w:rPr>
                              <w:szCs w:val="24"/>
                              <w:lang w:eastAsia="lt-LT"/>
                            </w:rPr>
                            <w:t>68.3</w:t>
                          </w:r>
                        </w:sdtContent>
                      </w:sdt>
                      <w:r>
                        <w:rPr>
                          <w:szCs w:val="24"/>
                          <w:lang w:eastAsia="lt-LT"/>
                        </w:rPr>
                        <w:t>. sąrašas dokumentų, kurie panaudoti leidimo sąlygoms nustatyti, sprendimams pagrįsti;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68.4 p."/>
                    <w:tag w:val="part_0923a7c0120345d48cc8434c1c943822"/>
                    <w:lock w:val="sdtLocked"/>
                    <w:richText/>
                  </w:sdtPr>
                  <w:sdtContent>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0923a7c0120345d48cc8434c1c943822"/>
                          <w:lock w:val="sdtLocked"/>
                          <w:richText/>
                        </w:sdtPr>
                        <w:sdtContent>
                          <w:r>
                            <w:rPr>
                              <w:szCs w:val="24"/>
                              <w:lang w:eastAsia="lt-LT"/>
                            </w:rPr>
                            <w:t>68.4</w:t>
                          </w:r>
                        </w:sdtContent>
                      </w:sdt>
                      <w:r>
                        <w:rPr>
                          <w:szCs w:val="24"/>
                          <w:lang w:eastAsia="lt-LT"/>
                        </w:rPr>
                        <w:t>. paraiškos derinimo su NVSC dokumentai;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ecf770f03111e5989ee743dd0efbb0">
                        <w:r w:rsidRPr="00532B9F">
                          <w:rPr>
                            <w:rFonts w:ascii="Arial" w:eastAsia="MS Mincho" w:hAnsi="Arial"/>
                            <w:sz w:val="20"/>
                            <w:i/>
                            <w:iCs/>
                            <w:color w:val="0000FF" w:themeColor="hyperlink"/>
                            <w:u w:val="single"/>
                          </w:rPr>
                          <w:t>D1-202</w:t>
                        </w:r>
                      </w:fldSimple>
                      <w:r>
                        <w:rPr>
                          <w:rFonts w:ascii="Arial" w:eastAsia="MS Mincho" w:hAnsi="Arial"/>
                          <w:sz w:val="20"/>
                          <w:i/>
                          <w:iCs/>
                        </w:rPr>
                        <w:t>,
2016-03-18,
paskelbta TAR 2016-03-22, i. k. 2016-05516            </w:t>
                      </w:r>
                    </w:p>
                    <w:p/>
                  </w:sdtContent>
                </w:sdt>
                <w:sdt>
                  <w:sdtPr>
                    <w:alias w:val="68.5 p."/>
                    <w:tag w:val="part_58c88918009b4a3c827c4a5643a476c8"/>
                    <w:lock w:val="sdtLocked"/>
                    <w:richText/>
                  </w:sdtPr>
                  <w:sdtContent>
                    <w:p>
                      <w:pPr>
                        <w:widowControl w:val="0"/>
                        <w:shd w:val="clear" w:color="000000" w:fill="auto"/>
                        <w:ind w:firstLine="567"/>
                        <w:jc w:val="both"/>
                        <w:rPr>
                          <w:color w:val="000000"/>
                          <w:szCs w:val="24"/>
                          <w:lang w:eastAsia="lt-LT"/>
                        </w:rPr>
                      </w:pPr>
                      <w:sdt>
                        <w:sdtPr>
                          <w:alias w:val="Numeris"/>
                          <w:tag w:val="nr_58c88918009b4a3c827c4a5643a476c8"/>
                          <w:lock w:val="sdtLocked"/>
                          <w:richText/>
                        </w:sdtPr>
                        <w:sdtContent>
                          <w:r>
                            <w:rPr>
                              <w:color w:val="000000"/>
                              <w:szCs w:val="24"/>
                              <w:lang w:eastAsia="lt-LT"/>
                            </w:rPr>
                            <w:t>68.5</w:t>
                          </w:r>
                        </w:sdtContent>
                      </w:sdt>
                      <w:r>
                        <w:rPr>
                          <w:color w:val="000000"/>
                          <w:szCs w:val="24"/>
                          <w:lang w:eastAsia="lt-LT"/>
                        </w:rPr>
                        <w:t>. susirašinėjimai su veiklos vykdytoju ir (arba) kitomis institucijomis;</w:t>
                      </w:r>
                    </w:p>
                  </w:sdtContent>
                </w:sdt>
                <w:sdt>
                  <w:sdtPr>
                    <w:alias w:val="68.6 p."/>
                    <w:tag w:val="part_7510df2e93734f2689040492dff705ad"/>
                    <w:lock w:val="sdtLocked"/>
                    <w:richText/>
                  </w:sdtPr>
                  <w:sdtContent>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7510df2e93734f2689040492dff705ad"/>
                          <w:lock w:val="sdtLocked"/>
                          <w:richText/>
                        </w:sdtPr>
                        <w:sdtContent>
                          <w:r>
                            <w:rPr>
                              <w:szCs w:val="24"/>
                              <w:lang w:eastAsia="lt-LT"/>
                            </w:rPr>
                            <w:t>68.6</w:t>
                          </w:r>
                        </w:sdtContent>
                      </w:sdt>
                      <w:r>
                        <w:rPr>
                          <w:szCs w:val="24"/>
                          <w:lang w:eastAsia="lt-LT"/>
                        </w:rPr>
                        <w:t>. suinteresuotos visuomenės pasiūlymai, pastabos ir AAA atsakymai suinteresuotajai visuomenei;</w:t>
                      </w:r>
                      <w:r>
                        <w:t xml:space="preserve"> </w:t>
                      </w:r>
                    </w:p>
                  </w:sdtContent>
                </w:sdt>
                <w:sdt>
                  <w:sdtPr>
                    <w:alias w:val="68.7 p."/>
                    <w:tag w:val="part_9f774b1c4ee34066a545e2e091f2a56c"/>
                    <w:lock w:val="sdtLocked"/>
                    <w:richText/>
                  </w:sdtPr>
                  <w:sdtContent>
                    <w:p>
                      <w:pPr>
                        <w:widowControl w:val="0"/>
                        <w:ind w:firstLine="567"/>
                        <w:jc w:val="both"/>
                        <w:rPr>
                          <w:color w:val="000000"/>
                          <w:szCs w:val="24"/>
                          <w:lang w:eastAsia="lt-LT"/>
                        </w:rPr>
                      </w:pPr>
                      <w:sdt>
                        <w:sdtPr>
                          <w:alias w:val="Numeris"/>
                          <w:tag w:val="nr_9f774b1c4ee34066a545e2e091f2a56c"/>
                          <w:lock w:val="sdtLocked"/>
                          <w:richText/>
                        </w:sdtPr>
                        <w:sdtContent>
                          <w:r>
                            <w:rPr>
                              <w:color w:val="000000"/>
                              <w:szCs w:val="24"/>
                              <w:lang w:eastAsia="lt-LT"/>
                            </w:rPr>
                            <w:t>68.7</w:t>
                          </w:r>
                        </w:sdtContent>
                      </w:sdt>
                      <w:r>
                        <w:rPr>
                          <w:color w:val="000000"/>
                          <w:szCs w:val="24"/>
                          <w:lang w:eastAsia="lt-LT"/>
                        </w:rPr>
                        <w:t>. visuomenės informavimo skelbimų kopijos su nurodytomis informacijos paskelbimo datomis;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68.8 p."/>
                    <w:tag w:val="part_2e59a20802094465a08688c582d75097"/>
                    <w:lock w:val="sdtLocked"/>
                    <w:richText/>
                  </w:sdtPr>
                  <w:sdtContent>
                    <w:p>
                      <w:pPr>
                        <w:widowControl w:val="0"/>
                        <w:shd w:val="clear" w:color="000000" w:fill="auto"/>
                        <w:ind w:firstLine="567"/>
                        <w:jc w:val="both"/>
                        <w:rPr>
                          <w:color w:val="000000"/>
                          <w:szCs w:val="24"/>
                          <w:lang w:eastAsia="lt-LT"/>
                        </w:rPr>
                      </w:pPr>
                      <w:sdt>
                        <w:sdtPr>
                          <w:alias w:val="Numeris"/>
                          <w:tag w:val="nr_2e59a20802094465a08688c582d75097"/>
                          <w:lock w:val="sdtLocked"/>
                          <w:richText/>
                        </w:sdtPr>
                        <w:sdtContent>
                          <w:r>
                            <w:rPr>
                              <w:color w:val="000000"/>
                              <w:szCs w:val="24"/>
                              <w:lang w:eastAsia="lt-LT"/>
                            </w:rPr>
                            <w:t>68.8</w:t>
                          </w:r>
                        </w:sdtContent>
                      </w:sdt>
                      <w:r>
                        <w:rPr>
                          <w:color w:val="000000"/>
                          <w:szCs w:val="24"/>
                          <w:lang w:eastAsia="lt-LT"/>
                        </w:rPr>
                        <w:t>. nuotekų tvarkymo paslaugų teikimą patvirtinančio dokumento nuorašas, kai susidarančios nuotekos netvarkomos jų susidarymo vietoje;</w:t>
                      </w:r>
                    </w:p>
                  </w:sdtContent>
                </w:sdt>
                <w:sdt>
                  <w:sdtPr>
                    <w:alias w:val="68.9 p."/>
                    <w:tag w:val="part_a6a4760b43eb4da6ac257e53e80ce08b"/>
                    <w:lock w:val="sdtLocked"/>
                    <w:richText/>
                  </w:sdtPr>
                  <w:sdtContent>
                    <w:p>
                      <w:pPr>
                        <w:widowControl w:val="0"/>
                        <w:ind w:firstLine="567"/>
                        <w:jc w:val="both"/>
                        <w:rPr>
                          <w:color w:val="000000"/>
                          <w:szCs w:val="24"/>
                          <w:lang w:eastAsia="lt-LT"/>
                        </w:rPr>
                      </w:pPr>
                      <w:sdt>
                        <w:sdtPr>
                          <w:alias w:val="Numeris"/>
                          <w:tag w:val="nr_a6a4760b43eb4da6ac257e53e80ce08b"/>
                          <w:lock w:val="sdtLocked"/>
                          <w:richText/>
                        </w:sdtPr>
                        <w:sdtContent>
                          <w:r>
                            <w:rPr>
                              <w:color w:val="000000"/>
                              <w:szCs w:val="24"/>
                              <w:lang w:eastAsia="lt-LT"/>
                            </w:rPr>
                            <w:t>68.9</w:t>
                          </w:r>
                        </w:sdtContent>
                      </w:sdt>
                      <w:r>
                        <w:rPr>
                          <w:color w:val="000000"/>
                          <w:szCs w:val="24"/>
                          <w:lang w:eastAsia="lt-LT"/>
                        </w:rPr>
                        <w:t>. nuoroda į sprendimus, susijusius su pramoninių avarijų likvidavimo planais (</w:t>
                      </w:r>
                      <w:r>
                        <w:rPr>
                          <w:szCs w:val="24"/>
                        </w:rPr>
                        <w:t>į Saugos ataskaitą ar ekstremaliųjų situacijų valdymo planą ar kitą patvirtintą dokumentą, jei jie pateikti paraiškoje)</w:t>
                      </w:r>
                      <w:r>
                        <w:rPr>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68.10 p."/>
                    <w:tag w:val="part_50b6332208d74428a86492f28d5e5c63"/>
                    <w:lock w:val="sdtLocked"/>
                    <w:richText/>
                  </w:sdtPr>
                  <w:sdtContent>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50b6332208d74428a86492f28d5e5c63"/>
                          <w:lock w:val="sdtLocked"/>
                          <w:richText/>
                        </w:sdtPr>
                        <w:sdtContent>
                          <w:r>
                            <w:rPr>
                              <w:szCs w:val="24"/>
                              <w:lang w:eastAsia="lt-LT"/>
                            </w:rPr>
                            <w:t>68.10</w:t>
                          </w:r>
                        </w:sdtContent>
                      </w:sdt>
                      <w:r>
                        <w:rPr>
                          <w:szCs w:val="24"/>
                          <w:lang w:eastAsia="lt-LT"/>
                        </w:rPr>
                        <w:t>. atliekų naudojimo ir šalinimo techninis reglamentas (Atliekas naudojančioms ir (ar) šalinančioms įmonėms);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68.11 p."/>
                    <w:tag w:val="part_512d1e9cdc06479492188d6772a68f58"/>
                    <w:lock w:val="sdtLocked"/>
                    <w:richText/>
                  </w:sdtPr>
                  <w:sdtContent>
                    <w:p>
                      <w:pPr>
                        <w:pStyle w:val="PlainText"/>
                        <w:ind w:firstLine="567"/>
                        <w:jc w:val="both"/>
                        <w:rPr>
                          <w:rFonts w:ascii="Arial" w:hAnsi="Arial"/>
                          <w:b/>
                          <w:bCs/>
                          <w:sz w:val="22"/>
                        </w:rPr>
                      </w:pPr>
                      <w:r>
                        <w:rPr>
                          <w:rFonts w:ascii="Arial" w:hAnsi="Arial"/>
                          <w:sz w:val="22"/>
                        </w:rPr>
                        <w:t>68.11</w:t>
                      </w:r>
                      <w:r>
                        <w:rPr>
                          <w:rFonts w:ascii="Arial" w:hAnsi="Arial"/>
                          <w:sz w:val="22"/>
                        </w:rPr>
                        <w:t>.</w:t>
                      </w:r>
                      <w:r>
                        <w:rPr>
                          <w:rFonts w:ascii="Arial" w:eastAsia="MS Mincho" w:hAnsi="Arial"/>
                          <w:sz w:val="20"/>
                          <w:i/>
                          <w:iCs/>
                        </w:rPr>
                        <w:t xml:space="preserve"> Neteko galios nuo 2022-08-17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5344301d2e11edb4cae1b158f98ea5">
                        <w:r w:rsidRPr="00532B9F">
                          <w:rPr>
                            <w:rFonts w:ascii="Arial" w:eastAsia="MS Mincho" w:hAnsi="Arial"/>
                            <w:sz w:val="20"/>
                            <w:i/>
                            <w:iCs/>
                            <w:color w:val="0000FF" w:themeColor="hyperlink"/>
                            <w:u w:val="single"/>
                          </w:rPr>
                          <w:t>D1-263</w:t>
                        </w:r>
                      </w:fldSimple>
                      <w:r>
                        <w:rPr>
                          <w:rFonts w:ascii="Arial" w:eastAsia="MS Mincho" w:hAnsi="Arial"/>
                          <w:sz w:val="20"/>
                          <w:i/>
                          <w:iCs/>
                        </w:rPr>
                        <w:t>,
2022-08-16,
paskelbta TAR 2022-08-16, i. k. 2022-17141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68.12 p."/>
                    <w:tag w:val="part_c824cdf64c9a45949a9d793d4717d478"/>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c824cdf64c9a45949a9d793d4717d478"/>
                          <w:lock w:val="sdtLocked"/>
                          <w:richText/>
                        </w:sdtPr>
                        <w:sdtContent>
                          <w:r>
                            <w:rPr>
                              <w:szCs w:val="24"/>
                              <w:lang w:eastAsia="lt-LT"/>
                            </w:rPr>
                            <w:t>68.12</w:t>
                          </w:r>
                        </w:sdtContent>
                      </w:sdt>
                      <w:r>
                        <w:rPr>
                          <w:szCs w:val="24"/>
                          <w:lang w:eastAsia="lt-LT"/>
                        </w:rPr>
                        <w:t>. ūkio subjekto aplinkos monitoringo programa, parengta ir suderinta vadovaujantis Monitoringo nuostatais, kuri yra privalomas leidimo priedas;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68.13 p."/>
                    <w:tag w:val="part_f29b678f58354629a33290aaf8066aec"/>
                    <w:lock w:val="sdtLocked"/>
                    <w:richText/>
                  </w:sdtPr>
                  <w:sdtContent>
                    <w:p>
                      <w:pPr>
                        <w:widowControl w:val="0"/>
                        <w:shd w:val="clear" w:color="000000" w:fill="auto"/>
                        <w:ind w:firstLine="567"/>
                        <w:jc w:val="both"/>
                        <w:rPr>
                          <w:color w:val="000000"/>
                          <w:szCs w:val="24"/>
                          <w:lang w:eastAsia="lt-LT"/>
                        </w:rPr>
                      </w:pPr>
                      <w:sdt>
                        <w:sdtPr>
                          <w:alias w:val="Numeris"/>
                          <w:tag w:val="nr_f29b678f58354629a33290aaf8066aec"/>
                          <w:lock w:val="sdtLocked"/>
                          <w:richText/>
                        </w:sdtPr>
                        <w:sdtContent>
                          <w:r>
                            <w:rPr>
                              <w:color w:val="000000"/>
                              <w:szCs w:val="24"/>
                              <w:lang w:eastAsia="lt-LT"/>
                            </w:rPr>
                            <w:t>68.13</w:t>
                          </w:r>
                        </w:sdtContent>
                      </w:sdt>
                      <w:r>
                        <w:rPr>
                          <w:color w:val="000000"/>
                          <w:szCs w:val="24"/>
                          <w:lang w:eastAsia="lt-LT"/>
                        </w:rPr>
                        <w:t>. ŠESD planas;</w:t>
                      </w:r>
                    </w:p>
                  </w:sdtContent>
                </w:sdt>
                <w:sdt>
                  <w:sdtPr>
                    <w:alias w:val="68.14 p."/>
                    <w:tag w:val="part_d7a1d953788548da879c2c7a16a3c1f2"/>
                    <w:lock w:val="sdtLocked"/>
                    <w:richText/>
                  </w:sdtPr>
                  <w:sdtContent>
                    <w:p>
                      <w:pPr>
                        <w:ind w:firstLine="567"/>
                        <w:jc w:val="both"/>
                        <w:rPr>
                          <w:color w:val="000000"/>
                          <w:szCs w:val="24"/>
                          <w:lang w:eastAsia="lt-LT"/>
                        </w:rPr>
                      </w:pPr>
                      <w:sdt>
                        <w:sdtPr>
                          <w:alias w:val="Numeris"/>
                          <w:tag w:val="nr_d7a1d953788548da879c2c7a16a3c1f2"/>
                          <w:lock w:val="sdtLocked"/>
                          <w:richText/>
                        </w:sdtPr>
                        <w:sdtContent>
                          <w:r>
                            <w:rPr>
                              <w:color w:val="000000"/>
                              <w:szCs w:val="24"/>
                              <w:lang w:val="lt" w:eastAsia="zh-CN"/>
                            </w:rPr>
                            <w:t>68.14</w:t>
                          </w:r>
                        </w:sdtContent>
                      </w:sdt>
                      <w:r>
                        <w:rPr>
                          <w:color w:val="000000"/>
                          <w:szCs w:val="24"/>
                          <w:lang w:val="lt" w:eastAsia="zh-CN"/>
                        </w:rPr>
                        <w:t xml:space="preserve">. paraiškoje pateiktos schemos ir žemėlapiai, tarp jų – detali nuotekų valymo įrenginių schema, kurioje pažymėtos visos nevalytų, valomų ir išvalytų nuotekų tekėjimo linijos ir jas valdančios sklendės, vietos, kuriose viena nuotekų linija sujungta su kita (pavyzdžiui, apvadinė linija) ir vietos, kur nuotekos gali patekti į aplinką (išleistuvas, avarinis išleistuvas); </w:t>
                      </w:r>
                      <w:r>
                        <w:rPr>
                          <w:lang w:eastAsia="zh-CN"/>
                        </w:rPr>
                        <w:t>stacionarių oro taršos šaltinių išdėstymo schema</w:t>
                      </w:r>
                      <w:r>
                        <w:rPr>
                          <w:color w:val="000000"/>
                          <w:szCs w:val="24"/>
                          <w:lang w:val="lt" w:eastAsia="zh-CN"/>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68.15 p."/>
                    <w:tag w:val="part_48068e26b0454024b06b72a0c9e0d5ad"/>
                    <w:lock w:val="sdtLocked"/>
                    <w:richText/>
                  </w:sdtPr>
                  <w:sdtContent>
                    <w:p>
                      <w:pPr>
                        <w:widowControl w:val="0"/>
                        <w:shd w:val="clear" w:color="000000" w:fill="auto"/>
                        <w:ind w:firstLine="567"/>
                        <w:jc w:val="both"/>
                        <w:rPr>
                          <w:color w:val="000000"/>
                          <w:szCs w:val="24"/>
                          <w:lang w:eastAsia="lt-LT"/>
                        </w:rPr>
                      </w:pPr>
                      <w:sdt>
                        <w:sdtPr>
                          <w:alias w:val="Numeris"/>
                          <w:tag w:val="nr_48068e26b0454024b06b72a0c9e0d5ad"/>
                          <w:lock w:val="sdtLocked"/>
                          <w:richText/>
                        </w:sdtPr>
                        <w:sdtContent>
                          <w:r>
                            <w:rPr>
                              <w:color w:val="000000"/>
                              <w:szCs w:val="24"/>
                              <w:lang w:eastAsia="lt-LT"/>
                            </w:rPr>
                            <w:t>68.15</w:t>
                          </w:r>
                        </w:sdtContent>
                      </w:sdt>
                      <w:r>
                        <w:rPr>
                          <w:color w:val="000000"/>
                          <w:szCs w:val="24"/>
                          <w:lang w:eastAsia="lt-LT"/>
                        </w:rPr>
                        <w:t>. informacija apie veiklos vykdytojo pateiktą informaciją, kuri yra gamybinė (komercinė) paslaptis (jei tokia informacija pateikta);</w:t>
                      </w:r>
                    </w:p>
                  </w:sdtContent>
                </w:sdt>
                <w:sdt>
                  <w:sdtPr>
                    <w:alias w:val="68.16 p."/>
                    <w:tag w:val="part_1b705015ecaf43aeb6de0290f4b419bc"/>
                    <w:lock w:val="sdtLocked"/>
                    <w:richText/>
                  </w:sdtPr>
                  <w:sdtContent>
                    <w:p>
                      <w:pPr>
                        <w:widowControl w:val="0"/>
                        <w:shd w:val="clear" w:color="000000" w:fill="auto"/>
                        <w:ind w:firstLine="567"/>
                        <w:jc w:val="both"/>
                      </w:pPr>
                      <w:sdt>
                        <w:sdtPr>
                          <w:alias w:val="Numeris"/>
                          <w:tag w:val="nr_1b705015ecaf43aeb6de0290f4b419bc"/>
                          <w:lock w:val="sdtLocked"/>
                          <w:richText/>
                        </w:sdtPr>
                        <w:sdtContent>
                          <w:r>
                            <w:rPr>
                              <w:color w:val="000000"/>
                              <w:szCs w:val="24"/>
                              <w:lang w:eastAsia="lt-LT"/>
                            </w:rPr>
                            <w:t>68.16</w:t>
                          </w:r>
                        </w:sdtContent>
                      </w:sdt>
                      <w:r>
                        <w:rPr>
                          <w:color w:val="000000"/>
                          <w:szCs w:val="24"/>
                          <w:lang w:eastAsia="lt-LT"/>
                        </w:rPr>
                        <w:t>. jei taikyta Taisyklių 51 punkte nurodyta išimtis – išimties taikymo motyvai, įskaitant vertinimo rezultatus ir nustatytų leidimo sąlygų pagrindimą;</w:t>
                      </w:r>
                    </w:p>
                  </w:sdtContent>
                </w:sdt>
                <w:sdt>
                  <w:sdtPr>
                    <w:alias w:val="68.17 p."/>
                    <w:tag w:val="part_a39b962361a54b6692183990673ac1e2"/>
                    <w:lock w:val="sdtLocked"/>
                    <w:richText/>
                  </w:sdtPr>
                  <w:sdtContent>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pPr>
                      <w:sdt>
                        <w:sdtPr>
                          <w:alias w:val="Numeris"/>
                          <w:tag w:val="nr_a39b962361a54b6692183990673ac1e2"/>
                          <w:lock w:val="sdtLocked"/>
                          <w:richText/>
                        </w:sdtPr>
                        <w:sdtContent>
                          <w:r>
                            <w:rPr>
                              <w:szCs w:val="24"/>
                              <w:lang w:eastAsia="lt-LT"/>
                            </w:rPr>
                            <w:t>68.17</w:t>
                          </w:r>
                        </w:sdtContent>
                      </w:sdt>
                      <w:r>
                        <w:rPr>
                          <w:szCs w:val="24"/>
                          <w:lang w:eastAsia="lt-LT"/>
                        </w:rPr>
                        <w:t>. AAA sprendimas (ar sprendimai) dėl leidimo peržiūros, nurodytas (nurodyti) Taisyklių 97 punkte, kuris (kurie) laikomas (laikomi) leidimo sąlyga;</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68.17-1 pp."/>
                    <w:tag w:val="part_5cd46c488cd54a968be4272995981bdf"/>
                    <w:lock w:val="sdtLocked"/>
                    <w:richText/>
                  </w:sdtPr>
                  <w:sdtContent>
                    <w:p>
                      <w:pPr>
                        <w:widowControl w:val="0"/>
                        <w:ind w:firstLine="567"/>
                        <w:jc w:val="both"/>
                      </w:pPr>
                      <w:sdt>
                        <w:sdtPr>
                          <w:alias w:val="Numeris"/>
                          <w:tag w:val="nr_5cd46c488cd54a968be4272995981bdf"/>
                          <w:lock w:val="sdtLocked"/>
                          <w:richText/>
                        </w:sdtPr>
                        <w:sdtContent>
                          <w:r>
                            <w:rPr>
                              <w:szCs w:val="24"/>
                            </w:rPr>
                            <w:t>68.17</w:t>
                          </w:r>
                          <w:r>
                            <w:rPr>
                              <w:szCs w:val="24"/>
                              <w:vertAlign w:val="superscript"/>
                            </w:rPr>
                            <w:t>1</w:t>
                          </w:r>
                        </w:sdtContent>
                      </w:sdt>
                      <w:r>
                        <w:rPr>
                          <w:szCs w:val="24"/>
                        </w:rPr>
                        <w:t>. Taisyklių 95</w:t>
                      </w:r>
                      <w:r>
                        <w:rPr>
                          <w:szCs w:val="24"/>
                          <w:vertAlign w:val="superscript"/>
                        </w:rPr>
                        <w:t>2</w:t>
                      </w:r>
                      <w:r>
                        <w:rPr>
                          <w:szCs w:val="24"/>
                        </w:rPr>
                        <w:t>.1 papunktyje nurodytas papildomų priemonių planas;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68.18 p."/>
                    <w:tag w:val="part_f7f15190383f4993afdcedebc372b7f9"/>
                    <w:lock w:val="sdtLocked"/>
                    <w:richText/>
                  </w:sdtPr>
                  <w:sdtContent>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pPr>
                      <w:sdt>
                        <w:sdtPr>
                          <w:alias w:val="Numeris"/>
                          <w:tag w:val="nr_f7f15190383f4993afdcedebc372b7f9"/>
                          <w:lock w:val="sdtLocked"/>
                          <w:richText/>
                        </w:sdtPr>
                        <w:sdtContent>
                          <w:r>
                            <w:rPr>
                              <w:szCs w:val="24"/>
                              <w:lang w:eastAsia="lt-LT"/>
                            </w:rPr>
                            <w:t>68.18</w:t>
                          </w:r>
                        </w:sdtContent>
                      </w:sdt>
                      <w:r>
                        <w:rPr>
                          <w:szCs w:val="24"/>
                          <w:lang w:eastAsia="lt-LT"/>
                        </w:rPr>
                        <w:t>. leidimo priedų sąrašas, kuris gali būti koreguojamas pakeitus priedus ar AAA priėmus sprendimą dėl leidimo peržiūros.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68-1 p."/>
                <w:tag w:val="part_7c7af943b2d74905835eb6f5930efdc1"/>
                <w:lock w:val="sdtLocked"/>
                <w:richText/>
              </w:sdtPr>
              <w:sdtContent>
                <w:p>
                  <w:pPr>
                    <w:ind w:firstLine="567"/>
                    <w:jc w:val="both"/>
                  </w:pPr>
                  <w:sdt>
                    <w:sdtPr>
                      <w:alias w:val="Numeris"/>
                      <w:tag w:val="nr_7c7af943b2d74905835eb6f5930efdc1"/>
                      <w:lock w:val="sdtLocked"/>
                      <w:richText/>
                    </w:sdtPr>
                    <w:sdtContent>
                      <w:r>
                        <w:t>68</w:t>
                      </w:r>
                      <w:r>
                        <w:rPr>
                          <w:vertAlign w:val="superscript"/>
                        </w:rPr>
                        <w:t>1</w:t>
                      </w:r>
                    </w:sdtContent>
                  </w:sdt>
                  <w:r>
                    <w:t>. Leidimo sąlygomis laikoma:</w:t>
                  </w:r>
                </w:p>
                <w:sdt>
                  <w:sdtPr>
                    <w:alias w:val="68-1.1 pp."/>
                    <w:tag w:val="part_c34b1cebeb8247c09f58d8583d5613c6"/>
                    <w:lock w:val="sdtLocked"/>
                    <w:richText/>
                  </w:sdtPr>
                  <w:sdtContent>
                    <w:p>
                      <w:pPr>
                        <w:ind w:firstLine="567"/>
                        <w:jc w:val="both"/>
                      </w:pPr>
                      <w:sdt>
                        <w:sdtPr>
                          <w:alias w:val="Numeris"/>
                          <w:tag w:val="nr_c34b1cebeb8247c09f58d8583d5613c6"/>
                          <w:lock w:val="sdtLocked"/>
                          <w:richText/>
                        </w:sdtPr>
                        <w:sdtContent>
                          <w:r>
                            <w:t>68</w:t>
                          </w:r>
                          <w:r>
                            <w:rPr>
                              <w:vertAlign w:val="superscript"/>
                            </w:rPr>
                            <w:t>1</w:t>
                          </w:r>
                          <w:r>
                            <w:t>.1</w:t>
                          </w:r>
                        </w:sdtContent>
                      </w:sdt>
                      <w:r>
                        <w:t>. leidimo II skyriuje „Leidimo sąlygos“ pateikti duomenys ir (ar) informacija;</w:t>
                      </w:r>
                    </w:p>
                  </w:sdtContent>
                </w:sdt>
                <w:sdt>
                  <w:sdtPr>
                    <w:alias w:val="68-1.2 pp."/>
                    <w:tag w:val="part_95991957046f4788b488a9abea769f44"/>
                    <w:lock w:val="sdtLocked"/>
                    <w:richText/>
                  </w:sdtPr>
                  <w:sdtContent>
                    <w:p>
                      <w:pPr>
                        <w:tabs>
                          <w:tab w:val="left" w:pos="1627"/>
                        </w:tabs>
                        <w:ind w:firstLine="567"/>
                        <w:jc w:val="both"/>
                      </w:pPr>
                      <w:sdt>
                        <w:sdtPr>
                          <w:alias w:val="Numeris"/>
                          <w:tag w:val="nr_95991957046f4788b488a9abea769f44"/>
                          <w:lock w:val="sdtLocked"/>
                          <w:richText/>
                        </w:sdtPr>
                        <w:sdtContent>
                          <w:r>
                            <w:t>68</w:t>
                          </w:r>
                          <w:r>
                            <w:rPr>
                              <w:vertAlign w:val="superscript"/>
                            </w:rPr>
                            <w:t>1</w:t>
                          </w:r>
                          <w:r>
                            <w:t>.2</w:t>
                          </w:r>
                        </w:sdtContent>
                      </w:sdt>
                      <w:r>
                        <w:t xml:space="preserve">. </w:t>
                      </w:r>
                      <w:r>
                        <w:rPr>
                          <w:lang w:eastAsia="lt-LT"/>
                        </w:rPr>
                        <w:t>ūkio subjekto aplinkos monitoringo programa. Jei ūkio subjekto aplinkos monitoringo programa pakeičiama nekeičiant leidimo (Taisyklių 31</w:t>
                      </w:r>
                      <w:r>
                        <w:rPr>
                          <w:vertAlign w:val="superscript"/>
                          <w:lang w:eastAsia="lt-LT"/>
                        </w:rPr>
                        <w:t>1</w:t>
                      </w:r>
                      <w:r>
                        <w:rPr>
                          <w:lang w:eastAsia="lt-LT"/>
                        </w:rPr>
                        <w:t xml:space="preserve"> punkte nustatytu atveju), Monitoringo nuostatuose nustatyta tvarka su atsakingomis institucijomis suderinta pakeista programa pridedama prie leidimo, įtraukiama į priedų sąrašą ir laikoma leidimo sąlyga;</w:t>
                      </w:r>
                    </w:p>
                  </w:sdtContent>
                </w:sdt>
                <w:sdt>
                  <w:sdtPr>
                    <w:alias w:val="68-1.3 pp."/>
                    <w:tag w:val="part_009a414e38e14343b13835dc8d36804e"/>
                    <w:lock w:val="sdtLocked"/>
                    <w:richText/>
                  </w:sdtPr>
                  <w:sdtContent>
                    <w:p>
                      <w:pPr>
                        <w:ind w:firstLine="567"/>
                        <w:jc w:val="both"/>
                        <w:rPr>
                          <w:lang w:eastAsia="lt-LT"/>
                        </w:rPr>
                      </w:pPr>
                      <w:sdt>
                        <w:sdtPr>
                          <w:alias w:val="Numeris"/>
                          <w:tag w:val="nr_009a414e38e14343b13835dc8d36804e"/>
                          <w:lock w:val="sdtLocked"/>
                          <w:richText/>
                        </w:sdtPr>
                        <w:sdtContent>
                          <w:r>
                            <w:t>68</w:t>
                          </w:r>
                          <w:r>
                            <w:rPr>
                              <w:vertAlign w:val="superscript"/>
                            </w:rPr>
                            <w:t>1</w:t>
                          </w:r>
                          <w:r>
                            <w:t>.3</w:t>
                          </w:r>
                        </w:sdtContent>
                      </w:sdt>
                      <w:r>
                        <w:t xml:space="preserve">. </w:t>
                      </w:r>
                      <w:r>
                        <w:rPr>
                          <w:lang w:eastAsia="lt-LT"/>
                        </w:rPr>
                        <w:t>AAA sprendimas (ar sprendimai) dėl leidimo sąlygų tikslinimo, nurodytas Taisyklių 97.3 papunktyje;</w:t>
                      </w:r>
                    </w:p>
                  </w:sdtContent>
                </w:sdt>
                <w:sdt>
                  <w:sdtPr>
                    <w:alias w:val="68-1.4 pp."/>
                    <w:tag w:val="part_5148cd14f6a747c7bd17edef799116da"/>
                    <w:lock w:val="sdtLocked"/>
                    <w:richText/>
                  </w:sdtPr>
                  <w:sdtContent>
                    <w:p>
                      <w:pPr>
                        <w:widowControl w:val="0"/>
                        <w:ind w:firstLine="567"/>
                        <w:jc w:val="both"/>
                        <w:rPr>
                          <w:szCs w:val="24"/>
                        </w:rPr>
                      </w:pPr>
                      <w:sdt>
                        <w:sdtPr>
                          <w:alias w:val="Numeris"/>
                          <w:tag w:val="nr_5148cd14f6a747c7bd17edef799116da"/>
                          <w:lock w:val="sdtLocked"/>
                          <w:richText/>
                        </w:sdtPr>
                        <w:sdtContent>
                          <w:r>
                            <w:rPr>
                              <w:szCs w:val="24"/>
                            </w:rPr>
                            <w:t>68</w:t>
                          </w:r>
                          <w:r>
                            <w:rPr>
                              <w:szCs w:val="24"/>
                              <w:vertAlign w:val="superscript"/>
                            </w:rPr>
                            <w:t>1</w:t>
                          </w:r>
                          <w:r>
                            <w:rPr>
                              <w:szCs w:val="24"/>
                            </w:rPr>
                            <w:t>.4</w:t>
                          </w:r>
                        </w:sdtContent>
                      </w:sdt>
                      <w:r>
                        <w:rPr>
                          <w:szCs w:val="24"/>
                        </w:rPr>
                        <w:t>. atliekų naudojimo ar šalinimo techniniame reglamente pateikti duomenys ir (ar) informacija:</w:t>
                      </w:r>
                    </w:p>
                    <w:sdt>
                      <w:sdtPr>
                        <w:alias w:val="68-1.4.1 pp."/>
                        <w:tag w:val="part_382423e1238942288d8b9f2a83bed759"/>
                        <w:lock w:val="sdtLocked"/>
                        <w:richText/>
                      </w:sdtPr>
                      <w:sdtContent>
                        <w:p>
                          <w:pPr>
                            <w:widowControl w:val="0"/>
                            <w:ind w:firstLine="567"/>
                            <w:jc w:val="both"/>
                            <w:rPr>
                              <w:lang w:eastAsia="lt-LT"/>
                            </w:rPr>
                          </w:pPr>
                          <w:sdt>
                            <w:sdtPr>
                              <w:alias w:val="Numeris"/>
                              <w:tag w:val="nr_382423e1238942288d8b9f2a83bed759"/>
                              <w:lock w:val="sdtLocked"/>
                              <w:richText/>
                            </w:sdtPr>
                            <w:sdtContent>
                              <w:r>
                                <w:t>68</w:t>
                              </w:r>
                              <w:r>
                                <w:rPr>
                                  <w:vertAlign w:val="superscript"/>
                                </w:rPr>
                                <w:t>1</w:t>
                              </w:r>
                              <w:r>
                                <w:t>.4.1</w:t>
                              </w:r>
                            </w:sdtContent>
                          </w:sdt>
                          <w:r>
                            <w:t xml:space="preserve">. atliekų laikymo vieta, jos plotas, atliekų laikymo sąlygos, </w:t>
                          </w:r>
                          <w:r>
                            <w:rPr>
                              <w:rFonts w:eastAsia="Cumberland"/>
                              <w:lang w:eastAsia="lt-LT"/>
                            </w:rPr>
                            <w:t>nurodytos atliekų naudojimo ar šalinimo techninio reglamento punkto „Atliekų laikymas“ papunktyje „laikymo sąlygos ir kontrolės reikalavimai“</w:t>
                          </w:r>
                          <w:r>
                            <w:rPr>
                              <w:lang w:eastAsia="lt-LT"/>
                            </w:rPr>
                            <w:t>;</w:t>
                          </w:r>
                        </w:p>
                      </w:sdtContent>
                    </w:sdt>
                    <w:sdt>
                      <w:sdtPr>
                        <w:alias w:val="68-1.4.2 pp."/>
                        <w:tag w:val="part_a644817e71bf408cbcd1753cd5775484"/>
                        <w:lock w:val="sdtLocked"/>
                        <w:richText/>
                      </w:sdtPr>
                      <w:sdtContent>
                        <w:p>
                          <w:pPr>
                            <w:widowControl w:val="0"/>
                            <w:ind w:firstLine="567"/>
                            <w:jc w:val="both"/>
                            <w:rPr>
                              <w:szCs w:val="24"/>
                            </w:rPr>
                          </w:pPr>
                          <w:sdt>
                            <w:sdtPr>
                              <w:alias w:val="Numeris"/>
                              <w:tag w:val="nr_a644817e71bf408cbcd1753cd5775484"/>
                              <w:lock w:val="sdtLocked"/>
                              <w:richText/>
                            </w:sdtPr>
                            <w:sdtContent>
                              <w:r>
                                <w:rPr>
                                  <w:szCs w:val="24"/>
                                </w:rPr>
                                <w:t>68</w:t>
                              </w:r>
                              <w:r>
                                <w:rPr>
                                  <w:szCs w:val="24"/>
                                  <w:vertAlign w:val="superscript"/>
                                </w:rPr>
                                <w:t>1</w:t>
                              </w:r>
                              <w:r>
                                <w:rPr>
                                  <w:szCs w:val="24"/>
                                </w:rPr>
                                <w:t>.4.2</w:t>
                              </w:r>
                            </w:sdtContent>
                          </w:sdt>
                          <w:r>
                            <w:rPr>
                              <w:szCs w:val="24"/>
                            </w:rPr>
                            <w:t>. atliekų naudojimo ar šalinimo technologinio proceso aprašymas: duomenys apie naudojamas ir (ar) šalinamas atliekas, pagrindinius technologinio proceso etapus, jų metu naudojamas medžiagas, susidarančias atliekas, nuotekas, teršalų išmetimą į aplinkos orą, didžiausias vienu metu atliekų apdorojimo technologiniame procese esantis atliekų kiekis;</w:t>
                          </w:r>
                        </w:p>
                      </w:sdtContent>
                    </w:sdt>
                    <w:sdt>
                      <w:sdtPr>
                        <w:alias w:val="68-1.4.3 pp."/>
                        <w:tag w:val="part_7178a8be47db471a82869b09cce48e16"/>
                        <w:lock w:val="sdtLocked"/>
                        <w:richText/>
                      </w:sdtPr>
                      <w:sdtContent>
                        <w:p>
                          <w:pPr>
                            <w:widowControl w:val="0"/>
                            <w:ind w:firstLine="567"/>
                            <w:jc w:val="both"/>
                          </w:pPr>
                          <w:sdt>
                            <w:sdtPr>
                              <w:alias w:val="Numeris"/>
                              <w:tag w:val="nr_7178a8be47db471a82869b09cce48e16"/>
                              <w:lock w:val="sdtLocked"/>
                              <w:richText/>
                            </w:sdtPr>
                            <w:sdtContent>
                              <w:r>
                                <w:t>68</w:t>
                              </w:r>
                              <w:r>
                                <w:rPr>
                                  <w:vertAlign w:val="superscript"/>
                                </w:rPr>
                                <w:t>1</w:t>
                              </w:r>
                              <w:r>
                                <w:t>.4.3</w:t>
                              </w:r>
                            </w:sdtContent>
                          </w:sdt>
                          <w:r>
                            <w:t>. atliekų laikymas:</w:t>
                          </w:r>
                        </w:p>
                        <w:sdt>
                          <w:sdtPr>
                            <w:alias w:val="68-1.4.3.1 pp."/>
                            <w:tag w:val="part_d9167092ac8c49e1b9f5c95f751cfe07"/>
                            <w:lock w:val="sdtLocked"/>
                            <w:richText/>
                          </w:sdtPr>
                          <w:sdtContent>
                            <w:p>
                              <w:pPr>
                                <w:widowControl w:val="0"/>
                                <w:ind w:firstLine="567"/>
                                <w:jc w:val="both"/>
                                <w:rPr>
                                  <w:szCs w:val="24"/>
                                </w:rPr>
                              </w:pPr>
                              <w:sdt>
                                <w:sdtPr>
                                  <w:alias w:val="Numeris"/>
                                  <w:tag w:val="nr_d9167092ac8c49e1b9f5c95f751cfe07"/>
                                  <w:lock w:val="sdtLocked"/>
                                  <w:richText/>
                                </w:sdtPr>
                                <w:sdtContent>
                                  <w:r>
                                    <w:rPr>
                                      <w:szCs w:val="24"/>
                                    </w:rPr>
                                    <w:t>68</w:t>
                                  </w:r>
                                  <w:r>
                                    <w:rPr>
                                      <w:szCs w:val="24"/>
                                      <w:vertAlign w:val="superscript"/>
                                    </w:rPr>
                                    <w:t>1</w:t>
                                  </w:r>
                                  <w:r>
                                    <w:rPr>
                                      <w:szCs w:val="24"/>
                                    </w:rPr>
                                    <w:t>.4.3.1</w:t>
                                  </w:r>
                                </w:sdtContent>
                              </w:sdt>
                              <w:r>
                                <w:rPr>
                                  <w:szCs w:val="24"/>
                                </w:rPr>
                                <w:t>. nepavojingųjų atliekų srautų sąrašas ir didžiausias vienu metu laikomas nepavojingųjų atliekų kiekis pagal srautus, jei  atliekų naudojimo ar šalinimo techninis reglamentas suderintas su AAA nuo 2022 m. rugpjūčio 18 d., ir atliekų naudojimo ar šalinimo techniniame reglamente pateikti duomenys apie nepavojingųjų atliekų srautus;</w:t>
                              </w:r>
                            </w:p>
                          </w:sdtContent>
                        </w:sdt>
                        <w:sdt>
                          <w:sdtPr>
                            <w:alias w:val="68-1.4.3.2 pp."/>
                            <w:tag w:val="part_08ea4cc6e17d40ba89aa54ba9598fa58"/>
                            <w:lock w:val="sdtLocked"/>
                            <w:richText/>
                          </w:sdtPr>
                          <w:sdtContent>
                            <w:p>
                              <w:pPr>
                                <w:widowControl w:val="0"/>
                                <w:ind w:firstLine="567"/>
                                <w:jc w:val="both"/>
                                <w:rPr>
                                  <w:bCs/>
                                  <w:lang w:eastAsia="lt-LT"/>
                                </w:rPr>
                              </w:pPr>
                              <w:sdt>
                                <w:sdtPr>
                                  <w:alias w:val="Numeris"/>
                                  <w:tag w:val="nr_08ea4cc6e17d40ba89aa54ba9598fa58"/>
                                  <w:lock w:val="sdtLocked"/>
                                  <w:richText/>
                                </w:sdtPr>
                                <w:sdtContent>
                                  <w:r>
                                    <w:t>68</w:t>
                                  </w:r>
                                  <w:r>
                                    <w:rPr>
                                      <w:vertAlign w:val="superscript"/>
                                    </w:rPr>
                                    <w:t>1</w:t>
                                  </w:r>
                                  <w:r>
                                    <w:t>.4.3.2</w:t>
                                  </w:r>
                                </w:sdtContent>
                              </w:sdt>
                              <w:r>
                                <w:t xml:space="preserve">. pavojingųjų atliekų technologinių srautų sąrašas ir didžiausias vienu metu laikomas pavojingųjų atliekų kiekis pagal technologinius srautus, jei  atliekų naudojimo ar šalinimo techninis reglamentas suderintas su AAA nuo 2022 m. rugpjūčio 18 d., ir atliekų naudojimo ar šalinimo techniniame reglamente pateikti duomenys apie pavojingųjų atliekų technologinius srautus; </w:t>
                              </w:r>
                            </w:p>
                          </w:sdtContent>
                        </w:sdt>
                      </w:sdtContent>
                    </w:sdt>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68-1.5 pp."/>
                    <w:tag w:val="part_29d17cd1f95748faadb88aba761febc3"/>
                    <w:lock w:val="sdtLocked"/>
                    <w:richText/>
                  </w:sdtPr>
                  <w:sdtContent>
                    <w:p>
                      <w:pPr>
                        <w:suppressAutoHyphens/>
                        <w:ind w:firstLine="567"/>
                        <w:jc w:val="both"/>
                      </w:pPr>
                      <w:sdt>
                        <w:sdtPr>
                          <w:alias w:val="Numeris"/>
                          <w:tag w:val="nr_29d17cd1f95748faadb88aba761febc3"/>
                          <w:lock w:val="sdtLocked"/>
                          <w:richText/>
                        </w:sdtPr>
                        <w:sdtContent>
                          <w:r>
                            <w:rPr>
                              <w:bCs/>
                              <w:lang w:eastAsia="lt-LT"/>
                            </w:rPr>
                            <w:t>68</w:t>
                          </w:r>
                          <w:r>
                            <w:rPr>
                              <w:bCs/>
                              <w:vertAlign w:val="superscript"/>
                              <w:lang w:eastAsia="lt-LT"/>
                            </w:rPr>
                            <w:t>1</w:t>
                          </w:r>
                          <w:r>
                            <w:rPr>
                              <w:bCs/>
                              <w:lang w:eastAsia="lt-LT"/>
                            </w:rPr>
                            <w:t>.5</w:t>
                          </w:r>
                        </w:sdtContent>
                      </w:sdt>
                      <w:r>
                        <w:rPr>
                          <w:bCs/>
                          <w:lang w:eastAsia="lt-LT"/>
                        </w:rPr>
                        <w:t>. detali nuotekų valymo įrenginių schema, kurioje pažymėtos visos nevalytų, valomų ir išvalytų nuotekų tekėjimo linijos ir jas valdančios sklendės, vietos, kuriose viena nuotekų linija pajungtą į kitą (pavyzdžiui, apvadinė linija) ir vietos, kuriose galimas nuotekų patekimas į aplinką (išleistuvas, avarinis išleistuvas);</w:t>
                      </w:r>
                    </w:p>
                  </w:sdtContent>
                </w:sdt>
                <w:sdt>
                  <w:sdtPr>
                    <w:alias w:val="68-1.6 pp."/>
                    <w:tag w:val="part_8af7fbf882da4652b904f3d7ef38aa1f"/>
                    <w:lock w:val="sdtLocked"/>
                    <w:richText/>
                  </w:sdtPr>
                  <w:sdtContent>
                    <w:p>
                      <w:pPr>
                        <w:ind w:firstLine="567"/>
                        <w:jc w:val="both"/>
                      </w:pPr>
                      <w:sdt>
                        <w:sdtPr>
                          <w:alias w:val="Numeris"/>
                          <w:tag w:val="nr_8af7fbf882da4652b904f3d7ef38aa1f"/>
                          <w:lock w:val="sdtLocked"/>
                          <w:richText/>
                        </w:sdtPr>
                        <w:sdtContent>
                          <w:r>
                            <w:rPr>
                              <w:color w:val="000000"/>
                              <w:szCs w:val="24"/>
                              <w:lang w:eastAsia="lt-LT"/>
                            </w:rPr>
                            <w:t>68</w:t>
                          </w:r>
                          <w:r>
                            <w:rPr>
                              <w:color w:val="000000"/>
                              <w:szCs w:val="24"/>
                              <w:vertAlign w:val="superscript"/>
                              <w:lang w:eastAsia="lt-LT"/>
                            </w:rPr>
                            <w:t>1</w:t>
                          </w:r>
                          <w:r>
                            <w:rPr>
                              <w:color w:val="000000"/>
                              <w:szCs w:val="24"/>
                              <w:lang w:eastAsia="lt-LT"/>
                            </w:rPr>
                            <w:t>.6</w:t>
                          </w:r>
                        </w:sdtContent>
                      </w:sdt>
                      <w:r>
                        <w:rPr>
                          <w:color w:val="000000"/>
                          <w:szCs w:val="24"/>
                          <w:lang w:eastAsia="lt-LT"/>
                        </w:rPr>
                        <w:t xml:space="preserve">. </w:t>
                      </w:r>
                      <w:r>
                        <w:rPr>
                          <w:lang w:eastAsia="zh-CN"/>
                        </w:rPr>
                        <w:t>stacionarių oro taršos šaltinių išdėstymo schema.</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Content>
        </w:sdt>
        <w:sdt>
          <w:sdtPr>
            <w:alias w:val="skyrius"/>
            <w:tag w:val="part_895425fe5b7f4bf986d76a0d91147260"/>
            <w:lock w:val="sdtLocked"/>
            <w:richText/>
          </w:sdtPr>
          <w:sdtContent>
            <w:p>
              <w:pPr>
                <w:widowControl w:val="0"/>
                <w:jc w:val="center"/>
                <w:rPr>
                  <w:b/>
                  <w:bCs/>
                  <w:caps/>
                  <w:color w:val="000000"/>
                  <w:szCs w:val="24"/>
                  <w:lang w:eastAsia="lt-LT"/>
                </w:rPr>
              </w:pPr>
              <w:sdt>
                <w:sdtPr>
                  <w:alias w:val="Numeris"/>
                  <w:tag w:val="nr_895425fe5b7f4bf986d76a0d91147260"/>
                  <w:lock w:val="sdtLocked"/>
                  <w:richText/>
                </w:sdtPr>
                <w:sdtContent>
                  <w:r>
                    <w:rPr>
                      <w:b/>
                      <w:bCs/>
                      <w:caps/>
                      <w:color w:val="000000"/>
                      <w:szCs w:val="24"/>
                      <w:lang w:eastAsia="lt-LT"/>
                    </w:rPr>
                    <w:t>VIII</w:t>
                  </w:r>
                </w:sdtContent>
              </w:sdt>
              <w:r>
                <w:rPr>
                  <w:b/>
                  <w:bCs/>
                  <w:caps/>
                  <w:color w:val="000000"/>
                  <w:szCs w:val="24"/>
                  <w:lang w:eastAsia="lt-LT"/>
                </w:rPr>
                <w:t xml:space="preserve">. </w:t>
              </w:r>
              <w:sdt>
                <w:sdtPr>
                  <w:alias w:val="Pavadinimas"/>
                  <w:tag w:val="title_895425fe5b7f4bf986d76a0d91147260"/>
                  <w:lock w:val="sdtLocked"/>
                  <w:richText/>
                </w:sdtPr>
                <w:sdtContent>
                  <w:r>
                    <w:rPr>
                      <w:b/>
                      <w:bCs/>
                      <w:caps/>
                      <w:color w:val="000000"/>
                      <w:szCs w:val="24"/>
                      <w:lang w:eastAsia="lt-LT"/>
                    </w:rPr>
                    <w:t>VISUOMENĖS IR SAVIVALDYBIŲ INSTITUCIJŲ DALYVAVIMAS LEIDIMŲ IŠDAVIMO PROCESE</w:t>
                  </w:r>
                </w:sdtContent>
              </w:sdt>
            </w:p>
            <w:p>
              <w:pPr>
                <w:widowControl w:val="0"/>
                <w:ind w:firstLine="567"/>
                <w:jc w:val="both"/>
                <w:rPr>
                  <w:color w:val="000000"/>
                  <w:szCs w:val="24"/>
                  <w:lang w:eastAsia="lt-LT"/>
                </w:rPr>
              </w:pPr>
            </w:p>
            <w:sdt>
              <w:sdtPr>
                <w:alias w:val="69 p."/>
                <w:tag w:val="part_b7b5e40f3a104a4da6bf5085c1b14c7d"/>
                <w:lock w:val="sdtLocked"/>
                <w:richText/>
              </w:sdtPr>
              <w:sdtContent>
                <w:p>
                  <w:pPr>
                    <w:widowControl w:val="0"/>
                    <w:ind w:firstLine="567"/>
                    <w:jc w:val="both"/>
                    <w:rPr>
                      <w:color w:val="000000"/>
                      <w:szCs w:val="24"/>
                      <w:lang w:eastAsia="lt-LT"/>
                    </w:rPr>
                  </w:pPr>
                  <w:sdt>
                    <w:sdtPr>
                      <w:alias w:val="Numeris"/>
                      <w:tag w:val="nr_b7b5e40f3a104a4da6bf5085c1b14c7d"/>
                      <w:lock w:val="sdtLocked"/>
                      <w:richText/>
                    </w:sdtPr>
                    <w:sdtContent>
                      <w:r>
                        <w:rPr>
                          <w:color w:val="000000"/>
                          <w:szCs w:val="24"/>
                          <w:lang w:eastAsia="lt-LT"/>
                        </w:rPr>
                        <w:t>69</w:t>
                      </w:r>
                    </w:sdtContent>
                  </w:sdt>
                  <w:r>
                    <w:rPr>
                      <w:color w:val="000000"/>
                      <w:szCs w:val="24"/>
                      <w:lang w:eastAsia="lt-LT"/>
                    </w:rPr>
                    <w:t>. Visuomenės informavimą ir jos dalyvavimą leidimų išdavimo procese organizuoja AAA.</w:t>
                  </w:r>
                </w:p>
              </w:sdtContent>
            </w:sdt>
            <w:sdt>
              <w:sdtPr>
                <w:alias w:val="70 p."/>
                <w:tag w:val="part_ff290b2f32de442caf66e675fce190b6"/>
                <w:lock w:val="sdtLocked"/>
                <w:richText/>
              </w:sdtPr>
              <w:sdtContent>
                <w:p>
                  <w:pPr>
                    <w:widowControl w:val="0"/>
                    <w:ind w:firstLine="567"/>
                    <w:jc w:val="both"/>
                    <w:rPr>
                      <w:color w:val="000000"/>
                      <w:szCs w:val="24"/>
                      <w:lang w:eastAsia="lt-LT"/>
                    </w:rPr>
                  </w:pPr>
                  <w:sdt>
                    <w:sdtPr>
                      <w:alias w:val="Numeris"/>
                      <w:tag w:val="nr_ff290b2f32de442caf66e675fce190b6"/>
                      <w:lock w:val="sdtLocked"/>
                      <w:richText/>
                    </w:sdtPr>
                    <w:sdtContent>
                      <w:r>
                        <w:rPr>
                          <w:color w:val="000000"/>
                          <w:szCs w:val="24"/>
                          <w:lang w:eastAsia="lt-LT"/>
                        </w:rPr>
                        <w:t>70</w:t>
                      </w:r>
                    </w:sdtContent>
                  </w:sdt>
                  <w:r>
                    <w:rPr>
                      <w:color w:val="000000"/>
                      <w:szCs w:val="24"/>
                      <w:lang w:eastAsia="lt-LT"/>
                    </w:rPr>
                    <w:t>. AAA užtikrina, kad Lietuvos Respublikos suinteresuotai visuomenei būtų sudarytos išankstinės ir veiksmingos sąlygos dalyvauti šiose procedūrose:</w:t>
                  </w:r>
                </w:p>
                <w:sdt>
                  <w:sdtPr>
                    <w:alias w:val="70.1 p."/>
                    <w:tag w:val="part_42253bc57d484937a39ee08ac9887d0c"/>
                    <w:lock w:val="sdtLocked"/>
                    <w:richText/>
                  </w:sdtPr>
                  <w:sdtContent>
                    <w:p>
                      <w:pPr>
                        <w:widowControl w:val="0"/>
                        <w:ind w:firstLine="567"/>
                        <w:jc w:val="both"/>
                        <w:rPr>
                          <w:color w:val="000000"/>
                          <w:szCs w:val="24"/>
                          <w:lang w:eastAsia="lt-LT"/>
                        </w:rPr>
                      </w:pPr>
                      <w:sdt>
                        <w:sdtPr>
                          <w:alias w:val="Numeris"/>
                          <w:tag w:val="nr_42253bc57d484937a39ee08ac9887d0c"/>
                          <w:lock w:val="sdtLocked"/>
                          <w:richText/>
                        </w:sdtPr>
                        <w:sdtContent>
                          <w:r>
                            <w:rPr>
                              <w:color w:val="000000"/>
                              <w:szCs w:val="24"/>
                              <w:lang w:eastAsia="lt-LT"/>
                            </w:rPr>
                            <w:t>70.1</w:t>
                          </w:r>
                        </w:sdtContent>
                      </w:sdt>
                      <w:r>
                        <w:rPr>
                          <w:color w:val="000000"/>
                          <w:szCs w:val="24"/>
                          <w:lang w:eastAsia="lt-LT"/>
                        </w:rPr>
                        <w:t>. išduodant leidimą naujiems įrenginiams;</w:t>
                      </w:r>
                    </w:p>
                  </w:sdtContent>
                </w:sdt>
                <w:sdt>
                  <w:sdtPr>
                    <w:alias w:val="70.2 p."/>
                    <w:tag w:val="part_ef97d15ee1a44b299568a021326b800a"/>
                    <w:lock w:val="sdtLocked"/>
                    <w:richText/>
                  </w:sdtPr>
                  <w:sdtContent>
                    <w:p>
                      <w:pPr>
                        <w:widowControl w:val="0"/>
                        <w:ind w:firstLine="567"/>
                        <w:jc w:val="both"/>
                        <w:rPr>
                          <w:color w:val="000000"/>
                          <w:szCs w:val="24"/>
                          <w:lang w:eastAsia="lt-LT"/>
                        </w:rPr>
                      </w:pPr>
                      <w:sdt>
                        <w:sdtPr>
                          <w:alias w:val="Numeris"/>
                          <w:tag w:val="nr_ef97d15ee1a44b299568a021326b800a"/>
                          <w:lock w:val="sdtLocked"/>
                          <w:richText/>
                        </w:sdtPr>
                        <w:sdtContent>
                          <w:r>
                            <w:rPr>
                              <w:color w:val="000000"/>
                              <w:szCs w:val="24"/>
                              <w:lang w:eastAsia="lt-LT"/>
                            </w:rPr>
                            <w:t>70.2</w:t>
                          </w:r>
                        </w:sdtContent>
                      </w:sdt>
                      <w:r>
                        <w:rPr>
                          <w:color w:val="000000"/>
                          <w:szCs w:val="24"/>
                          <w:lang w:eastAsia="lt-LT"/>
                        </w:rPr>
                        <w:t>. keičiant leidimą dėl esminio pakeitimo;</w:t>
                      </w:r>
                    </w:p>
                  </w:sdtContent>
                </w:sdt>
                <w:sdt>
                  <w:sdtPr>
                    <w:alias w:val="70.3 p."/>
                    <w:tag w:val="part_4b965dd083ab415395d8837798abfeba"/>
                    <w:lock w:val="sdtLocked"/>
                    <w:richText/>
                  </w:sdtPr>
                  <w:sdtContent>
                    <w:p>
                      <w:pPr>
                        <w:widowControl w:val="0"/>
                        <w:ind w:firstLine="567"/>
                        <w:jc w:val="both"/>
                        <w:rPr>
                          <w:color w:val="000000"/>
                          <w:szCs w:val="24"/>
                          <w:lang w:eastAsia="lt-LT"/>
                        </w:rPr>
                      </w:pPr>
                      <w:sdt>
                        <w:sdtPr>
                          <w:alias w:val="Numeris"/>
                          <w:tag w:val="nr_4b965dd083ab415395d8837798abfeba"/>
                          <w:lock w:val="sdtLocked"/>
                          <w:richText/>
                        </w:sdtPr>
                        <w:sdtContent>
                          <w:r>
                            <w:rPr>
                              <w:color w:val="000000"/>
                              <w:szCs w:val="24"/>
                              <w:lang w:eastAsia="lt-LT"/>
                            </w:rPr>
                            <w:t>70.3</w:t>
                          </w:r>
                        </w:sdtContent>
                      </w:sdt>
                      <w:r>
                        <w:rPr>
                          <w:color w:val="000000"/>
                          <w:szCs w:val="24"/>
                          <w:lang w:eastAsia="lt-LT"/>
                        </w:rPr>
                        <w:t>. išduodant ar keičiant leidimą, kai siūloma taikyti Taisyklių 51 punkte numatytas išimtis;</w:t>
                      </w:r>
                    </w:p>
                  </w:sdtContent>
                </w:sdt>
                <w:sdt>
                  <w:sdtPr>
                    <w:alias w:val="70.4 p."/>
                    <w:tag w:val="part_5d740ec07ab844a0ad9c0b3629d99422"/>
                    <w:lock w:val="sdtLocked"/>
                    <w:richText/>
                  </w:sdtPr>
                  <w:sdtContent>
                    <w:p>
                      <w:pPr>
                        <w:widowControl w:val="0"/>
                        <w:ind w:firstLine="567"/>
                        <w:jc w:val="both"/>
                        <w:rPr>
                          <w:color w:val="000000"/>
                          <w:szCs w:val="24"/>
                          <w:lang w:eastAsia="lt-LT"/>
                        </w:rPr>
                      </w:pPr>
                      <w:sdt>
                        <w:sdtPr>
                          <w:alias w:val="Numeris"/>
                          <w:tag w:val="nr_5d740ec07ab844a0ad9c0b3629d99422"/>
                          <w:lock w:val="sdtLocked"/>
                          <w:richText/>
                        </w:sdtPr>
                        <w:sdtContent>
                          <w:r>
                            <w:rPr>
                              <w:color w:val="000000"/>
                              <w:szCs w:val="24"/>
                              <w:lang w:eastAsia="lt-LT"/>
                            </w:rPr>
                            <w:t>70.4</w:t>
                          </w:r>
                        </w:sdtContent>
                      </w:sdt>
                      <w:r>
                        <w:rPr>
                          <w:color w:val="000000"/>
                          <w:szCs w:val="24"/>
                          <w:lang w:eastAsia="lt-LT"/>
                        </w:rPr>
                        <w:t>. keičiant leidimą Aplinkos apsaugos įstatymo 19</w:t>
                      </w:r>
                      <w:r>
                        <w:rPr>
                          <w:color w:val="000000"/>
                          <w:szCs w:val="24"/>
                          <w:vertAlign w:val="superscript"/>
                          <w:lang w:eastAsia="lt-LT"/>
                        </w:rPr>
                        <w:t>1</w:t>
                      </w:r>
                      <w:r>
                        <w:rPr>
                          <w:color w:val="000000"/>
                          <w:szCs w:val="24"/>
                          <w:lang w:eastAsia="lt-LT"/>
                        </w:rPr>
                        <w:t xml:space="preserve"> straipsnio 12 dalies 2 punkte nurodytu atveju.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Content>
            </w:sdt>
            <w:sdt>
              <w:sdtPr>
                <w:alias w:val="71 p."/>
                <w:tag w:val="part_92d5e9d0aa204b47b4a0eb818f20604b"/>
                <w:lock w:val="sdtLocked"/>
                <w:richText/>
              </w:sdtPr>
              <w:sdtContent>
                <w:p>
                  <w:pPr>
                    <w:ind w:firstLine="567"/>
                    <w:jc w:val="both"/>
                    <w:rPr>
                      <w:color w:val="000000"/>
                      <w:szCs w:val="24"/>
                      <w:lang w:eastAsia="lt-LT"/>
                    </w:rPr>
                  </w:pPr>
                  <w:sdt>
                    <w:sdtPr>
                      <w:alias w:val="Numeris"/>
                      <w:tag w:val="nr_92d5e9d0aa204b47b4a0eb818f20604b"/>
                      <w:lock w:val="sdtLocked"/>
                      <w:richText/>
                    </w:sdtPr>
                    <w:sdtContent>
                      <w:r>
                        <w:rPr>
                          <w:szCs w:val="24"/>
                          <w:lang w:eastAsia="lt-LT"/>
                        </w:rPr>
                        <w:t>71</w:t>
                      </w:r>
                    </w:sdtContent>
                  </w:sdt>
                  <w:r>
                    <w:rPr>
                      <w:szCs w:val="24"/>
                      <w:lang w:eastAsia="lt-LT"/>
                    </w:rPr>
                    <w:t>. Taisyklių 70 punkte nurodytais atvejais AAA ne vėliau kaip per 5 darbo dienas po paraiškos gavimo apie tai informuoja visuomenę, visais atvejais apie gautą paraišką – ir atitinkamos savivaldybės administraciją, pateikdama Taisyklių 72 punkte nurodytą informaciją. Savivaldybės administracija informuojama raštu, prašant nurodytą informaciją paskelbti savivaldybės interneto svetainėje, visuomenė – pateikiant minėtą informaciją ALIS arba AAA interneto svetainėje, per spaudą (atitinkamai – vietiniame, regioniniame ar nacionaliniame laikraštyje).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b7ec10747d11e8ae2bfd1913d66d57">
                    <w:r w:rsidRPr="00532B9F">
                      <w:rPr>
                        <w:rFonts w:ascii="Arial" w:eastAsia="MS Mincho" w:hAnsi="Arial"/>
                        <w:sz w:val="20"/>
                        <w:i/>
                        <w:iCs/>
                        <w:color w:val="0000FF" w:themeColor="hyperlink"/>
                        <w:u w:val="single"/>
                      </w:rPr>
                      <w:t>D1-537</w:t>
                    </w:r>
                  </w:fldSimple>
                  <w:r>
                    <w:rPr>
                      <w:rFonts w:ascii="Arial" w:eastAsia="MS Mincho" w:hAnsi="Arial"/>
                      <w:sz w:val="20"/>
                      <w:i/>
                      <w:iCs/>
                    </w:rPr>
                    <w:t>,
2018-06-19,
paskelbta TAR 2018-06-20, i. k. 2018-10131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72 p."/>
                <w:tag w:val="part_a452cd888cf44fefbe37b264a746246a"/>
                <w:lock w:val="sdtLocked"/>
                <w:richText/>
              </w:sdtPr>
              <w:sdtContent>
                <w:p>
                  <w:pPr>
                    <w:widowControl w:val="0"/>
                    <w:ind w:firstLine="567"/>
                    <w:jc w:val="both"/>
                    <w:rPr>
                      <w:color w:val="000000"/>
                      <w:szCs w:val="24"/>
                      <w:lang w:eastAsia="lt-LT"/>
                    </w:rPr>
                  </w:pPr>
                  <w:sdt>
                    <w:sdtPr>
                      <w:alias w:val="Numeris"/>
                      <w:tag w:val="nr_a452cd888cf44fefbe37b264a746246a"/>
                      <w:lock w:val="sdtLocked"/>
                      <w:richText/>
                    </w:sdtPr>
                    <w:sdtContent>
                      <w:r>
                        <w:rPr>
                          <w:color w:val="000000"/>
                          <w:szCs w:val="24"/>
                          <w:lang w:eastAsia="lt-LT"/>
                        </w:rPr>
                        <w:t>72</w:t>
                      </w:r>
                    </w:sdtContent>
                  </w:sdt>
                  <w:r>
                    <w:rPr>
                      <w:color w:val="000000"/>
                      <w:szCs w:val="24"/>
                      <w:lang w:eastAsia="lt-LT"/>
                    </w:rPr>
                    <w:t>. Pranešime apie gautą paraišką visuomenei ir (ar) savivaldybės vykdomajai institucijai nurodoma:</w:t>
                  </w:r>
                </w:p>
                <w:sdt>
                  <w:sdtPr>
                    <w:alias w:val="72.1 p."/>
                    <w:tag w:val="part_b85b331daeed45f5aa8968abdd6a1977"/>
                    <w:lock w:val="sdtLocked"/>
                    <w:richText/>
                  </w:sdtPr>
                  <w:sdtContent>
                    <w:p>
                      <w:pPr>
                        <w:widowControl w:val="0"/>
                        <w:ind w:firstLine="567"/>
                        <w:jc w:val="both"/>
                        <w:rPr>
                          <w:color w:val="000000"/>
                          <w:szCs w:val="24"/>
                          <w:lang w:eastAsia="lt-LT"/>
                        </w:rPr>
                      </w:pPr>
                      <w:sdt>
                        <w:sdtPr>
                          <w:alias w:val="Numeris"/>
                          <w:tag w:val="nr_b85b331daeed45f5aa8968abdd6a1977"/>
                          <w:lock w:val="sdtLocked"/>
                          <w:richText/>
                        </w:sdtPr>
                        <w:sdtContent>
                          <w:r>
                            <w:rPr>
                              <w:color w:val="000000"/>
                              <w:szCs w:val="24"/>
                              <w:lang w:eastAsia="lt-LT"/>
                            </w:rPr>
                            <w:t>72.1</w:t>
                          </w:r>
                        </w:sdtContent>
                      </w:sdt>
                      <w:r>
                        <w:rPr>
                          <w:color w:val="000000"/>
                          <w:szCs w:val="24"/>
                          <w:lang w:eastAsia="lt-LT"/>
                        </w:rPr>
                        <w:t>. ūkinės veiklos objekto (įrenginio) pavadinimas, kuriam planuojama išduoti ar pakeisti leidimą, adresas, informacija apie įrenginyje planuojamą vykdyti veiklą;</w:t>
                      </w:r>
                    </w:p>
                  </w:sdtContent>
                </w:sdt>
                <w:sdt>
                  <w:sdtPr>
                    <w:alias w:val="72.2 p."/>
                    <w:tag w:val="part_c5faa6af72c84c92ba31564206000dcc"/>
                    <w:lock w:val="sdtLocked"/>
                    <w:richText/>
                  </w:sdtPr>
                  <w:sdtContent>
                    <w:p>
                      <w:pPr>
                        <w:ind w:firstLine="567"/>
                        <w:jc w:val="both"/>
                        <w:rPr>
                          <w:color w:val="000000"/>
                          <w:szCs w:val="24"/>
                          <w:lang w:eastAsia="lt-LT"/>
                        </w:rPr>
                      </w:pPr>
                      <w:sdt>
                        <w:sdtPr>
                          <w:alias w:val="Numeris"/>
                          <w:tag w:val="nr_c5faa6af72c84c92ba31564206000dcc"/>
                          <w:lock w:val="sdtLocked"/>
                          <w:richText/>
                        </w:sdtPr>
                        <w:sdtContent>
                          <w:r>
                            <w:rPr>
                              <w:szCs w:val="24"/>
                              <w:lang w:eastAsia="lt-LT"/>
                            </w:rPr>
                            <w:t>72.2</w:t>
                          </w:r>
                        </w:sdtContent>
                      </w:sdt>
                      <w:r>
                        <w:rPr>
                          <w:szCs w:val="24"/>
                          <w:lang w:eastAsia="lt-LT"/>
                        </w:rPr>
                        <w:t>. kur (nurodomas AAA adresas, ALIS arba AAA interneto svetainės nuoroda), kada (nurodomos valandos ir terminas, iki kada galima susipažinti su informacija) ir kaip galima susipažinti su gauta paraiška (išskyrus tai, ką ūkinės veiklos vykdytojas nurodė kaip komercinę (gamybinę) paslaptį);</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72.3 p."/>
                    <w:tag w:val="part_f76c2a34741c4aed8f963ed127765fc6"/>
                    <w:lock w:val="sdtLocked"/>
                    <w:richText/>
                  </w:sdtPr>
                  <w:sdtContent>
                    <w:p>
                      <w:pPr>
                        <w:widowControl w:val="0"/>
                        <w:ind w:firstLine="567"/>
                        <w:jc w:val="both"/>
                        <w:rPr>
                          <w:color w:val="000000"/>
                          <w:szCs w:val="24"/>
                          <w:lang w:eastAsia="lt-LT"/>
                        </w:rPr>
                      </w:pPr>
                      <w:sdt>
                        <w:sdtPr>
                          <w:alias w:val="Numeris"/>
                          <w:tag w:val="nr_f76c2a34741c4aed8f963ed127765fc6"/>
                          <w:lock w:val="sdtLocked"/>
                          <w:richText/>
                        </w:sdtPr>
                        <w:sdtContent>
                          <w:r>
                            <w:rPr>
                              <w:color w:val="000000"/>
                              <w:szCs w:val="24"/>
                              <w:lang w:eastAsia="lt-LT"/>
                            </w:rPr>
                            <w:t>72.3</w:t>
                          </w:r>
                        </w:sdtContent>
                      </w:sdt>
                      <w:r>
                        <w:rPr>
                          <w:color w:val="000000"/>
                          <w:szCs w:val="24"/>
                          <w:lang w:eastAsia="lt-LT"/>
                        </w:rPr>
                        <w:t>. institucijos, priimančios sprendimą dėl leidimo išdavimo ar pakeitimo, iš kurios galima gauti informaciją ir kuriai gali būti teikiamos pastabos ar klausimai – pavadinimas, kam, kaip ir iki kada teikti pasiūlymus, pastabas dėl paraiškos ir leidimo išdavimo arba pakeitimo;</w:t>
                      </w:r>
                    </w:p>
                  </w:sdtContent>
                </w:sdt>
                <w:sdt>
                  <w:sdtPr>
                    <w:alias w:val="72.4 p."/>
                    <w:tag w:val="part_ee8ca0426c4c47ac8164356d8605e52f"/>
                    <w:lock w:val="sdtLocked"/>
                    <w:richText/>
                  </w:sdtPr>
                  <w:sdtContent>
                    <w:p>
                      <w:pPr>
                        <w:widowControl w:val="0"/>
                        <w:ind w:firstLine="567"/>
                        <w:jc w:val="both"/>
                        <w:rPr>
                          <w:color w:val="000000"/>
                          <w:szCs w:val="24"/>
                          <w:lang w:eastAsia="lt-LT"/>
                        </w:rPr>
                      </w:pPr>
                      <w:sdt>
                        <w:sdtPr>
                          <w:alias w:val="Numeris"/>
                          <w:tag w:val="nr_ee8ca0426c4c47ac8164356d8605e52f"/>
                          <w:lock w:val="sdtLocked"/>
                          <w:richText/>
                        </w:sdtPr>
                        <w:sdtContent>
                          <w:r>
                            <w:rPr>
                              <w:color w:val="000000"/>
                              <w:szCs w:val="24"/>
                              <w:lang w:eastAsia="lt-LT"/>
                            </w:rPr>
                            <w:t>72.4</w:t>
                          </w:r>
                        </w:sdtContent>
                      </w:sdt>
                      <w:r>
                        <w:rPr>
                          <w:color w:val="000000"/>
                          <w:szCs w:val="24"/>
                          <w:lang w:eastAsia="lt-LT"/>
                        </w:rPr>
                        <w:t>. informacija apie konsultavimąsi su ES valstybe nare, kai toks konsultavimasis atliekamas pagal Taisyklių IX skyriaus reikalavimus;</w:t>
                      </w:r>
                    </w:p>
                  </w:sdtContent>
                </w:sdt>
                <w:sdt>
                  <w:sdtPr>
                    <w:alias w:val="72.5 p."/>
                    <w:tag w:val="part_e4d2f7b04a87475183470b4eb71fc7aa"/>
                    <w:lock w:val="sdtLocked"/>
                    <w:richText/>
                  </w:sdtPr>
                  <w:sdtContent>
                    <w:p>
                      <w:pPr>
                        <w:widowControl w:val="0"/>
                        <w:ind w:firstLine="567"/>
                        <w:jc w:val="both"/>
                        <w:rPr>
                          <w:color w:val="000000"/>
                          <w:szCs w:val="24"/>
                          <w:lang w:eastAsia="lt-LT"/>
                        </w:rPr>
                      </w:pPr>
                      <w:sdt>
                        <w:sdtPr>
                          <w:alias w:val="Numeris"/>
                          <w:tag w:val="nr_e4d2f7b04a87475183470b4eb71fc7aa"/>
                          <w:lock w:val="sdtLocked"/>
                          <w:richText/>
                        </w:sdtPr>
                        <w:sdtContent>
                          <w:r>
                            <w:rPr>
                              <w:color w:val="000000"/>
                              <w:szCs w:val="24"/>
                              <w:lang w:eastAsia="lt-LT"/>
                            </w:rPr>
                            <w:t>72.5</w:t>
                          </w:r>
                        </w:sdtContent>
                      </w:sdt>
                      <w:r>
                        <w:rPr>
                          <w:color w:val="000000"/>
                          <w:szCs w:val="24"/>
                          <w:lang w:eastAsia="lt-LT"/>
                        </w:rPr>
                        <w:t>. informacija apie galimą sprendimo pobūdį dėl leidimo išdavimo ar pakeitimo;</w:t>
                      </w:r>
                    </w:p>
                  </w:sdtContent>
                </w:sdt>
                <w:sdt>
                  <w:sdtPr>
                    <w:alias w:val="72.6 p."/>
                    <w:tag w:val="part_d4a639bdbe1646e9904a68d2190517ac"/>
                    <w:lock w:val="sdtLocked"/>
                    <w:richText/>
                  </w:sdtPr>
                  <w:sdtContent>
                    <w:p>
                      <w:pPr>
                        <w:widowControl w:val="0"/>
                        <w:ind w:firstLine="567"/>
                        <w:jc w:val="both"/>
                        <w:rPr>
                          <w:color w:val="000000"/>
                          <w:szCs w:val="24"/>
                          <w:lang w:eastAsia="lt-LT"/>
                        </w:rPr>
                      </w:pPr>
                      <w:sdt>
                        <w:sdtPr>
                          <w:alias w:val="Numeris"/>
                          <w:tag w:val="nr_d4a639bdbe1646e9904a68d2190517ac"/>
                          <w:lock w:val="sdtLocked"/>
                          <w:richText/>
                        </w:sdtPr>
                        <w:sdtContent>
                          <w:r>
                            <w:rPr>
                              <w:color w:val="000000"/>
                              <w:szCs w:val="24"/>
                              <w:lang w:eastAsia="lt-LT"/>
                            </w:rPr>
                            <w:t>72.6</w:t>
                          </w:r>
                        </w:sdtContent>
                      </w:sdt>
                      <w:r>
                        <w:rPr>
                          <w:color w:val="000000"/>
                          <w:szCs w:val="24"/>
                          <w:lang w:eastAsia="lt-LT"/>
                        </w:rPr>
                        <w:t>. duomenys apie taikomas visuomenės dalyvavimo ir konsultavimosi su ja priemones (kur skelbta informacija, kur bus galima susipažinti su pateiktais pasiūlymais ir išduotu leidimu).</w:t>
                      </w:r>
                    </w:p>
                  </w:sdtContent>
                </w:sdt>
              </w:sdtContent>
            </w:sdt>
            <w:sdt>
              <w:sdtPr>
                <w:alias w:val="73 p."/>
                <w:tag w:val="part_e5014dae919540c18c7676a3247637b0"/>
                <w:lock w:val="sdtLocked"/>
                <w:richText/>
              </w:sdtPr>
              <w:sdtContent>
                <w:p>
                  <w:pPr>
                    <w:ind w:firstLine="567"/>
                    <w:jc w:val="both"/>
                    <w:rPr>
                      <w:color w:val="000000"/>
                      <w:szCs w:val="24"/>
                      <w:lang w:eastAsia="lt-LT"/>
                    </w:rPr>
                  </w:pPr>
                  <w:sdt>
                    <w:sdtPr>
                      <w:alias w:val="Numeris"/>
                      <w:tag w:val="nr_e5014dae919540c18c7676a3247637b0"/>
                      <w:lock w:val="sdtLocked"/>
                      <w:richText/>
                    </w:sdtPr>
                    <w:sdtContent>
                      <w:r>
                        <w:rPr>
                          <w:szCs w:val="24"/>
                          <w:lang w:eastAsia="lt-LT"/>
                        </w:rPr>
                        <w:t>73</w:t>
                      </w:r>
                    </w:sdtContent>
                  </w:sdt>
                  <w:r>
                    <w:rPr>
                      <w:szCs w:val="24"/>
                      <w:lang w:eastAsia="lt-LT"/>
                    </w:rPr>
                    <w:t>. Suinteresuota visuomenė turi teisę susipažinti su informacija ne trumpiau kaip 15 darbo dienų nuo informacijos apie gautą paraišką paskelbimo dienos. Pasiūlymus ir pastabas dėl paraiškos ir leidimo išdavimo ar pakeitimo suinteresuota visuomenė turi teisę teikti nuo pranešimo paskelbimo apie paraiškos gavimą dienos. Savivaldybės administracija pastabas turi pateikti per 7 darbo dienas nuo informacijos apie gautą paraišką gavimo dienos. AAA, pasibaigus visuomenės informavimo terminui, viešai ALIS arba savo interneto svetainėje paskelbia iš suinteresuotos visuomenės ir savivaldybės administracijos gautus pasiūlymus ir su leidimo sąlygų nustatymu susijusias iš ūkinės veiklos vykdytojo gautas ataskaitas ar nuorodas į jas, jeigu tokia informacija gauta. Informacija, susijusi su fiziniu asmeniu, kurios apsaugą reglamentuoja Lietuvos Respublikos asmens duomenų teisinės apsaugos įstatymas (asmens kodas, vienas arba keli asmeniui būdingi fizinio, fiziologinio, psichologinio, ekonominio, kultūrinio ar socialinio pobūdžio požymiai), neviešinama.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58dcda07c7011e4abe983995522ea30">
                    <w:r w:rsidRPr="00532B9F">
                      <w:rPr>
                        <w:rFonts w:ascii="Arial" w:eastAsia="MS Mincho" w:hAnsi="Arial"/>
                        <w:sz w:val="20"/>
                        <w:i/>
                        <w:iCs/>
                        <w:color w:val="0000FF" w:themeColor="hyperlink"/>
                        <w:u w:val="single"/>
                      </w:rPr>
                      <w:t>D1-983</w:t>
                    </w:r>
                  </w:fldSimple>
                  <w:r>
                    <w:rPr>
                      <w:rFonts w:ascii="Arial" w:eastAsia="MS Mincho" w:hAnsi="Arial"/>
                      <w:sz w:val="20"/>
                      <w:i/>
                      <w:iCs/>
                    </w:rPr>
                    <w:t>,
2014-12-04,
paskelbta TAR 2014-12-05, i. k. 2014-19056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74 p."/>
                <w:tag w:val="part_92ae184a29d048589c20e8f9da18d31a"/>
                <w:lock w:val="sdtLocked"/>
                <w:richText/>
              </w:sdtPr>
              <w:sdtContent>
                <w:p>
                  <w:pPr>
                    <w:widowControl w:val="0"/>
                    <w:ind w:firstLine="567"/>
                    <w:jc w:val="both"/>
                    <w:rPr>
                      <w:color w:val="000000"/>
                      <w:szCs w:val="24"/>
                      <w:lang w:eastAsia="lt-LT"/>
                    </w:rPr>
                  </w:pPr>
                  <w:sdt>
                    <w:sdtPr>
                      <w:alias w:val="Numeris"/>
                      <w:tag w:val="nr_92ae184a29d048589c20e8f9da18d31a"/>
                      <w:lock w:val="sdtLocked"/>
                      <w:richText/>
                    </w:sdtPr>
                    <w:sdtContent>
                      <w:r>
                        <w:rPr>
                          <w:color w:val="000000"/>
                          <w:szCs w:val="24"/>
                          <w:lang w:eastAsia="lt-LT"/>
                        </w:rPr>
                        <w:t>74</w:t>
                      </w:r>
                    </w:sdtContent>
                  </w:sdt>
                  <w:r>
                    <w:rPr>
                      <w:color w:val="000000"/>
                      <w:szCs w:val="24"/>
                      <w:lang w:eastAsia="lt-LT"/>
                    </w:rPr>
                    <w:t>. Suinteresuotosios visuomenės atstovas, teikdamas pastabas ir pasiūlymus dėl paraiškos ir leidimo išdavimo arba pakeitimo, privalo nurodyti savo vardą, pavardę (ar organizacijos pavadinimą), adresą, telefoną. AAA turi užregistruoti gautas pastabas ir pasiūlymus, juos išnagrinėti, įvertinti prieš priimdama sprendimą dėl paraiškos priėmimo ar nepriėmimo. Apie suinteresuotosios visuomenės pastabų ir pasiūlymų nagrinėjimo rezultatus AAA raštu informuoja pasiūlymus pateikusius suinteresuotosios visuomenės atstovus ir veiklos vykdytoją, prieš priimdama sprendimą išduoti/pakeisti ar neišduoti/nepakeisti leidimą.</w:t>
                  </w:r>
                </w:p>
              </w:sdtContent>
            </w:sdt>
            <w:sdt>
              <w:sdtPr>
                <w:alias w:val="75 p."/>
                <w:tag w:val="part_129d34c35b53407391208df9b38735f9"/>
                <w:lock w:val="sdtLocked"/>
                <w:richText/>
              </w:sdtPr>
              <w:sdtContent>
                <w:p>
                  <w:pPr>
                    <w:ind w:firstLine="567"/>
                    <w:jc w:val="both"/>
                    <w:rPr>
                      <w:color w:val="000000"/>
                      <w:szCs w:val="24"/>
                      <w:lang w:eastAsia="lt-LT"/>
                    </w:rPr>
                  </w:pPr>
                  <w:sdt>
                    <w:sdtPr>
                      <w:alias w:val="Numeris"/>
                      <w:tag w:val="nr_129d34c35b53407391208df9b38735f9"/>
                      <w:lock w:val="sdtLocked"/>
                      <w:richText/>
                    </w:sdtPr>
                    <w:sdtContent>
                      <w:r>
                        <w:rPr>
                          <w:szCs w:val="24"/>
                          <w:lang w:eastAsia="lt-LT"/>
                        </w:rPr>
                        <w:t>75</w:t>
                      </w:r>
                    </w:sdtContent>
                  </w:sdt>
                  <w:r>
                    <w:rPr>
                      <w:szCs w:val="24"/>
                      <w:lang w:eastAsia="lt-LT"/>
                    </w:rPr>
                    <w:t>. Gauta pagal AAA, visuomenės, savivaldybės administracijos ir (ar) NVSC pastabas patikslinta paraiška paskelbiama ALIS arba AAA interneto svetainėje visuomenei susipažinti. Jei savivaldybės administracija teikė pastabas ar pasiūlymus priminei paraiškai, AAA elektroniniu paštu šiai institucijai pateikia nuorodą, kur paskelbta patikslinta paraiška. Suinteresuota visuomenė turi teisę susipažinti su patikslinta paraiška ir raštu teikti pastabas ar pasiūlymus patikslintai paraiškai 10 darbo dienų nuo informacijos apie gautą paraišką paskelbimo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ecf770f03111e5989ee743dd0efbb0">
                    <w:r w:rsidRPr="00532B9F">
                      <w:rPr>
                        <w:rFonts w:ascii="Arial" w:eastAsia="MS Mincho" w:hAnsi="Arial"/>
                        <w:sz w:val="20"/>
                        <w:i/>
                        <w:iCs/>
                        <w:color w:val="0000FF" w:themeColor="hyperlink"/>
                        <w:u w:val="single"/>
                      </w:rPr>
                      <w:t>D1-202</w:t>
                    </w:r>
                  </w:fldSimple>
                  <w:r>
                    <w:rPr>
                      <w:rFonts w:ascii="Arial" w:eastAsia="MS Mincho" w:hAnsi="Arial"/>
                      <w:sz w:val="20"/>
                      <w:i/>
                      <w:iCs/>
                    </w:rPr>
                    <w:t>,
2016-03-18,
paskelbta TAR 2016-03-22, i. k. 2016-05516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76 p."/>
                <w:tag w:val="part_f2d8f5f9fe1e4941a7df11663fdb46a2"/>
                <w:lock w:val="sdtLocked"/>
                <w:richText/>
              </w:sdtPr>
              <w:sdtContent>
                <w:p>
                  <w:pPr>
                    <w:widowControl w:val="0"/>
                    <w:ind w:firstLine="567"/>
                    <w:jc w:val="both"/>
                    <w:rPr>
                      <w:color w:val="000000"/>
                      <w:szCs w:val="24"/>
                      <w:lang w:eastAsia="lt-LT"/>
                    </w:rPr>
                  </w:pPr>
                  <w:sdt>
                    <w:sdtPr>
                      <w:alias w:val="Numeris"/>
                      <w:tag w:val="nr_f2d8f5f9fe1e4941a7df11663fdb46a2"/>
                      <w:lock w:val="sdtLocked"/>
                      <w:richText/>
                    </w:sdtPr>
                    <w:sdtContent>
                      <w:r>
                        <w:rPr>
                          <w:lang w:eastAsia="lt-LT"/>
                        </w:rPr>
                        <w:t>76</w:t>
                      </w:r>
                    </w:sdtContent>
                  </w:sdt>
                  <w:r>
                    <w:rPr>
                      <w:lang w:eastAsia="lt-LT"/>
                    </w:rPr>
                    <w:t>. Visais atvejais, kai AAA priima sprendimą dėl leidimo išdavimo ar pakeitimo, viešai ALIS arba AAA interneto svetainėje skelbia: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sdt>
                  <w:sdtPr>
                    <w:alias w:val="76.1 p."/>
                    <w:tag w:val="part_5ae3a99582964a22bea0652b8e0b522b"/>
                    <w:lock w:val="sdtLocked"/>
                    <w:richText/>
                  </w:sdtPr>
                  <w:sdtContent>
                    <w:p>
                      <w:pPr>
                        <w:widowControl w:val="0"/>
                        <w:ind w:firstLine="567"/>
                        <w:jc w:val="both"/>
                        <w:rPr>
                          <w:color w:val="000000"/>
                          <w:szCs w:val="24"/>
                          <w:lang w:eastAsia="lt-LT"/>
                        </w:rPr>
                      </w:pPr>
                      <w:sdt>
                        <w:sdtPr>
                          <w:alias w:val="Numeris"/>
                          <w:tag w:val="nr_5ae3a99582964a22bea0652b8e0b522b"/>
                          <w:lock w:val="sdtLocked"/>
                          <w:richText/>
                        </w:sdtPr>
                        <w:sdtContent>
                          <w:r>
                            <w:rPr>
                              <w:color w:val="000000"/>
                              <w:szCs w:val="24"/>
                              <w:lang w:eastAsia="lt-LT"/>
                            </w:rPr>
                            <w:t>76.1</w:t>
                          </w:r>
                        </w:sdtContent>
                      </w:sdt>
                      <w:r>
                        <w:rPr>
                          <w:color w:val="000000"/>
                          <w:szCs w:val="24"/>
                          <w:lang w:eastAsia="lt-LT"/>
                        </w:rPr>
                        <w:t>. sprendimo turinį, įskaitant leidimo ir jo pakeitimo kopiją;</w:t>
                      </w:r>
                    </w:p>
                  </w:sdtContent>
                </w:sdt>
                <w:sdt>
                  <w:sdtPr>
                    <w:alias w:val="76.2 p."/>
                    <w:tag w:val="part_6aabb93cb7e74386912997e222b8b327"/>
                    <w:lock w:val="sdtLocked"/>
                    <w:richText/>
                  </w:sdtPr>
                  <w:sdtContent>
                    <w:p>
                      <w:pPr>
                        <w:widowControl w:val="0"/>
                        <w:ind w:firstLine="567"/>
                        <w:jc w:val="both"/>
                        <w:rPr>
                          <w:color w:val="000000"/>
                          <w:szCs w:val="24"/>
                          <w:lang w:eastAsia="lt-LT"/>
                        </w:rPr>
                      </w:pPr>
                      <w:sdt>
                        <w:sdtPr>
                          <w:alias w:val="Numeris"/>
                          <w:tag w:val="nr_6aabb93cb7e74386912997e222b8b327"/>
                          <w:lock w:val="sdtLocked"/>
                          <w:richText/>
                        </w:sdtPr>
                        <w:sdtContent>
                          <w:r>
                            <w:rPr>
                              <w:color w:val="000000"/>
                              <w:szCs w:val="24"/>
                              <w:lang w:eastAsia="lt-LT"/>
                            </w:rPr>
                            <w:t>76.2</w:t>
                          </w:r>
                        </w:sdtContent>
                      </w:sdt>
                      <w:r>
                        <w:rPr>
                          <w:color w:val="000000"/>
                          <w:szCs w:val="24"/>
                          <w:lang w:eastAsia="lt-LT"/>
                        </w:rPr>
                        <w:t>. motyvus, kuriais grindžiamas sprendimas;</w:t>
                      </w:r>
                    </w:p>
                  </w:sdtContent>
                </w:sdt>
                <w:sdt>
                  <w:sdtPr>
                    <w:alias w:val="76.3 p."/>
                    <w:tag w:val="part_4f10ebc115e54c4dbd83656abdb0d4ae"/>
                    <w:lock w:val="sdtLocked"/>
                    <w:richText/>
                  </w:sdtPr>
                  <w:sdtContent>
                    <w:p>
                      <w:pPr>
                        <w:widowControl w:val="0"/>
                        <w:ind w:firstLine="567"/>
                        <w:jc w:val="both"/>
                        <w:rPr>
                          <w:color w:val="000000"/>
                          <w:szCs w:val="24"/>
                          <w:lang w:eastAsia="lt-LT"/>
                        </w:rPr>
                      </w:pPr>
                      <w:sdt>
                        <w:sdtPr>
                          <w:alias w:val="Numeris"/>
                          <w:tag w:val="nr_4f10ebc115e54c4dbd83656abdb0d4ae"/>
                          <w:lock w:val="sdtLocked"/>
                          <w:richText/>
                        </w:sdtPr>
                        <w:sdtContent>
                          <w:r>
                            <w:rPr>
                              <w:color w:val="000000"/>
                              <w:szCs w:val="24"/>
                              <w:lang w:eastAsia="lt-LT"/>
                            </w:rPr>
                            <w:t>76.3</w:t>
                          </w:r>
                        </w:sdtContent>
                      </w:sdt>
                      <w:r>
                        <w:rPr>
                          <w:color w:val="000000"/>
                          <w:szCs w:val="24"/>
                          <w:lang w:eastAsia="lt-LT"/>
                        </w:rPr>
                        <w:t>. surengtų konsultacijų rezultatus ir paaiškinimą, kaip į juos atsižvelgta priimant sprendimą;</w:t>
                      </w:r>
                    </w:p>
                  </w:sdtContent>
                </w:sdt>
                <w:sdt>
                  <w:sdtPr>
                    <w:alias w:val="76.4 p."/>
                    <w:tag w:val="part_ff9fbf08123945f2831ef70529864e08"/>
                    <w:lock w:val="sdtLocked"/>
                    <w:richText/>
                  </w:sdtPr>
                  <w:sdtContent>
                    <w:p>
                      <w:pPr>
                        <w:widowControl w:val="0"/>
                        <w:ind w:firstLine="567"/>
                        <w:jc w:val="both"/>
                        <w:rPr>
                          <w:color w:val="000000"/>
                          <w:szCs w:val="24"/>
                          <w:lang w:eastAsia="lt-LT"/>
                        </w:rPr>
                      </w:pPr>
                      <w:sdt>
                        <w:sdtPr>
                          <w:alias w:val="Numeris"/>
                          <w:tag w:val="nr_ff9fbf08123945f2831ef70529864e08"/>
                          <w:lock w:val="sdtLocked"/>
                          <w:richText/>
                        </w:sdtPr>
                        <w:sdtContent>
                          <w:r>
                            <w:rPr>
                              <w:color w:val="000000"/>
                              <w:szCs w:val="24"/>
                              <w:lang w:eastAsia="lt-LT"/>
                            </w:rPr>
                            <w:t>76.4</w:t>
                          </w:r>
                        </w:sdtContent>
                      </w:sdt>
                      <w:r>
                        <w:rPr>
                          <w:color w:val="000000"/>
                          <w:szCs w:val="24"/>
                          <w:lang w:eastAsia="lt-LT"/>
                        </w:rPr>
                        <w:t>. su atitinkamu įrenginiu arba veikla susijusių GPGB informacinių dokumentų pavadinimus;</w:t>
                      </w:r>
                    </w:p>
                  </w:sdtContent>
                </w:sdt>
                <w:sdt>
                  <w:sdtPr>
                    <w:alias w:val="76.5 p."/>
                    <w:tag w:val="part_d3164472338b414faccbbbf3a6f1c60b"/>
                    <w:lock w:val="sdtLocked"/>
                    <w:richText/>
                  </w:sdtPr>
                  <w:sdtContent>
                    <w:p>
                      <w:pPr>
                        <w:ind w:firstLine="567"/>
                        <w:jc w:val="both"/>
                        <w:rPr>
                          <w:color w:val="000000"/>
                          <w:szCs w:val="24"/>
                          <w:lang w:eastAsia="lt-LT"/>
                        </w:rPr>
                      </w:pPr>
                      <w:sdt>
                        <w:sdtPr>
                          <w:alias w:val="Numeris"/>
                          <w:tag w:val="nr_d3164472338b414faccbbbf3a6f1c60b"/>
                          <w:lock w:val="sdtLocked"/>
                          <w:richText/>
                        </w:sdtPr>
                        <w:sdtContent>
                          <w:r>
                            <w:rPr>
                              <w:color w:val="000000"/>
                              <w:szCs w:val="24"/>
                              <w:lang w:eastAsia="zh-CN"/>
                            </w:rPr>
                            <w:t>76.5</w:t>
                          </w:r>
                        </w:sdtContent>
                      </w:sdt>
                      <w:r>
                        <w:rPr>
                          <w:color w:val="000000"/>
                          <w:szCs w:val="24"/>
                          <w:lang w:eastAsia="zh-CN"/>
                        </w:rPr>
                        <w:t>. kaip nustatytos leidimo sąlygos atsižvelgus į GPGB ir išmetamųjų teršalų kiekį, nustatytą GPGB, įskaitant išmetamųjų teršalų ribines vertes; kokios nustatytos leidimo sąlygos mažinti pavojingųjų medžiagų naudojimą;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76.6 p."/>
                    <w:tag w:val="part_9937dc72422a4ddd9fc102323d9aead4"/>
                    <w:lock w:val="sdtLocked"/>
                    <w:richText/>
                  </w:sdtPr>
                  <w:sdtContent>
                    <w:p>
                      <w:pPr>
                        <w:widowControl w:val="0"/>
                        <w:ind w:firstLine="567"/>
                        <w:jc w:val="both"/>
                        <w:rPr>
                          <w:color w:val="000000"/>
                          <w:szCs w:val="24"/>
                          <w:lang w:eastAsia="lt-LT"/>
                        </w:rPr>
                      </w:pPr>
                      <w:sdt>
                        <w:sdtPr>
                          <w:alias w:val="Numeris"/>
                          <w:tag w:val="nr_9937dc72422a4ddd9fc102323d9aead4"/>
                          <w:lock w:val="sdtLocked"/>
                          <w:richText/>
                        </w:sdtPr>
                        <w:sdtContent>
                          <w:r>
                            <w:rPr>
                              <w:color w:val="000000"/>
                              <w:szCs w:val="24"/>
                              <w:lang w:eastAsia="lt-LT"/>
                            </w:rPr>
                            <w:t>76.6</w:t>
                          </w:r>
                        </w:sdtContent>
                      </w:sdt>
                      <w:r>
                        <w:rPr>
                          <w:color w:val="000000"/>
                          <w:szCs w:val="24"/>
                          <w:lang w:eastAsia="lt-LT"/>
                        </w:rPr>
                        <w:t>. jei taikyta 51 punkte numatyta išimtis – jos suteikimo priežastis remiantis nustatytais kriterijais ir nustatytomis sąlygomis.</w:t>
                      </w:r>
                    </w:p>
                  </w:sdtContent>
                </w:sdt>
              </w:sdtContent>
            </w:sdt>
            <w:sdt>
              <w:sdtPr>
                <w:alias w:val="77 p."/>
                <w:tag w:val="part_561764a9d06f4f51a23c5315a3807ecc"/>
                <w:lock w:val="sdtLocked"/>
                <w:richText/>
              </w:sdtPr>
              <w:sdtContent>
                <w:p>
                  <w:pPr>
                    <w:widowControl w:val="0"/>
                    <w:ind w:firstLine="567"/>
                    <w:jc w:val="both"/>
                    <w:rPr>
                      <w:color w:val="000000"/>
                      <w:szCs w:val="24"/>
                      <w:lang w:eastAsia="lt-LT"/>
                    </w:rPr>
                  </w:pPr>
                  <w:sdt>
                    <w:sdtPr>
                      <w:alias w:val="Numeris"/>
                      <w:tag w:val="nr_561764a9d06f4f51a23c5315a3807ecc"/>
                      <w:lock w:val="sdtLocked"/>
                      <w:richText/>
                    </w:sdtPr>
                    <w:sdtContent>
                      <w:r>
                        <w:rPr>
                          <w:color w:val="000000"/>
                          <w:szCs w:val="24"/>
                          <w:lang w:eastAsia="lt-LT"/>
                        </w:rPr>
                        <w:t>77</w:t>
                      </w:r>
                    </w:sdtContent>
                  </w:sdt>
                  <w:r>
                    <w:rPr>
                      <w:color w:val="000000"/>
                      <w:szCs w:val="24"/>
                      <w:lang w:eastAsia="lt-LT"/>
                    </w:rPr>
                    <w:t>. Jei 72 punkte nenurodyta informacija, susijusi su leidimo išdavimu ar pakeitimu, yra svarbi suinteresuotosios visuomenės atstovui, jam paprašius, AAA informuoja, kur galima gauti norimą informaciją, jei ji yra, apie informacijai rinkti taikomą tvarką, įskaitant analizės metodus, bandinių ėmimą ir tolesnį jų apdorojimą, arba pateikia nuorodas į naudojamas standartizuotas procedūras.</w:t>
                  </w:r>
                </w:p>
                <w:p>
                  <w:pPr>
                    <w:widowControl w:val="0"/>
                    <w:ind w:firstLine="567"/>
                    <w:jc w:val="both"/>
                    <w:rPr>
                      <w:color w:val="000000"/>
                      <w:szCs w:val="24"/>
                      <w:lang w:eastAsia="lt-LT"/>
                    </w:rPr>
                  </w:pPr>
                </w:p>
              </w:sdtContent>
            </w:sdt>
          </w:sdtContent>
        </w:sdt>
        <w:sdt>
          <w:sdtPr>
            <w:alias w:val="skyrius"/>
            <w:tag w:val="part_17dd1dd58ca94ebd9ae04b929e23bd1c"/>
            <w:lock w:val="sdtLocked"/>
            <w:richText/>
          </w:sdtPr>
          <w:sdtContent>
            <w:p>
              <w:pPr>
                <w:widowControl w:val="0"/>
                <w:jc w:val="center"/>
                <w:rPr>
                  <w:b/>
                  <w:bCs/>
                  <w:caps/>
                  <w:color w:val="000000"/>
                  <w:szCs w:val="24"/>
                  <w:lang w:eastAsia="lt-LT"/>
                </w:rPr>
              </w:pPr>
              <w:sdt>
                <w:sdtPr>
                  <w:alias w:val="Numeris"/>
                  <w:tag w:val="nr_17dd1dd58ca94ebd9ae04b929e23bd1c"/>
                  <w:lock w:val="sdtLocked"/>
                  <w:richText/>
                </w:sdtPr>
                <w:sdtContent>
                  <w:r>
                    <w:rPr>
                      <w:b/>
                      <w:bCs/>
                      <w:caps/>
                      <w:color w:val="000000"/>
                      <w:szCs w:val="24"/>
                      <w:lang w:eastAsia="lt-LT"/>
                    </w:rPr>
                    <w:t>IX</w:t>
                  </w:r>
                </w:sdtContent>
              </w:sdt>
              <w:r>
                <w:rPr>
                  <w:b/>
                  <w:bCs/>
                  <w:caps/>
                  <w:color w:val="000000"/>
                  <w:szCs w:val="24"/>
                  <w:lang w:eastAsia="lt-LT"/>
                </w:rPr>
                <w:t xml:space="preserve">. </w:t>
              </w:r>
              <w:sdt>
                <w:sdtPr>
                  <w:alias w:val="Pavadinimas"/>
                  <w:tag w:val="title_17dd1dd58ca94ebd9ae04b929e23bd1c"/>
                  <w:lock w:val="sdtLocked"/>
                  <w:richText/>
                </w:sdtPr>
                <w:sdtContent>
                  <w:r>
                    <w:rPr>
                      <w:b/>
                      <w:bCs/>
                      <w:caps/>
                      <w:color w:val="000000"/>
                      <w:szCs w:val="24"/>
                      <w:lang w:eastAsia="lt-LT"/>
                    </w:rPr>
                    <w:t>KITOS ES VALSTYBĖS INFORMAVIMO PROCEDŪROS</w:t>
                  </w:r>
                </w:sdtContent>
              </w:sdt>
            </w:p>
            <w:p>
              <w:pPr>
                <w:widowControl w:val="0"/>
                <w:ind w:firstLine="567"/>
                <w:jc w:val="both"/>
                <w:rPr>
                  <w:color w:val="000000"/>
                  <w:szCs w:val="24"/>
                  <w:lang w:eastAsia="lt-LT"/>
                </w:rPr>
              </w:pPr>
            </w:p>
            <w:sdt>
              <w:sdtPr>
                <w:alias w:val="78 p."/>
                <w:tag w:val="part_e668c7e5a95e438eaa258bd30e8026a9"/>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Cs w:val="24"/>
                      <w:lang w:eastAsia="lt-LT"/>
                    </w:rPr>
                  </w:pPr>
                  <w:sdt>
                    <w:sdtPr>
                      <w:alias w:val="Numeris"/>
                      <w:tag w:val="nr_e668c7e5a95e438eaa258bd30e8026a9"/>
                      <w:lock w:val="sdtLocked"/>
                      <w:richText/>
                    </w:sdtPr>
                    <w:sdtContent>
                      <w:r>
                        <w:rPr>
                          <w:szCs w:val="24"/>
                          <w:lang w:eastAsia="lt-LT"/>
                        </w:rPr>
                        <w:t>78</w:t>
                      </w:r>
                    </w:sdtContent>
                  </w:sdt>
                  <w:r>
                    <w:rPr>
                      <w:szCs w:val="24"/>
                      <w:lang w:eastAsia="lt-LT"/>
                    </w:rPr>
                    <w:t>. Jeigu įrenginio eksploatavimas gali daryti reikšmingą neigiamą poveikį kitos Europos Sąjungos valstybės aplinkai ir jam atliktos tarpvalstybinio poveikio aplinkai vertinimo procedūros arba jeigu AAA paviešinus paraišką leidimui gauti ar pakeisti to prašo Europos Sąjungos valstybė, kuriai gali būti padarytas reikšmingas poveikis, veiklos vykdytojas privalo AAA pateikti (anglų kalba):</w:t>
                  </w:r>
                </w:p>
                <w:sdt>
                  <w:sdtPr>
                    <w:alias w:val="78.1 pp."/>
                    <w:tag w:val="part_b71d96d146634afe982a2bf070a62f31"/>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Cs w:val="24"/>
                          <w:lang w:eastAsia="lt-LT"/>
                        </w:rPr>
                      </w:pPr>
                      <w:sdt>
                        <w:sdtPr>
                          <w:alias w:val="Numeris"/>
                          <w:tag w:val="nr_b71d96d146634afe982a2bf070a62f31"/>
                          <w:lock w:val="sdtLocked"/>
                          <w:richText/>
                        </w:sdtPr>
                        <w:sdtContent>
                          <w:r>
                            <w:rPr>
                              <w:szCs w:val="24"/>
                              <w:lang w:eastAsia="lt-LT"/>
                            </w:rPr>
                            <w:t>78.1</w:t>
                          </w:r>
                        </w:sdtContent>
                      </w:sdt>
                      <w:r>
                        <w:rPr>
                          <w:szCs w:val="24"/>
                          <w:lang w:eastAsia="lt-LT"/>
                        </w:rPr>
                        <w:t>. netechninio pobūdžio informacijos santrauką, kaip nurodyta Taisyklių 21.21 punkte;</w:t>
                      </w:r>
                    </w:p>
                  </w:sdtContent>
                </w:sdt>
                <w:sdt>
                  <w:sdtPr>
                    <w:alias w:val="78.2 pp."/>
                    <w:tag w:val="part_e784c9f5439a431aa55574672133b7ec"/>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Cs w:val="24"/>
                          <w:lang w:eastAsia="lt-LT"/>
                        </w:rPr>
                      </w:pPr>
                      <w:sdt>
                        <w:sdtPr>
                          <w:alias w:val="Numeris"/>
                          <w:tag w:val="nr_e784c9f5439a431aa55574672133b7ec"/>
                          <w:lock w:val="sdtLocked"/>
                          <w:richText/>
                        </w:sdtPr>
                        <w:sdtContent>
                          <w:r>
                            <w:rPr>
                              <w:szCs w:val="24"/>
                              <w:lang w:eastAsia="lt-LT"/>
                            </w:rPr>
                            <w:t>78.2</w:t>
                          </w:r>
                        </w:sdtContent>
                      </w:sdt>
                      <w:r>
                        <w:rPr>
                          <w:szCs w:val="24"/>
                          <w:lang w:eastAsia="lt-LT"/>
                        </w:rPr>
                        <w:t>. informacijos apie galimą reikšmingą tarpvalstybinį neigiamą poveikį santrauką;</w:t>
                      </w:r>
                    </w:p>
                  </w:sdtContent>
                </w:sdt>
                <w:sdt>
                  <w:sdtPr>
                    <w:alias w:val="78.3 pp."/>
                    <w:tag w:val="part_0af997c8292b4ecdaa078651370e942d"/>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Cs w:val="24"/>
                          <w:lang w:eastAsia="lt-LT"/>
                        </w:rPr>
                      </w:pPr>
                      <w:sdt>
                        <w:sdtPr>
                          <w:alias w:val="Numeris"/>
                          <w:tag w:val="nr_0af997c8292b4ecdaa078651370e942d"/>
                          <w:lock w:val="sdtLocked"/>
                          <w:richText/>
                        </w:sdtPr>
                        <w:sdtContent>
                          <w:r>
                            <w:rPr>
                              <w:szCs w:val="24"/>
                              <w:lang w:eastAsia="lt-LT"/>
                            </w:rPr>
                            <w:t>78.3</w:t>
                          </w:r>
                        </w:sdtContent>
                      </w:sdt>
                      <w:r>
                        <w:rPr>
                          <w:szCs w:val="24"/>
                          <w:lang w:eastAsia="lt-LT"/>
                        </w:rPr>
                        <w:t>. palyginimą, kiek veiklos vykdytojo naudojama technologija, veiklos metodai ir taršos prevencijos ir monitoringo (stebėsenos) priemonės atitinka GPGB išvadose nurodytus GPGB;</w:t>
                      </w:r>
                    </w:p>
                  </w:sdtContent>
                </w:sdt>
                <w:sdt>
                  <w:sdtPr>
                    <w:alias w:val="78.4 pp."/>
                    <w:tag w:val="part_e31464b959e843d3ab7862b545c64866"/>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e31464b959e843d3ab7862b545c64866"/>
                          <w:lock w:val="sdtLocked"/>
                          <w:richText/>
                        </w:sdtPr>
                        <w:sdtContent>
                          <w:r>
                            <w:rPr>
                              <w:szCs w:val="24"/>
                              <w:lang w:eastAsia="lt-LT"/>
                            </w:rPr>
                            <w:t>78.4</w:t>
                          </w:r>
                        </w:sdtContent>
                      </w:sdt>
                      <w:r>
                        <w:rPr>
                          <w:szCs w:val="24"/>
                          <w:lang w:eastAsia="lt-LT"/>
                        </w:rPr>
                        <w:t>. Taisyklių 72.1 papunktyje nurodytą informaciją.</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sdtContent>
            </w:sdt>
            <w:sdt>
              <w:sdtPr>
                <w:alias w:val="79 p."/>
                <w:tag w:val="part_db031a51f48b45f9aeda5185709f6b97"/>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db031a51f48b45f9aeda5185709f6b97"/>
                      <w:lock w:val="sdtLocked"/>
                      <w:richText/>
                    </w:sdtPr>
                    <w:sdtContent>
                      <w:r>
                        <w:rPr>
                          <w:rFonts w:eastAsia="Andale Sans UI"/>
                          <w:szCs w:val="24"/>
                          <w:lang w:bidi="en-US"/>
                        </w:rPr>
                        <w:t>79</w:t>
                      </w:r>
                    </w:sdtContent>
                  </w:sdt>
                  <w:r>
                    <w:rPr>
                      <w:rFonts w:eastAsia="Andale Sans UI"/>
                      <w:szCs w:val="24"/>
                      <w:lang w:bidi="en-US"/>
                    </w:rPr>
                    <w:t>. AAA Taisyklių 72 ir 78 punktuose nurodytą informaciją anglų kalba pateikia kitos Europos Sąjungos valstybės atsakingai institucijai tuo pat metu, kai teikiama informacija Lietuvos Respublikos suinteresuotajai visuomenei susipažinti, nurodydama kontaktus ir 40 dienų terminą nuo informacijos gavimo dienos tos valstybės institucijų ir visuomenės pastaboms pateikti AAA ir prašo tos valstybės atsakingos institucijos informuoti savo valstybės visuomenę apie gautą informaciją ir galimybę pateikti visuomenės ir institucijų komentarus išlaikant šiame punkte nurodytą terminą. Atitinkamai šią informaciją AAA anglų kalba paskelbia savo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sdtContent>
            </w:sdt>
            <w:sdt>
              <w:sdtPr>
                <w:alias w:val="80 p."/>
                <w:tag w:val="part_db5272c6dd064dadac1e603f5f4ff805"/>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db5272c6dd064dadac1e603f5f4ff805"/>
                      <w:lock w:val="sdtLocked"/>
                      <w:richText/>
                    </w:sdtPr>
                    <w:sdtContent>
                      <w:r>
                        <w:rPr>
                          <w:rFonts w:eastAsia="Andale Sans UI"/>
                          <w:szCs w:val="24"/>
                          <w:lang w:bidi="en-US"/>
                        </w:rPr>
                        <w:t>80</w:t>
                      </w:r>
                    </w:sdtContent>
                  </w:sdt>
                  <w:r>
                    <w:rPr>
                      <w:rFonts w:eastAsia="Andale Sans UI"/>
                      <w:szCs w:val="24"/>
                      <w:lang w:bidi="en-US"/>
                    </w:rPr>
                    <w:t>. AAA kiekvienai Europos Sąjungos valstybei, su kuria konsultuotasi dėl leidimo išdavimo arba pakeitimo, priėmusi sprendimą dėl leidimo išdavimo arba pakeitimo, informuoja Europos Sąjungos valstybę ir pateikia jai Taisyklių 76 punkte nurodytą informaciją; Taisyklių 76.1 ir 76.3 papunkčiuose nurodyta informacija turi būti pateikta anglų kalba.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sdtContent>
            </w:sdt>
            <w:sdt>
              <w:sdtPr>
                <w:alias w:val="81 p."/>
                <w:tag w:val="part_8c1b10f403034a74ae6e4d024385c5bb"/>
                <w:lock w:val="sdtLocked"/>
                <w:richText/>
              </w:sdtPr>
              <w:sdtContent>
                <w:p>
                  <w:pPr>
                    <w:widowControl w:val="0"/>
                    <w:ind w:firstLine="567"/>
                    <w:jc w:val="both"/>
                    <w:rPr>
                      <w:color w:val="000000"/>
                      <w:szCs w:val="24"/>
                      <w:lang w:eastAsia="lt-LT"/>
                    </w:rPr>
                  </w:pPr>
                  <w:sdt>
                    <w:sdtPr>
                      <w:alias w:val="Numeris"/>
                      <w:tag w:val="nr_8c1b10f403034a74ae6e4d024385c5bb"/>
                      <w:lock w:val="sdtLocked"/>
                      <w:richText/>
                    </w:sdtPr>
                    <w:sdtContent>
                      <w:r>
                        <w:rPr>
                          <w:color w:val="000000"/>
                          <w:szCs w:val="24"/>
                          <w:lang w:eastAsia="lt-LT"/>
                        </w:rPr>
                        <w:t>81</w:t>
                      </w:r>
                    </w:sdtContent>
                  </w:sdt>
                  <w:r>
                    <w:rPr>
                      <w:color w:val="000000"/>
                      <w:szCs w:val="24"/>
                      <w:lang w:eastAsia="lt-LT"/>
                    </w:rPr>
                    <w:t>. AAA, gavusi informaciją apie numatomo eksploatuoti įrenginio galimą neigiamą poveikį Lietuvos Respublikos aplinkai iš kitos Europos Sąjungos valstybės, vadovaudamasi Taisyklių VIII skyriumi, supažindina su ja suinteresuotąją visuomenę.</w:t>
                  </w:r>
                </w:p>
              </w:sdtContent>
            </w:sdt>
            <w:sdt>
              <w:sdtPr>
                <w:alias w:val="82 p."/>
                <w:tag w:val="part_3663f6e5a421436f97e2b426aba4eb5a"/>
                <w:lock w:val="sdtLocked"/>
                <w:richText/>
              </w:sdtPr>
              <w:sdtContent>
                <w:p>
                  <w:pPr>
                    <w:widowControl w:val="0"/>
                    <w:ind w:firstLine="567"/>
                    <w:jc w:val="both"/>
                    <w:rPr>
                      <w:color w:val="000000"/>
                      <w:szCs w:val="24"/>
                      <w:lang w:eastAsia="lt-LT"/>
                    </w:rPr>
                  </w:pPr>
                  <w:sdt>
                    <w:sdtPr>
                      <w:alias w:val="Numeris"/>
                      <w:tag w:val="nr_3663f6e5a421436f97e2b426aba4eb5a"/>
                      <w:lock w:val="sdtLocked"/>
                      <w:richText/>
                    </w:sdtPr>
                    <w:sdtContent>
                      <w:r>
                        <w:rPr>
                          <w:color w:val="000000"/>
                          <w:szCs w:val="24"/>
                          <w:lang w:eastAsia="lt-LT"/>
                        </w:rPr>
                        <w:t>82</w:t>
                      </w:r>
                    </w:sdtContent>
                  </w:sdt>
                  <w:r>
                    <w:rPr>
                      <w:color w:val="000000"/>
                      <w:szCs w:val="24"/>
                      <w:lang w:eastAsia="lt-LT"/>
                    </w:rPr>
                    <w:t>. AAA užtikrina, kad kita Europos Sąjungos valstybė būtų informuota apie planuojamą įrenginiui išduoti ar pakeisti leidimą dėl esminio įrenginio pakeitimo, kai įrenginio eksploatavimas gali daryti reikšmingą neigiamą poveikį kitos Europos Sąjungos valstybės aplinkai, ir turėtų teisę pateikti nuomonę, pasiūlymus prieš AAA priimant sprendimą išduoti ar pakeisti leidimą. Sprendimas priimti paraišką gali būti priimtas tik sulaukus atsakymo iš kitos Europos Sąjungos valstybės, bet ne vėliau kaip po 2 mėnesių nuo informacijos kitai Europos Sąjungos valstybei pateikimo dienos.</w:t>
                  </w:r>
                </w:p>
                <w:p>
                  <w:pPr>
                    <w:widowControl w:val="0"/>
                    <w:ind w:firstLine="567"/>
                    <w:jc w:val="both"/>
                    <w:rPr>
                      <w:b/>
                      <w:bCs/>
                      <w:color w:val="000000"/>
                      <w:szCs w:val="24"/>
                      <w:lang w:eastAsia="lt-LT"/>
                    </w:rPr>
                  </w:pPr>
                </w:p>
              </w:sdtContent>
            </w:sdt>
          </w:sdtContent>
        </w:sdt>
        <w:sdt>
          <w:sdtPr>
            <w:alias w:val="skyrius"/>
            <w:tag w:val="part_61fa2251b4714a58895bcdad03021617"/>
            <w:lock w:val="sdtLocked"/>
            <w:richText/>
          </w:sdtPr>
          <w:sdtContent>
            <w:p>
              <w:pPr>
                <w:widowControl w:val="0"/>
                <w:jc w:val="center"/>
                <w:rPr>
                  <w:b/>
                  <w:bCs/>
                  <w:caps/>
                  <w:color w:val="000000"/>
                  <w:szCs w:val="24"/>
                  <w:lang w:eastAsia="lt-LT"/>
                </w:rPr>
              </w:pPr>
              <w:sdt>
                <w:sdtPr>
                  <w:alias w:val="Numeris"/>
                  <w:tag w:val="nr_61fa2251b4714a58895bcdad03021617"/>
                  <w:lock w:val="sdtLocked"/>
                  <w:richText/>
                </w:sdtPr>
                <w:sdtContent>
                  <w:r>
                    <w:rPr>
                      <w:b/>
                      <w:bCs/>
                      <w:caps/>
                      <w:color w:val="000000"/>
                      <w:szCs w:val="24"/>
                      <w:lang w:eastAsia="lt-LT"/>
                    </w:rPr>
                    <w:t>X</w:t>
                  </w:r>
                </w:sdtContent>
              </w:sdt>
              <w:r>
                <w:rPr>
                  <w:b/>
                  <w:bCs/>
                  <w:caps/>
                  <w:color w:val="000000"/>
                  <w:szCs w:val="24"/>
                  <w:lang w:eastAsia="lt-LT"/>
                </w:rPr>
                <w:t xml:space="preserve">. </w:t>
              </w:r>
              <w:sdt>
                <w:sdtPr>
                  <w:alias w:val="Pavadinimas"/>
                  <w:tag w:val="title_61fa2251b4714a58895bcdad03021617"/>
                  <w:lock w:val="sdtLocked"/>
                  <w:richText/>
                </w:sdtPr>
                <w:sdtContent>
                  <w:r>
                    <w:rPr>
                      <w:b/>
                      <w:bCs/>
                      <w:caps/>
                      <w:color w:val="000000"/>
                      <w:szCs w:val="24"/>
                      <w:lang w:eastAsia="lt-LT"/>
                    </w:rPr>
                    <w:t>LEIDIMO IŠDAVIMAS</w:t>
                  </w:r>
                </w:sdtContent>
              </w:sdt>
            </w:p>
            <w:p>
              <w:pPr>
                <w:widowControl w:val="0"/>
                <w:ind w:firstLine="567"/>
                <w:jc w:val="both"/>
                <w:rPr>
                  <w:color w:val="000000"/>
                  <w:szCs w:val="24"/>
                  <w:lang w:eastAsia="lt-LT"/>
                </w:rPr>
              </w:pPr>
            </w:p>
            <w:sdt>
              <w:sdtPr>
                <w:alias w:val="83 p."/>
                <w:tag w:val="part_95e4448a4b39489aa0574dce0f09092c"/>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95e4448a4b39489aa0574dce0f09092c"/>
                      <w:lock w:val="sdtLocked"/>
                      <w:richText/>
                    </w:sdtPr>
                    <w:sdtContent>
                      <w:r>
                        <w:rPr>
                          <w:rFonts w:eastAsia="Andale Sans UI"/>
                          <w:szCs w:val="24"/>
                          <w:lang w:bidi="en-US"/>
                        </w:rPr>
                        <w:t>83</w:t>
                      </w:r>
                    </w:sdtContent>
                  </w:sdt>
                  <w:r>
                    <w:rPr>
                      <w:rFonts w:eastAsia="Andale Sans UI"/>
                      <w:szCs w:val="24"/>
                      <w:lang w:bidi="en-US"/>
                    </w:rPr>
                    <w:t>. Sprendimas išduoti leidimą arba, vadovaujantis Lietuvos Respublikos aplinkos apsaugos įstatymo 19</w:t>
                  </w:r>
                  <w:r>
                    <w:rPr>
                      <w:rFonts w:eastAsia="Andale Sans UI"/>
                      <w:szCs w:val="24"/>
                      <w:vertAlign w:val="superscript"/>
                      <w:lang w:bidi="en-US"/>
                    </w:rPr>
                    <w:t>1</w:t>
                  </w:r>
                  <w:r>
                    <w:rPr>
                      <w:rFonts w:eastAsia="Andale Sans UI"/>
                      <w:szCs w:val="24"/>
                      <w:lang w:bidi="en-US"/>
                    </w:rPr>
                    <w:t xml:space="preserve"> straipsnyje nustatytais pagrindais, sprendimas neišduoti leidimo priimamas ne vėliau kaip per 20 darbo dienų nuo sprendimo priimti paraišką priėmimo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sdtContent>
            </w:sdt>
            <w:sdt>
              <w:sdtPr>
                <w:alias w:val="84 p."/>
                <w:tag w:val="part_20581889861047b9bc78b934144ca98c"/>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20581889861047b9bc78b934144ca98c"/>
                      <w:lock w:val="sdtLocked"/>
                      <w:richText/>
                    </w:sdtPr>
                    <w:sdtContent>
                      <w:r>
                        <w:rPr>
                          <w:rFonts w:eastAsia="Andale Sans UI"/>
                          <w:szCs w:val="24"/>
                          <w:lang w:bidi="en-US"/>
                        </w:rPr>
                        <w:t>84</w:t>
                      </w:r>
                    </w:sdtContent>
                  </w:sdt>
                  <w:r>
                    <w:rPr>
                      <w:rFonts w:eastAsia="Andale Sans UI"/>
                      <w:szCs w:val="24"/>
                      <w:lang w:bidi="en-US"/>
                    </w:rPr>
                    <w:t>. Kai leidimas išduodamas kelioms įrenginio dalims, kurias eksploatuoja skirtingi ūkio subjektai (veiklos vykdytojai), leidime nurodoma konkreti kiekvieno ūkio subjekto (veiklos vykdytojo) atsakomybė pagal Taisyklių 14 punkte nurodytą deklaraciją.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sdtContent>
            </w:sdt>
            <w:sdt>
              <w:sdtPr>
                <w:alias w:val="85 p."/>
                <w:tag w:val="part_415c47c8dbeb492d8847f06751f2f194"/>
                <w:lock w:val="sdtLocked"/>
                <w:richText/>
              </w:sdtPr>
              <w:sdtContent>
                <w:p>
                  <w:pPr>
                    <w:widowControl w:val="0"/>
                    <w:ind w:firstLine="567"/>
                    <w:jc w:val="both"/>
                    <w:rPr>
                      <w:color w:val="000000"/>
                      <w:szCs w:val="24"/>
                      <w:lang w:eastAsia="lt-LT"/>
                    </w:rPr>
                  </w:pPr>
                  <w:sdt>
                    <w:sdtPr>
                      <w:alias w:val="Numeris"/>
                      <w:tag w:val="nr_415c47c8dbeb492d8847f06751f2f194"/>
                      <w:lock w:val="sdtLocked"/>
                      <w:richText/>
                    </w:sdtPr>
                    <w:sdtContent>
                      <w:r>
                        <w:rPr>
                          <w:color w:val="000000"/>
                          <w:szCs w:val="24"/>
                          <w:lang w:eastAsia="lt-LT"/>
                        </w:rPr>
                        <w:t>85</w:t>
                      </w:r>
                    </w:sdtContent>
                  </w:sdt>
                  <w:r>
                    <w:rPr>
                      <w:color w:val="000000"/>
                      <w:szCs w:val="24"/>
                      <w:lang w:eastAsia="lt-LT"/>
                    </w:rPr>
                    <w:t>. Jei leidimas išduodamas kelių veiklos vykdytojų eksploatuojamam įrenginiui, jo daliai ar dalims arba išduodami atskiri leidimai to paties veiklos vykdytojo eksploatuojamiems įrenginiams ar jų dalims, AAA turi išduoti leidimus laikydamasi vienodų leidimų išdavimo sąlygų ir procedūrų, nustatytų Taisyklėse, jas visiškai koordinuojant ir taikant bendrą šiame procese dalyvaujančių atsakingų institucijų integruotą požiūrį.</w:t>
                  </w:r>
                </w:p>
              </w:sdtContent>
            </w:sdt>
            <w:sdt>
              <w:sdtPr>
                <w:alias w:val="86 p."/>
                <w:tag w:val="part_e236407c27574386b52ec771df36757b"/>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e236407c27574386b52ec771df36757b"/>
                      <w:lock w:val="sdtLocked"/>
                      <w:richText/>
                    </w:sdtPr>
                    <w:sdtContent>
                      <w:r>
                        <w:rPr>
                          <w:szCs w:val="24"/>
                          <w:lang w:eastAsia="lt-LT"/>
                        </w:rPr>
                        <w:t>86</w:t>
                      </w:r>
                    </w:sdtContent>
                  </w:sdt>
                  <w:r>
                    <w:rPr>
                      <w:szCs w:val="24"/>
                      <w:lang w:eastAsia="lt-LT"/>
                    </w:rPr>
                    <w:t>. Išduodant leidimą naujam įrenginiui arba esminiam jo pakeitimui, jei atliktos procedūros pagal Lietuvos Respublikos planuojamos ūkinės veiklos poveikio aplinkai vertinimo įstatymo reikalavimus, naudojamasi visais turimais poveikio aplinkai vertinimo dokumentais ir priimta atrankos išvada ar sprendimu dėl planuojamos ūkinės veiklos poveikio aplinkai (sprendimu dėl planuojamos ūkinės veiklos galimybių).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sdtContent>
            </w:sdt>
            <w:sdt>
              <w:sdtPr>
                <w:alias w:val="87 p."/>
                <w:tag w:val="part_b4abed87dcde4f358c497b0918d23fb6"/>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b4abed87dcde4f358c497b0918d23fb6"/>
                      <w:lock w:val="sdtLocked"/>
                      <w:richText/>
                    </w:sdtPr>
                    <w:sdtContent>
                      <w:r>
                        <w:rPr>
                          <w:szCs w:val="24"/>
                          <w:lang w:eastAsia="lt-LT"/>
                        </w:rPr>
                        <w:t>87</w:t>
                      </w:r>
                    </w:sdtContent>
                  </w:sdt>
                  <w:r>
                    <w:rPr>
                      <w:szCs w:val="24"/>
                      <w:lang w:eastAsia="lt-LT"/>
                    </w:rPr>
                    <w:t>. Prieš išduodama leidimą, AAA su parengtu leidimo projektu turi supažindinti veiklos vykdytoją, informuodama jį raštu ar elektroniniu paštu apie tai ir pateikdama susipažinti leidimo projektą arba nuorodą. Susipažinti su AAA parengtu leidimo projektu skiriamos 5 darbo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88 p."/>
                <w:tag w:val="part_cd29064749d846e79e11056d150ce27b"/>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cd29064749d846e79e11056d150ce27b"/>
                      <w:lock w:val="sdtLocked"/>
                      <w:richText/>
                    </w:sdtPr>
                    <w:sdtContent>
                      <w:r>
                        <w:rPr>
                          <w:rFonts w:eastAsia="Andale Sans UI"/>
                          <w:szCs w:val="24"/>
                          <w:lang w:bidi="en-US"/>
                        </w:rPr>
                        <w:t>88</w:t>
                      </w:r>
                    </w:sdtContent>
                  </w:sdt>
                  <w:r>
                    <w:rPr>
                      <w:rFonts w:eastAsia="Andale Sans UI"/>
                      <w:szCs w:val="24"/>
                      <w:lang w:bidi="en-US"/>
                    </w:rPr>
                    <w:t>. AAA motyvuotu sprendimu, vadovaudamasi Lietuvos Respublikos viešojo administravimo įstatymu, gali ne ilgiau kaip 10 darbo dienų pratęsti terminą sprendimui dėl leidimo išdavimo priimti, jeigu veiklos vykdytojas prieštarauja leidimo projektui ir dėl to reikia papildomai aptarti leidimo sąlygas su veiklos vykdytoju arba dėl kitų objektyvių priežasčių. Veiklos vykdytojui apie leidimo išdavimo termino pratęsimą pranešama raštu pateikiant šiame punkte nurodytą AAA sprendimą pratęsti leidimo išdavimo terminą ir nurodant konkrečią datą, kada organizuojamas leidimo sąlygų aptarimas. Leidimo sąlygų su veiklos vykdytoju aptarimas įforminamas posėdžio protokolu.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58dcda07c7011e4abe983995522ea30">
                    <w:r w:rsidRPr="00532B9F">
                      <w:rPr>
                        <w:rFonts w:ascii="Arial" w:eastAsia="MS Mincho" w:hAnsi="Arial"/>
                        <w:sz w:val="20"/>
                        <w:i/>
                        <w:iCs/>
                        <w:color w:val="0000FF" w:themeColor="hyperlink"/>
                        <w:u w:val="single"/>
                      </w:rPr>
                      <w:t>D1-983</w:t>
                    </w:r>
                  </w:fldSimple>
                  <w:r>
                    <w:rPr>
                      <w:rFonts w:ascii="Arial" w:eastAsia="MS Mincho" w:hAnsi="Arial"/>
                      <w:sz w:val="20"/>
                      <w:i/>
                      <w:iCs/>
                    </w:rPr>
                    <w:t>,
2014-12-04,
paskelbta TAR 2014-12-05, i. k. 2014-19056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sdtContent>
            </w:sdt>
            <w:sdt>
              <w:sdtPr>
                <w:alias w:val="89 p."/>
                <w:tag w:val="part_0f5dad1486b54eb1a8f8c6f0e614b479"/>
                <w:lock w:val="sdtLocked"/>
                <w:richText/>
              </w:sdtPr>
              <w:sdtContent>
                <w:p>
                  <w:pPr>
                    <w:ind w:firstLine="567"/>
                    <w:jc w:val="both"/>
                    <w:rPr>
                      <w:color w:val="000000"/>
                      <w:szCs w:val="24"/>
                      <w:lang w:eastAsia="lt-LT"/>
                    </w:rPr>
                  </w:pPr>
                  <w:sdt>
                    <w:sdtPr>
                      <w:alias w:val="Numeris"/>
                      <w:tag w:val="nr_0f5dad1486b54eb1a8f8c6f0e614b479"/>
                      <w:lock w:val="sdtLocked"/>
                      <w:richText/>
                    </w:sdtPr>
                    <w:sdtContent>
                      <w:r>
                        <w:rPr>
                          <w:szCs w:val="24"/>
                          <w:lang w:eastAsia="lt-LT"/>
                        </w:rPr>
                        <w:t>89</w:t>
                      </w:r>
                    </w:sdtContent>
                  </w:sdt>
                  <w:r>
                    <w:rPr>
                      <w:szCs w:val="24"/>
                      <w:lang w:eastAsia="lt-LT"/>
                    </w:rPr>
                    <w:t>. AAA, priėmusi sprendimą išduoti ar pakeisti leidimą arba neišduoti leidimo, šį sprendimą surašo ant AAA blanko. Sprendimas išduoti ar pakeisti leidimą arba neišduoti leidimo pareiškėjui teikiamas elektroniniame formate (išskyrus atvejus, kai tam nėra techninių galimybių) ir turi būti pasirašytas kvalifikuotu elektroniniu parašu arba suformuotas elektroninėmis ryšio priemonėmis, kurios leidžia užtikrinti teksto vientisumą, nepakeičiamumą ir leidžia identifikuoti sprendimą priėmusį asmenį. Tokiu atveju išduotas ar pakeistas leidimas pasirašomas elektroniniu parašu. Jei leidimas išduodamas popieriniame formate, tituliniame lape pasirašo AAA atsakingas asmuo.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b7ec10747d11e8ae2bfd1913d66d57">
                    <w:r w:rsidRPr="00532B9F">
                      <w:rPr>
                        <w:rFonts w:ascii="Arial" w:eastAsia="MS Mincho" w:hAnsi="Arial"/>
                        <w:sz w:val="20"/>
                        <w:i/>
                        <w:iCs/>
                        <w:color w:val="0000FF" w:themeColor="hyperlink"/>
                        <w:u w:val="single"/>
                      </w:rPr>
                      <w:t>D1-537</w:t>
                    </w:r>
                  </w:fldSimple>
                  <w:r>
                    <w:rPr>
                      <w:rFonts w:ascii="Arial" w:eastAsia="MS Mincho" w:hAnsi="Arial"/>
                      <w:sz w:val="20"/>
                      <w:i/>
                      <w:iCs/>
                    </w:rPr>
                    <w:t>,
2018-06-19,
paskelbta TAR 2018-06-20, i. k. 2018-10131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90 p."/>
                <w:tag w:val="part_4d5bf5f4f2f84bb2ba0cd4e8e25dc041"/>
                <w:lock w:val="sdtLocked"/>
                <w:richText/>
              </w:sdtPr>
              <w:sdtContent>
                <w:p>
                  <w:pPr>
                    <w:ind w:firstLine="567"/>
                    <w:jc w:val="both"/>
                    <w:rPr>
                      <w:color w:val="000000"/>
                      <w:szCs w:val="24"/>
                      <w:lang w:eastAsia="lt-LT"/>
                    </w:rPr>
                  </w:pPr>
                  <w:sdt>
                    <w:sdtPr>
                      <w:alias w:val="Numeris"/>
                      <w:tag w:val="nr_4d5bf5f4f2f84bb2ba0cd4e8e25dc041"/>
                      <w:lock w:val="sdtLocked"/>
                      <w:richText/>
                    </w:sdtPr>
                    <w:sdtContent>
                      <w:r>
                        <w:rPr>
                          <w:color w:val="000000"/>
                          <w:szCs w:val="24"/>
                          <w:lang w:eastAsia="lt-LT"/>
                        </w:rPr>
                        <w:t>90</w:t>
                      </w:r>
                    </w:sdtContent>
                  </w:sdt>
                  <w:r>
                    <w:rPr>
                      <w:color w:val="000000"/>
                      <w:szCs w:val="24"/>
                      <w:lang w:eastAsia="lt-LT"/>
                    </w:rPr>
                    <w:t>. Leidimui suteikiamas registracijos numeris. Pakeistam leidimui registracijos numeris nekeičiamas. Jei planuojama ūkinė veikla patenka į Planuojamos ūkinės veiklos objekto patikrinimo prieš eksploatavimo pradžią tvarkos aprašo, patvirtinto Lietuvos Respublikos aplinkos ministro</w:t>
                  </w:r>
                  <w:r>
                    <w:rPr>
                      <w:szCs w:val="24"/>
                      <w:lang w:eastAsia="zh-CN"/>
                    </w:rPr>
                    <w:t xml:space="preserve"> </w:t>
                  </w:r>
                  <w:r>
                    <w:rPr>
                      <w:color w:val="000000"/>
                      <w:szCs w:val="24"/>
                      <w:lang w:eastAsia="lt-LT"/>
                    </w:rPr>
                    <w:t>2021 m. liepos 30 d. įsakymu Nr. D1-444 „Dėl</w:t>
                  </w:r>
                  <w:r>
                    <w:rPr>
                      <w:szCs w:val="24"/>
                      <w:lang w:eastAsia="zh-CN"/>
                    </w:rPr>
                    <w:t xml:space="preserve"> P</w:t>
                  </w:r>
                  <w:r>
                    <w:rPr>
                      <w:color w:val="000000"/>
                      <w:szCs w:val="24"/>
                      <w:lang w:eastAsia="lt-LT"/>
                    </w:rPr>
                    <w:t xml:space="preserve">lanuojamos ūkinės veiklos objekto patikrinimo prieš eksploatavimo pradžią tvarkos aprašo patvirtinimo“ (toliau – Patikrinimo tvarkos aprašas), taikymo sritį, sprendime išduoti ar pakeisti leidimą įrašoma, kad prieš pradėdamas eksploatuoti naują ar pakeistą ar išplėstą įrenginį </w:t>
                  </w:r>
                  <w:r>
                    <w:rPr>
                      <w:szCs w:val="24"/>
                      <w:lang w:eastAsia="lt-LT"/>
                    </w:rPr>
                    <w:t xml:space="preserve">ūkinės </w:t>
                  </w:r>
                  <w:r>
                    <w:rPr>
                      <w:color w:val="000000"/>
                      <w:szCs w:val="24"/>
                      <w:lang w:eastAsia="lt-LT"/>
                    </w:rPr>
                    <w:t>veiklos vykdytojas privalo Patikrinimo tvarkos apraše nustatyta tvarka pateikti AAA pranešimą apie planuojamą ūkinės veiklos objekto eksploatavimo ir ūkinės veiklos vykdymo pradžią. Kitais atvejais sprendime įrašomas reikalavimas prieš 10 darbo dienų raštu informuoti AAA ir AAD apie naujo ar pakeisto (išplėsto) įrenginio eksploatavimo pradžią.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b7ec10747d11e8ae2bfd1913d66d57">
                    <w:r w:rsidRPr="00532B9F">
                      <w:rPr>
                        <w:rFonts w:ascii="Arial" w:eastAsia="MS Mincho" w:hAnsi="Arial"/>
                        <w:sz w:val="20"/>
                        <w:i/>
                        <w:iCs/>
                        <w:color w:val="0000FF" w:themeColor="hyperlink"/>
                        <w:u w:val="single"/>
                      </w:rPr>
                      <w:t>D1-537</w:t>
                    </w:r>
                  </w:fldSimple>
                  <w:r>
                    <w:rPr>
                      <w:rFonts w:ascii="Arial" w:eastAsia="MS Mincho" w:hAnsi="Arial"/>
                      <w:sz w:val="20"/>
                      <w:i/>
                      <w:iCs/>
                    </w:rPr>
                    <w:t>,
2018-06-19,
paskelbta TAR 2018-06-20, i. k. 2018-10131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91 p."/>
                <w:tag w:val="part_741b80c359c143cfb423007488e29f5e"/>
                <w:lock w:val="sdtLocked"/>
                <w:richText/>
              </w:sdtPr>
              <w:sdtContent>
                <w:p>
                  <w:pPr>
                    <w:widowControl w:val="0"/>
                    <w:ind w:firstLine="567"/>
                    <w:jc w:val="both"/>
                    <w:rPr>
                      <w:color w:val="000000"/>
                      <w:szCs w:val="24"/>
                      <w:lang w:eastAsia="lt-LT"/>
                    </w:rPr>
                  </w:pPr>
                  <w:sdt>
                    <w:sdtPr>
                      <w:alias w:val="Numeris"/>
                      <w:tag w:val="nr_741b80c359c143cfb423007488e29f5e"/>
                      <w:lock w:val="sdtLocked"/>
                      <w:richText/>
                    </w:sdtPr>
                    <w:sdtContent>
                      <w:r>
                        <w:rPr>
                          <w:color w:val="000000"/>
                          <w:szCs w:val="24"/>
                          <w:lang w:eastAsia="lt-LT"/>
                        </w:rPr>
                        <w:t>91</w:t>
                      </w:r>
                    </w:sdtContent>
                  </w:sdt>
                  <w:r>
                    <w:rPr>
                      <w:color w:val="000000"/>
                      <w:szCs w:val="24"/>
                      <w:lang w:eastAsia="lt-LT"/>
                    </w:rPr>
                    <w:t>. Leidimas ir su jo išdavimu ar pakeitimu susiję dokumentai saugomi AAA Lietuvos Respublikos dokumentų ir archyvų įstatymo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Content>
        </w:sdt>
        <w:sdt>
          <w:sdtPr>
            <w:alias w:val="skyrius"/>
            <w:tag w:val="part_5dfcda735799479ba5e7e794ea22f1b5"/>
            <w:lock w:val="sdtLocked"/>
            <w:richText/>
          </w:sdtPr>
          <w:sdtContent>
            <w:p>
              <w:pPr>
                <w:widowControl w:val="0"/>
                <w:jc w:val="center"/>
                <w:rPr>
                  <w:b/>
                  <w:bCs/>
                  <w:caps/>
                  <w:color w:val="000000"/>
                  <w:szCs w:val="24"/>
                  <w:lang w:eastAsia="lt-LT"/>
                </w:rPr>
              </w:pPr>
              <w:sdt>
                <w:sdtPr>
                  <w:alias w:val="Numeris"/>
                  <w:tag w:val="nr_5dfcda735799479ba5e7e794ea22f1b5"/>
                  <w:lock w:val="sdtLocked"/>
                  <w:richText/>
                </w:sdtPr>
                <w:sdtContent>
                  <w:r>
                    <w:rPr>
                      <w:b/>
                      <w:bCs/>
                      <w:caps/>
                      <w:color w:val="000000"/>
                      <w:szCs w:val="24"/>
                      <w:lang w:eastAsia="lt-LT"/>
                    </w:rPr>
                    <w:t>XI</w:t>
                  </w:r>
                </w:sdtContent>
              </w:sdt>
              <w:r>
                <w:rPr>
                  <w:b/>
                  <w:bCs/>
                  <w:caps/>
                  <w:color w:val="000000"/>
                  <w:szCs w:val="24"/>
                  <w:lang w:eastAsia="lt-LT"/>
                </w:rPr>
                <w:t xml:space="preserve">. </w:t>
              </w:r>
              <w:sdt>
                <w:sdtPr>
                  <w:alias w:val="Pavadinimas"/>
                  <w:tag w:val="title_5dfcda735799479ba5e7e794ea22f1b5"/>
                  <w:lock w:val="sdtLocked"/>
                  <w:richText/>
                </w:sdtPr>
                <w:sdtContent>
                  <w:r>
                    <w:rPr>
                      <w:b/>
                      <w:bCs/>
                      <w:caps/>
                      <w:color w:val="000000"/>
                      <w:szCs w:val="24"/>
                      <w:lang w:eastAsia="lt-LT"/>
                    </w:rPr>
                    <w:t>LEIDIMO SĄLYGŲ PERŽIŪRĖJIMAS IR LEIDIMO PAKEITIMAS</w:t>
                  </w:r>
                </w:sdtContent>
              </w:sdt>
            </w:p>
            <w:p>
              <w:pPr>
                <w:widowControl w:val="0"/>
                <w:ind w:firstLine="567"/>
                <w:jc w:val="both"/>
                <w:rPr>
                  <w:color w:val="000000"/>
                  <w:szCs w:val="24"/>
                  <w:lang w:eastAsia="lt-LT"/>
                </w:rPr>
              </w:pPr>
            </w:p>
            <w:sdt>
              <w:sdtPr>
                <w:alias w:val="92 p."/>
                <w:tag w:val="part_1e90ac721e954453aa86018e6fea077e"/>
                <w:lock w:val="sdtLocked"/>
                <w:richText/>
              </w:sdtPr>
              <w:sdtContent>
                <w:p>
                  <w:pPr>
                    <w:ind w:firstLine="567"/>
                    <w:jc w:val="both"/>
                    <w:rPr>
                      <w:color w:val="000000"/>
                      <w:szCs w:val="24"/>
                      <w:lang w:eastAsia="lt-LT"/>
                    </w:rPr>
                  </w:pPr>
                  <w:sdt>
                    <w:sdtPr>
                      <w:alias w:val="Numeris"/>
                      <w:tag w:val="nr_1e90ac721e954453aa86018e6fea077e"/>
                      <w:lock w:val="sdtLocked"/>
                      <w:richText/>
                    </w:sdtPr>
                    <w:sdtContent>
                      <w:r>
                        <w:rPr>
                          <w:color w:val="000000"/>
                          <w:szCs w:val="24"/>
                          <w:lang w:eastAsia="lt-LT"/>
                        </w:rPr>
                        <w:t>92</w:t>
                      </w:r>
                    </w:sdtContent>
                  </w:sdt>
                  <w:r>
                    <w:rPr>
                      <w:color w:val="000000"/>
                      <w:szCs w:val="24"/>
                      <w:lang w:eastAsia="lt-LT"/>
                    </w:rPr>
                    <w:t>. Siekdama užtikrinti Taisyklių 17 punkte nurodytų principų laikymąsi ir kad įrenginys būtų eksploatuojamas pagal leidimo sąlygas, o leidimo sąlygos atitiktų teisės aktų reikalavimus, AAA privalo peržiūrėti leidimo sąlygas šiais atvejais:</w:t>
                  </w:r>
                </w:p>
                <w:sdt>
                  <w:sdtPr>
                    <w:alias w:val="92.1 pp."/>
                    <w:tag w:val="part_7acee1a11ce549e9947bbc406106e6a1"/>
                    <w:lock w:val="sdtLocked"/>
                    <w:richText/>
                  </w:sdtPr>
                  <w:sdtContent>
                    <w:p>
                      <w:pPr>
                        <w:ind w:firstLine="567"/>
                        <w:jc w:val="both"/>
                        <w:rPr>
                          <w:color w:val="000000"/>
                          <w:szCs w:val="24"/>
                          <w:lang w:eastAsia="lt-LT"/>
                        </w:rPr>
                      </w:pPr>
                      <w:sdt>
                        <w:sdtPr>
                          <w:alias w:val="Numeris"/>
                          <w:tag w:val="nr_7acee1a11ce549e9947bbc406106e6a1"/>
                          <w:lock w:val="sdtLocked"/>
                          <w:richText/>
                        </w:sdtPr>
                        <w:sdtContent>
                          <w:r>
                            <w:rPr>
                              <w:color w:val="000000"/>
                              <w:szCs w:val="24"/>
                              <w:lang w:eastAsia="lt-LT"/>
                            </w:rPr>
                            <w:t>92.1</w:t>
                          </w:r>
                        </w:sdtContent>
                      </w:sdt>
                      <w:r>
                        <w:rPr>
                          <w:color w:val="000000"/>
                          <w:szCs w:val="24"/>
                          <w:lang w:eastAsia="lt-LT"/>
                        </w:rPr>
                        <w:t>.</w:t>
                      </w:r>
                      <w:r>
                        <w:rPr>
                          <w:szCs w:val="24"/>
                          <w:lang w:eastAsia="lt-LT"/>
                        </w:rPr>
                        <w:t xml:space="preserve"> </w:t>
                      </w:r>
                      <w:r>
                        <w:rPr>
                          <w:szCs w:val="24"/>
                        </w:rPr>
                        <w:t>per 12 mėnesių 2 kartus nustatyti pažeidimai, susiję su neleistinu teršalų patekimu į aplinką, atliekų susidarymu, laikymu ar apdorojimu arba neteisėtu gamtos išteklių naudojimu</w:t>
                      </w:r>
                      <w:r>
                        <w:rPr>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92.2 pp."/>
                    <w:tag w:val="part_5738bebc329440d7a7639790f1c2c60e"/>
                    <w:lock w:val="sdtLocked"/>
                    <w:richText/>
                  </w:sdtPr>
                  <w:sdtContent>
                    <w:p>
                      <w:pPr>
                        <w:ind w:firstLine="567"/>
                        <w:jc w:val="both"/>
                      </w:pPr>
                      <w:sdt>
                        <w:sdtPr>
                          <w:alias w:val="Numeris"/>
                          <w:tag w:val="nr_5738bebc329440d7a7639790f1c2c60e"/>
                          <w:lock w:val="sdtLocked"/>
                          <w:richText/>
                        </w:sdtPr>
                        <w:sdtContent>
                          <w:r>
                            <w:t>92.2</w:t>
                          </w:r>
                        </w:sdtContent>
                      </w:sdt>
                      <w:r>
                        <w:t xml:space="preserve">. siekdama užtikrinti, kad įrenginys atitiktų pagal GPGB išvadas nustatytas leidimo sąlygas ir laikydamasi Taisyklių 49 ir 51 punktuose nustatytų reikalavimų – ne vėliau kaip per 1 metus nuo naujų ar atnaujintų ir ES aprobuotų GPGB išvadų, susijusių su pagrindine įrenginio veikla, paskelbimo; </w:t>
                      </w:r>
                    </w:p>
                  </w:sdtContent>
                </w:sdt>
                <w:sdt>
                  <w:sdtPr>
                    <w:alias w:val="92.3 pp."/>
                    <w:tag w:val="part_e15aecafd578458bb1630f9501b5a5c6"/>
                    <w:lock w:val="sdtLocked"/>
                    <w:richText/>
                  </w:sdtPr>
                  <w:sdtContent>
                    <w:p>
                      <w:pPr>
                        <w:ind w:firstLine="567"/>
                        <w:jc w:val="both"/>
                      </w:pPr>
                      <w:sdt>
                        <w:sdtPr>
                          <w:alias w:val="Numeris"/>
                          <w:tag w:val="nr_e15aecafd578458bb1630f9501b5a5c6"/>
                          <w:lock w:val="sdtLocked"/>
                          <w:richText/>
                        </w:sdtPr>
                        <w:sdtContent>
                          <w:r>
                            <w:t>92.3</w:t>
                          </w:r>
                        </w:sdtContent>
                      </w:sdt>
                      <w:r>
                        <w:t>. jei įrenginiui netaikomos jokios GBGB išvados arba jos yra ES aprobuotos, bet dar nepaskelbtos pagal nustatytus reikalavimus, tačiau GPGB pokyčiai leidžia sumažinti išmetimus ir iš tikrųjų veiklos vykdytojas juos gali sumažinti nepatirdamas neproporcingai didelių, palyginus su aplinkai teikiama nauda, sąnaudų, susijusių su naujų technologijų diegimu, kurios dar neįtrauktos į GPGB išvadas, tačiau siekiant aukšto aplinkos apsaugos lygio jos gali būti naudojamos;</w:t>
                      </w:r>
                    </w:p>
                  </w:sdtContent>
                </w:sdt>
                <w:sdt>
                  <w:sdtPr>
                    <w:alias w:val="92.4 pp."/>
                    <w:tag w:val="part_2849eaed513b4466a9c03aa521f0f110"/>
                    <w:lock w:val="sdtLocked"/>
                    <w:richText/>
                  </w:sdtPr>
                  <w:sdtContent>
                    <w:p>
                      <w:pPr>
                        <w:ind w:firstLine="567"/>
                        <w:jc w:val="both"/>
                      </w:pPr>
                      <w:sdt>
                        <w:sdtPr>
                          <w:alias w:val="Numeris"/>
                          <w:tag w:val="nr_2849eaed513b4466a9c03aa521f0f110"/>
                          <w:lock w:val="sdtLocked"/>
                          <w:richText/>
                        </w:sdtPr>
                        <w:sdtContent>
                          <w:r>
                            <w:t>92.4</w:t>
                          </w:r>
                        </w:sdtContent>
                      </w:sdt>
                      <w:r>
                        <w:t>. aplinkos monitoringo (stebėsenos) rezultatai ar kitaip gauti duomenys rodo, kad įrenginio keliama tarša, nors yra leistina, daro reikšmingą neigiamą poveikį aplinkai;</w:t>
                      </w:r>
                    </w:p>
                  </w:sdtContent>
                </w:sdt>
                <w:sdt>
                  <w:sdtPr>
                    <w:alias w:val="92.4-1 pp."/>
                    <w:tag w:val="part_01f16f7ba9064ad89da4339cbb80723e"/>
                    <w:lock w:val="sdtLocked"/>
                    <w:richText/>
                  </w:sdtPr>
                  <w:sdtContent>
                    <w:p>
                      <w:pPr>
                        <w:ind w:firstLine="567"/>
                        <w:jc w:val="both"/>
                      </w:pPr>
                      <w:sdt>
                        <w:sdtPr>
                          <w:alias w:val="Numeris"/>
                          <w:tag w:val="nr_01f16f7ba9064ad89da4339cbb80723e"/>
                          <w:lock w:val="sdtLocked"/>
                          <w:richText/>
                        </w:sdtPr>
                        <w:sdtContent>
                          <w:r>
                            <w:rPr>
                              <w:szCs w:val="24"/>
                            </w:rPr>
                            <w:t>92.4</w:t>
                          </w:r>
                          <w:r>
                            <w:rPr>
                              <w:szCs w:val="24"/>
                              <w:vertAlign w:val="superscript"/>
                            </w:rPr>
                            <w:t>1</w:t>
                          </w:r>
                        </w:sdtContent>
                      </w:sdt>
                      <w:r>
                        <w:rPr>
                          <w:szCs w:val="24"/>
                        </w:rPr>
                        <w:t xml:space="preserve"> aplinkos stebėsenos (monitoringo) rezultatai rodo arba aplinkos apsaugos valstybinės kontrolės metu nustatoma, kad sprendime dėl poveikio aplinkai nustatytų planuojamos ūkinės veiklos įgyvendinimo sąlygų ir priemonių reikšmingam neigiamam poveikiui aplinkai išvengti, sumažinti, kompensuoti ir (ar) atkurti tai, kas pažeista, arba atrankos išvadoje nustatytų priemonių reikšmingam neigiamam poveikiui aplinkai išvengti ir (ar) užkirsti jam kelią vykdant ūkinę veiklą nepakanka ir viršijami teisės aktuose nustatyti aplinkos apsaugos normatyvai, ir (ar) daromas reikšmingas neigiamas poveikis aplinkai. Šis papunktis netaikomas, kai sprendime dėl poveikio aplinkai nustatytoms planuojamos ūkinės veiklos įgyvendinimo sąlygos ir priemonės reikšmingam neigiamam poveikiui aplinkai išvengti, sumažinti, kompensuoti ir (ar) atkurti tai, kas pažeista, arba atrankos išvadoje nustatytos priemonės reikšmingam neigiamam poveikiui aplinkai išvengti ir (ar) užkirsti jam kelią įrašytos į leidimo sąlygas;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92.5 pp."/>
                    <w:tag w:val="part_63d1fe1b47af42678f6fec504afd4a06"/>
                    <w:lock w:val="sdtLocked"/>
                    <w:richText/>
                  </w:sdtPr>
                  <w:sdtContent>
                    <w:p>
                      <w:pPr>
                        <w:widowControl w:val="0"/>
                        <w:ind w:firstLine="567"/>
                        <w:jc w:val="both"/>
                        <w:rPr>
                          <w:color w:val="000000"/>
                          <w:szCs w:val="24"/>
                          <w:lang w:eastAsia="lt-LT"/>
                        </w:rPr>
                      </w:pPr>
                      <w:sdt>
                        <w:sdtPr>
                          <w:alias w:val="Numeris"/>
                          <w:tag w:val="nr_63d1fe1b47af42678f6fec504afd4a06"/>
                          <w:lock w:val="sdtLocked"/>
                          <w:richText/>
                        </w:sdtPr>
                        <w:sdtContent>
                          <w:r>
                            <w:rPr>
                              <w:color w:val="000000"/>
                              <w:szCs w:val="24"/>
                              <w:lang w:eastAsia="lt-LT"/>
                            </w:rPr>
                            <w:t>92.5</w:t>
                          </w:r>
                        </w:sdtContent>
                      </w:sdt>
                      <w:r>
                        <w:rPr>
                          <w:color w:val="000000"/>
                          <w:szCs w:val="24"/>
                          <w:lang w:eastAsia="lt-LT"/>
                        </w:rPr>
                        <w:t>. įsigaliojus naujiems arba pasikeitus tiesiogiai taikomų Europos Sąjungos aplinkos apsaugos teisės aktų reikalavimams, aplinkos apsaugą reglamentuojančių Lietuvos Respublikos įstatymų ir jų įgyvendinamųjų teisės aktų, aplinkos apsaugos normatyvų, aplinkos apsaugos standartų, aplinkos kokybės normų reikalavimams, kuriais vadovaujantis nustatomos leidimo sąlygos;</w:t>
                      </w:r>
                    </w:p>
                  </w:sdtContent>
                </w:sdt>
                <w:sdt>
                  <w:sdtPr>
                    <w:alias w:val="92.6 pp."/>
                    <w:tag w:val="part_3ae1661a93dc41029e3825044f853d67"/>
                    <w:lock w:val="sdtLocked"/>
                    <w:richText/>
                  </w:sdtPr>
                  <w:sdtContent>
                    <w:p>
                      <w:pPr>
                        <w:widowControl w:val="0"/>
                        <w:ind w:firstLine="567"/>
                        <w:jc w:val="both"/>
                        <w:rPr>
                          <w:color w:val="000000"/>
                          <w:szCs w:val="24"/>
                          <w:lang w:eastAsia="lt-LT"/>
                        </w:rPr>
                      </w:pPr>
                      <w:sdt>
                        <w:sdtPr>
                          <w:alias w:val="Numeris"/>
                          <w:tag w:val="nr_3ae1661a93dc41029e3825044f853d67"/>
                          <w:lock w:val="sdtLocked"/>
                          <w:richText/>
                        </w:sdtPr>
                        <w:sdtContent>
                          <w:r>
                            <w:rPr>
                              <w:color w:val="000000"/>
                              <w:szCs w:val="24"/>
                              <w:lang w:eastAsia="lt-LT"/>
                            </w:rPr>
                            <w:t>92.6</w:t>
                          </w:r>
                        </w:sdtContent>
                      </w:sdt>
                      <w:r>
                        <w:rPr>
                          <w:color w:val="000000"/>
                          <w:szCs w:val="24"/>
                          <w:lang w:eastAsia="lt-LT"/>
                        </w:rPr>
                        <w:t>. kai veiklos vykdytojas raštu praneša AAA, kad saugiam įrenginio eksploatavimui reikia naudoti kitus gamybos būdus;</w:t>
                      </w:r>
                    </w:p>
                  </w:sdtContent>
                </w:sdt>
                <w:sdt>
                  <w:sdtPr>
                    <w:alias w:val="92.7 pp."/>
                    <w:tag w:val="part_185867e4134c4bbf9fdd95290290ed84"/>
                    <w:lock w:val="sdtLocked"/>
                    <w:richText/>
                  </w:sdtPr>
                  <w:sdtContent>
                    <w:p>
                      <w:pPr>
                        <w:pStyle w:val="PlainText"/>
                        <w:ind w:firstLine="567"/>
                        <w:jc w:val="both"/>
                        <w:rPr>
                          <w:rFonts w:ascii="Arial" w:hAnsi="Arial"/>
                          <w:b/>
                          <w:bCs/>
                          <w:sz w:val="22"/>
                        </w:rPr>
                      </w:pPr>
                      <w:r>
                        <w:rPr>
                          <w:rFonts w:ascii="Arial" w:hAnsi="Arial"/>
                          <w:sz w:val="22"/>
                        </w:rPr>
                        <w:t>92.7</w:t>
                      </w:r>
                      <w:r>
                        <w:rPr>
                          <w:rFonts w:ascii="Arial" w:hAnsi="Arial"/>
                          <w:sz w:val="22"/>
                        </w:rPr>
                        <w:t>.</w:t>
                      </w:r>
                      <w:r>
                        <w:rPr>
                          <w:rFonts w:ascii="Arial" w:eastAsia="MS Mincho" w:hAnsi="Arial"/>
                          <w:sz w:val="20"/>
                          <w:i/>
                          <w:iCs/>
                        </w:rPr>
                        <w:t xml:space="preserve"> Neteko galios nuo 2023-02-21</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92.8 pp."/>
                    <w:tag w:val="part_939d0f4aa78041f98e63a6065d8d045e"/>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pPr>
                      <w:sdt>
                        <w:sdtPr>
                          <w:alias w:val="Numeris"/>
                          <w:tag w:val="nr_939d0f4aa78041f98e63a6065d8d045e"/>
                          <w:lock w:val="sdtLocked"/>
                          <w:richText/>
                        </w:sdtPr>
                        <w:sdtContent>
                          <w:r>
                            <w:t>92.8</w:t>
                          </w:r>
                        </w:sdtContent>
                      </w:sdt>
                      <w:r>
                        <w:t xml:space="preserve">. AAA priėmus inventorizacijos ataskaitą pagal Aplinkos oro taršos šaltinių ir iš jų išmetamų teršalų inventorizacijos ir ataskaitų teikimo taisykles; </w:t>
                      </w:r>
                      <w:r>
                        <w:rPr>
                          <w:lang w:eastAsia="lt-LT"/>
                        </w:rPr>
                        <w:t>ši nuostata netaikoma peržiūrint kurą deginančių įrenginių leidimo sąlygas</w:t>
                      </w:r>
                      <w:r>
                        <w:t>;</w:t>
                      </w:r>
                    </w:p>
                  </w:sdtContent>
                </w:sdt>
                <w:sdt>
                  <w:sdtPr>
                    <w:alias w:val="92.9 pp."/>
                    <w:tag w:val="part_e2c96bd574e94bfeb6e1b1e5bf8d04fa"/>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pPr>
                      <w:sdt>
                        <w:sdtPr>
                          <w:alias w:val="Numeris"/>
                          <w:tag w:val="nr_e2c96bd574e94bfeb6e1b1e5bf8d04fa"/>
                          <w:lock w:val="sdtLocked"/>
                          <w:richText/>
                        </w:sdtPr>
                        <w:sdtContent>
                          <w:r>
                            <w:t>92.9</w:t>
                          </w:r>
                        </w:sdtContent>
                      </w:sdt>
                      <w:r>
                        <w:t>. ne rečiau kaip kas ketverius metus, skaičiuojant nuo pirmojo pagal Taisykles išduoto ar pakeisto leidimo išdavimo ar pakeitimo datos, jei leidime nustatytos pavojingų medžiagų, nurodytų Nuotekų tvarkymo reglamento 1 priede ir (ar) 2 priedo A dalyje ir (ar) B dalies B1 sąraše, ribinės vertės ir sąlygos šias medžiagas išleisti su nuotekomis. Peržiūrint leidimo sąlygas vadovaujamasi Nuotekų tvarkymo reglamente nustatytais reikalavimais. Peržiūra turi būti baigta ir sprendimas priimtas per šiame papunktyje nurodytą terminą;</w:t>
                      </w:r>
                    </w:p>
                  </w:sdtContent>
                </w:sdt>
                <w:sdt>
                  <w:sdtPr>
                    <w:alias w:val="92.10 pp."/>
                    <w:tag w:val="part_c897917e3665402097703210460e1f71"/>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lang w:val="en-GB"/>
                        </w:rPr>
                      </w:pPr>
                      <w:sdt>
                        <w:sdtPr>
                          <w:alias w:val="Numeris"/>
                          <w:tag w:val="nr_c897917e3665402097703210460e1f71"/>
                          <w:lock w:val="sdtLocked"/>
                          <w:richText/>
                        </w:sdtPr>
                        <w:sdtContent>
                          <w:r>
                            <w:t>92.10</w:t>
                          </w:r>
                        </w:sdtContent>
                      </w:sdt>
                      <w:r>
                        <w:t>. gavusi Taisyklių 99 punkte nurodytą informaciją;</w:t>
                      </w:r>
                    </w:p>
                  </w:sdtContent>
                </w:sdt>
                <w:sdt>
                  <w:sdtPr>
                    <w:alias w:val="92.11 pp."/>
                    <w:tag w:val="part_31e44f3e6c8049428eeed18cc58e4a9d"/>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pPr>
                      <w:sdt>
                        <w:sdtPr>
                          <w:alias w:val="Numeris"/>
                          <w:tag w:val="nr_31e44f3e6c8049428eeed18cc58e4a9d"/>
                          <w:lock w:val="sdtLocked"/>
                          <w:richText/>
                        </w:sdtPr>
                        <w:sdtContent>
                          <w:r>
                            <w:t>92.11</w:t>
                          </w:r>
                        </w:sdtContent>
                      </w:sdt>
                      <w:r>
                        <w:t>. ne rečiau kaip kas ketverius metus po leidimo išdavimo ar paskutinio jo pakeitimo, jei per tą laikotarpį leidimas neperžiūrėtas Taisyklių 92.1–92.10 papunkčiuose nustatytais atvejais arba kas ketverius metus po paskutinio peržiūrėjimo, jei per tą laikotarpį leidimas nebuvo pakeistas;</w:t>
                      </w:r>
                    </w:p>
                  </w:sdtContent>
                </w:sdt>
                <w:sdt>
                  <w:sdtPr>
                    <w:alias w:val="92.12 pp."/>
                    <w:tag w:val="part_279c14c99bfe4a899a31d8aed658b52f"/>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pPr>
                      <w:sdt>
                        <w:sdtPr>
                          <w:alias w:val="Numeris"/>
                          <w:tag w:val="nr_279c14c99bfe4a899a31d8aed658b52f"/>
                          <w:lock w:val="sdtLocked"/>
                          <w:richText/>
                        </w:sdtPr>
                        <w:sdtContent>
                          <w:r>
                            <w:t>92.12</w:t>
                          </w:r>
                        </w:sdtContent>
                      </w:sdt>
                      <w:r>
                        <w:t>. kai NVSC, vykdydamas Lietuvos Respublikos aplinkos apsaugos įstatymo 19</w:t>
                      </w:r>
                      <w:r>
                        <w:rPr>
                          <w:vertAlign w:val="superscript"/>
                        </w:rPr>
                        <w:t>1</w:t>
                      </w:r>
                      <w:r>
                        <w:t xml:space="preserve"> straipsnio 12 dalies 3 punkto reikalavimus, Lietuvos Respublikos visuomenės sveikatos priežiūros įstatymo ir Lietuvos Respublikos triukšmo valdymo įstatymu jam priskirtas funkcijas triukšmo ir kvapų valdymo srityje, nustato, kad, pasikeitus arba įsigaliojus naujiems visuomenės sveikatos priežiūrą reguliuojantiems teisės aktams, leidime reikia nustatyti griežtesnes ar papildomas triukšmo ar kvapų valdymo sąlygas arba kad reikia taikyti kitas triukšmo ar kvapų sumažinimo priemones, ir pateikia AAA konkrečią informaciją, koks turi būti AAA sprendimo turinys (ar reikia keisti leidimą, nurodo įrenginio pavadinimą, galiojančias sąlygas, kurias reikia keisti ir kaip jas reikia keisti) ir pateikia pagrindimą sprendimui priimti;</w:t>
                      </w:r>
                    </w:p>
                  </w:sdtContent>
                </w:sdt>
                <w:sdt>
                  <w:sdtPr>
                    <w:alias w:val="92.13 pp."/>
                    <w:tag w:val="part_f71c42ca318a4290bf2c12afa0de4b35"/>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pPr>
                      <w:sdt>
                        <w:sdtPr>
                          <w:alias w:val="Numeris"/>
                          <w:tag w:val="nr_f71c42ca318a4290bf2c12afa0de4b35"/>
                          <w:lock w:val="sdtLocked"/>
                          <w:richText/>
                        </w:sdtPr>
                        <w:sdtContent>
                          <w:r>
                            <w:t>92.13</w:t>
                          </w:r>
                        </w:sdtContent>
                      </w:sdt>
                      <w:r>
                        <w:t>. kai NVSC, vykdydamas Aplinkos apsaugos įstatymo 19</w:t>
                      </w:r>
                      <w:r>
                        <w:rPr>
                          <w:vertAlign w:val="superscript"/>
                        </w:rPr>
                        <w:t>1</w:t>
                      </w:r>
                      <w:r>
                        <w:t xml:space="preserve"> straipsnio 12 dalies 4 punkto reikalavimus, 2 kartus per metus nustato, kad fizinis ar juridinis asmuo pažeidė leidime nurodytas triukšmo ar kvapų valdymo sąlygas, pateikia sprendimą, kad tokių pažeidimų prevencijai reikia sugriežtinti arba įrašyti papildomas leidimo sąlygas, nurodo, kokios leidimo sąlygos ir kaip turi būti pakeistos ir pateikia pagrindimą AAA sprendimui priimti;</w:t>
                      </w:r>
                    </w:p>
                  </w:sdtContent>
                </w:sdt>
                <w:sdt>
                  <w:sdtPr>
                    <w:alias w:val="92.14 pp."/>
                    <w:tag w:val="part_d456dd164ab14fbcad25a023f2e356ad"/>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pPr>
                      <w:sdt>
                        <w:sdtPr>
                          <w:alias w:val="Numeris"/>
                          <w:tag w:val="nr_d456dd164ab14fbcad25a023f2e356ad"/>
                          <w:lock w:val="sdtLocked"/>
                          <w:richText/>
                        </w:sdtPr>
                        <w:sdtContent>
                          <w:r>
                            <w:t>92.14</w:t>
                          </w:r>
                        </w:sdtContent>
                      </w:sdt>
                      <w:r>
                        <w:t>. savivaldybei Bendruosiuose savivaldybių aplinkos monitoringo nuostatuose, patvirtintuose Lietuvos Respublikos aplinkos ministro 2004 m. rugpjūčio 16 d. įsakymu Nr. D1-436 „Dėl Bendrųjų savivaldybių aplinkos monitoringo nuostatų patvirtinimo“, nustatyta tvarka pateikus pagrįstą informaciją, kad savivaldybės arba ūkio subjekto aplinkos monitoringo duomenys rodo, kad ūkio subjekto keliama tarša blogina aplinkos būklę</w:t>
                      </w:r>
                      <w:r>
                        <w:rPr>
                          <w:szCs w:val="24"/>
                        </w:rPr>
                        <w:t xml:space="preserve"> </w:t>
                      </w:r>
                      <w:r>
                        <w:t>ir pateikus pasiūlymus, kokias sąlygas ir kaip reikėtų tikslinti;</w:t>
                      </w:r>
                    </w:p>
                  </w:sdtContent>
                </w:sdt>
                <w:sdt>
                  <w:sdtPr>
                    <w:alias w:val="92.15 pp."/>
                    <w:tag w:val="part_344b9eeb9566445788387e502c74fd86"/>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344b9eeb9566445788387e502c74fd86"/>
                          <w:lock w:val="sdtLocked"/>
                          <w:richText/>
                        </w:sdtPr>
                        <w:sdtContent>
                          <w:r>
                            <w:t>92.15</w:t>
                          </w:r>
                        </w:sdtContent>
                      </w:sdt>
                      <w:r>
                        <w:t xml:space="preserve">. gavusi informaciją apie planuojamus gyvulių rūšių pakeitimus įrenginiuose, kuriuose vykdoma Taisyklių 1 priedo 6.6.2 ir 6.6.3 papunkčiuose nurodyta ūkinė veikla, jei pateikti duomenys apskaičiuoti vadovaujantis Taisyklių 8 priede pateiktais metodiniais nurodymais.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58dcda07c7011e4abe983995522ea30">
                    <w:r w:rsidRPr="00532B9F">
                      <w:rPr>
                        <w:rFonts w:ascii="Arial" w:eastAsia="MS Mincho" w:hAnsi="Arial"/>
                        <w:sz w:val="20"/>
                        <w:i/>
                        <w:iCs/>
                        <w:color w:val="0000FF" w:themeColor="hyperlink"/>
                        <w:u w:val="single"/>
                      </w:rPr>
                      <w:t>D1-983</w:t>
                    </w:r>
                  </w:fldSimple>
                  <w:r>
                    <w:rPr>
                      <w:rFonts w:ascii="Arial" w:eastAsia="MS Mincho" w:hAnsi="Arial"/>
                      <w:sz w:val="20"/>
                      <w:i/>
                      <w:iCs/>
                    </w:rPr>
                    <w:t>,
2014-12-04,
paskelbta TAR 2014-12-05, i. k. 2014-19056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93 p."/>
                <w:tag w:val="part_6db6c2f3baa7442abbbc234db53258a1"/>
                <w:lock w:val="sdtLocked"/>
                <w:richText/>
              </w:sdtPr>
              <w:sdtContent>
                <w:p>
                  <w:pPr>
                    <w:pStyle w:val="PlainText"/>
                    <w:ind w:firstLine="567"/>
                    <w:jc w:val="both"/>
                    <w:rPr>
                      <w:rFonts w:ascii="Arial" w:hAnsi="Arial"/>
                      <w:b/>
                      <w:bCs/>
                      <w:sz w:val="22"/>
                    </w:rPr>
                  </w:pPr>
                  <w:r>
                    <w:rPr>
                      <w:rFonts w:ascii="Arial" w:hAnsi="Arial"/>
                      <w:sz w:val="22"/>
                    </w:rPr>
                    <w:t>93</w:t>
                  </w:r>
                  <w:r>
                    <w:rPr>
                      <w:rFonts w:ascii="Arial" w:hAnsi="Arial"/>
                      <w:sz w:val="22"/>
                    </w:rPr>
                    <w:t>.</w:t>
                  </w:r>
                  <w:r>
                    <w:rPr>
                      <w:rFonts w:ascii="Arial" w:eastAsia="MS Mincho" w:hAnsi="Arial"/>
                      <w:sz w:val="20"/>
                      <w:i/>
                      <w:iCs/>
                    </w:rPr>
                    <w:t xml:space="preserve"> Neteko galios nuo 2016-01-12</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94 p."/>
                <w:tag w:val="part_be9d7fc0a04041c88512dbf3f4b629e9"/>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be9d7fc0a04041c88512dbf3f4b629e9"/>
                      <w:lock w:val="sdtLocked"/>
                      <w:richText/>
                    </w:sdtPr>
                    <w:sdtContent>
                      <w:r>
                        <w:rPr>
                          <w:rFonts w:eastAsia="Andale Sans UI"/>
                          <w:szCs w:val="24"/>
                          <w:lang w:bidi="en-US"/>
                        </w:rPr>
                        <w:t>94</w:t>
                      </w:r>
                    </w:sdtContent>
                  </w:sdt>
                  <w:r>
                    <w:rPr>
                      <w:rFonts w:eastAsia="Andale Sans UI"/>
                      <w:szCs w:val="24"/>
                      <w:lang w:bidi="en-US"/>
                    </w:rPr>
                    <w:t>. Peržiūrėdama leidimo sąlygas, AAA naudojasi atliktų tikrinimų rezultatais ir ūkio subjektų atliekamo aplinkos monitoringo (stebėsenos) duomenimis</w:t>
                  </w:r>
                  <w:r>
                    <w:rPr>
                      <w:szCs w:val="24"/>
                      <w:lang w:eastAsia="lt-LT"/>
                    </w:rPr>
                    <w:t xml:space="preserve"> ir (ar) kita Taisyklėse nustatyta tvarka gauta informacija</w:t>
                  </w:r>
                  <w:r>
                    <w:rPr>
                      <w:rFonts w:eastAsia="Andale Sans UI"/>
                      <w:szCs w:val="24"/>
                      <w:lang w:bidi="en-US"/>
                    </w:rPr>
                    <w:t>. Jei nepakanka informacijos leidimo sąlygoms peržiūrėti ir įvertinti, AAA turi teisę prašyti veiklos vykdytojo pateikti informaciją, būtiną leidimo sąlygoms peržiūrėti ir Taisyklių 97 punkte nurodytam sprendimui priimti, įskaitant trūkstamus teršalų išmetimo monitoringo (stebėsenos) rezultatus ir kitus duomenis, kurie leidžia palyginti informaciją apie įrenginio eksploatavimą su geriausiais prieinamais gamybos būdais, aprašytais taikomose GPGB išvadose, ir su išmetamųjų teršalų lygiais, susijusiais su GPGB</w:t>
                  </w:r>
                  <w:r>
                    <w:rPr>
                      <w:rFonts w:eastAsia="Andale Sans UI"/>
                      <w:i/>
                      <w:iCs/>
                      <w:szCs w:val="24"/>
                      <w:lang w:bidi="en-US"/>
                    </w:rPr>
                    <w:t xml:space="preserve">. </w:t>
                  </w:r>
                  <w:r>
                    <w:rPr>
                      <w:rFonts w:eastAsia="Andale Sans UI"/>
                      <w:szCs w:val="24"/>
                      <w:lang w:bidi="en-US"/>
                    </w:rPr>
                    <w:t>Veiklos vykdytojas privalo pateikti šiame punkte nurodytą informaciją AAA ne vėliau kaip per 10 darbo dienų nuo prašymo gavimo dienos, jeigu šią informaciją turi, arba raštu paaiškinti, kodėl prašomos informacijos negali pateikti.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95 p."/>
                <w:tag w:val="part_1a3bf0c2c3a3498fae7b8b2aa12c73b3"/>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1a3bf0c2c3a3498fae7b8b2aa12c73b3"/>
                      <w:lock w:val="sdtLocked"/>
                      <w:richText/>
                    </w:sdtPr>
                    <w:sdtContent>
                      <w:r>
                        <w:rPr>
                          <w:rFonts w:eastAsia="Andale Sans UI"/>
                          <w:szCs w:val="24"/>
                          <w:lang w:bidi="en-US"/>
                        </w:rPr>
                        <w:t>95</w:t>
                      </w:r>
                    </w:sdtContent>
                  </w:sdt>
                  <w:r>
                    <w:rPr>
                      <w:rFonts w:eastAsia="Andale Sans UI"/>
                      <w:szCs w:val="24"/>
                      <w:lang w:bidi="en-US"/>
                    </w:rPr>
                    <w:t>. Peržiūrėdama leidimo sąlygas Taisyklių 92.2 papunktyje nustatyta tvarka, AAA turi atsižvelgti į visas naujas ar atnaujintas GPGB išvadas, kurios taikomos įrenginiui ar veiklai ir ES aprobuotos po to, kai leidimas buvo išduotas ar paskutinį kartą peržiūrėtas. Jei reikia užtikrinti įrenginio atitiktį naujoms ar atnaujintoms ir ES aprobuotoms GPGB išvadoms, susijusioms su pagrindine įrenginio veikla, AAA, peržiūrėjusi leidimo sąlygas Taisyklių 92.2 papunktyje nustatyta tvarka, surašo sprendimą dėl prievolės pakeisti leidimą. Šiame sprendime AAA turi nustatyti tokį paraiškos dėl leidimo pakeitimo pateikimo terminą, kad per ketverius metus nuo naujų ar atnaujintų ir ES aprobuotų GPGB išvadų, susijusių su pagrindine įrenginio veikla, paskelbimo būtų pakeistas leidimas ir užtikrintas įrenginio eksploatavimo sąlygų atitikimas naujoms ar atnaujintoms GPGB išvadoms.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sdtContent>
            </w:sdt>
            <w:sdt>
              <w:sdtPr>
                <w:alias w:val="95-1 p."/>
                <w:tag w:val="part_2a095549d5094d0f9a7bb6ed054953f6"/>
                <w:lock w:val="sdtLocked"/>
                <w:richText/>
              </w:sdtPr>
              <w:sdtContent>
                <w:p>
                  <w:pPr>
                    <w:ind w:firstLine="567"/>
                    <w:jc w:val="both"/>
                    <w:rPr>
                      <w:color w:val="000000"/>
                      <w:szCs w:val="24"/>
                      <w:lang w:eastAsia="lt-LT"/>
                    </w:rPr>
                  </w:pPr>
                  <w:sdt>
                    <w:sdtPr>
                      <w:alias w:val="Numeris"/>
                      <w:tag w:val="nr_2a095549d5094d0f9a7bb6ed054953f6"/>
                      <w:lock w:val="sdtLocked"/>
                      <w:richText/>
                    </w:sdtPr>
                    <w:sdtContent>
                      <w:r>
                        <w:t>95</w:t>
                      </w:r>
                      <w:r>
                        <w:rPr>
                          <w:vertAlign w:val="superscript"/>
                        </w:rPr>
                        <w:t>1</w:t>
                      </w:r>
                    </w:sdtContent>
                  </w:sdt>
                  <w:r>
                    <w:t xml:space="preserve">. </w:t>
                  </w:r>
                  <w:r>
                    <w:rPr>
                      <w:lang w:eastAsia="lt-LT"/>
                    </w:rPr>
                    <w:t>Kai leidimo sąlygos peržiūrimos vadovaujantis Taisyklių 92.1 papunkčiu, leidimo sąlygos sugriežtinamos arba įrašomos papildomos (keičiamas leidimas arba patikslinamos leidimo sąlygos), nurodant techninius (skaitinius) parametrus iš paraiškos bendrosios dalies informacijos, reikalaujamos pagal Taisyklių 21.15, 21.17–21.20 papunkčius (jei nebuvo įrašytos išduodant leidimą) arba įrašomos kitos sąlygos, leisiančios užtikrinti aplinkos apsaugos normatyvų ir standartų laikymąsi.</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95-2 p."/>
                <w:tag w:val="part_674b9388341d48eba4332246167416a9"/>
                <w:lock w:val="sdtLocked"/>
                <w:richText/>
              </w:sdtPr>
              <w:sdtContent>
                <w:p>
                  <w:pPr>
                    <w:ind w:firstLine="567"/>
                    <w:jc w:val="both"/>
                    <w:rPr>
                      <w:szCs w:val="24"/>
                    </w:rPr>
                  </w:pPr>
                  <w:sdt>
                    <w:sdtPr>
                      <w:alias w:val="Numeris"/>
                      <w:tag w:val="nr_674b9388341d48eba4332246167416a9"/>
                      <w:lock w:val="sdtLocked"/>
                      <w:richText/>
                    </w:sdtPr>
                    <w:sdtContent>
                      <w:r>
                        <w:rPr>
                          <w:szCs w:val="24"/>
                        </w:rPr>
                        <w:t>95</w:t>
                      </w:r>
                      <w:r>
                        <w:rPr>
                          <w:szCs w:val="24"/>
                          <w:vertAlign w:val="superscript"/>
                        </w:rPr>
                        <w:t>2</w:t>
                      </w:r>
                    </w:sdtContent>
                  </w:sdt>
                  <w:r>
                    <w:rPr>
                      <w:szCs w:val="24"/>
                    </w:rPr>
                    <w:t>. Kai leidimo sąlygos peržiūrimos vadovaujantis Taisyklių 92.4</w:t>
                  </w:r>
                  <w:r>
                    <w:rPr>
                      <w:szCs w:val="24"/>
                      <w:vertAlign w:val="superscript"/>
                    </w:rPr>
                    <w:t>1</w:t>
                  </w:r>
                  <w:r>
                    <w:rPr>
                      <w:szCs w:val="24"/>
                    </w:rPr>
                    <w:t xml:space="preserve"> papunkčiu ir nenustatoma nė viena Aplinkos apsaugos įstatymo 19</w:t>
                  </w:r>
                  <w:r>
                    <w:rPr>
                      <w:szCs w:val="24"/>
                      <w:vertAlign w:val="superscript"/>
                    </w:rPr>
                    <w:t>1</w:t>
                  </w:r>
                  <w:r>
                    <w:rPr>
                      <w:szCs w:val="24"/>
                    </w:rPr>
                    <w:t xml:space="preserve"> straipsnyje nurodyta leidimo keitimo sąlyga, bet nustatoma, kad reikia taikyti priemones reikšmingam neigiamam poveikiui aplinkai išvengti ar sumažinti, nurodytas Aplinkos apsaugos įstatymo 15 straipsnio 13 dalyje: </w:t>
                  </w:r>
                </w:p>
                <w:sdt>
                  <w:sdtPr>
                    <w:alias w:val="95-2.1 pp."/>
                    <w:tag w:val="part_b4967e0a9b7b4733be32c37bfc9ce3ee"/>
                    <w:lock w:val="sdtLocked"/>
                    <w:richText/>
                  </w:sdtPr>
                  <w:sdtContent>
                    <w:p>
                      <w:pPr>
                        <w:ind w:firstLine="567"/>
                        <w:jc w:val="both"/>
                        <w:rPr>
                          <w:szCs w:val="24"/>
                        </w:rPr>
                      </w:pPr>
                      <w:sdt>
                        <w:sdtPr>
                          <w:alias w:val="Numeris"/>
                          <w:tag w:val="nr_b4967e0a9b7b4733be32c37bfc9ce3ee"/>
                          <w:lock w:val="sdtLocked"/>
                          <w:richText/>
                        </w:sdtPr>
                        <w:sdtContent>
                          <w:r>
                            <w:rPr>
                              <w:szCs w:val="24"/>
                            </w:rPr>
                            <w:t>95</w:t>
                          </w:r>
                          <w:r>
                            <w:rPr>
                              <w:szCs w:val="24"/>
                              <w:vertAlign w:val="superscript"/>
                            </w:rPr>
                            <w:t>2</w:t>
                          </w:r>
                          <w:r>
                            <w:rPr>
                              <w:szCs w:val="24"/>
                            </w:rPr>
                            <w:t>.1</w:t>
                          </w:r>
                        </w:sdtContent>
                      </w:sdt>
                      <w:r>
                        <w:rPr>
                          <w:szCs w:val="24"/>
                        </w:rPr>
                        <w:t>. AAA turi pareikalauti ūkio subjekto pateikti Aplinkos apsaugos įstatymo 15 straipsnio 13 dalyje nurodytų priemonių planą (laisva forma) reikšmingam neigiamam poveikiui aplinkai išvengti, sumažinti, kompensuoti ir (ar) atkurti tai, kas pažeista, arba užkirsti jam kelią (toliau – papildomų priemonių planas), kuriame nurodo, kokias papildomas arba kitas, nenumatytas leidime ir (ar) jo prieduose, priemones planuoja taikyti ir kokiais terminais, ir (ar) etapais jas planuoja įgyvendinti. Įgyvendinimo terminas turi būti pagrįstas konkrečiais techniniais, technologiniais ir (ar) ekonominiais duomenimis ir negali būti ilgesnis kaip vieni metai. Papildomų priemonių planą veiklos vykdytojas turi pateikti per 1 mėnesį nuo šiame papunktyje nurodyto AAA reikalavimo gavimo dienos;</w:t>
                      </w:r>
                    </w:p>
                  </w:sdtContent>
                </w:sdt>
                <w:sdt>
                  <w:sdtPr>
                    <w:alias w:val="95-2.2 pp."/>
                    <w:tag w:val="part_a6cce9c23beb4673946f46c5dee78d0d"/>
                    <w:lock w:val="sdtLocked"/>
                    <w:richText/>
                  </w:sdtPr>
                  <w:sdtContent>
                    <w:p>
                      <w:pPr>
                        <w:ind w:firstLine="567"/>
                        <w:jc w:val="both"/>
                        <w:rPr>
                          <w:szCs w:val="24"/>
                        </w:rPr>
                      </w:pPr>
                      <w:sdt>
                        <w:sdtPr>
                          <w:alias w:val="Numeris"/>
                          <w:tag w:val="nr_a6cce9c23beb4673946f46c5dee78d0d"/>
                          <w:lock w:val="sdtLocked"/>
                          <w:richText/>
                        </w:sdtPr>
                        <w:sdtContent>
                          <w:r>
                            <w:rPr>
                              <w:szCs w:val="24"/>
                            </w:rPr>
                            <w:t>95</w:t>
                          </w:r>
                          <w:r>
                            <w:rPr>
                              <w:szCs w:val="24"/>
                              <w:vertAlign w:val="superscript"/>
                            </w:rPr>
                            <w:t>2</w:t>
                          </w:r>
                          <w:r>
                            <w:rPr>
                              <w:szCs w:val="24"/>
                            </w:rPr>
                            <w:t>.2</w:t>
                          </w:r>
                        </w:sdtContent>
                      </w:sdt>
                      <w:r>
                        <w:rPr>
                          <w:szCs w:val="24"/>
                        </w:rPr>
                        <w:t>. jei gavusi papildomų priemonių planą, AAA vadovaudamasi atliktos leidimo sąlygų peržiūros rezultatais nustato, kad šiame plane nurodytų priemonių reikšmingam neigiamam poveikiui aplinkai išvengti ar sumažinti nepakanka, per 10 darbo dienų nuo šio plano gavimo dienos raštu pateikia pastabas veiklos vykdytojui, nurodydama, kad patikslintas papildomų priemonių planas turi būti pateiktas ne ilgiau kaip per 10 darbo dienų;</w:t>
                      </w:r>
                    </w:p>
                  </w:sdtContent>
                </w:sdt>
                <w:sdt>
                  <w:sdtPr>
                    <w:alias w:val="95-2.3 pp."/>
                    <w:tag w:val="part_a78884e591d74b88969e7edde1d10212"/>
                    <w:lock w:val="sdtLocked"/>
                    <w:richText/>
                  </w:sdtPr>
                  <w:sdtContent>
                    <w:p>
                      <w:pPr>
                        <w:ind w:firstLine="567"/>
                        <w:jc w:val="both"/>
                        <w:rPr>
                          <w:color w:val="000000"/>
                          <w:szCs w:val="24"/>
                          <w:lang w:eastAsia="lt-LT"/>
                        </w:rPr>
                      </w:pPr>
                      <w:sdt>
                        <w:sdtPr>
                          <w:alias w:val="Numeris"/>
                          <w:tag w:val="nr_a78884e591d74b88969e7edde1d10212"/>
                          <w:lock w:val="sdtLocked"/>
                          <w:richText/>
                        </w:sdtPr>
                        <w:sdtContent>
                          <w:r>
                            <w:rPr>
                              <w:szCs w:val="24"/>
                            </w:rPr>
                            <w:t>95</w:t>
                          </w:r>
                          <w:r>
                            <w:rPr>
                              <w:szCs w:val="24"/>
                              <w:vertAlign w:val="superscript"/>
                            </w:rPr>
                            <w:t>2</w:t>
                          </w:r>
                          <w:r>
                            <w:rPr>
                              <w:szCs w:val="24"/>
                            </w:rPr>
                            <w:t>.3</w:t>
                          </w:r>
                        </w:sdtContent>
                      </w:sdt>
                      <w:r>
                        <w:rPr>
                          <w:szCs w:val="24"/>
                        </w:rPr>
                        <w:t>. jei AAA nustato, kad papildomų priemonių plane nurodytų priemonių pakanka, per 10 darbo dienų nuo šio plano ar jo patikslinimo gavimo dienos Taisyklių 97 punkte nustatyta tvarka priima sprendimą, kuriame įrašo, kad derina papildomų priemonių planą ir įtraukia jį į leidimo priedų sąrašą.</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96 p."/>
                <w:tag w:val="part_199fac32572448a686ae04b62d9ababe"/>
                <w:lock w:val="sdtLocked"/>
                <w:richText/>
              </w:sdtPr>
              <w:sdtContent>
                <w:p>
                  <w:pPr>
                    <w:widowControl w:val="0"/>
                    <w:ind w:firstLine="567"/>
                    <w:jc w:val="both"/>
                    <w:rPr>
                      <w:color w:val="000000"/>
                      <w:szCs w:val="24"/>
                      <w:lang w:eastAsia="lt-LT"/>
                    </w:rPr>
                  </w:pPr>
                  <w:sdt>
                    <w:sdtPr>
                      <w:alias w:val="Numeris"/>
                      <w:tag w:val="nr_199fac32572448a686ae04b62d9ababe"/>
                      <w:lock w:val="sdtLocked"/>
                      <w:richText/>
                    </w:sdtPr>
                    <w:sdtContent>
                      <w:r>
                        <w:rPr>
                          <w:color w:val="000000"/>
                          <w:szCs w:val="24"/>
                          <w:lang w:eastAsia="lt-LT"/>
                        </w:rPr>
                        <w:t>96</w:t>
                      </w:r>
                    </w:sdtContent>
                  </w:sdt>
                  <w:r>
                    <w:rPr>
                      <w:color w:val="000000"/>
                      <w:szCs w:val="24"/>
                      <w:lang w:eastAsia="lt-LT"/>
                    </w:rPr>
                    <w:t>. Peržiūrėdama leidimo sąlygas pagal Taisyklių 92 punkto nuostatas, AAA turi pakartotinai įvertinti Taisyklių 51 punkte nurodytą išimties taikymą, jeigu tokia išimtis taikyta išduodant leidimą.</w:t>
                  </w:r>
                </w:p>
              </w:sdtContent>
            </w:sdt>
            <w:sdt>
              <w:sdtPr>
                <w:alias w:val="96-1 p."/>
                <w:tag w:val="part_6e46075045bd49c2a26c7baa254ea85e"/>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rPr>
                  </w:pPr>
                  <w:sdt>
                    <w:sdtPr>
                      <w:alias w:val="Numeris"/>
                      <w:tag w:val="nr_6e46075045bd49c2a26c7baa254ea85e"/>
                      <w:lock w:val="sdtLocked"/>
                      <w:richText/>
                    </w:sdtPr>
                    <w:sdtContent>
                      <w:r>
                        <w:rPr>
                          <w:szCs w:val="24"/>
                        </w:rPr>
                        <w:t>96</w:t>
                      </w:r>
                      <w:r>
                        <w:rPr>
                          <w:szCs w:val="24"/>
                          <w:vertAlign w:val="superscript"/>
                        </w:rPr>
                        <w:t>1</w:t>
                      </w:r>
                    </w:sdtContent>
                  </w:sdt>
                  <w:r>
                    <w:rPr>
                      <w:szCs w:val="24"/>
                    </w:rPr>
                    <w:t>. Leidimo sąlygas AAA peržiūri: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sdt>
                  <w:sdtPr>
                    <w:alias w:val="96-1.1 pp."/>
                    <w:tag w:val="part_3e05c002e6a64e2f8e217e0ae33ff2b8"/>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rPr>
                      </w:pPr>
                      <w:sdt>
                        <w:sdtPr>
                          <w:alias w:val="Numeris"/>
                          <w:tag w:val="nr_3e05c002e6a64e2f8e217e0ae33ff2b8"/>
                          <w:lock w:val="sdtLocked"/>
                          <w:richText/>
                        </w:sdtPr>
                        <w:sdtContent>
                          <w:r>
                            <w:rPr>
                              <w:szCs w:val="24"/>
                            </w:rPr>
                            <w:t>96</w:t>
                          </w:r>
                          <w:r>
                            <w:rPr>
                              <w:szCs w:val="24"/>
                              <w:vertAlign w:val="superscript"/>
                            </w:rPr>
                            <w:t>1</w:t>
                          </w:r>
                          <w:r>
                            <w:rPr>
                              <w:szCs w:val="24"/>
                            </w:rPr>
                            <w:t>.1</w:t>
                          </w:r>
                        </w:sdtContent>
                      </w:sdt>
                      <w:r>
                        <w:rPr>
                          <w:szCs w:val="24"/>
                        </w:rPr>
                        <w:t>. Taisyklių 92.1, 92.4, 92.4</w:t>
                      </w:r>
                      <w:r>
                        <w:rPr>
                          <w:szCs w:val="24"/>
                          <w:vertAlign w:val="superscript"/>
                        </w:rPr>
                        <w:t>1</w:t>
                      </w:r>
                      <w:r>
                        <w:rPr>
                          <w:szCs w:val="24"/>
                        </w:rPr>
                        <w:t xml:space="preserve">, 92.6–92.8, 92.10–92.12 ir 92.14 papunkčiuose nurodytais atvejais – per ne ilgesnį kaip 20 darbo dienų terminą nuo šiuose papunkčiuose nurodytos informacijos ar dokumentų gavimo dienos, </w:t>
                      </w:r>
                      <w:r>
                        <w:rPr>
                          <w:szCs w:val="24"/>
                          <w:lang w:eastAsia="lt-LT"/>
                        </w:rPr>
                        <w:t>išskyrus atvejus, kai AAA motyvuotai paprašo papildomos informacijos Taisyklių 94 punkte nustatyta tvarka. Leidimo peržiūros terminas AAA sprendimu gali būti pratęstas ne ilgiau kaip 10 darbo dienų nuo papildomos informacijos gavimo dienos;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96-1.2 pp."/>
                    <w:tag w:val="part_744cde824aca4f899002fc510f35271f"/>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rPr>
                      </w:pPr>
                      <w:sdt>
                        <w:sdtPr>
                          <w:alias w:val="Numeris"/>
                          <w:tag w:val="nr_744cde824aca4f899002fc510f35271f"/>
                          <w:lock w:val="sdtLocked"/>
                          <w:richText/>
                        </w:sdtPr>
                        <w:sdtContent>
                          <w:r>
                            <w:rPr>
                              <w:szCs w:val="24"/>
                            </w:rPr>
                            <w:t>96</w:t>
                          </w:r>
                          <w:r>
                            <w:rPr>
                              <w:szCs w:val="24"/>
                              <w:vertAlign w:val="superscript"/>
                            </w:rPr>
                            <w:t>1</w:t>
                          </w:r>
                          <w:r>
                            <w:rPr>
                              <w:szCs w:val="24"/>
                            </w:rPr>
                            <w:t>.2</w:t>
                          </w:r>
                        </w:sdtContent>
                      </w:sdt>
                      <w:r>
                        <w:rPr>
                          <w:szCs w:val="24"/>
                        </w:rPr>
                        <w:t>. Taisyklių 92.5 papunktyje nurodytu atveju – per 1 metus nuo nurodytų teisės aktų įsigaliojimo dienos, jei šiuose teisės aktuose nenustatytos kitokios taikymo sąlygos. Leidimų sąlygoms peržiūrėti Taisyklių 92.5 papunktyje nustatytu atveju AAA parengia ir patvirtina leidimų peržiūrėjimo planą;</w:t>
                      </w:r>
                    </w:p>
                  </w:sdtContent>
                </w:sdt>
                <w:sdt>
                  <w:sdtPr>
                    <w:alias w:val="96-1.3 pp."/>
                    <w:tag w:val="part_19c9a741378641229df9ee64714a5b0f"/>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rPr>
                      </w:pPr>
                      <w:sdt>
                        <w:sdtPr>
                          <w:alias w:val="Numeris"/>
                          <w:tag w:val="nr_19c9a741378641229df9ee64714a5b0f"/>
                          <w:lock w:val="sdtLocked"/>
                          <w:richText/>
                        </w:sdtPr>
                        <w:sdtContent>
                          <w:r>
                            <w:rPr>
                              <w:szCs w:val="24"/>
                            </w:rPr>
                            <w:t>96</w:t>
                          </w:r>
                          <w:r>
                            <w:rPr>
                              <w:szCs w:val="24"/>
                              <w:vertAlign w:val="superscript"/>
                            </w:rPr>
                            <w:t>1</w:t>
                          </w:r>
                          <w:r>
                            <w:rPr>
                              <w:szCs w:val="24"/>
                            </w:rPr>
                            <w:t>.3</w:t>
                          </w:r>
                        </w:sdtContent>
                      </w:sdt>
                      <w:r>
                        <w:rPr>
                          <w:szCs w:val="24"/>
                        </w:rPr>
                        <w:t>. Taisyklių 92.13 papunktyje nurodytu atveju – per 2 mėnesius nuo informacijos iš NVSC gavimo dienos. Šis terminas netaikomas, kai NVSC pateikta informacija atitinka Aplinkos apsaugos įstatymo 19</w:t>
                      </w:r>
                      <w:r>
                        <w:rPr>
                          <w:szCs w:val="24"/>
                          <w:vertAlign w:val="superscript"/>
                        </w:rPr>
                        <w:t>1</w:t>
                      </w:r>
                      <w:r>
                        <w:rPr>
                          <w:szCs w:val="24"/>
                        </w:rPr>
                        <w:t xml:space="preserve"> straipsnyje nurodytus leidimo panaikinimo pagrindus, kai sprendimas turi būti priimtas Aplinkos apsaugos įstatymo 19</w:t>
                      </w:r>
                      <w:r>
                        <w:rPr>
                          <w:szCs w:val="24"/>
                          <w:vertAlign w:val="superscript"/>
                        </w:rPr>
                        <w:t>1</w:t>
                      </w:r>
                      <w:r>
                        <w:rPr>
                          <w:szCs w:val="24"/>
                        </w:rPr>
                        <w:t xml:space="preserve"> straipsnio 15 dalyje nurodytais terminais;</w:t>
                      </w:r>
                    </w:p>
                  </w:sdtContent>
                </w:sdt>
                <w:sdt>
                  <w:sdtPr>
                    <w:alias w:val="96-1.4 pp."/>
                    <w:tag w:val="part_0e8eaf5356624feca5feb774ba0bb10b"/>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szCs w:val="24"/>
                          <w:lang w:eastAsia="lt-LT"/>
                        </w:rPr>
                      </w:pPr>
                      <w:sdt>
                        <w:sdtPr>
                          <w:alias w:val="Numeris"/>
                          <w:tag w:val="nr_0e8eaf5356624feca5feb774ba0bb10b"/>
                          <w:lock w:val="sdtLocked"/>
                          <w:richText/>
                        </w:sdtPr>
                        <w:sdtContent>
                          <w:r>
                            <w:rPr>
                              <w:szCs w:val="24"/>
                            </w:rPr>
                            <w:t>96</w:t>
                          </w:r>
                          <w:r>
                            <w:rPr>
                              <w:szCs w:val="24"/>
                              <w:vertAlign w:val="superscript"/>
                            </w:rPr>
                            <w:t>1</w:t>
                          </w:r>
                          <w:r>
                            <w:rPr>
                              <w:szCs w:val="24"/>
                            </w:rPr>
                            <w:t>.4</w:t>
                          </w:r>
                        </w:sdtContent>
                      </w:sdt>
                      <w:r>
                        <w:rPr>
                          <w:szCs w:val="24"/>
                        </w:rPr>
                        <w:t xml:space="preserve">. Taisyklių </w:t>
                      </w:r>
                      <w:r>
                        <w:t xml:space="preserve">92.15 papunktyje nurodytu atveju – per 10 darbo dienų nuo informacijos gavimo dienos.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97 p."/>
                <w:tag w:val="part_2c099e1a53ce433983f4b09bb4ace219"/>
                <w:lock w:val="sdtLocked"/>
                <w:richText/>
              </w:sdtPr>
              <w:sdtContent>
                <w:p>
                  <w:pPr>
                    <w:ind w:firstLine="567"/>
                    <w:jc w:val="both"/>
                  </w:pPr>
                  <w:sdt>
                    <w:sdtPr>
                      <w:alias w:val="Numeris"/>
                      <w:tag w:val="nr_2c099e1a53ce433983f4b09bb4ace219"/>
                      <w:lock w:val="sdtLocked"/>
                      <w:richText/>
                    </w:sdtPr>
                    <w:sdtContent>
                      <w:r>
                        <w:t>97</w:t>
                      </w:r>
                    </w:sdtContent>
                  </w:sdt>
                  <w:r>
                    <w:t xml:space="preserve">. AAA, peržiūrėjusi leidimo sąlygas, priima sprendimą dėl prievolės pakeisti leidimą, surašo jį ant AAA blanko ir ne vėliau kaip per 3 darbo dienas nuo šio sprendimo priėmimo dienos pateikia veiklos vykdytojui, NVSC ir AAD. Sprendimas priimamas šia tvarka: </w:t>
                  </w:r>
                </w:p>
                <w:sdt>
                  <w:sdtPr>
                    <w:alias w:val="97.1 pp."/>
                    <w:tag w:val="part_3461422e6ff54b159f5d29b56a5eb5eb"/>
                    <w:lock w:val="sdtLocked"/>
                    <w:richText/>
                  </w:sdtPr>
                  <w:sdtContent>
                    <w:p>
                      <w:pPr>
                        <w:ind w:firstLine="567"/>
                        <w:jc w:val="both"/>
                        <w:rPr>
                          <w:lang w:val="en-GB"/>
                        </w:rPr>
                      </w:pPr>
                      <w:sdt>
                        <w:sdtPr>
                          <w:alias w:val="Numeris"/>
                          <w:tag w:val="nr_3461422e6ff54b159f5d29b56a5eb5eb"/>
                          <w:lock w:val="sdtLocked"/>
                          <w:richText/>
                        </w:sdtPr>
                        <w:sdtContent>
                          <w:r>
                            <w:t>97.1</w:t>
                          </w:r>
                        </w:sdtContent>
                      </w:sdt>
                      <w:r>
                        <w:t>. jeigu peržiūrėjus leidimo sąlygas nustatoma bent viena Lietuvos Respublikos aplinkos apsaugos įstatymo 19</w:t>
                      </w:r>
                      <w:r>
                        <w:rPr>
                          <w:vertAlign w:val="superscript"/>
                        </w:rPr>
                        <w:t>1</w:t>
                      </w:r>
                      <w:r>
                        <w:t xml:space="preserve"> straipsnyje nurodyta leidimo pakeitimo sąlyga, AAA priima sprendimą, kad būtina pakeisti leidimą, sprendime nurodo, kokias leidimo dalis ir kokiu pagrindu reikia pakeisti, ir nustato ne trumpesnį kaip 20 darbo dienų terminą, per kurį veiklos vykdytojas privalo pateikti paraišką leidimui pakeisti; jei leidimą reikia pakeisti Lietuvos Respublikos aplinkos apsaugos įstatymo 19</w:t>
                      </w:r>
                      <w:r>
                        <w:rPr>
                          <w:vertAlign w:val="superscript"/>
                        </w:rPr>
                        <w:t>1</w:t>
                      </w:r>
                      <w:r>
                        <w:t xml:space="preserve"> straipsnio 12 dalies 4 ir 5 punktuose nustatytais atvejais – ne trumpesnį kaip 20 darbo dienų, bet ne ilgesnį kaip 30 darbo dienų terminą pateikti paraišką. Sprendime turi būti nustatyti reikalavimai, kuriuos turi atitikti pateikta paraiška leidimui pakeisti;</w:t>
                      </w:r>
                    </w:p>
                  </w:sdtContent>
                </w:sdt>
                <w:sdt>
                  <w:sdtPr>
                    <w:alias w:val="97.2 pp."/>
                    <w:tag w:val="part_20a65966b26843e9814bbfb96d62f060"/>
                    <w:lock w:val="sdtLocked"/>
                    <w:richText/>
                  </w:sdtPr>
                  <w:sdtContent>
                    <w:p>
                      <w:pPr>
                        <w:ind w:firstLine="567"/>
                        <w:jc w:val="both"/>
                        <w:rPr>
                          <w:lang w:val="en-GB"/>
                        </w:rPr>
                      </w:pPr>
                      <w:sdt>
                        <w:sdtPr>
                          <w:alias w:val="Numeris"/>
                          <w:tag w:val="nr_20a65966b26843e9814bbfb96d62f060"/>
                          <w:lock w:val="sdtLocked"/>
                          <w:richText/>
                        </w:sdtPr>
                        <w:sdtContent>
                          <w:r>
                            <w:rPr>
                              <w:lang w:val="en-GB"/>
                            </w:rPr>
                            <w:t>97.2</w:t>
                          </w:r>
                        </w:sdtContent>
                      </w:sdt>
                      <w:r>
                        <w:rPr>
                          <w:lang w:val="en-GB"/>
                        </w:rPr>
                        <w:t>.</w:t>
                      </w:r>
                      <w:r>
                        <w:t xml:space="preserve"> jeigu peržiūrėjus leidimo sąlygas nenustatoma nė viena Lietuvos Respublikos aplinkos apsaugos įstatymo 19</w:t>
                      </w:r>
                      <w:r>
                        <w:rPr>
                          <w:vertAlign w:val="superscript"/>
                        </w:rPr>
                        <w:t>1</w:t>
                      </w:r>
                      <w:r>
                        <w:t xml:space="preserve"> straipsnyje nurodyta leidimo pakeitimo sąlyga ir leidimo sąlygos nekeičiamos, AAA priima sprendimą, kad nereikia keisti leidimo, sprendime nurodo pagrindą, kuriuo vadovaudamasi atliko leidimo sąlygų peržiūrą ir motyvus, kuriais vadovaudamasi priėmė sprendimą;</w:t>
                      </w:r>
                    </w:p>
                  </w:sdtContent>
                </w:sdt>
                <w:sdt>
                  <w:sdtPr>
                    <w:alias w:val="97.3 pp."/>
                    <w:tag w:val="part_672b24d3a68d46ec92f8d76f9f832c5e"/>
                    <w:lock w:val="sdtLocked"/>
                    <w:richText/>
                  </w:sdtPr>
                  <w:sdtContent>
                    <w:p>
                      <w:pPr>
                        <w:ind w:firstLine="567"/>
                        <w:jc w:val="both"/>
                        <w:rPr>
                          <w:color w:val="000000"/>
                          <w:szCs w:val="24"/>
                          <w:lang w:eastAsia="lt-LT"/>
                        </w:rPr>
                      </w:pPr>
                      <w:sdt>
                        <w:sdtPr>
                          <w:alias w:val="Numeris"/>
                          <w:tag w:val="nr_672b24d3a68d46ec92f8d76f9f832c5e"/>
                          <w:lock w:val="sdtLocked"/>
                          <w:richText/>
                        </w:sdtPr>
                        <w:sdtContent>
                          <w:r>
                            <w:rPr>
                              <w:lang w:val="en-GB"/>
                            </w:rPr>
                            <w:t>97.3</w:t>
                          </w:r>
                        </w:sdtContent>
                      </w:sdt>
                      <w:r>
                        <w:rPr>
                          <w:lang w:val="en-GB"/>
                        </w:rPr>
                        <w:t>.</w:t>
                      </w:r>
                      <w:r>
                        <w:t xml:space="preserve"> jei atliekant leidimo sąlygų peržiūrą nenustatoma nei viena Lietuvos Respublikos aplinkos apsaugos įstatymo 19</w:t>
                      </w:r>
                      <w:r>
                        <w:rPr>
                          <w:vertAlign w:val="superscript"/>
                          <w:lang w:val="en-GB"/>
                        </w:rPr>
                        <w:t>1</w:t>
                      </w:r>
                      <w:r>
                        <w:t xml:space="preserve"> straipsnyje nurodyta leidimo pakeitimo sąlyga, tačiau Taisyklėse nustatyta tvarka nustatoma, kad leidimo sąlygas būtina patikslinti, priimamas sprendimas, kad nereikia keisti leidimo, tačiau tokiu atveju sprendime nurodomos patikslintos leidimo sąlygos: įrenginio pavadinimas, leidimo lentelės numeris ir pavadinimas, galiojančios sąlygos, kurias reikia tikslinti, ir patikslintos sąlygos, kuriomis turi būti vadovaujamasi nuo šio sprendimo priėmimo dienos. Sprendime nurodoma, kad šis sprendimas laikomas leidimo sąlyga ir juo reikia vadovautis eksploatuojant įrenginį ir vykdant leidimo sąlygų laikymosi kontrolę. Sprendimas pridedamas prie leidimo ir įtraukiamas į leidimo priedų sąrašą.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97-1 p."/>
                <w:tag w:val="part_98432253b7484c6989b401f2a8af68aa"/>
                <w:lock w:val="sdtLocked"/>
                <w:richText/>
              </w:sdtPr>
              <w:sdtContent>
                <w:p>
                  <w:pPr>
                    <w:suppressAutoHyphens/>
                    <w:ind w:firstLine="567"/>
                    <w:jc w:val="both"/>
                    <w:rPr>
                      <w:color w:val="000000"/>
                      <w:szCs w:val="24"/>
                      <w:lang w:eastAsia="lt-LT"/>
                    </w:rPr>
                  </w:pPr>
                  <w:sdt>
                    <w:sdtPr>
                      <w:alias w:val="Numeris"/>
                      <w:tag w:val="nr_98432253b7484c6989b401f2a8af68aa"/>
                      <w:lock w:val="sdtLocked"/>
                      <w:richText/>
                    </w:sdtPr>
                    <w:sdtContent>
                      <w:r>
                        <w:rPr>
                          <w:lang w:eastAsia="lt-LT"/>
                        </w:rPr>
                        <w:t>97</w:t>
                      </w:r>
                      <w:r>
                        <w:rPr>
                          <w:vertAlign w:val="superscript"/>
                          <w:lang w:eastAsia="lt-LT"/>
                        </w:rPr>
                        <w:t>1</w:t>
                      </w:r>
                    </w:sdtContent>
                  </w:sdt>
                  <w:r>
                    <w:rPr>
                      <w:lang w:eastAsia="lt-LT"/>
                    </w:rPr>
                    <w:t>. Kai veiklos vykdytojas privalo turėti prievolių įvykdymo užtikrinimo dokumentą Atliekų tvarkymo įstatymo 11 straipsnio 2 dalyje nustatytais atvejais ir AAA sprendimas patikslinti leidimo sąlygas turės įtakos prievolių įvykdymo užtikrinimo dokumente nurodytos prievolių įvykdymo užtikrinimo sumos dydžiui, sprendimas patikslinti leidimo sąlygas priimamas, kai veiklos vykdytojas AAD pateikia prievolių įvykdymo užtikrinimo dokumentą, atitinkantį aplinkos ministro patvirtinto Atliekas naudojančių ar šalinančių įmonių prievolių įvykdymo užtikrinimo tvarkos aprašo reikalavimus.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5344301d2e11edb4cae1b158f98ea5">
                    <w:r w:rsidRPr="00532B9F">
                      <w:rPr>
                        <w:rFonts w:ascii="Arial" w:eastAsia="MS Mincho" w:hAnsi="Arial"/>
                        <w:sz w:val="20"/>
                        <w:i/>
                        <w:iCs/>
                        <w:color w:val="0000FF" w:themeColor="hyperlink"/>
                        <w:u w:val="single"/>
                      </w:rPr>
                      <w:t>D1-263</w:t>
                    </w:r>
                  </w:fldSimple>
                  <w:r>
                    <w:rPr>
                      <w:rFonts w:ascii="Arial" w:eastAsia="MS Mincho" w:hAnsi="Arial"/>
                      <w:sz w:val="20"/>
                      <w:i/>
                      <w:iCs/>
                    </w:rPr>
                    <w:t>,
2022-08-16,
paskelbta TAR 2022-08-16, i. k. 2022-17141        </w:t>
                  </w:r>
                </w:p>
                <w:p/>
              </w:sdtContent>
            </w:sdt>
            <w:sdt>
              <w:sdtPr>
                <w:alias w:val="98 p."/>
                <w:tag w:val="part_b9c0ff9fc71c42f3a1499e7ad5b72b71"/>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pPr>
                  <w:sdt>
                    <w:sdtPr>
                      <w:alias w:val="Numeris"/>
                      <w:tag w:val="nr_b9c0ff9fc71c42f3a1499e7ad5b72b71"/>
                      <w:lock w:val="sdtLocked"/>
                      <w:richText/>
                    </w:sdtPr>
                    <w:sdtContent>
                      <w:r>
                        <w:rPr>
                          <w:rFonts w:eastAsia="Andale Sans UI"/>
                          <w:szCs w:val="24"/>
                          <w:lang w:bidi="en-US"/>
                        </w:rPr>
                        <w:t>98</w:t>
                      </w:r>
                    </w:sdtContent>
                  </w:sdt>
                  <w:r>
                    <w:rPr>
                      <w:rFonts w:eastAsia="Andale Sans UI"/>
                      <w:szCs w:val="24"/>
                      <w:lang w:bidi="en-US"/>
                    </w:rPr>
                    <w:t>. Leidimas keičiamas esant bent vienai iš sąlygų, nurodytų Lietuvos Respublikos aplinkos apsaugos įstatymo 19</w:t>
                  </w:r>
                  <w:r>
                    <w:rPr>
                      <w:rFonts w:eastAsia="Andale Sans UI"/>
                      <w:szCs w:val="24"/>
                      <w:vertAlign w:val="superscript"/>
                      <w:lang w:bidi="en-US"/>
                    </w:rPr>
                    <w:t>1</w:t>
                  </w:r>
                  <w:r>
                    <w:rPr>
                      <w:rFonts w:eastAsia="Andale Sans UI"/>
                      <w:szCs w:val="24"/>
                      <w:lang w:bidi="en-US"/>
                    </w:rPr>
                    <w:t>  straipsnio 11 ar 12 dalyse.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98-1 p."/>
                <w:tag w:val="part_c4b2e76fae584cf4a077c7d1ae80eb1e"/>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rFonts w:eastAsia="Andale Sans UI"/>
                      <w:szCs w:val="24"/>
                      <w:lang w:bidi="en-US"/>
                    </w:rPr>
                  </w:pPr>
                  <w:sdt>
                    <w:sdtPr>
                      <w:alias w:val="Numeris"/>
                      <w:tag w:val="nr_c4b2e76fae584cf4a077c7d1ae80eb1e"/>
                      <w:lock w:val="sdtLocked"/>
                      <w:richText/>
                    </w:sdtPr>
                    <w:sdtContent>
                      <w:r>
                        <w:rPr>
                          <w:rFonts w:eastAsia="Andale Sans UI"/>
                          <w:szCs w:val="24"/>
                          <w:lang w:bidi="en-US"/>
                        </w:rPr>
                        <w:t>98</w:t>
                      </w:r>
                      <w:r>
                        <w:rPr>
                          <w:rFonts w:eastAsia="Andale Sans UI"/>
                          <w:szCs w:val="24"/>
                          <w:vertAlign w:val="superscript"/>
                          <w:lang w:bidi="en-US"/>
                        </w:rPr>
                        <w:t>1</w:t>
                      </w:r>
                    </w:sdtContent>
                  </w:sdt>
                  <w:r>
                    <w:rPr>
                      <w:rFonts w:eastAsia="Andale Sans UI"/>
                      <w:szCs w:val="24"/>
                      <w:lang w:bidi="en-US"/>
                    </w:rPr>
                    <w:t>. AAA Taisyklių 92 punkte nustatyta tvarka atlikus leidimo sąlygų peržiūrą, priimamas sprendimas pakeisti leidimą, jeigu:</w:t>
                  </w:r>
                </w:p>
                <w:sdt>
                  <w:sdtPr>
                    <w:alias w:val="98-1.1 pp."/>
                    <w:tag w:val="part_7da04611a32e4860bf801a78378a2170"/>
                    <w:lock w:val="sdtLocked"/>
                    <w:richText/>
                  </w:sdtPr>
                  <w:sdtContent>
                    <w:p>
                      <w:pPr>
                        <w:ind w:firstLine="567"/>
                        <w:jc w:val="both"/>
                        <w:textAlignment w:val="baseline"/>
                        <w:rPr>
                          <w:rFonts w:eastAsia="Andale Sans UI"/>
                          <w:szCs w:val="24"/>
                          <w:lang w:bidi="en-US"/>
                        </w:rPr>
                      </w:pPr>
                      <w:sdt>
                        <w:sdtPr>
                          <w:alias w:val="Numeris"/>
                          <w:tag w:val="nr_7da04611a32e4860bf801a78378a2170"/>
                          <w:lock w:val="sdtLocked"/>
                          <w:richText/>
                        </w:sdtPr>
                        <w:sdtContent>
                          <w:r>
                            <w:rPr>
                              <w:szCs w:val="24"/>
                            </w:rPr>
                            <w:t>98</w:t>
                          </w:r>
                          <w:r>
                            <w:rPr>
                              <w:szCs w:val="24"/>
                              <w:vertAlign w:val="superscript"/>
                            </w:rPr>
                            <w:t>1</w:t>
                          </w:r>
                          <w:r>
                            <w:rPr>
                              <w:szCs w:val="24"/>
                            </w:rPr>
                            <w:t>.1</w:t>
                          </w:r>
                        </w:sdtContent>
                      </w:sdt>
                      <w:r>
                        <w:rPr>
                          <w:szCs w:val="24"/>
                        </w:rPr>
                        <w:t>. peržiūrėjus leidimo sąlygas Taisyklių 92.1, 92.4, 92.4</w:t>
                      </w:r>
                      <w:r>
                        <w:rPr>
                          <w:szCs w:val="24"/>
                          <w:vertAlign w:val="superscript"/>
                        </w:rPr>
                        <w:t>1</w:t>
                      </w:r>
                      <w:r>
                        <w:rPr>
                          <w:szCs w:val="24"/>
                        </w:rPr>
                        <w:t>, 92.7, 92.14 papunkčiuose nurodytais atvejais, nustatoma Lietuvos Respublikos aplinkos apsaugos įstatymo 19</w:t>
                      </w:r>
                      <w:r>
                        <w:rPr>
                          <w:szCs w:val="24"/>
                          <w:vertAlign w:val="superscript"/>
                        </w:rPr>
                        <w:t>1</w:t>
                      </w:r>
                      <w:r>
                        <w:rPr>
                          <w:szCs w:val="24"/>
                        </w:rPr>
                        <w:t xml:space="preserve"> straipsnio 12 dalies 6 punkte nurodyta sąlyga;</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98-1.2 pp."/>
                    <w:tag w:val="part_a1a61ff49cd8447cafaeca1ea25ff62d"/>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rFonts w:eastAsia="Andale Sans UI"/>
                          <w:szCs w:val="24"/>
                          <w:lang w:bidi="en-US"/>
                        </w:rPr>
                      </w:pPr>
                      <w:sdt>
                        <w:sdtPr>
                          <w:alias w:val="Numeris"/>
                          <w:tag w:val="nr_a1a61ff49cd8447cafaeca1ea25ff62d"/>
                          <w:lock w:val="sdtLocked"/>
                          <w:richText/>
                        </w:sdtPr>
                        <w:sdtContent>
                          <w:r>
                            <w:rPr>
                              <w:rFonts w:eastAsia="Andale Sans UI"/>
                              <w:szCs w:val="24"/>
                              <w:lang w:bidi="en-US"/>
                            </w:rPr>
                            <w:t>98</w:t>
                          </w:r>
                          <w:r>
                            <w:rPr>
                              <w:rFonts w:eastAsia="Andale Sans UI"/>
                              <w:szCs w:val="24"/>
                              <w:vertAlign w:val="superscript"/>
                              <w:lang w:bidi="en-US"/>
                            </w:rPr>
                            <w:t>1</w:t>
                          </w:r>
                          <w:r>
                            <w:rPr>
                              <w:rFonts w:eastAsia="Andale Sans UI"/>
                              <w:szCs w:val="24"/>
                              <w:lang w:bidi="en-US"/>
                            </w:rPr>
                            <w:t>.2</w:t>
                          </w:r>
                        </w:sdtContent>
                      </w:sdt>
                      <w:r>
                        <w:rPr>
                          <w:rFonts w:eastAsia="Andale Sans UI"/>
                          <w:szCs w:val="24"/>
                          <w:lang w:bidi="en-US"/>
                        </w:rPr>
                        <w:t>. peržiūrėjus leidimo sąlygas Taisyklių 92.1, 92.6, 92.7, 92.10 papunkčiuose nurodytais atvejais, nustatoma Lietuvos Respublikos aplinkos apsaugos įstatymo 19</w:t>
                      </w:r>
                      <w:r>
                        <w:rPr>
                          <w:rFonts w:eastAsia="Andale Sans UI"/>
                          <w:szCs w:val="24"/>
                          <w:vertAlign w:val="superscript"/>
                          <w:lang w:bidi="en-US"/>
                        </w:rPr>
                        <w:t>1</w:t>
                      </w:r>
                      <w:r>
                        <w:rPr>
                          <w:rFonts w:eastAsia="Andale Sans UI"/>
                          <w:szCs w:val="24"/>
                          <w:lang w:bidi="en-US"/>
                        </w:rPr>
                        <w:t xml:space="preserve"> straipsnio 12 dalies 7 punkte nurodyta sąlyga;</w:t>
                      </w:r>
                    </w:p>
                  </w:sdtContent>
                </w:sdt>
                <w:sdt>
                  <w:sdtPr>
                    <w:alias w:val="98-1.3 pp."/>
                    <w:tag w:val="part_c413a20be9e749198f48c6c396c3e06d"/>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c413a20be9e749198f48c6c396c3e06d"/>
                          <w:lock w:val="sdtLocked"/>
                          <w:richText/>
                        </w:sdtPr>
                        <w:sdtContent>
                          <w:r>
                            <w:rPr>
                              <w:rFonts w:eastAsia="Andale Sans UI"/>
                              <w:szCs w:val="24"/>
                              <w:lang w:bidi="en-US"/>
                            </w:rPr>
                            <w:t>98</w:t>
                          </w:r>
                          <w:r>
                            <w:rPr>
                              <w:rFonts w:eastAsia="Andale Sans UI"/>
                              <w:szCs w:val="24"/>
                              <w:vertAlign w:val="superscript"/>
                              <w:lang w:bidi="en-US"/>
                            </w:rPr>
                            <w:t>1</w:t>
                          </w:r>
                          <w:r>
                            <w:rPr>
                              <w:rFonts w:eastAsia="Andale Sans UI"/>
                              <w:szCs w:val="24"/>
                              <w:lang w:bidi="en-US"/>
                            </w:rPr>
                            <w:t>.3</w:t>
                          </w:r>
                        </w:sdtContent>
                      </w:sdt>
                      <w:r>
                        <w:rPr>
                          <w:rFonts w:eastAsia="Andale Sans UI"/>
                          <w:szCs w:val="24"/>
                          <w:lang w:bidi="en-US"/>
                        </w:rPr>
                        <w:t>. peržiūrėjus leidimo sąlygas Taisyklių 92.2, 92.3, 92.5, 92.6, 92.10, 92.11 papunkčiuose nurodytais atvejais, nustatoma Lietuvos Respublikos aplinkos apsaugos įstatymo 19</w:t>
                      </w:r>
                      <w:r>
                        <w:rPr>
                          <w:rFonts w:eastAsia="Andale Sans UI"/>
                          <w:szCs w:val="24"/>
                          <w:vertAlign w:val="superscript"/>
                          <w:lang w:bidi="en-US"/>
                        </w:rPr>
                        <w:t>1</w:t>
                      </w:r>
                      <w:r>
                        <w:rPr>
                          <w:rFonts w:eastAsia="Andale Sans UI"/>
                          <w:szCs w:val="24"/>
                          <w:lang w:bidi="en-US"/>
                        </w:rPr>
                        <w:t xml:space="preserve"> straipsnio 12 dalies 2 arba 8 punkte nurodyta sąlyga.</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99 p."/>
                <w:tag w:val="part_5c88bcf3d5664bf098dbde5508c2e40e"/>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5c88bcf3d5664bf098dbde5508c2e40e"/>
                      <w:lock w:val="sdtLocked"/>
                      <w:richText/>
                    </w:sdtPr>
                    <w:sdtContent>
                      <w:r>
                        <w:t>99</w:t>
                      </w:r>
                    </w:sdtContent>
                  </w:sdt>
                  <w:r>
                    <w:t xml:space="preserve">. Ūkinės veiklos vykdytojas privalo raštu pranešti AAA apie bet kokius planuojamus įrenginio pobūdžio arba veikimo pakeitimus ar išplėtimą, kurie gali daryti poveikį aplinkai. Pranešime </w:t>
                  </w:r>
                  <w:r>
                    <w:rPr>
                      <w:szCs w:val="24"/>
                      <w:lang w:eastAsia="lt-LT"/>
                    </w:rPr>
                    <w:t xml:space="preserve">ūkinės </w:t>
                  </w:r>
                  <w:r>
                    <w:t xml:space="preserve">veiklos vykdytojas pateikia informaciją remdamasis atliktų Lietuvos Respublikos planuojamos ūkinės veiklos poveikio aplinkai vertinimo įstatyme nustatytų procedūrų dokumentais, jei tokios procedūros atliktos, arba išsamią informaciją apie planuojamus pakeitimus, pagal kurią AAA atlieka įvertinimą pagal Taisyklių 100 punktą </w:t>
                  </w:r>
                  <w:r>
                    <w:rPr>
                      <w:szCs w:val="24"/>
                      <w:lang w:eastAsia="lt-LT"/>
                    </w:rPr>
                    <w:t>ir priima sprendimą dėl prievolės keisti leidimą ar poreikio tikslinti jo sąlygas</w:t>
                  </w:r>
                  <w:r>
                    <w:t xml:space="preserve">. Jei pranešama apie planuojamus pakeitimus įrenginiuose, kuriuose vykdoma Taisyklių 1 priedo 6.6.2 ir 6.6.3 papunkčiuose nurodyta ūkinė veikla, rengiant informaciją pranešimui, vadovaujamasi Taisyklių 8 priede pateiktais metodiniais nurodymais.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100 p."/>
                <w:tag w:val="part_50be9b832f094e5faf59e8a9f4eaf5f6"/>
                <w:lock w:val="sdtLocked"/>
                <w:richText/>
              </w:sdtPr>
              <w:sdtContent>
                <w:p>
                  <w:pPr>
                    <w:widowControl w:val="0"/>
                    <w:ind w:firstLine="567"/>
                    <w:jc w:val="both"/>
                    <w:rPr>
                      <w:color w:val="000000"/>
                      <w:szCs w:val="24"/>
                      <w:lang w:eastAsia="lt-LT"/>
                    </w:rPr>
                  </w:pPr>
                  <w:sdt>
                    <w:sdtPr>
                      <w:alias w:val="Numeris"/>
                      <w:tag w:val="nr_50be9b832f094e5faf59e8a9f4eaf5f6"/>
                      <w:lock w:val="sdtLocked"/>
                      <w:richText/>
                    </w:sdtPr>
                    <w:sdtContent>
                      <w:r>
                        <w:rPr>
                          <w:color w:val="000000"/>
                          <w:szCs w:val="24"/>
                          <w:lang w:eastAsia="lt-LT"/>
                        </w:rPr>
                        <w:t>100</w:t>
                      </w:r>
                    </w:sdtContent>
                  </w:sdt>
                  <w:r>
                    <w:rPr>
                      <w:color w:val="000000"/>
                      <w:szCs w:val="24"/>
                      <w:lang w:eastAsia="lt-LT"/>
                    </w:rPr>
                    <w:t>. AAA, gavusi pranešimą apie planuojamą įrenginio pobūdžio arba veikimo pakeitimą ar išplėtimą, kuris gali daryti poveikį aplinkai, įvertina pagal Taisyklių 101 punkte nustatytus kriterijus, – ar šie pakeitimai ar išplėtimas priskirtini esminiam pakeitimui.</w:t>
                  </w:r>
                </w:p>
              </w:sdtContent>
            </w:sdt>
            <w:sdt>
              <w:sdtPr>
                <w:alias w:val="101 p."/>
                <w:tag w:val="part_5b86873d322e42daa2d76ba415ae1b91"/>
                <w:lock w:val="sdtLocked"/>
                <w:richText/>
              </w:sdtPr>
              <w:sdtContent>
                <w:p>
                  <w:pPr>
                    <w:widowControl w:val="0"/>
                    <w:ind w:firstLine="567"/>
                    <w:jc w:val="both"/>
                    <w:rPr>
                      <w:color w:val="000000"/>
                      <w:szCs w:val="24"/>
                      <w:lang w:eastAsia="lt-LT"/>
                    </w:rPr>
                  </w:pPr>
                  <w:sdt>
                    <w:sdtPr>
                      <w:alias w:val="Numeris"/>
                      <w:tag w:val="nr_5b86873d322e42daa2d76ba415ae1b91"/>
                      <w:lock w:val="sdtLocked"/>
                      <w:richText/>
                    </w:sdtPr>
                    <w:sdtContent>
                      <w:r>
                        <w:rPr>
                          <w:color w:val="000000"/>
                          <w:szCs w:val="24"/>
                          <w:lang w:eastAsia="lt-LT"/>
                        </w:rPr>
                        <w:t>101</w:t>
                      </w:r>
                    </w:sdtContent>
                  </w:sdt>
                  <w:r>
                    <w:rPr>
                      <w:color w:val="000000"/>
                      <w:szCs w:val="24"/>
                      <w:lang w:eastAsia="lt-LT"/>
                    </w:rPr>
                    <w:t>. Kiekvienas įrenginio pobūdžio arba veikimo pakeitimas ar išplėtimas laikomas esminiu:</w:t>
                  </w:r>
                </w:p>
                <w:sdt>
                  <w:sdtPr>
                    <w:alias w:val="101.1 p."/>
                    <w:tag w:val="part_65fadce7859747958a0e7b8e489f104b"/>
                    <w:lock w:val="sdtLocked"/>
                    <w:richText/>
                  </w:sdtPr>
                  <w:sdtContent>
                    <w:p>
                      <w:pPr>
                        <w:widowControl w:val="0"/>
                        <w:ind w:firstLine="567"/>
                        <w:jc w:val="both"/>
                        <w:rPr>
                          <w:color w:val="000000"/>
                          <w:szCs w:val="24"/>
                          <w:lang w:eastAsia="lt-LT"/>
                        </w:rPr>
                      </w:pPr>
                      <w:sdt>
                        <w:sdtPr>
                          <w:alias w:val="Numeris"/>
                          <w:tag w:val="nr_65fadce7859747958a0e7b8e489f104b"/>
                          <w:lock w:val="sdtLocked"/>
                          <w:richText/>
                        </w:sdtPr>
                        <w:sdtContent>
                          <w:r>
                            <w:rPr>
                              <w:color w:val="000000"/>
                              <w:szCs w:val="24"/>
                              <w:lang w:eastAsia="lt-LT"/>
                            </w:rPr>
                            <w:t>101.1</w:t>
                          </w:r>
                        </w:sdtContent>
                      </w:sdt>
                      <w:r>
                        <w:rPr>
                          <w:color w:val="000000"/>
                          <w:szCs w:val="24"/>
                          <w:lang w:eastAsia="lt-LT"/>
                        </w:rPr>
                        <w:t>. jei tas pakeitimas ar išplėtimas atitinka Taisyklių 1 priede nustatytus pajėgumo ribinius dydžius;</w:t>
                      </w:r>
                    </w:p>
                  </w:sdtContent>
                </w:sdt>
                <w:sdt>
                  <w:sdtPr>
                    <w:alias w:val="101.2 p."/>
                    <w:tag w:val="part_eb86e02742694879b974c37b4c555a64"/>
                    <w:lock w:val="sdtLocked"/>
                    <w:richText/>
                  </w:sdtPr>
                  <w:sdtContent>
                    <w:p>
                      <w:pPr>
                        <w:widowControl w:val="0"/>
                        <w:ind w:firstLine="567"/>
                        <w:jc w:val="both"/>
                        <w:rPr>
                          <w:color w:val="000000"/>
                          <w:szCs w:val="24"/>
                          <w:lang w:eastAsia="lt-LT"/>
                        </w:rPr>
                      </w:pPr>
                      <w:sdt>
                        <w:sdtPr>
                          <w:alias w:val="Numeris"/>
                          <w:tag w:val="nr_eb86e02742694879b974c37b4c555a64"/>
                          <w:lock w:val="sdtLocked"/>
                          <w:richText/>
                        </w:sdtPr>
                        <w:sdtContent>
                          <w:r>
                            <w:rPr>
                              <w:color w:val="000000"/>
                              <w:szCs w:val="24"/>
                              <w:lang w:eastAsia="lt-LT"/>
                            </w:rPr>
                            <w:t>101.2</w:t>
                          </w:r>
                        </w:sdtContent>
                      </w:sdt>
                      <w:r>
                        <w:rPr>
                          <w:color w:val="000000"/>
                          <w:szCs w:val="24"/>
                          <w:lang w:eastAsia="lt-LT"/>
                        </w:rPr>
                        <w:t>. jei atliekų deginimo ar bendro atliekų deginimo įrenginyje, deginančiame tik nepavojingas atliekas, planuojama keisti veiklą ir pradėti deginti arba bendrai deginti pavojingas atliekas;</w:t>
                      </w:r>
                    </w:p>
                  </w:sdtContent>
                </w:sdt>
                <w:sdt>
                  <w:sdtPr>
                    <w:alias w:val="101.3 p."/>
                    <w:tag w:val="part_c06eb5b0fcbb4c1abea9a421c9c35d4d"/>
                    <w:lock w:val="sdtLocked"/>
                    <w:richText/>
                  </w:sdtPr>
                  <w:sdtContent>
                    <w:p>
                      <w:pPr>
                        <w:widowControl w:val="0"/>
                        <w:ind w:firstLine="567"/>
                        <w:jc w:val="both"/>
                        <w:rPr>
                          <w:color w:val="000000"/>
                          <w:szCs w:val="24"/>
                          <w:lang w:eastAsia="lt-LT"/>
                        </w:rPr>
                      </w:pPr>
                      <w:sdt>
                        <w:sdtPr>
                          <w:alias w:val="Numeris"/>
                          <w:tag w:val="nr_c06eb5b0fcbb4c1abea9a421c9c35d4d"/>
                          <w:lock w:val="sdtLocked"/>
                          <w:richText/>
                        </w:sdtPr>
                        <w:sdtContent>
                          <w:r>
                            <w:rPr>
                              <w:color w:val="000000"/>
                              <w:szCs w:val="24"/>
                              <w:lang w:eastAsia="lt-LT"/>
                            </w:rPr>
                            <w:t>101.3</w:t>
                          </w:r>
                        </w:sdtContent>
                      </w:sdt>
                      <w:r>
                        <w:rPr>
                          <w:color w:val="000000"/>
                          <w:szCs w:val="24"/>
                          <w:lang w:eastAsia="lt-LT"/>
                        </w:rPr>
                        <w:t>. jei įrenginio pobūdžio arba veikimo pakeitimui ar išplėtimui pagal Planuojamos ūkinės veiklos poveikio aplinkai vertinimo įstatymą būtina atlikti poveikio aplinkai vertinimą arba, atlikus atranką dėl poveikio aplinkai vertinimo, nustatoma, kad būtina atlikti poveikio aplinkai vertinimą, arba pagal atrankos medžiagoje pateiktą informaciją sprendžiama, kad leidimo sąlygos turės būti pakeistos.</w:t>
                      </w:r>
                    </w:p>
                  </w:sdtContent>
                </w:sdt>
              </w:sdtContent>
            </w:sdt>
            <w:sdt>
              <w:sdtPr>
                <w:alias w:val="102 p."/>
                <w:tag w:val="part_79153d4657c149f5ab9f28465fec37b5"/>
                <w:lock w:val="sdtLocked"/>
                <w:richText/>
              </w:sdtPr>
              <w:sdtContent>
                <w:p>
                  <w:pPr>
                    <w:widowControl w:val="0"/>
                    <w:ind w:firstLine="567"/>
                    <w:jc w:val="both"/>
                    <w:rPr>
                      <w:color w:val="000000"/>
                      <w:szCs w:val="24"/>
                      <w:lang w:eastAsia="lt-LT"/>
                    </w:rPr>
                  </w:pPr>
                  <w:sdt>
                    <w:sdtPr>
                      <w:alias w:val="Numeris"/>
                      <w:tag w:val="nr_79153d4657c149f5ab9f28465fec37b5"/>
                      <w:lock w:val="sdtLocked"/>
                      <w:richText/>
                    </w:sdtPr>
                    <w:sdtContent>
                      <w:r>
                        <w:rPr>
                          <w:color w:val="000000"/>
                          <w:szCs w:val="24"/>
                          <w:lang w:eastAsia="lt-LT"/>
                        </w:rPr>
                        <w:t>102</w:t>
                      </w:r>
                    </w:sdtContent>
                  </w:sdt>
                  <w:r>
                    <w:rPr>
                      <w:color w:val="000000"/>
                      <w:szCs w:val="24"/>
                      <w:lang w:eastAsia="lt-LT"/>
                    </w:rPr>
                    <w:t>. Veiklos vykdytojas negali eksploatuoti įrenginio, kuriame padarytas esminis pakeitimas, neturėdamas pagal Taisykles išduoto arba pakeisto leidimo.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103 p."/>
                <w:tag w:val="part_f300f7b3d8bc495892944f96ac2ee064"/>
                <w:lock w:val="sdtLocked"/>
                <w:richText/>
              </w:sdtPr>
              <w:sdtContent>
                <w:p>
                  <w:pPr>
                    <w:pStyle w:val="PlainText"/>
                    <w:ind w:firstLine="567"/>
                    <w:jc w:val="both"/>
                    <w:rPr>
                      <w:rFonts w:ascii="Arial" w:hAnsi="Arial"/>
                      <w:b/>
                      <w:bCs/>
                      <w:sz w:val="22"/>
                    </w:rPr>
                  </w:pPr>
                  <w:r>
                    <w:rPr>
                      <w:rFonts w:ascii="Arial" w:hAnsi="Arial"/>
                      <w:sz w:val="22"/>
                    </w:rPr>
                    <w:t>103</w:t>
                  </w:r>
                  <w:r>
                    <w:rPr>
                      <w:rFonts w:ascii="Arial" w:hAnsi="Arial"/>
                      <w:sz w:val="22"/>
                    </w:rPr>
                    <w:t>.</w:t>
                  </w:r>
                  <w:r>
                    <w:rPr>
                      <w:rFonts w:ascii="Arial" w:eastAsia="MS Mincho" w:hAnsi="Arial"/>
                      <w:sz w:val="20"/>
                      <w:i/>
                      <w:iCs/>
                    </w:rPr>
                    <w:t xml:space="preserve"> Neteko galios nuo 2016-01-12</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104 p."/>
                <w:tag w:val="part_945773c22f04471a9c82b13bad5bdb66"/>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945773c22f04471a9c82b13bad5bdb66"/>
                      <w:lock w:val="sdtLocked"/>
                      <w:richText/>
                    </w:sdtPr>
                    <w:sdtContent>
                      <w:r>
                        <w:t>104</w:t>
                      </w:r>
                    </w:sdtContent>
                  </w:sdt>
                  <w:r>
                    <w:t>. Paraiška leidimui pakeisti teikiama, derinama ir leidimas pakeičiamas Taisyklėse naujo leidimo išdavimui nustatyta tvarka. Visuomenė apie gautą paraišką leidimui pakeisti ir leidimo pakeitimą turi būti informuojama Taisyklių VIII skyriuje nustatyta tvarka. Sprendimas pakeisti leidimą arba, vadovaujantis Aplinkos apsaugos įstatymo 19</w:t>
                  </w:r>
                  <w:r>
                    <w:rPr>
                      <w:vertAlign w:val="superscript"/>
                    </w:rPr>
                    <w:t>1</w:t>
                  </w:r>
                  <w:r>
                    <w:t xml:space="preserve"> straipsnyje nustatytais pagrindais, sprendimas nekeisti leidimo priimamas ne vėliau kaip per 20 darbo dienų nuo sprendimo priimti paraišką leidimui pakeisti priėmimo dienos. Jei keičiama daugiau kaip pusė leidimo punktų ir (ar) lentelių arba jei keičiama mažiau kaip pusė leidimo punktų ir (ar) lentelių, bet </w:t>
                  </w:r>
                  <w:r>
                    <w:rPr>
                      <w:szCs w:val="24"/>
                      <w:lang w:eastAsia="lt-LT"/>
                    </w:rPr>
                    <w:t xml:space="preserve">ūkinės </w:t>
                  </w:r>
                  <w:r>
                    <w:t xml:space="preserve">veiklos vykdytojas teikdamas paraišką raštu prašo, turi būti keičiamas visas leidimas. Tokiu atveju AAA turi teisę motyvuotai pareikalauti papildyti arba pilnai užpildyti paraišką.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105 p."/>
                <w:tag w:val="part_b61fbc011f754f45882da315628a0a64"/>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rFonts w:eastAsia="Andale Sans UI"/>
                      <w:szCs w:val="24"/>
                      <w:lang w:bidi="en-US"/>
                    </w:rPr>
                  </w:pPr>
                  <w:sdt>
                    <w:sdtPr>
                      <w:alias w:val="Numeris"/>
                      <w:tag w:val="nr_b61fbc011f754f45882da315628a0a64"/>
                      <w:lock w:val="sdtLocked"/>
                      <w:richText/>
                    </w:sdtPr>
                    <w:sdtContent>
                      <w:r>
                        <w:rPr>
                          <w:rFonts w:eastAsia="Andale Sans UI"/>
                          <w:szCs w:val="24"/>
                          <w:lang w:bidi="en-US"/>
                        </w:rPr>
                        <w:t>105</w:t>
                      </w:r>
                    </w:sdtContent>
                  </w:sdt>
                  <w:r>
                    <w:rPr>
                      <w:rFonts w:eastAsia="Andale Sans UI"/>
                      <w:szCs w:val="24"/>
                      <w:lang w:bidi="en-US"/>
                    </w:rPr>
                    <w:t>. Jeigu teisę eksploatuoti arba valdyti visą įrenginį ar tokio įrenginio dalį įgyja kitas fizinis asmuo, juridinis asmuo ar jo padalinys (įskaitant užsienio valstybės juridinį asmenį ar kitą organizaciją, taip pat jų padalinį) arba pasikeičia fizinio asmens vardas, pavardė arba juridinio asmens, kitos organizacijos pavadinimas, teisinė forma, kodas, adresas (nesikeičiant įrenginio eksploatavimo vietai),</w:t>
                  </w:r>
                  <w:r>
                    <w:rPr>
                      <w:lang w:eastAsia="lt-LT"/>
                    </w:rPr>
                    <w:t xml:space="preserve"> arba jei leidime nurodyta atsakomybė pasidalijama</w:t>
                  </w:r>
                  <w:r>
                    <w:rPr>
                      <w:rFonts w:eastAsia="Andale Sans UI"/>
                      <w:szCs w:val="24"/>
                      <w:lang w:bidi="en-US"/>
                    </w:rPr>
                    <w:t>, leidimo rekvizitai patikslinami vadovaujantis šiomis nuostatomis:</w:t>
                  </w:r>
                </w:p>
                <w:sdt>
                  <w:sdtPr>
                    <w:alias w:val="105.1 pp."/>
                    <w:tag w:val="part_24cddcc2418c47f7b64d8e824a8c1d0a"/>
                    <w:lock w:val="sdtLocked"/>
                    <w:richText/>
                  </w:sdtPr>
                  <w:sdtContent>
                    <w:p>
                      <w:pPr>
                        <w:widowControl w:val="0"/>
                        <w:ind w:firstLine="567"/>
                        <w:jc w:val="both"/>
                        <w:rPr>
                          <w:rFonts w:eastAsia="Andale Sans UI"/>
                          <w:szCs w:val="24"/>
                          <w:lang w:bidi="en-US"/>
                        </w:rPr>
                      </w:pPr>
                      <w:sdt>
                        <w:sdtPr>
                          <w:alias w:val="Numeris"/>
                          <w:tag w:val="nr_24cddcc2418c47f7b64d8e824a8c1d0a"/>
                          <w:lock w:val="sdtLocked"/>
                          <w:richText/>
                        </w:sdtPr>
                        <w:sdtContent>
                          <w:r>
                            <w:rPr>
                              <w:color w:val="000000"/>
                              <w:szCs w:val="24"/>
                            </w:rPr>
                            <w:t>105.1</w:t>
                          </w:r>
                        </w:sdtContent>
                      </w:sdt>
                      <w:r>
                        <w:rPr>
                          <w:color w:val="000000"/>
                          <w:szCs w:val="24"/>
                        </w:rPr>
                        <w:t>. veiklos vykdytojas, kurio pasikeitė fizinio asmens vardas, pavardė arba juridinio asmens, kitos organizacijos pavadinimas, teisinė forma, kodas, adresas (nesikeičiant įrenginio eksploatavimo vietai) arba veiklos vykdytojo teisių perėmėjas (ar perėmėjai), arba veiklos vykdytojas kartu su dalies teisių perėmėju (ar perėmėjais), jei leidime nurodyta atsakomybė pasidalijama, privalo ne vėliau kaip per 10 darbo dienų nuo duomenų pasikeitimo raštu informuoti AAA apie pasikeitusius duomenis ir pateikti AAA prašymą patikslinti leidimo rekvizitus, dokumentus, patvirtinančius pasikeitusius duomenis ir (ar) įrodančius apie perimtas teises ir atsakomybės pasidalijimą, atitinkamai pakeistus Taisyklėse reikalaujamus dokumentus, kuriuose nurodyta šio punkto pirmojoje pastraipoje nurodyta informacija. Šiuos duomenis galima pateikti elektroninėmis priemonėmis, tiesiogiai ar per kontaktinį centrą;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105.2 pp."/>
                    <w:tag w:val="part_b119d9855bce48658ed41f467f4b26d1"/>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rFonts w:eastAsia="Andale Sans UI"/>
                          <w:szCs w:val="24"/>
                          <w:lang w:bidi="en-US"/>
                        </w:rPr>
                      </w:pPr>
                      <w:sdt>
                        <w:sdtPr>
                          <w:alias w:val="Numeris"/>
                          <w:tag w:val="nr_b119d9855bce48658ed41f467f4b26d1"/>
                          <w:lock w:val="sdtLocked"/>
                          <w:richText/>
                        </w:sdtPr>
                        <w:sdtContent>
                          <w:r>
                            <w:rPr>
                              <w:rFonts w:eastAsia="Andale Sans UI"/>
                              <w:szCs w:val="24"/>
                              <w:lang w:bidi="en-US"/>
                            </w:rPr>
                            <w:t>105.2</w:t>
                          </w:r>
                        </w:sdtContent>
                      </w:sdt>
                      <w:r>
                        <w:rPr>
                          <w:rFonts w:eastAsia="Andale Sans UI"/>
                          <w:szCs w:val="24"/>
                          <w:lang w:bidi="en-US"/>
                        </w:rPr>
                        <w:t xml:space="preserve">. patikslinti leidimo rekvizitus AAA privalo ne vėliau kaip per 10 darbo dienų nuo duomenų ir dokumentų, kurių reikia leidimo rekvizitams patikslinti, gavimo dienos. Jeigu pateiktas neišsamus prašymas arba pateikti ne visi dokumentai </w:t>
                      </w:r>
                      <w:r>
                        <w:rPr>
                          <w:lang w:eastAsia="lt-LT"/>
                        </w:rPr>
                        <w:t>ar jie neatitinka teisės aktuose jiems nustatytų reikalavimų</w:t>
                      </w:r>
                      <w:r>
                        <w:rPr>
                          <w:rFonts w:eastAsia="Andale Sans UI"/>
                          <w:szCs w:val="24"/>
                          <w:lang w:bidi="en-US"/>
                        </w:rPr>
                        <w:t>, leidimo rekvizitų patikslinimo terminas skaičiuojamas nuo visų tinkamai parengtų leidimo rekvizitams patikslinti reikalingų dokumentų ir (ar) duomenų gavimo dienos;</w:t>
                      </w:r>
                    </w:p>
                  </w:sdtContent>
                </w:sdt>
                <w:sdt>
                  <w:sdtPr>
                    <w:alias w:val="105.3 pp."/>
                    <w:tag w:val="part_c76466ef93de4c23aa140871342c3005"/>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rFonts w:eastAsia="Andale Sans UI"/>
                          <w:szCs w:val="24"/>
                          <w:lang w:bidi="en-US"/>
                        </w:rPr>
                      </w:pPr>
                      <w:sdt>
                        <w:sdtPr>
                          <w:alias w:val="Numeris"/>
                          <w:tag w:val="nr_c76466ef93de4c23aa140871342c3005"/>
                          <w:lock w:val="sdtLocked"/>
                          <w:richText/>
                        </w:sdtPr>
                        <w:sdtContent>
                          <w:r>
                            <w:rPr>
                              <w:rFonts w:eastAsia="Andale Sans UI"/>
                              <w:szCs w:val="24"/>
                              <w:lang w:bidi="en-US"/>
                            </w:rPr>
                            <w:t>105.3</w:t>
                          </w:r>
                        </w:sdtContent>
                      </w:sdt>
                      <w:r>
                        <w:rPr>
                          <w:rFonts w:eastAsia="Andale Sans UI"/>
                          <w:szCs w:val="24"/>
                          <w:lang w:bidi="en-US"/>
                        </w:rPr>
                        <w:t xml:space="preserve">. sprendimas patikslinti leidimo rekvizitus surašomas ant AAA blanko ir per 5 darbo dienas nuo sprendimo priėmimo dienos pateikiamas veiklos vykdytojui ar vykdytojams. Sprendime nurodoma, koks asmuo (-ys) nuo sprendimo priėmimo dienos laikomas (-i) veiklos vykdytoju, eksploatuojančiu (-iais) įrenginį, kuriam išduotas leidimas. Tikslinant leidimo rekvizitus, pakeičiamas leidimo titulinis lapas (viršelis) ir (jei reikia) AAA nustatyta tvarka – leidimo bendrojoje dalyje ar leidimo sąlygose paminėti keičiami leidimo rekvizitai (t. y. formalūs duomenys). Leidimo registracijos numeris nekeičiamas; </w:t>
                      </w:r>
                    </w:p>
                  </w:sdtContent>
                </w:sdt>
                <w:sdt>
                  <w:sdtPr>
                    <w:alias w:val="105.4 pp."/>
                    <w:tag w:val="part_9a3432cf8d804a6a9dc79f745662c59b"/>
                    <w:lock w:val="sdtLocked"/>
                    <w:richText/>
                  </w:sdtPr>
                  <w:sdtContent>
                    <w:p>
                      <w:pPr>
                        <w:suppressAutoHyphens/>
                        <w:ind w:firstLine="567"/>
                        <w:jc w:val="both"/>
                        <w:textAlignment w:val="baseline"/>
                        <w:rPr>
                          <w:rFonts w:eastAsia="Andale Sans UI"/>
                          <w:szCs w:val="24"/>
                          <w:lang w:bidi="en-US"/>
                        </w:rPr>
                      </w:pPr>
                      <w:sdt>
                        <w:sdtPr>
                          <w:alias w:val="Numeris"/>
                          <w:tag w:val="nr_9a3432cf8d804a6a9dc79f745662c59b"/>
                          <w:lock w:val="sdtLocked"/>
                          <w:richText/>
                        </w:sdtPr>
                        <w:sdtContent>
                          <w:r>
                            <w:rPr>
                              <w:rFonts w:eastAsia="Andale Sans UI"/>
                              <w:lang w:bidi="en-US"/>
                            </w:rPr>
                            <w:t>105.4</w:t>
                          </w:r>
                        </w:sdtContent>
                      </w:sdt>
                      <w:r>
                        <w:rPr>
                          <w:rFonts w:eastAsia="Andale Sans UI"/>
                          <w:lang w:bidi="en-US"/>
                        </w:rPr>
                        <w:t xml:space="preserve">. </w:t>
                      </w:r>
                      <w:r>
                        <w:rPr>
                          <w:lang w:eastAsia="lt-LT"/>
                        </w:rPr>
                        <w:t>kai veiklos vykdytojas privalo turėti prievolių įvykdymo užtikrinimo dokumentą, sprendimas tikslinti leidimo rekvizitus priimamas, kai leidimo turėtojo teisių perėmėjas (ar perėmėjai) AAD pateikia prievolių įvykdymo užtikrinimo dokumentą</w:t>
                      </w:r>
                      <w:r>
                        <w:rPr>
                          <w:color w:val="000000"/>
                        </w:rPr>
                        <w:t xml:space="preserve">, </w:t>
                      </w:r>
                      <w:r>
                        <w:rPr>
                          <w:lang w:eastAsia="lt-LT"/>
                        </w:rPr>
                        <w:t xml:space="preserve">atitinkantį aplinkos ministro patvirtinto Atliekas naudojančių ar šalinančių įmonių prievolių įvykdymo užtikrinimo tvarkos aprašo reikalavimus, </w:t>
                      </w:r>
                      <w:r>
                        <w:rPr>
                          <w:color w:val="000000"/>
                        </w:rPr>
                        <w:t xml:space="preserve">t. y. kai atsižvelgiant į šiame </w:t>
                      </w:r>
                      <w:r>
                        <w:rPr>
                          <w:lang w:eastAsia="lt-LT"/>
                        </w:rPr>
                        <w:t>papunktyje</w:t>
                      </w:r>
                      <w:r>
                        <w:rPr>
                          <w:color w:val="000000"/>
                        </w:rPr>
                        <w:t xml:space="preserve"> nustatytus reikalavimus pateikiami visi tinkamai įforminti dokumentai. </w:t>
                      </w:r>
                      <w:r>
                        <w:rPr>
                          <w:lang w:eastAsia="lt-LT"/>
                        </w:rPr>
                        <w:t>Veiklos vykdytojui pateikus prievolių įvykdymo užtikrinimo dokumentą AAD,</w:t>
                      </w:r>
                      <w:r>
                        <w:rPr>
                          <w:b/>
                          <w:bCs/>
                          <w:lang w:eastAsia="lt-LT"/>
                        </w:rPr>
                        <w:t xml:space="preserve"> </w:t>
                      </w:r>
                      <w:r>
                        <w:rPr>
                          <w:color w:val="000000"/>
                        </w:rPr>
                        <w:t xml:space="preserve">AAA patikslina leidimo rekvizitus per 10 darbo dienų </w:t>
                      </w:r>
                      <w:r>
                        <w:t xml:space="preserve">nuo </w:t>
                      </w:r>
                      <w:r>
                        <w:rPr>
                          <w:lang w:eastAsia="lt-LT"/>
                        </w:rPr>
                        <w:t>i</w:t>
                      </w:r>
                      <w:r>
                        <w:rPr>
                          <w:szCs w:val="24"/>
                        </w:rPr>
                        <w:t xml:space="preserve">nformacijos iš AAD gavimo </w:t>
                      </w:r>
                      <w:r>
                        <w:t>dienos</w:t>
                      </w:r>
                      <w:r>
                        <w:rPr>
                          <w:szCs w:val="24"/>
                        </w:rPr>
                        <w:t xml:space="preserve"> dėl prievolių užtikrinimo dokumento priėmimo;</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5344301d2e11edb4cae1b158f98ea5">
                        <w:r w:rsidRPr="00532B9F">
                          <w:rPr>
                            <w:rFonts w:ascii="Arial" w:eastAsia="MS Mincho" w:hAnsi="Arial"/>
                            <w:sz w:val="20"/>
                            <w:i/>
                            <w:iCs/>
                            <w:color w:val="0000FF" w:themeColor="hyperlink"/>
                            <w:u w:val="single"/>
                          </w:rPr>
                          <w:t>D1-263</w:t>
                        </w:r>
                      </w:fldSimple>
                      <w:r>
                        <w:rPr>
                          <w:rFonts w:ascii="Arial" w:eastAsia="MS Mincho" w:hAnsi="Arial"/>
                          <w:sz w:val="20"/>
                          <w:i/>
                          <w:iCs/>
                        </w:rPr>
                        <w:t>,
2022-08-16,
paskelbta TAR 2022-08-16, i. k. 2022-17141            </w:t>
                      </w:r>
                    </w:p>
                    <w:p/>
                  </w:sdtContent>
                </w:sdt>
                <w:sdt>
                  <w:sdtPr>
                    <w:alias w:val="105.5 pp."/>
                    <w:tag w:val="part_28cd39f4fb1f4707a1075b1ae145a42d"/>
                    <w:lock w:val="sdtLocked"/>
                    <w:richText/>
                  </w:sdtPr>
                  <w:sdtContent>
                    <w:p>
                      <w:pPr>
                        <w:ind w:firstLine="567"/>
                        <w:jc w:val="both"/>
                        <w:rPr>
                          <w:color w:val="000000"/>
                          <w:szCs w:val="24"/>
                          <w:lang w:eastAsia="lt-LT"/>
                        </w:rPr>
                      </w:pPr>
                      <w:sdt>
                        <w:sdtPr>
                          <w:alias w:val="Numeris"/>
                          <w:tag w:val="nr_28cd39f4fb1f4707a1075b1ae145a42d"/>
                          <w:lock w:val="sdtLocked"/>
                          <w:richText/>
                        </w:sdtPr>
                        <w:sdtContent>
                          <w:r>
                            <w:rPr>
                              <w:szCs w:val="24"/>
                              <w:lang w:eastAsia="lt-LT"/>
                            </w:rPr>
                            <w:t>105.5</w:t>
                          </w:r>
                        </w:sdtContent>
                      </w:sdt>
                      <w:r>
                        <w:rPr>
                          <w:szCs w:val="24"/>
                          <w:lang w:eastAsia="lt-LT"/>
                        </w:rPr>
                        <w:t>. apie patikslintus leidimo rekvizitus AAA ne vėliau kaip per 5 darbo dienas nuo Taisyklių 105.3 arba 105.4 papunktyje nurodyto sprendimo priėmimo dienos raštu informuoja AAD ir NVSC.</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Content>
        </w:sdt>
        <w:sdt>
          <w:sdtPr>
            <w:alias w:val="skyrius"/>
            <w:tag w:val="part_bc6438f8d2cf45158934aad6d724cb86"/>
            <w:lock w:val="sdtLocked"/>
            <w:richText/>
          </w:sdtPr>
          <w:sdtContent>
            <w:p>
              <w:pPr>
                <w:widowControl w:val="0"/>
                <w:jc w:val="center"/>
                <w:rPr>
                  <w:b/>
                  <w:bCs/>
                  <w:caps/>
                  <w:color w:val="000000"/>
                  <w:szCs w:val="24"/>
                  <w:lang w:eastAsia="lt-LT"/>
                </w:rPr>
              </w:pPr>
              <w:sdt>
                <w:sdtPr>
                  <w:alias w:val="Numeris"/>
                  <w:tag w:val="nr_bc6438f8d2cf45158934aad6d724cb86"/>
                  <w:lock w:val="sdtLocked"/>
                  <w:richText/>
                </w:sdtPr>
                <w:sdtContent>
                  <w:r>
                    <w:rPr>
                      <w:b/>
                      <w:bCs/>
                      <w:caps/>
                      <w:color w:val="000000"/>
                      <w:szCs w:val="24"/>
                      <w:lang w:eastAsia="lt-LT"/>
                    </w:rPr>
                    <w:t>XII</w:t>
                  </w:r>
                </w:sdtContent>
              </w:sdt>
              <w:r>
                <w:rPr>
                  <w:b/>
                  <w:bCs/>
                  <w:caps/>
                  <w:color w:val="000000"/>
                  <w:szCs w:val="24"/>
                  <w:lang w:eastAsia="lt-LT"/>
                </w:rPr>
                <w:t xml:space="preserve">. </w:t>
              </w:r>
              <w:sdt>
                <w:sdtPr>
                  <w:alias w:val="Pavadinimas"/>
                  <w:tag w:val="title_bc6438f8d2cf45158934aad6d724cb86"/>
                  <w:lock w:val="sdtLocked"/>
                  <w:richText/>
                </w:sdtPr>
                <w:sdtContent>
                  <w:r>
                    <w:rPr>
                      <w:b/>
                      <w:bCs/>
                      <w:caps/>
                      <w:color w:val="000000"/>
                      <w:szCs w:val="24"/>
                      <w:lang w:eastAsia="lt-LT"/>
                    </w:rPr>
                    <w:t>LEIDIMO GALIOJIMO PANAIKINIMAS</w:t>
                  </w:r>
                </w:sdtContent>
              </w:sdt>
            </w:p>
            <w:p>
              <w:pPr>
                <w:widowControl w:val="0"/>
                <w:ind w:firstLine="567"/>
                <w:jc w:val="both"/>
                <w:rPr>
                  <w:color w:val="000000"/>
                  <w:szCs w:val="24"/>
                  <w:lang w:eastAsia="lt-LT"/>
                </w:rPr>
              </w:pPr>
            </w:p>
            <w:sdt>
              <w:sdtPr>
                <w:alias w:val="106 p."/>
                <w:tag w:val="part_81fe422d39624610bd951bf21c11f9d9"/>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pPr>
                  <w:sdt>
                    <w:sdtPr>
                      <w:alias w:val="Numeris"/>
                      <w:tag w:val="nr_81fe422d39624610bd951bf21c11f9d9"/>
                      <w:lock w:val="sdtLocked"/>
                      <w:richText/>
                    </w:sdtPr>
                    <w:sdtContent>
                      <w:r>
                        <w:rPr>
                          <w:rFonts w:eastAsia="Andale Sans UI"/>
                          <w:szCs w:val="24"/>
                          <w:lang w:bidi="en-US"/>
                        </w:rPr>
                        <w:t>106</w:t>
                      </w:r>
                    </w:sdtContent>
                  </w:sdt>
                  <w:r>
                    <w:rPr>
                      <w:rFonts w:eastAsia="Andale Sans UI"/>
                      <w:szCs w:val="24"/>
                      <w:lang w:bidi="en-US"/>
                    </w:rPr>
                    <w:t>. Leidimo galiojimas panaikinamas esant bent vienai iš sąlygų, nurodytų Aplinkos apsaugos įstatymo 19</w:t>
                  </w:r>
                  <w:r>
                    <w:rPr>
                      <w:rFonts w:eastAsia="Andale Sans UI"/>
                      <w:szCs w:val="24"/>
                      <w:vertAlign w:val="superscript"/>
                      <w:lang w:bidi="en-US"/>
                    </w:rPr>
                    <w:t>1</w:t>
                  </w:r>
                  <w:r>
                    <w:rPr>
                      <w:rFonts w:eastAsia="Andale Sans UI"/>
                      <w:szCs w:val="24"/>
                      <w:lang w:bidi="en-US"/>
                    </w:rPr>
                    <w:t> straipsnio 14 dalyje.</w:t>
                  </w:r>
                  <w:r>
                    <w:rPr>
                      <w:lang w:eastAsia="lt-LT"/>
                    </w:rPr>
                    <w:t xml:space="preserve"> </w:t>
                  </w:r>
                  <w:r>
                    <w:rPr>
                      <w:rFonts w:eastAsia="Andale Sans UI"/>
                      <w:szCs w:val="24"/>
                      <w:lang w:bidi="en-US"/>
                    </w:rPr>
                    <w:t>Aplinkos apsaugos įstatymo 19</w:t>
                  </w:r>
                  <w:r>
                    <w:rPr>
                      <w:rFonts w:eastAsia="Andale Sans UI"/>
                      <w:szCs w:val="24"/>
                      <w:vertAlign w:val="superscript"/>
                      <w:lang w:bidi="en-US"/>
                    </w:rPr>
                    <w:t>1</w:t>
                  </w:r>
                  <w:r>
                    <w:rPr>
                      <w:rFonts w:eastAsia="Andale Sans UI"/>
                      <w:szCs w:val="24"/>
                      <w:lang w:bidi="en-US"/>
                    </w:rPr>
                    <w:t> straipsnio 14 dalies 9 punkte nurodytu atveju, kai NVSC, vykdydamas Lietuvos Respublikos visuomenės sveikatos priežiūros įstatymo ir Lietuvos Respublikos triukšmo valdymo įstatymo jam priskirtas funkcijas triukšmo ir kvapų valdymo srityje, 3 kartus per metus nustato leidimo sąlygų pažeidimus, susijusius su triukšmo arba kvapų normų viršijimu, AAA leidimo galiojimo panaikinimo procedūrą pradeda gavusi NVSC pranešimą, kuriame pateikiamas pagrindimas apie nustatytą leidimo galiojimo panaikinimo sąlygą su patikrinimų aktais ir kitais susijusiais dokumentais.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106-1 p."/>
                <w:tag w:val="part_6f88fab5b0d24763a1a89d5218513169"/>
                <w:lock w:val="sdtLocked"/>
                <w:richText/>
              </w:sdtPr>
              <w:sdtContent>
                <w:p>
                  <w:pPr>
                    <w:ind w:firstLine="567"/>
                    <w:jc w:val="both"/>
                    <w:rPr>
                      <w:color w:val="000000"/>
                      <w:szCs w:val="24"/>
                      <w:lang w:eastAsia="lt-LT"/>
                    </w:rPr>
                  </w:pPr>
                  <w:sdt>
                    <w:sdtPr>
                      <w:alias w:val="Numeris"/>
                      <w:tag w:val="nr_6f88fab5b0d24763a1a89d5218513169"/>
                      <w:lock w:val="sdtLocked"/>
                      <w:richText/>
                    </w:sdtPr>
                    <w:sdtContent>
                      <w:r>
                        <w:t>106</w:t>
                      </w:r>
                      <w:r>
                        <w:rPr>
                          <w:vertAlign w:val="superscript"/>
                        </w:rPr>
                        <w:t>1</w:t>
                      </w:r>
                    </w:sdtContent>
                  </w:sdt>
                  <w:r>
                    <w:t>. Lietuvos Respublikos aplinkos apsaugos įstatymo 19</w:t>
                  </w:r>
                  <w:r>
                    <w:rPr>
                      <w:vertAlign w:val="superscript"/>
                    </w:rPr>
                    <w:t>1</w:t>
                  </w:r>
                  <w:r>
                    <w:t xml:space="preserve"> straipsnio 14 dalies 1 punkte nurodytu atveju veiklos vykdytojas pateikia AAA prašymą panaikinti leidimo galiojimą nurodydamas priežastį, datą, nuo kada leidimo galiojimas turėtų būti panaikintas ir informaciją apie Taisyklių XIII skyriuje nurodytų prievolių vykdymą.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107 p."/>
                <w:tag w:val="part_678296aa4a6a4553ba3cf42b7865fb46"/>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rFonts w:eastAsia="Andale Sans UI"/>
                      <w:szCs w:val="24"/>
                      <w:lang w:bidi="en-US"/>
                    </w:rPr>
                  </w:pPr>
                  <w:sdt>
                    <w:sdtPr>
                      <w:alias w:val="Numeris"/>
                      <w:tag w:val="nr_678296aa4a6a4553ba3cf42b7865fb46"/>
                      <w:lock w:val="sdtLocked"/>
                      <w:richText/>
                    </w:sdtPr>
                    <w:sdtContent>
                      <w:r>
                        <w:rPr>
                          <w:rFonts w:eastAsia="Andale Sans UI"/>
                          <w:szCs w:val="24"/>
                          <w:lang w:bidi="en-US"/>
                        </w:rPr>
                        <w:t>107</w:t>
                      </w:r>
                    </w:sdtContent>
                  </w:sdt>
                  <w:r>
                    <w:rPr>
                      <w:rFonts w:eastAsia="Andale Sans UI"/>
                      <w:szCs w:val="24"/>
                      <w:lang w:bidi="en-US"/>
                    </w:rPr>
                    <w:t>. Sprendimas panaikinti leidimo galiojimą priimamas šia tvarka:</w:t>
                  </w:r>
                </w:p>
                <w:sdt>
                  <w:sdtPr>
                    <w:alias w:val="107.1 pp."/>
                    <w:tag w:val="part_4c27f5155884477b86e8a398c14768f5"/>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rFonts w:eastAsia="Andale Sans UI"/>
                          <w:szCs w:val="24"/>
                          <w:lang w:bidi="en-US"/>
                        </w:rPr>
                      </w:pPr>
                      <w:sdt>
                        <w:sdtPr>
                          <w:alias w:val="Numeris"/>
                          <w:tag w:val="nr_4c27f5155884477b86e8a398c14768f5"/>
                          <w:lock w:val="sdtLocked"/>
                          <w:richText/>
                        </w:sdtPr>
                        <w:sdtContent>
                          <w:r>
                            <w:rPr>
                              <w:rFonts w:eastAsia="Andale Sans UI"/>
                              <w:szCs w:val="24"/>
                              <w:lang w:bidi="en-US"/>
                            </w:rPr>
                            <w:t>107.1</w:t>
                          </w:r>
                        </w:sdtContent>
                      </w:sdt>
                      <w:r>
                        <w:rPr>
                          <w:rFonts w:eastAsia="Andale Sans UI"/>
                          <w:szCs w:val="24"/>
                          <w:lang w:bidi="en-US"/>
                        </w:rPr>
                        <w:t>. prieš sprendimo panaikinti leidimo galiojimą priėmimą</w:t>
                      </w:r>
                      <w:r>
                        <w:rPr>
                          <w:lang w:eastAsia="lt-LT"/>
                        </w:rPr>
                        <w:t xml:space="preserve"> Aplinkos apsaugos įstatymo 19</w:t>
                      </w:r>
                      <w:r>
                        <w:rPr>
                          <w:vertAlign w:val="superscript"/>
                          <w:lang w:eastAsia="lt-LT"/>
                        </w:rPr>
                        <w:t>1</w:t>
                      </w:r>
                      <w:r>
                        <w:rPr>
                          <w:lang w:eastAsia="lt-LT"/>
                        </w:rPr>
                        <w:t xml:space="preserve"> straipsnio 14 dalies 2, 3, 4, 7, 8, 10 ir 11 punktuose</w:t>
                      </w:r>
                      <w:r>
                        <w:rPr>
                          <w:rFonts w:eastAsia="Andale Sans UI"/>
                          <w:szCs w:val="24"/>
                          <w:lang w:bidi="en-US"/>
                        </w:rPr>
                        <w:t xml:space="preserve"> nurodytais atvejais AAA per 3 darbo dienas nuo šiuose papunkčiuose nurodytų aplinkybių nustatymo dienos leidimo turėtoją įspėja raštu apie galimą leidimo galiojimo panaikinimą, nurodo priežastis, kodėl gali būti panaikintas leidimo galiojimas. </w:t>
                      </w:r>
                      <w:r>
                        <w:rPr>
                          <w:lang w:eastAsia="lt-LT"/>
                        </w:rPr>
                        <w:t>Aplinkos apsaugos įstatymo 19</w:t>
                      </w:r>
                      <w:r>
                        <w:rPr>
                          <w:vertAlign w:val="superscript"/>
                          <w:lang w:eastAsia="lt-LT"/>
                        </w:rPr>
                        <w:t>1</w:t>
                      </w:r>
                      <w:r>
                        <w:rPr>
                          <w:lang w:eastAsia="lt-LT"/>
                        </w:rPr>
                        <w:t xml:space="preserve"> straipsnio 14 dalies 2, 3, 4, 7, 10 ir 11 punktuose nurodytais atvejais AAA </w:t>
                      </w:r>
                      <w:r>
                        <w:rPr>
                          <w:rFonts w:eastAsia="Andale Sans UI"/>
                          <w:szCs w:val="24"/>
                          <w:lang w:bidi="en-US"/>
                        </w:rPr>
                        <w:t xml:space="preserve">nustato 20 darbo dienų terminą, per kurį asmuo turi pašalinti nurodytas aplinkybes; </w:t>
                      </w:r>
                      <w:r>
                        <w:rPr>
                          <w:lang w:eastAsia="lt-LT"/>
                        </w:rPr>
                        <w:t>Aplinkos apsaugos įstatymo 19</w:t>
                      </w:r>
                      <w:r>
                        <w:rPr>
                          <w:vertAlign w:val="superscript"/>
                          <w:lang w:eastAsia="lt-LT"/>
                        </w:rPr>
                        <w:t>1</w:t>
                      </w:r>
                      <w:r>
                        <w:rPr>
                          <w:lang w:eastAsia="lt-LT"/>
                        </w:rPr>
                        <w:t xml:space="preserve"> straipsnio 14 dalies 8 punkte nurodytu atveju nustato 6 mėnesių terminą, per kurį asmuo turi pašalinti nurodytas aplinkybes</w:t>
                      </w:r>
                      <w:r>
                        <w:rPr>
                          <w:rFonts w:eastAsia="Andale Sans UI"/>
                          <w:szCs w:val="24"/>
                          <w:lang w:bidi="en-US"/>
                        </w:rPr>
                        <w:t xml:space="preserve">. Jei leidimo turėtojas per šį laiką pašalina įspėjime nurodytas aplinkybes ir AAD Aplinkos apsaugos įstatymo </w:t>
                      </w:r>
                      <w:r>
                        <w:rPr>
                          <w:lang w:eastAsia="lt-LT"/>
                        </w:rPr>
                        <w:t>19</w:t>
                      </w:r>
                      <w:r>
                        <w:rPr>
                          <w:vertAlign w:val="superscript"/>
                          <w:lang w:eastAsia="lt-LT"/>
                        </w:rPr>
                        <w:t>1</w:t>
                      </w:r>
                      <w:r>
                        <w:rPr>
                          <w:lang w:eastAsia="lt-LT"/>
                        </w:rPr>
                        <w:t xml:space="preserve"> straipsnio 14 dalies 10 punkte nurodytu atveju</w:t>
                      </w:r>
                      <w:r>
                        <w:rPr>
                          <w:rFonts w:eastAsia="Andale Sans UI"/>
                          <w:szCs w:val="24"/>
                          <w:lang w:bidi="en-US"/>
                        </w:rPr>
                        <w:t>, vadovaudamasis Aplinkos apsaugos įstatymo 19</w:t>
                      </w:r>
                      <w:r>
                        <w:rPr>
                          <w:rFonts w:eastAsia="Andale Sans UI"/>
                          <w:szCs w:val="24"/>
                          <w:vertAlign w:val="superscript"/>
                          <w:lang w:bidi="en-US"/>
                        </w:rPr>
                        <w:t>1</w:t>
                      </w:r>
                      <w:r>
                        <w:rPr>
                          <w:rFonts w:eastAsia="Andale Sans UI"/>
                          <w:szCs w:val="24"/>
                          <w:lang w:bidi="en-US"/>
                        </w:rPr>
                        <w:t xml:space="preserve"> straipsnio 15 dalyje nurodyta aplinkos ministro nustatyta tvarka, pateikia AAA patikrinimo aktą arba privalomąjį nurodymą ar kitą dokumentą, įrodančius, kad nurodytos aplinkybės pašalintos, leidimo galiojimas nepanaikinamas. AAA, gavusi įrodymus, kad įspėjime nurodytos aplinkybės pašalintos, per 3 darbo dienas priima sprendimą nenaikinti leidimo galiojimo ir pateikia jį leidimo turėtojui ir AAD</w:t>
                      </w:r>
                      <w:r>
                        <w:rPr>
                          <w:lang w:eastAsia="lt-LT"/>
                        </w:rPr>
                        <w:t>;</w:t>
                      </w:r>
                    </w:p>
                  </w:sdtContent>
                </w:sdt>
                <w:sdt>
                  <w:sdtPr>
                    <w:alias w:val="107.2 pp."/>
                    <w:tag w:val="part_5e57b272891244cda5b764247948895a"/>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rFonts w:eastAsia="Andale Sans UI"/>
                          <w:szCs w:val="24"/>
                          <w:lang w:bidi="en-US"/>
                        </w:rPr>
                      </w:pPr>
                      <w:sdt>
                        <w:sdtPr>
                          <w:alias w:val="Numeris"/>
                          <w:tag w:val="nr_5e57b272891244cda5b764247948895a"/>
                          <w:lock w:val="sdtLocked"/>
                          <w:richText/>
                        </w:sdtPr>
                        <w:sdtContent>
                          <w:r>
                            <w:rPr>
                              <w:rFonts w:eastAsia="Andale Sans UI"/>
                              <w:szCs w:val="24"/>
                              <w:lang w:bidi="en-US"/>
                            </w:rPr>
                            <w:t>107.2</w:t>
                          </w:r>
                        </w:sdtContent>
                      </w:sdt>
                      <w:r>
                        <w:rPr>
                          <w:rFonts w:eastAsia="Andale Sans UI"/>
                          <w:szCs w:val="24"/>
                          <w:lang w:bidi="en-US"/>
                        </w:rPr>
                        <w:t>. Aplinkos apsaugos įstatymo 19</w:t>
                      </w:r>
                      <w:r>
                        <w:rPr>
                          <w:rFonts w:eastAsia="Andale Sans UI"/>
                          <w:szCs w:val="24"/>
                          <w:vertAlign w:val="superscript"/>
                          <w:lang w:bidi="en-US"/>
                        </w:rPr>
                        <w:t>1</w:t>
                      </w:r>
                      <w:r>
                        <w:rPr>
                          <w:rFonts w:eastAsia="Andale Sans UI"/>
                          <w:szCs w:val="24"/>
                          <w:lang w:bidi="en-US"/>
                        </w:rPr>
                        <w:t xml:space="preserve"> straipsnio 14 dalies 1, 5, 6 ir 9 punktuose nurodytais atvejais leidimo galiojimas panaikinamas per 3 darbo dienas nuo minėtuose punktuose išvardytų aplinkybių nustatymo Aplinkos apsaugos įstatymo 19</w:t>
                      </w:r>
                      <w:r>
                        <w:rPr>
                          <w:rFonts w:eastAsia="Andale Sans UI"/>
                          <w:szCs w:val="24"/>
                          <w:vertAlign w:val="superscript"/>
                          <w:lang w:bidi="en-US"/>
                        </w:rPr>
                        <w:t>1</w:t>
                      </w:r>
                      <w:r>
                        <w:rPr>
                          <w:rFonts w:eastAsia="Andale Sans UI"/>
                          <w:szCs w:val="24"/>
                          <w:lang w:bidi="en-US"/>
                        </w:rPr>
                        <w:t xml:space="preserve"> straipsnio 15 dalyje nurodyta aplinkos ministro nustatyta tvarka dienos be raštiško įspėjimo;</w:t>
                      </w:r>
                    </w:p>
                  </w:sdtContent>
                </w:sdt>
                <w:sdt>
                  <w:sdtPr>
                    <w:alias w:val="107.3 pp."/>
                    <w:tag w:val="part_36b02c71e7584c8da529a6b0a370461d"/>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rFonts w:eastAsia="Andale Sans UI"/>
                          <w:szCs w:val="24"/>
                          <w:lang w:bidi="en-US"/>
                        </w:rPr>
                      </w:pPr>
                      <w:sdt>
                        <w:sdtPr>
                          <w:alias w:val="Numeris"/>
                          <w:tag w:val="nr_36b02c71e7584c8da529a6b0a370461d"/>
                          <w:lock w:val="sdtLocked"/>
                          <w:richText/>
                        </w:sdtPr>
                        <w:sdtContent>
                          <w:r>
                            <w:rPr>
                              <w:rFonts w:eastAsia="Andale Sans UI"/>
                              <w:szCs w:val="24"/>
                              <w:lang w:bidi="en-US"/>
                            </w:rPr>
                            <w:t>107.3</w:t>
                          </w:r>
                        </w:sdtContent>
                      </w:sdt>
                      <w:r>
                        <w:rPr>
                          <w:rFonts w:eastAsia="Andale Sans UI"/>
                          <w:szCs w:val="24"/>
                          <w:lang w:bidi="en-US"/>
                        </w:rPr>
                        <w:t>. sprendimas panaikinti leidimo galiojimą priimamas šiais terminais:</w:t>
                      </w:r>
                    </w:p>
                    <w:sdt>
                      <w:sdtPr>
                        <w:alias w:val="107.3.1 pp."/>
                        <w:tag w:val="part_e6da6294e9084a2e9b62ca4fef2ed16a"/>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rFonts w:eastAsia="Andale Sans UI"/>
                              <w:szCs w:val="24"/>
                              <w:lang w:bidi="en-US"/>
                            </w:rPr>
                          </w:pPr>
                          <w:sdt>
                            <w:sdtPr>
                              <w:alias w:val="Numeris"/>
                              <w:tag w:val="nr_e6da6294e9084a2e9b62ca4fef2ed16a"/>
                              <w:lock w:val="sdtLocked"/>
                              <w:richText/>
                            </w:sdtPr>
                            <w:sdtContent>
                              <w:r>
                                <w:rPr>
                                  <w:rFonts w:eastAsia="Andale Sans UI"/>
                                  <w:szCs w:val="24"/>
                                  <w:lang w:bidi="en-US"/>
                                </w:rPr>
                                <w:t>107.3.1</w:t>
                              </w:r>
                            </w:sdtContent>
                          </w:sdt>
                          <w:r>
                            <w:rPr>
                              <w:rFonts w:eastAsia="Andale Sans UI"/>
                              <w:szCs w:val="24"/>
                              <w:lang w:bidi="en-US"/>
                            </w:rPr>
                            <w:t xml:space="preserve">. </w:t>
                          </w:r>
                          <w:r>
                            <w:rPr>
                              <w:lang w:eastAsia="lt-LT"/>
                            </w:rPr>
                            <w:t>Aplinkos apsaugos įstatymo 19</w:t>
                          </w:r>
                          <w:r>
                            <w:rPr>
                              <w:vertAlign w:val="superscript"/>
                              <w:lang w:eastAsia="lt-LT"/>
                            </w:rPr>
                            <w:t>1</w:t>
                          </w:r>
                          <w:r>
                            <w:rPr>
                              <w:lang w:eastAsia="lt-LT"/>
                            </w:rPr>
                            <w:t xml:space="preserve"> straipsnio 14 dalies 2, 3, 4, 7, 10 ir 11 punktuose </w:t>
                          </w:r>
                          <w:r>
                            <w:rPr>
                              <w:rFonts w:eastAsia="Andale Sans UI"/>
                              <w:szCs w:val="24"/>
                              <w:lang w:bidi="en-US"/>
                            </w:rPr>
                            <w:t>nurodytais atvejais – per 3 darbo dienas pasibaigus Taisyklių 107.1 papunktyje nurodytam 20 darbo dienų terminui;</w:t>
                          </w:r>
                        </w:p>
                      </w:sdtContent>
                    </w:sdt>
                    <w:sdt>
                      <w:sdtPr>
                        <w:alias w:val="107.3.2 pp."/>
                        <w:tag w:val="part_5b01ecc29ba1442dacd41c3a0e314e39"/>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5b01ecc29ba1442dacd41c3a0e314e39"/>
                              <w:lock w:val="sdtLocked"/>
                              <w:richText/>
                            </w:sdtPr>
                            <w:sdtContent>
                              <w:r>
                                <w:rPr>
                                  <w:rFonts w:eastAsia="Andale Sans UI"/>
                                  <w:szCs w:val="24"/>
                                  <w:lang w:bidi="en-US"/>
                                </w:rPr>
                                <w:t>107.3.2</w:t>
                              </w:r>
                            </w:sdtContent>
                          </w:sdt>
                          <w:r>
                            <w:rPr>
                              <w:rFonts w:eastAsia="Andale Sans UI"/>
                              <w:szCs w:val="24"/>
                              <w:lang w:bidi="en-US"/>
                            </w:rPr>
                            <w:t>. Aplinkos apsaugos įstatymo 19</w:t>
                          </w:r>
                          <w:r>
                            <w:rPr>
                              <w:rFonts w:eastAsia="Andale Sans UI"/>
                              <w:szCs w:val="24"/>
                              <w:vertAlign w:val="superscript"/>
                              <w:lang w:bidi="en-US"/>
                            </w:rPr>
                            <w:t>1</w:t>
                          </w:r>
                          <w:r>
                            <w:rPr>
                              <w:rFonts w:eastAsia="Andale Sans UI"/>
                              <w:szCs w:val="24"/>
                              <w:lang w:bidi="en-US"/>
                            </w:rPr>
                            <w:t xml:space="preserve"> straipsnio 14 dalies 8 punkte nurodytu atveju – per 3 darbo dienas pasibaigus Taisyklių 107.1 papunktyje nurodytam 6 mėnesių terminui.</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108 p."/>
                <w:tag w:val="part_52262e2e09c0491dbeb1d3c69641ff29"/>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52262e2e09c0491dbeb1d3c69641ff29"/>
                      <w:lock w:val="sdtLocked"/>
                      <w:richText/>
                    </w:sdtPr>
                    <w:sdtContent>
                      <w:r>
                        <w:rPr>
                          <w:rFonts w:eastAsia="Andale Sans UI"/>
                          <w:szCs w:val="24"/>
                          <w:lang w:bidi="en-US"/>
                        </w:rPr>
                        <w:t>108</w:t>
                      </w:r>
                    </w:sdtContent>
                  </w:sdt>
                  <w:r>
                    <w:rPr>
                      <w:rFonts w:eastAsia="Andale Sans UI"/>
                      <w:szCs w:val="24"/>
                      <w:lang w:bidi="en-US"/>
                    </w:rPr>
                    <w:t>. Leidimo galiojimas panaikinamas AAA motyvuotu sprendimu. Sprendimas surašomas ant AAA blanko, nurodant leidimo galiojimo panaikinimo priežastis ir sprendimo apskundimo tvarką. AAA sprendimas per 3 darbo dienas nuo šio sprendimo priėmimo pateikiamas veiklos vykdytojui, išskyrus atvejį, kai leidimo galiojimas panaikintas nustačius</w:t>
                  </w:r>
                  <w:r>
                    <w:rPr>
                      <w:lang w:eastAsia="lt-LT"/>
                    </w:rPr>
                    <w:t xml:space="preserve"> Lietuvos Respublikos aplinkos apsaugos įstatymo 19</w:t>
                  </w:r>
                  <w:r>
                    <w:rPr>
                      <w:vertAlign w:val="superscript"/>
                      <w:lang w:eastAsia="lt-LT"/>
                    </w:rPr>
                    <w:t>1</w:t>
                  </w:r>
                  <w:r>
                    <w:rPr>
                      <w:lang w:eastAsia="lt-LT"/>
                    </w:rPr>
                    <w:t xml:space="preserve"> straipsnio 14 dalies 6 punkte</w:t>
                  </w:r>
                  <w:r>
                    <w:rPr>
                      <w:rFonts w:eastAsia="Andale Sans UI"/>
                      <w:szCs w:val="24"/>
                      <w:lang w:bidi="en-US"/>
                    </w:rPr>
                    <w:t xml:space="preserve"> nurodytas aplinkybes.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109 p."/>
                <w:tag w:val="part_61de999d04224fa8a8027518e6ca9c95"/>
                <w:lock w:val="sdtLocked"/>
                <w:richText/>
              </w:sdtPr>
              <w:sdtContent>
                <w:p>
                  <w:pPr>
                    <w:ind w:firstLine="567"/>
                    <w:jc w:val="both"/>
                    <w:rPr>
                      <w:color w:val="000000"/>
                      <w:szCs w:val="24"/>
                      <w:lang w:eastAsia="lt-LT"/>
                    </w:rPr>
                  </w:pPr>
                  <w:sdt>
                    <w:sdtPr>
                      <w:alias w:val="Numeris"/>
                      <w:tag w:val="nr_61de999d04224fa8a8027518e6ca9c95"/>
                      <w:lock w:val="sdtLocked"/>
                      <w:richText/>
                    </w:sdtPr>
                    <w:sdtContent>
                      <w:r>
                        <w:rPr>
                          <w:szCs w:val="24"/>
                          <w:lang w:eastAsia="lt-LT"/>
                        </w:rPr>
                        <w:t>109</w:t>
                      </w:r>
                    </w:sdtContent>
                  </w:sdt>
                  <w:r>
                    <w:rPr>
                      <w:szCs w:val="24"/>
                      <w:lang w:eastAsia="lt-LT"/>
                    </w:rPr>
                    <w:t>. Apie leidimo galiojimo panaikinimą per 3 darbo dienas informuojamos institucijos, dalyvavusios derinant paraišką, ir AAD, kartu pateikiant Taisyklių 108 punkte nurodytą sprendimą. Jei leidimas panaikinamas dėl to, kad veiklos vykdytojas galutinai nutraukia veiklą, AAD turi užtikrinti, kad, panaikinus leidimą, veiklos vykdytojas įvykdys Taisyklių 111–113 punktuose nurodytus reikalavimus.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b7ec10747d11e8ae2bfd1913d66d57">
                    <w:r w:rsidRPr="00532B9F">
                      <w:rPr>
                        <w:rFonts w:ascii="Arial" w:eastAsia="MS Mincho" w:hAnsi="Arial"/>
                        <w:sz w:val="20"/>
                        <w:i/>
                        <w:iCs/>
                        <w:color w:val="0000FF" w:themeColor="hyperlink"/>
                        <w:u w:val="single"/>
                      </w:rPr>
                      <w:t>D1-537</w:t>
                    </w:r>
                  </w:fldSimple>
                  <w:r>
                    <w:rPr>
                      <w:rFonts w:ascii="Arial" w:eastAsia="MS Mincho" w:hAnsi="Arial"/>
                      <w:sz w:val="20"/>
                      <w:i/>
                      <w:iCs/>
                    </w:rPr>
                    <w:t>,
2018-06-19,
paskelbta TAR 2018-06-20, i. k. 2018-10131            </w:t>
                  </w:r>
                </w:p>
                <w:p/>
              </w:sdtContent>
            </w:sdt>
          </w:sdtContent>
        </w:sdt>
        <w:sdt>
          <w:sdtPr>
            <w:alias w:val="skyrius"/>
            <w:tag w:val="part_e29a8e9b6aea49fea28ef99231d22309"/>
            <w:lock w:val="sdtLocked"/>
            <w:richText/>
          </w:sdtPr>
          <w:sdtContent>
            <w:p>
              <w:pPr>
                <w:widowControl w:val="0"/>
                <w:jc w:val="center"/>
                <w:rPr>
                  <w:b/>
                  <w:bCs/>
                  <w:caps/>
                  <w:color w:val="000000"/>
                  <w:szCs w:val="24"/>
                  <w:lang w:eastAsia="lt-LT"/>
                </w:rPr>
              </w:pPr>
              <w:sdt>
                <w:sdtPr>
                  <w:alias w:val="Numeris"/>
                  <w:tag w:val="nr_e29a8e9b6aea49fea28ef99231d22309"/>
                  <w:lock w:val="sdtLocked"/>
                  <w:richText/>
                </w:sdtPr>
                <w:sdtContent>
                  <w:r>
                    <w:rPr>
                      <w:b/>
                      <w:bCs/>
                      <w:caps/>
                      <w:color w:val="000000"/>
                      <w:szCs w:val="24"/>
                      <w:lang w:eastAsia="lt-LT"/>
                    </w:rPr>
                    <w:t>XIII</w:t>
                  </w:r>
                </w:sdtContent>
              </w:sdt>
              <w:r>
                <w:rPr>
                  <w:b/>
                  <w:bCs/>
                  <w:caps/>
                  <w:color w:val="000000"/>
                  <w:szCs w:val="24"/>
                  <w:lang w:eastAsia="lt-LT"/>
                </w:rPr>
                <w:t xml:space="preserve">. </w:t>
              </w:r>
              <w:sdt>
                <w:sdtPr>
                  <w:alias w:val="Pavadinimas"/>
                  <w:tag w:val="title_e29a8e9b6aea49fea28ef99231d22309"/>
                  <w:lock w:val="sdtLocked"/>
                  <w:richText/>
                </w:sdtPr>
                <w:sdtContent>
                  <w:r>
                    <w:rPr>
                      <w:b/>
                      <w:bCs/>
                      <w:caps/>
                      <w:color w:val="000000"/>
                      <w:szCs w:val="24"/>
                      <w:lang w:eastAsia="lt-LT"/>
                    </w:rPr>
                    <w:t>nuostatos dėl Eksploatavimo vietos uždarymo</w:t>
                  </w:r>
                </w:sdtContent>
              </w:sdt>
            </w:p>
            <w:p>
              <w:pPr>
                <w:widowControl w:val="0"/>
                <w:ind w:firstLine="567"/>
                <w:jc w:val="both"/>
                <w:rPr>
                  <w:color w:val="000000"/>
                  <w:szCs w:val="24"/>
                  <w:lang w:eastAsia="lt-LT"/>
                </w:rPr>
              </w:pPr>
            </w:p>
            <w:sdt>
              <w:sdtPr>
                <w:alias w:val="110 p."/>
                <w:tag w:val="part_26ff8c0df49248b790ccb7043e3578ba"/>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r>
                    <w:rPr>
                      <w:szCs w:val="24"/>
                      <w:lang w:eastAsia="lt-LT"/>
                    </w:rPr>
                    <w:t>110. Jeigu veikla yra susijusi su pavojingų medžiagų, nurodytų Cheminėmis medžiagomis užterštų teritorijų tvarkymo aplinkos apsaugos reikalavimų, patvirtintų Lietuvos Respublikos aplinkos ministro 2008 m. balandžio 30 d. įsakymu Nr. D1-230 „</w:t>
                  </w:r>
                  <w:r>
                    <w:rPr>
                      <w:bCs/>
                      <w:szCs w:val="24"/>
                      <w:lang w:eastAsia="lt-LT"/>
                    </w:rPr>
                    <w:t>Dėl Cheminėmis medžiagomis užterštų teritorijų tvarkymo aplinkos apsaugos reikalavimų patvirtinimo“</w:t>
                  </w:r>
                  <w:r>
                    <w:rPr>
                      <w:szCs w:val="24"/>
                      <w:lang w:eastAsia="lt-LT"/>
                    </w:rPr>
                    <w:t>, 3 priede, naudojimu, gamyba arba išleidimu ir, atsižvelgiant į įrenginio eksploatavimo vietos dirvožemio ir požeminių vandenų užteršimo galimybę, prieš įrenginio eksploatavimo pradžią arba prieš pirmą leidimo pakeitimą pagal Taisyklių reikalavimus veiklos vykdytojas, vadovaudamasis Ekogeologinių tyrimų reglamento reikalavimais, privalo parengti užterštumo būklės ataskaitą ir Cheminėmis medžiagomis užterštų teritorijų tvarkymo aplinkos apsaugos reikalavimuose nustatyta tvarka teikti ją Lietuvos geologijos tarnybai (toliau – LGT) įvertinti.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58dcda07c7011e4abe983995522ea30">
                    <w:r w:rsidRPr="00532B9F">
                      <w:rPr>
                        <w:rFonts w:ascii="Arial" w:eastAsia="MS Mincho" w:hAnsi="Arial"/>
                        <w:sz w:val="20"/>
                        <w:i/>
                        <w:iCs/>
                        <w:color w:val="0000FF" w:themeColor="hyperlink"/>
                        <w:u w:val="single"/>
                      </w:rPr>
                      <w:t>D1-983</w:t>
                    </w:r>
                  </w:fldSimple>
                  <w:r>
                    <w:rPr>
                      <w:rFonts w:ascii="Arial" w:eastAsia="MS Mincho" w:hAnsi="Arial"/>
                      <w:sz w:val="20"/>
                      <w:i/>
                      <w:iCs/>
                    </w:rPr>
                    <w:t>,
2014-12-04,
paskelbta TAR 2014-12-05, i. k. 2014-19056            </w:t>
                  </w:r>
                </w:p>
                <w:p/>
              </w:sdtContent>
            </w:sdt>
            <w:sdt>
              <w:sdtPr>
                <w:alias w:val="111 p."/>
                <w:tag w:val="part_8ea8631b552e4f5fa1adf50cc26f67d7"/>
                <w:lock w:val="sdtLocked"/>
                <w:richText/>
              </w:sdtPr>
              <w:sdtContent>
                <w:p>
                  <w:pPr>
                    <w:widowControl w:val="0"/>
                    <w:ind w:firstLine="567"/>
                    <w:jc w:val="both"/>
                    <w:rPr>
                      <w:color w:val="000000"/>
                      <w:szCs w:val="24"/>
                      <w:lang w:eastAsia="lt-LT"/>
                    </w:rPr>
                  </w:pPr>
                  <w:sdt>
                    <w:sdtPr>
                      <w:alias w:val="Numeris"/>
                      <w:tag w:val="nr_8ea8631b552e4f5fa1adf50cc26f67d7"/>
                      <w:lock w:val="sdtLocked"/>
                      <w:richText/>
                    </w:sdtPr>
                    <w:sdtContent>
                      <w:r>
                        <w:rPr>
                          <w:color w:val="000000"/>
                          <w:szCs w:val="24"/>
                          <w:lang w:eastAsia="lt-LT"/>
                        </w:rPr>
                        <w:t>111</w:t>
                      </w:r>
                    </w:sdtContent>
                  </w:sdt>
                  <w:r>
                    <w:rPr>
                      <w:color w:val="000000"/>
                      <w:szCs w:val="24"/>
                      <w:lang w:eastAsia="lt-LT"/>
                    </w:rPr>
                    <w:t>. Atsižvelgdama į Lietuvos Respublikos aplinkos ministro 2003 m. rugsėjo 25 d. įsakyme Nr. 472 „Dėl Upių baseinų rajonų apibūdinimo, žmogaus veiklos poveikio vandens telkinių būklei įvertinimo, vandens naudojimo ekonominės analizės ir duomenų apie upių baseinų rajonus rinkimo tvarkos patvirtinimo“ (Žin., 2003, Nr. </w:t>
                  </w:r>
                  <w:hyperlink r:id="rId27" w:tgtFrame="_blank" w:history="1">
                    <w:r>
                      <w:rPr>
                        <w:color w:val="0000FF" w:themeColor="hyperlink"/>
                        <w:szCs w:val="24"/>
                        <w:u w:val="single"/>
                        <w:lang w:eastAsia="lt-LT"/>
                      </w:rPr>
                      <w:t>99-4468</w:t>
                    </w:r>
                  </w:hyperlink>
                  <w:r>
                    <w:rPr>
                      <w:color w:val="000000"/>
                      <w:szCs w:val="24"/>
                      <w:lang w:eastAsia="lt-LT"/>
                    </w:rPr>
                    <w:t>), Lietuvos Respublikos aplinkos ministro 2006 m. gegužės 16 d. įsakyme Nr. D1-228 „Dėl Aplinkos atkūrimo priemonių parinkimo bei išankstinio pritarimo gavimo tvarkos aprašo patvirtinimo“ (Žin., 2006, Nr. </w:t>
                  </w:r>
                  <w:hyperlink r:id="rId28" w:tgtFrame="_blank" w:history="1">
                    <w:r>
                      <w:rPr>
                        <w:color w:val="0000FF" w:themeColor="hyperlink"/>
                        <w:szCs w:val="24"/>
                        <w:u w:val="single"/>
                        <w:lang w:eastAsia="lt-LT"/>
                      </w:rPr>
                      <w:t>59-2099</w:t>
                    </w:r>
                  </w:hyperlink>
                  <w:r>
                    <w:rPr>
                      <w:color w:val="000000"/>
                      <w:szCs w:val="24"/>
                      <w:lang w:eastAsia="lt-LT"/>
                    </w:rPr>
                    <w:t>), Lietuvos Respublikos aplinkos ministro 2001 m. rugsėjo 21 d. įsakyme Nr. 472 „Dėl Požeminio vandens apsaugos nuo taršos pavojingomis medžiagomis taisyklių patvirtinimo“ (Žin., 2001, Nr. </w:t>
                  </w:r>
                  <w:hyperlink r:id="rId29" w:tgtFrame="_blank" w:history="1">
                    <w:r>
                      <w:rPr>
                        <w:color w:val="0000FF" w:themeColor="hyperlink"/>
                        <w:szCs w:val="24"/>
                        <w:u w:val="single"/>
                        <w:lang w:eastAsia="lt-LT"/>
                      </w:rPr>
                      <w:t>83-2906</w:t>
                    </w:r>
                  </w:hyperlink>
                  <w:r>
                    <w:rPr>
                      <w:color w:val="000000"/>
                      <w:szCs w:val="24"/>
                      <w:lang w:eastAsia="lt-LT"/>
                    </w:rPr>
                    <w:t>) ir kituose teisės aktuose nustatytus reikalavimus, AAA nustato leidimo reikalavimus, kad galutinai nutraukiant veiklą, būtų laikomasi Taisyklių 112 ir 113 punktų nuostatų.</w:t>
                  </w:r>
                </w:p>
              </w:sdtContent>
            </w:sdt>
            <w:sdt>
              <w:sdtPr>
                <w:alias w:val="112 p."/>
                <w:tag w:val="part_eed94aba856741bca23b0c5426f7a544"/>
                <w:lock w:val="sdtLocked"/>
                <w:richText/>
              </w:sdtPr>
              <w:sdtContent>
                <w:p>
                  <w:pPr>
                    <w:ind w:firstLine="567"/>
                    <w:jc w:val="both"/>
                  </w:pPr>
                  <w:sdt>
                    <w:sdtPr>
                      <w:alias w:val="Numeris"/>
                      <w:tag w:val="nr_eed94aba856741bca23b0c5426f7a544"/>
                      <w:lock w:val="sdtLocked"/>
                      <w:richText/>
                    </w:sdtPr>
                    <w:sdtContent>
                      <w:r>
                        <w:rPr>
                          <w:szCs w:val="24"/>
                          <w:lang w:eastAsia="lt-LT"/>
                        </w:rPr>
                        <w:t>112</w:t>
                      </w:r>
                    </w:sdtContent>
                  </w:sdt>
                  <w:r>
                    <w:rPr>
                      <w:szCs w:val="24"/>
                      <w:lang w:eastAsia="lt-LT"/>
                    </w:rPr>
                    <w:t>. Galutinai nutraukdamas veiklą, veiklos vykdytojas įvertina dirvožemio ir požeminių vandenų užterštumą įrenginyje naudotomis, gamintomis ar iš jo išleistomis pavojingomis medžiagomis, nurodytomis Ekogeologinių tyrimų reglamente, atlikdamas preliminarų ekogeologinį tyrimą pagal Ekogeologinių tyrimų reglamente nustatytus reikalavimus. Jeigu dėl įrenginio eksploatavimo dirvožemis arba požeminiai vandenys labai užteršiami pavojingomis medžiagomis ir jų būklė skiriasi nuo pirminės būklės, aprašytos užterštumo būklės ataskaitoje, veiklos vykdytojas turi imtis būtinų priemonių, siekdamas atkurti buvusią eksploatavimo vietos būklę. AAD, atsižvelgdamas į tyrimų ataskaitos vertinamąsias išvadas, esant reikalui, privalo įpareigoti veiklos vykdytoją atkurti iki įrenginio eksploatavimo pradžios buvusią eksploatavimo vietos būklę. Įpareigodamas veiklos vykdytoją atkurti iki įrenginio eksploatavimo pradžios buvusią eksploatavimo vietos būklę, AAD gali atsižvelgti į atkūrimo priemonių taikymo technines galimybes.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58dcda07c7011e4abe983995522ea30">
                    <w:r w:rsidRPr="00532B9F">
                      <w:rPr>
                        <w:rFonts w:ascii="Arial" w:eastAsia="MS Mincho" w:hAnsi="Arial"/>
                        <w:sz w:val="20"/>
                        <w:i/>
                        <w:iCs/>
                        <w:color w:val="0000FF" w:themeColor="hyperlink"/>
                        <w:u w:val="single"/>
                      </w:rPr>
                      <w:t>D1-983</w:t>
                    </w:r>
                  </w:fldSimple>
                  <w:r>
                    <w:rPr>
                      <w:rFonts w:ascii="Arial" w:eastAsia="MS Mincho" w:hAnsi="Arial"/>
                      <w:sz w:val="20"/>
                      <w:i/>
                      <w:iCs/>
                    </w:rPr>
                    <w:t>,
2014-12-04,
paskelbta TAR 2014-12-05, i. k. 2014-19056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b7ec10747d11e8ae2bfd1913d66d57">
                    <w:r w:rsidRPr="00532B9F">
                      <w:rPr>
                        <w:rFonts w:ascii="Arial" w:eastAsia="MS Mincho" w:hAnsi="Arial"/>
                        <w:sz w:val="20"/>
                        <w:i/>
                        <w:iCs/>
                        <w:color w:val="0000FF" w:themeColor="hyperlink"/>
                        <w:u w:val="single"/>
                      </w:rPr>
                      <w:t>D1-537</w:t>
                    </w:r>
                  </w:fldSimple>
                  <w:r>
                    <w:rPr>
                      <w:rFonts w:ascii="Arial" w:eastAsia="MS Mincho" w:hAnsi="Arial"/>
                      <w:sz w:val="20"/>
                      <w:i/>
                      <w:iCs/>
                    </w:rPr>
                    <w:t>,
2018-06-19,
paskelbta TAR 2018-06-20, i. k. 2018-10131            </w:t>
                  </w:r>
                </w:p>
                <w:p/>
              </w:sdtContent>
            </w:sdt>
            <w:sdt>
              <w:sdtPr>
                <w:alias w:val="112-1 p."/>
                <w:tag w:val="part_6d90acc84bf9481780136f05b31d1b44"/>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Cs w:val="24"/>
                      <w:lang w:eastAsia="lt-LT"/>
                    </w:rPr>
                  </w:pPr>
                  <w:sdt>
                    <w:sdtPr>
                      <w:alias w:val="Numeris"/>
                      <w:tag w:val="nr_6d90acc84bf9481780136f05b31d1b44"/>
                      <w:lock w:val="sdtLocked"/>
                      <w:richText/>
                    </w:sdtPr>
                    <w:sdtContent>
                      <w:r>
                        <w:rPr>
                          <w:szCs w:val="24"/>
                          <w:lang w:eastAsia="lt-LT"/>
                        </w:rPr>
                        <w:t>112</w:t>
                      </w:r>
                      <w:r>
                        <w:rPr>
                          <w:szCs w:val="24"/>
                          <w:vertAlign w:val="superscript"/>
                          <w:lang w:eastAsia="lt-LT"/>
                        </w:rPr>
                        <w:t>1</w:t>
                      </w:r>
                    </w:sdtContent>
                  </w:sdt>
                  <w:r>
                    <w:rPr>
                      <w:szCs w:val="24"/>
                      <w:lang w:eastAsia="lt-LT"/>
                    </w:rPr>
                    <w:t>. Veiklos vykdytojas, galutinai nutraukdamas veiklą, privalo imtis visų įmanomų veiksmų, būtinų pašalinti, kontroliuoti, apriboti arba sumažinti atitinkamų pavojingų medžiagų išplitimą, kad įrenginio eksploatavimo vieta, atsižvelgiant į jos esamą ar būsimą patvirtintą naudojimą, nebekeltų pavojaus, nurodyto 112</w:t>
                  </w:r>
                  <w:r>
                    <w:rPr>
                      <w:szCs w:val="24"/>
                      <w:vertAlign w:val="superscript"/>
                      <w:lang w:eastAsia="lt-LT"/>
                    </w:rPr>
                    <w:t>1</w:t>
                  </w:r>
                  <w:r>
                    <w:rPr>
                      <w:szCs w:val="24"/>
                      <w:lang w:eastAsia="lt-LT"/>
                    </w:rPr>
                    <w:t>.1 papunktyje. Šiame punkte nurodytų veiksmų veiklos vykdytojas privalo imtis atsižvelgdamas į Taisyklių 21.4 punkte nurodytas įrenginio eksploatavimo vietos sąlygas, jei:</w:t>
                  </w:r>
                </w:p>
                <w:sdt>
                  <w:sdtPr>
                    <w:alias w:val="112-1.1 p."/>
                    <w:tag w:val="part_7fc08e39911a4c9aa98af76e0e6109bf"/>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Cs w:val="24"/>
                          <w:lang w:eastAsia="lt-LT"/>
                        </w:rPr>
                      </w:pPr>
                      <w:sdt>
                        <w:sdtPr>
                          <w:alias w:val="Numeris"/>
                          <w:tag w:val="nr_7fc08e39911a4c9aa98af76e0e6109bf"/>
                          <w:lock w:val="sdtLocked"/>
                          <w:richText/>
                        </w:sdtPr>
                        <w:sdtContent>
                          <w:r>
                            <w:rPr>
                              <w:szCs w:val="24"/>
                              <w:lang w:eastAsia="lt-LT"/>
                            </w:rPr>
                            <w:t>112</w:t>
                          </w:r>
                          <w:r>
                            <w:rPr>
                              <w:szCs w:val="24"/>
                              <w:vertAlign w:val="superscript"/>
                              <w:lang w:eastAsia="lt-LT"/>
                            </w:rPr>
                            <w:t>1</w:t>
                          </w:r>
                          <w:r>
                            <w:rPr>
                              <w:szCs w:val="24"/>
                              <w:lang w:eastAsia="lt-LT"/>
                            </w:rPr>
                            <w:t>.1</w:t>
                          </w:r>
                        </w:sdtContent>
                      </w:sdt>
                      <w:r>
                        <w:rPr>
                          <w:szCs w:val="24"/>
                          <w:lang w:eastAsia="lt-LT"/>
                        </w:rPr>
                        <w:t xml:space="preserve">. preliminarusis ekogeologinis tyrimas, nurodytas Ekogeologinių tyrimų reglamente arba požeminio vandens monitoringo duomenys rodo, kad dirvožemio ir požeminio vandens užteršimas eksploatavimo vietoje kelia didelį pavojų žmonių sveikatai ar aplinkai, ir </w:t>
                      </w:r>
                    </w:p>
                  </w:sdtContent>
                </w:sdt>
                <w:sdt>
                  <w:sdtPr>
                    <w:alias w:val="112-1.2 p."/>
                    <w:tag w:val="part_601de0a51a894480b55ecc5fcf67ce99"/>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601de0a51a894480b55ecc5fcf67ce99"/>
                          <w:lock w:val="sdtLocked"/>
                          <w:richText/>
                        </w:sdtPr>
                        <w:sdtContent>
                          <w:r>
                            <w:rPr>
                              <w:szCs w:val="24"/>
                              <w:lang w:eastAsia="lt-LT"/>
                            </w:rPr>
                            <w:t>112</w:t>
                          </w:r>
                          <w:r>
                            <w:rPr>
                              <w:szCs w:val="24"/>
                              <w:vertAlign w:val="superscript"/>
                              <w:lang w:eastAsia="lt-LT"/>
                            </w:rPr>
                            <w:t>1</w:t>
                          </w:r>
                          <w:r>
                            <w:rPr>
                              <w:szCs w:val="24"/>
                              <w:lang w:eastAsia="lt-LT"/>
                            </w:rPr>
                            <w:t>.2</w:t>
                          </w:r>
                        </w:sdtContent>
                      </w:sdt>
                      <w:r>
                        <w:rPr>
                          <w:szCs w:val="24"/>
                          <w:lang w:eastAsia="lt-LT"/>
                        </w:rPr>
                        <w:t>. Taisyklių 112</w:t>
                      </w:r>
                      <w:r>
                        <w:rPr>
                          <w:szCs w:val="24"/>
                          <w:vertAlign w:val="superscript"/>
                          <w:lang w:eastAsia="lt-LT"/>
                        </w:rPr>
                        <w:t>1</w:t>
                      </w:r>
                      <w:r>
                        <w:rPr>
                          <w:szCs w:val="24"/>
                          <w:lang w:eastAsia="lt-LT"/>
                        </w:rPr>
                        <w:t>.1 papunktyje nurodyta tarša susidarė veiklos vykdytojui vykdant veiklą įrenginiuose, kurių eksploatavimui buvo išduotas leidimas ir ši veikla buvo vykdoma iki pirmo leidimo keitimo pagal Taisyklių reikalavimus.</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58dcda07c7011e4abe983995522ea30">
                    <w:r w:rsidRPr="00532B9F">
                      <w:rPr>
                        <w:rFonts w:ascii="Arial" w:eastAsia="MS Mincho" w:hAnsi="Arial"/>
                        <w:sz w:val="20"/>
                        <w:i/>
                        <w:iCs/>
                        <w:color w:val="0000FF" w:themeColor="hyperlink"/>
                        <w:u w:val="single"/>
                      </w:rPr>
                      <w:t>D1-983</w:t>
                    </w:r>
                  </w:fldSimple>
                  <w:r>
                    <w:rPr>
                      <w:rFonts w:ascii="Arial" w:eastAsia="MS Mincho" w:hAnsi="Arial"/>
                      <w:sz w:val="20"/>
                      <w:i/>
                      <w:iCs/>
                    </w:rPr>
                    <w:t>,
2014-12-04,
paskelbta TAR 2014-12-05, i. k. 2014-19056        </w:t>
                  </w:r>
                </w:p>
                <w:p/>
              </w:sdtContent>
            </w:sdt>
            <w:sdt>
              <w:sdtPr>
                <w:alias w:val="113 p."/>
                <w:tag w:val="part_48f23e05bc5445f6966cfeecb6695bc6"/>
                <w:lock w:val="sdtLocked"/>
                <w:richText/>
              </w:sdtPr>
              <w:sdtContent>
                <w:p>
                  <w:pPr>
                    <w:widowControl w:val="0"/>
                    <w:ind w:firstLine="567"/>
                    <w:jc w:val="both"/>
                    <w:rPr>
                      <w:color w:val="000000"/>
                      <w:szCs w:val="24"/>
                      <w:lang w:eastAsia="lt-LT"/>
                    </w:rPr>
                  </w:pPr>
                  <w:sdt>
                    <w:sdtPr>
                      <w:alias w:val="Numeris"/>
                      <w:tag w:val="nr_48f23e05bc5445f6966cfeecb6695bc6"/>
                      <w:lock w:val="sdtLocked"/>
                      <w:richText/>
                    </w:sdtPr>
                    <w:sdtContent>
                      <w:r>
                        <w:rPr>
                          <w:color w:val="000000"/>
                          <w:szCs w:val="24"/>
                          <w:lang w:eastAsia="lt-LT"/>
                        </w:rPr>
                        <w:t>113</w:t>
                      </w:r>
                    </w:sdtContent>
                  </w:sdt>
                  <w:r>
                    <w:rPr>
                      <w:color w:val="000000"/>
                      <w:szCs w:val="24"/>
                      <w:lang w:eastAsia="lt-LT"/>
                    </w:rPr>
                    <w:t>. Jeigu veiklos vykdytojas neprivalo rengti užterštumo būklės ataskaitos, galutinai nutraukdamas veiklą jis turi atlikti preliminarų ekogeologinį tyrimą ir, jeigu būtina, imtis veiksmų, būtinų pašalinti, kontroliuoti, apriboti išplitimą arba sumažinti pavojingas medžiagas, kad eksploatavimo vieta, atsižvelgiant į jos esamą ar būsimą patvirtintą naudojimą, nekeltų didelio pavojaus žmonių sveikatai arba aplinkai dėl dirvožemio ar požeminio vandens užteršimo dėl veiksmų, kuriuos vykdyti išduotas leidimas, ir atsižvelgiant į paraiškoje leidimui gauti nustatytas įrenginio eksploatavimo vietos sąlygas. Eksploatavimo vietos būklės atkūrimo būtinumas nustatomas atlikus ekogeologinių tyrimų vertinimą vadovaujantis Cheminėmis medžiagomis užterštų teritorijų tvarkymo aplinkos apsaugos reikalavimais.</w:t>
                  </w:r>
                </w:p>
              </w:sdtContent>
            </w:sdt>
            <w:sdt>
              <w:sdtPr>
                <w:alias w:val="114 p."/>
                <w:tag w:val="part_580f0132ac1a4917986c1c7ce372dcad"/>
                <w:lock w:val="sdtLocked"/>
                <w:richText/>
              </w:sdtPr>
              <w:sdtContent>
                <w:p>
                  <w:pPr>
                    <w:widowControl w:val="0"/>
                    <w:ind w:firstLine="567"/>
                    <w:jc w:val="both"/>
                  </w:pPr>
                  <w:sdt>
                    <w:sdtPr>
                      <w:alias w:val="Numeris"/>
                      <w:tag w:val="nr_580f0132ac1a4917986c1c7ce372dcad"/>
                      <w:lock w:val="sdtLocked"/>
                      <w:richText/>
                    </w:sdtPr>
                    <w:sdtContent>
                      <w:r>
                        <w:rPr>
                          <w:color w:val="000000"/>
                          <w:szCs w:val="24"/>
                          <w:lang w:eastAsia="lt-LT"/>
                        </w:rPr>
                        <w:t>114</w:t>
                      </w:r>
                    </w:sdtContent>
                  </w:sdt>
                  <w:r>
                    <w:rPr>
                      <w:color w:val="000000"/>
                      <w:szCs w:val="24"/>
                      <w:lang w:eastAsia="lt-LT"/>
                    </w:rPr>
                    <w:t>. Taisyklių 111 ir 112 punktuose nurodytais atvejais eksploatavimo vietos būklės atkūrimo būtinumas nustatomas atlikus tyrimų ataskaitos vertinimą vadovaujantis Cheminėmis medžiagomis užterštų teritorijų tvarkymo aplinkos apsaugos reikalavimais.</w:t>
                  </w:r>
                </w:p>
              </w:sdtContent>
            </w:sdt>
            <w:sdt>
              <w:sdtPr>
                <w:alias w:val="114-1 p."/>
                <w:tag w:val="part_68d576ee2b824034a695f8fe35916316"/>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textAlignment w:val="baseline"/>
                    <w:rPr>
                      <w:b/>
                      <w:bCs/>
                      <w:color w:val="000000"/>
                      <w:szCs w:val="24"/>
                      <w:lang w:eastAsia="lt-LT"/>
                    </w:rPr>
                  </w:pPr>
                  <w:sdt>
                    <w:sdtPr>
                      <w:alias w:val="Numeris"/>
                      <w:tag w:val="nr_68d576ee2b824034a695f8fe35916316"/>
                      <w:lock w:val="sdtLocked"/>
                      <w:richText/>
                    </w:sdtPr>
                    <w:sdtContent>
                      <w:r>
                        <w:t>114</w:t>
                      </w:r>
                      <w:r>
                        <w:rPr>
                          <w:vertAlign w:val="superscript"/>
                        </w:rPr>
                        <w:t>1</w:t>
                      </w:r>
                    </w:sdtContent>
                  </w:sdt>
                  <w:r>
                    <w:t xml:space="preserve">. Jeigu veikla yra susijusi su atliekų naudojimu ar šalinimu, nutraukdamas veiklą veiklos vykdytojas privalo įgyvendinti atliekų sutvarkymo, atliekų naudojimo ar šalinimo įrenginių uždarymo, jų sutvarkymo ir priežiūros po uždarymo priemones, numatytas </w:t>
                  </w:r>
                  <w:r>
                    <w:rPr>
                      <w:lang w:eastAsia="lt-LT"/>
                    </w:rPr>
                    <w:t>atliekų naudojimo ar šalinimo techniniame reglamente</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5344301d2e11edb4cae1b158f98ea5">
                    <w:r w:rsidRPr="00532B9F">
                      <w:rPr>
                        <w:rFonts w:ascii="Arial" w:eastAsia="MS Mincho" w:hAnsi="Arial"/>
                        <w:sz w:val="20"/>
                        <w:i/>
                        <w:iCs/>
                        <w:color w:val="0000FF" w:themeColor="hyperlink"/>
                        <w:u w:val="single"/>
                      </w:rPr>
                      <w:t>D1-263</w:t>
                    </w:r>
                  </w:fldSimple>
                  <w:r>
                    <w:rPr>
                      <w:rFonts w:ascii="Arial" w:eastAsia="MS Mincho" w:hAnsi="Arial"/>
                      <w:sz w:val="20"/>
                      <w:i/>
                      <w:iCs/>
                    </w:rPr>
                    <w:t>,
2022-08-16,
paskelbta TAR 2022-08-16, i. k. 2022-17141            </w:t>
                  </w:r>
                </w:p>
                <w:p/>
              </w:sdtContent>
            </w:sdt>
          </w:sdtContent>
        </w:sdt>
        <w:sdt>
          <w:sdtPr>
            <w:alias w:val="skyrius"/>
            <w:tag w:val="part_f6bf4706196144fbb8f4f68cd03a4509"/>
            <w:lock w:val="sdtLocked"/>
            <w:richText/>
          </w:sdtPr>
          <w:sdtContent>
            <w:p>
              <w:pPr>
                <w:widowControl w:val="0"/>
                <w:jc w:val="center"/>
                <w:rPr>
                  <w:b/>
                  <w:bCs/>
                  <w:caps/>
                  <w:color w:val="000000"/>
                  <w:szCs w:val="24"/>
                  <w:lang w:eastAsia="lt-LT"/>
                </w:rPr>
              </w:pPr>
              <w:sdt>
                <w:sdtPr>
                  <w:alias w:val="Numeris"/>
                  <w:tag w:val="nr_f6bf4706196144fbb8f4f68cd03a4509"/>
                  <w:lock w:val="sdtLocked"/>
                  <w:richText/>
                </w:sdtPr>
                <w:sdtContent>
                  <w:r>
                    <w:rPr>
                      <w:b/>
                      <w:bCs/>
                      <w:caps/>
                      <w:color w:val="000000"/>
                      <w:szCs w:val="24"/>
                      <w:lang w:eastAsia="lt-LT"/>
                    </w:rPr>
                    <w:t>XIV</w:t>
                  </w:r>
                </w:sdtContent>
              </w:sdt>
              <w:r>
                <w:rPr>
                  <w:b/>
                  <w:bCs/>
                  <w:caps/>
                  <w:color w:val="000000"/>
                  <w:szCs w:val="24"/>
                  <w:lang w:eastAsia="lt-LT"/>
                </w:rPr>
                <w:t xml:space="preserve">. </w:t>
              </w:r>
              <w:sdt>
                <w:sdtPr>
                  <w:alias w:val="Pavadinimas"/>
                  <w:tag w:val="title_f6bf4706196144fbb8f4f68cd03a4509"/>
                  <w:lock w:val="sdtLocked"/>
                  <w:richText/>
                </w:sdtPr>
                <w:sdtContent>
                  <w:r>
                    <w:rPr>
                      <w:b/>
                      <w:bCs/>
                      <w:caps/>
                      <w:color w:val="000000"/>
                      <w:szCs w:val="24"/>
                      <w:lang w:eastAsia="lt-LT"/>
                    </w:rPr>
                    <w:t>LEIDIMO SĄLYGŲ LAIKYMaSIS IR KONTROLĖ</w:t>
                  </w:r>
                </w:sdtContent>
              </w:sdt>
            </w:p>
            <w:p>
              <w:pPr>
                <w:widowControl w:val="0"/>
                <w:ind w:firstLine="567"/>
                <w:jc w:val="both"/>
                <w:rPr>
                  <w:color w:val="000000"/>
                  <w:szCs w:val="24"/>
                  <w:lang w:eastAsia="lt-LT"/>
                </w:rPr>
              </w:pPr>
            </w:p>
            <w:sdt>
              <w:sdtPr>
                <w:alias w:val="115 p."/>
                <w:tag w:val="part_4990e59facf447789ed8d7f359f31e67"/>
                <w:lock w:val="sdtLocked"/>
                <w:richText/>
              </w:sdtPr>
              <w:sdtContent>
                <w:p>
                  <w:pPr>
                    <w:pStyle w:val="PlainText"/>
                    <w:ind w:firstLine="567"/>
                    <w:jc w:val="both"/>
                    <w:rPr>
                      <w:rFonts w:ascii="Arial" w:hAnsi="Arial"/>
                      <w:b/>
                      <w:bCs/>
                      <w:sz w:val="22"/>
                    </w:rPr>
                  </w:pPr>
                  <w:r>
                    <w:rPr>
                      <w:rFonts w:ascii="Arial" w:hAnsi="Arial"/>
                      <w:sz w:val="22"/>
                    </w:rPr>
                    <w:t>115</w:t>
                  </w:r>
                  <w:r>
                    <w:rPr>
                      <w:rFonts w:ascii="Arial" w:hAnsi="Arial"/>
                      <w:sz w:val="22"/>
                    </w:rPr>
                    <w:t>.</w:t>
                  </w:r>
                  <w:r>
                    <w:rPr>
                      <w:rFonts w:ascii="Arial" w:eastAsia="MS Mincho" w:hAnsi="Arial"/>
                      <w:sz w:val="20"/>
                      <w:i/>
                      <w:iCs/>
                    </w:rPr>
                    <w:t xml:space="preserve"> Neteko galios nuo 2020-07-17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116 p."/>
                <w:tag w:val="part_1144aee35391410a8af17c969f4659d4"/>
                <w:lock w:val="sdtLocked"/>
                <w:richText/>
              </w:sdtPr>
              <w:sdtContent>
                <w:p>
                  <w:pPr>
                    <w:pStyle w:val="PlainText"/>
                    <w:ind w:firstLine="567"/>
                    <w:jc w:val="both"/>
                    <w:rPr>
                      <w:rFonts w:ascii="Arial" w:hAnsi="Arial"/>
                      <w:b/>
                      <w:bCs/>
                      <w:sz w:val="22"/>
                    </w:rPr>
                  </w:pPr>
                  <w:r>
                    <w:rPr>
                      <w:rFonts w:ascii="Arial" w:hAnsi="Arial"/>
                      <w:sz w:val="22"/>
                    </w:rPr>
                    <w:t>116</w:t>
                  </w:r>
                  <w:r>
                    <w:rPr>
                      <w:rFonts w:ascii="Arial" w:hAnsi="Arial"/>
                      <w:sz w:val="22"/>
                    </w:rPr>
                    <w:t>.</w:t>
                  </w:r>
                  <w:r>
                    <w:rPr>
                      <w:rFonts w:ascii="Arial" w:eastAsia="MS Mincho" w:hAnsi="Arial"/>
                      <w:sz w:val="20"/>
                      <w:i/>
                      <w:iCs/>
                    </w:rPr>
                    <w:t xml:space="preserve"> Neteko galios nuo 2020-07-17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b7ec10747d11e8ae2bfd1913d66d57">
                    <w:r w:rsidRPr="00532B9F">
                      <w:rPr>
                        <w:rFonts w:ascii="Arial" w:eastAsia="MS Mincho" w:hAnsi="Arial"/>
                        <w:sz w:val="20"/>
                        <w:i/>
                        <w:iCs/>
                        <w:color w:val="0000FF" w:themeColor="hyperlink"/>
                        <w:u w:val="single"/>
                      </w:rPr>
                      <w:t>D1-537</w:t>
                    </w:r>
                  </w:fldSimple>
                  <w:r>
                    <w:rPr>
                      <w:rFonts w:ascii="Arial" w:eastAsia="MS Mincho" w:hAnsi="Arial"/>
                      <w:sz w:val="20"/>
                      <w:i/>
                      <w:iCs/>
                    </w:rPr>
                    <w:t>,
2018-06-19,
paskelbta TAR 2018-06-20, i. k. 2018-10131            </w:t>
                  </w:r>
                </w:p>
                <w:p/>
              </w:sdtContent>
            </w:sdt>
            <w:sdt>
              <w:sdtPr>
                <w:alias w:val="117 p."/>
                <w:tag w:val="part_21f17ca3317f43e59268202c58cc54f6"/>
                <w:lock w:val="sdtLocked"/>
                <w:richText/>
              </w:sdtPr>
              <w:sdtContent>
                <w:p>
                  <w:pPr>
                    <w:pStyle w:val="PlainText"/>
                    <w:ind w:firstLine="567"/>
                    <w:jc w:val="both"/>
                    <w:rPr>
                      <w:rFonts w:ascii="Arial" w:hAnsi="Arial"/>
                      <w:b/>
                      <w:bCs/>
                      <w:sz w:val="22"/>
                    </w:rPr>
                  </w:pPr>
                  <w:r>
                    <w:rPr>
                      <w:rFonts w:ascii="Arial" w:hAnsi="Arial"/>
                      <w:sz w:val="22"/>
                    </w:rPr>
                    <w:t>117</w:t>
                  </w:r>
                  <w:r>
                    <w:rPr>
                      <w:rFonts w:ascii="Arial" w:hAnsi="Arial"/>
                      <w:sz w:val="22"/>
                    </w:rPr>
                    <w:t>.</w:t>
                  </w:r>
                  <w:r>
                    <w:rPr>
                      <w:rFonts w:ascii="Arial" w:eastAsia="MS Mincho" w:hAnsi="Arial"/>
                      <w:sz w:val="20"/>
                      <w:i/>
                      <w:iCs/>
                    </w:rPr>
                    <w:t xml:space="preserve"> Neteko galios nuo 2020-07-17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58dcda07c7011e4abe983995522ea30">
                    <w:r w:rsidRPr="00532B9F">
                      <w:rPr>
                        <w:rFonts w:ascii="Arial" w:eastAsia="MS Mincho" w:hAnsi="Arial"/>
                        <w:sz w:val="20"/>
                        <w:i/>
                        <w:iCs/>
                        <w:color w:val="0000FF" w:themeColor="hyperlink"/>
                        <w:u w:val="single"/>
                      </w:rPr>
                      <w:t>D1-983</w:t>
                    </w:r>
                  </w:fldSimple>
                  <w:r>
                    <w:rPr>
                      <w:rFonts w:ascii="Arial" w:eastAsia="MS Mincho" w:hAnsi="Arial"/>
                      <w:sz w:val="20"/>
                      <w:i/>
                      <w:iCs/>
                    </w:rPr>
                    <w:t>,
2014-12-04,
paskelbta TAR 2014-12-05, i. k. 2014-19056            </w:t>
                  </w:r>
                </w:p>
                <w:p/>
              </w:sdtContent>
            </w:sdt>
            <w:sdt>
              <w:sdtPr>
                <w:alias w:val="118 p."/>
                <w:tag w:val="part_393ce2f7f8c943d09a79879dbfe501e5"/>
                <w:lock w:val="sdtLocked"/>
                <w:richText/>
              </w:sdtPr>
              <w:sdtContent>
                <w:p>
                  <w:pPr>
                    <w:ind w:firstLine="567"/>
                    <w:jc w:val="both"/>
                    <w:rPr>
                      <w:szCs w:val="24"/>
                      <w:lang w:eastAsia="lt-LT"/>
                    </w:rPr>
                  </w:pPr>
                  <w:sdt>
                    <w:sdtPr>
                      <w:alias w:val="Numeris"/>
                      <w:tag w:val="nr_393ce2f7f8c943d09a79879dbfe501e5"/>
                      <w:lock w:val="sdtLocked"/>
                      <w:richText/>
                    </w:sdtPr>
                    <w:sdtContent>
                      <w:r>
                        <w:rPr>
                          <w:color w:val="000000"/>
                          <w:szCs w:val="24"/>
                          <w:lang w:eastAsia="lt-LT"/>
                        </w:rPr>
                        <w:t>118</w:t>
                      </w:r>
                    </w:sdtContent>
                  </w:sdt>
                  <w:r>
                    <w:rPr>
                      <w:color w:val="000000"/>
                      <w:szCs w:val="24"/>
                      <w:lang w:eastAsia="lt-LT"/>
                    </w:rPr>
                    <w:t>. Veiklos vykdytojas turi eksploatuoti įrenginį, jo dalį, kelis įrenginius ar jų dalis laikydamasis leidime nustatytų sąlygų. Jei veiklos vykdytojas eksploatuodamas įrenginį pažeidžia leidimo sąlygas, jis privalo:</w:t>
                  </w:r>
                </w:p>
                <w:sdt>
                  <w:sdtPr>
                    <w:alias w:val="118.1 pp."/>
                    <w:tag w:val="part_934884ac8de245c9a0f9e373fd6ef063"/>
                    <w:lock w:val="sdtLocked"/>
                    <w:richText/>
                  </w:sdtPr>
                  <w:sdtContent>
                    <w:p>
                      <w:pPr>
                        <w:ind w:firstLine="567"/>
                        <w:jc w:val="both"/>
                        <w:rPr>
                          <w:szCs w:val="24"/>
                          <w:lang w:eastAsia="lt-LT"/>
                        </w:rPr>
                      </w:pPr>
                      <w:sdt>
                        <w:sdtPr>
                          <w:alias w:val="Numeris"/>
                          <w:tag w:val="nr_934884ac8de245c9a0f9e373fd6ef063"/>
                          <w:lock w:val="sdtLocked"/>
                          <w:richText/>
                        </w:sdtPr>
                        <w:sdtContent>
                          <w:r>
                            <w:rPr>
                              <w:color w:val="000000"/>
                              <w:szCs w:val="24"/>
                              <w:lang w:eastAsia="lt-LT"/>
                            </w:rPr>
                            <w:t>118.1</w:t>
                          </w:r>
                        </w:sdtContent>
                      </w:sdt>
                      <w:r>
                        <w:rPr>
                          <w:color w:val="000000"/>
                          <w:szCs w:val="24"/>
                          <w:lang w:eastAsia="lt-LT"/>
                        </w:rPr>
                        <w:t>. po sąlygų pažeidimo užfiksavimo per 3 darbo dienas apie tai pranešti AAD;</w:t>
                      </w:r>
                    </w:p>
                  </w:sdtContent>
                </w:sdt>
                <w:sdt>
                  <w:sdtPr>
                    <w:alias w:val="118.2 pp."/>
                    <w:tag w:val="part_bf48b4a1fb5c48e9813230904029ea2d"/>
                    <w:lock w:val="sdtLocked"/>
                    <w:richText/>
                  </w:sdtPr>
                  <w:sdtContent>
                    <w:p>
                      <w:pPr>
                        <w:ind w:firstLine="567"/>
                        <w:jc w:val="both"/>
                        <w:rPr>
                          <w:szCs w:val="24"/>
                          <w:lang w:eastAsia="lt-LT"/>
                        </w:rPr>
                      </w:pPr>
                      <w:sdt>
                        <w:sdtPr>
                          <w:alias w:val="Numeris"/>
                          <w:tag w:val="nr_bf48b4a1fb5c48e9813230904029ea2d"/>
                          <w:lock w:val="sdtLocked"/>
                          <w:richText/>
                        </w:sdtPr>
                        <w:sdtContent>
                          <w:r>
                            <w:rPr>
                              <w:color w:val="000000"/>
                              <w:szCs w:val="24"/>
                              <w:lang w:eastAsia="lt-LT"/>
                            </w:rPr>
                            <w:t>118.2</w:t>
                          </w:r>
                        </w:sdtContent>
                      </w:sdt>
                      <w:r>
                        <w:rPr>
                          <w:color w:val="000000"/>
                          <w:szCs w:val="24"/>
                          <w:lang w:eastAsia="lt-LT"/>
                        </w:rPr>
                        <w:t>. nedelsiant imtis būtinų priemonių ištaisyti pažeidimą ir užtikrinti, kad vėl būtų laikomasi leidimo sąlygų per trumpiausią įmanomą laikotarpį;</w:t>
                      </w:r>
                    </w:p>
                  </w:sdtContent>
                </w:sdt>
                <w:sdt>
                  <w:sdtPr>
                    <w:alias w:val="118.3 pp."/>
                    <w:tag w:val="part_cf8e58c4e08a4cfaa6a584a0ae592502"/>
                    <w:lock w:val="sdtLocked"/>
                    <w:richText/>
                  </w:sdtPr>
                  <w:sdtContent>
                    <w:p>
                      <w:pPr>
                        <w:ind w:firstLine="567"/>
                        <w:jc w:val="both"/>
                        <w:rPr>
                          <w:color w:val="000000"/>
                          <w:szCs w:val="24"/>
                          <w:lang w:eastAsia="lt-LT"/>
                        </w:rPr>
                      </w:pPr>
                      <w:sdt>
                        <w:sdtPr>
                          <w:alias w:val="Numeris"/>
                          <w:tag w:val="nr_cf8e58c4e08a4cfaa6a584a0ae592502"/>
                          <w:lock w:val="sdtLocked"/>
                          <w:richText/>
                        </w:sdtPr>
                        <w:sdtContent>
                          <w:r>
                            <w:rPr>
                              <w:color w:val="000000"/>
                              <w:szCs w:val="24"/>
                              <w:lang w:eastAsia="lt-LT"/>
                            </w:rPr>
                            <w:t>118.3</w:t>
                          </w:r>
                        </w:sdtContent>
                      </w:sdt>
                      <w:r>
                        <w:rPr>
                          <w:color w:val="000000"/>
                          <w:szCs w:val="24"/>
                          <w:lang w:eastAsia="lt-LT"/>
                        </w:rPr>
                        <w:t>. imtis atitinkamų papildomų priemonių, kurias pagal kompetenciją AAD ar AAA nurodo būtinomis siekiant, kad būtų ištaisytas pažeidimas ir vėl būtų laikomasi leidimo sąlygų.</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b7ec10747d11e8ae2bfd1913d66d57">
                    <w:r w:rsidRPr="00532B9F">
                      <w:rPr>
                        <w:rFonts w:ascii="Arial" w:eastAsia="MS Mincho" w:hAnsi="Arial"/>
                        <w:sz w:val="20"/>
                        <w:i/>
                        <w:iCs/>
                        <w:color w:val="0000FF" w:themeColor="hyperlink"/>
                        <w:u w:val="single"/>
                      </w:rPr>
                      <w:t>D1-537</w:t>
                    </w:r>
                  </w:fldSimple>
                  <w:r>
                    <w:rPr>
                      <w:rFonts w:ascii="Arial" w:eastAsia="MS Mincho" w:hAnsi="Arial"/>
                      <w:sz w:val="20"/>
                      <w:i/>
                      <w:iCs/>
                    </w:rPr>
                    <w:t>,
2018-06-19,
paskelbta TAR 2018-06-20, i. k. 2018-10131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119 p."/>
                <w:tag w:val="part_330592308d1d48acbfde42ff018c77f5"/>
                <w:lock w:val="sdtLocked"/>
                <w:richText/>
              </w:sdtPr>
              <w:sdtContent>
                <w:p>
                  <w:pPr>
                    <w:pStyle w:val="PlainText"/>
                    <w:ind w:firstLine="567"/>
                    <w:jc w:val="both"/>
                    <w:rPr>
                      <w:rFonts w:ascii="Arial" w:hAnsi="Arial"/>
                      <w:b/>
                      <w:bCs/>
                      <w:sz w:val="22"/>
                    </w:rPr>
                  </w:pPr>
                  <w:r>
                    <w:rPr>
                      <w:rFonts w:ascii="Arial" w:hAnsi="Arial"/>
                      <w:sz w:val="22"/>
                    </w:rPr>
                    <w:t>119</w:t>
                  </w:r>
                  <w:r>
                    <w:rPr>
                      <w:rFonts w:ascii="Arial" w:hAnsi="Arial"/>
                      <w:sz w:val="22"/>
                    </w:rPr>
                    <w:t>.</w:t>
                  </w:r>
                  <w:r>
                    <w:rPr>
                      <w:rFonts w:ascii="Arial" w:eastAsia="MS Mincho" w:hAnsi="Arial"/>
                      <w:sz w:val="20"/>
                      <w:i/>
                      <w:iCs/>
                    </w:rPr>
                    <w:t xml:space="preserve"> Neteko galios nuo 2020-07-17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b7ec10747d11e8ae2bfd1913d66d57">
                    <w:r w:rsidRPr="00532B9F">
                      <w:rPr>
                        <w:rFonts w:ascii="Arial" w:eastAsia="MS Mincho" w:hAnsi="Arial"/>
                        <w:sz w:val="20"/>
                        <w:i/>
                        <w:iCs/>
                        <w:color w:val="0000FF" w:themeColor="hyperlink"/>
                        <w:u w:val="single"/>
                      </w:rPr>
                      <w:t>D1-537</w:t>
                    </w:r>
                  </w:fldSimple>
                  <w:r>
                    <w:rPr>
                      <w:rFonts w:ascii="Arial" w:eastAsia="MS Mincho" w:hAnsi="Arial"/>
                      <w:sz w:val="20"/>
                      <w:i/>
                      <w:iCs/>
                    </w:rPr>
                    <w:t>,
2018-06-19,
paskelbta TAR 2018-06-20, i. k. 2018-10131            </w:t>
                  </w:r>
                </w:p>
                <w:p/>
              </w:sdtContent>
            </w:sdt>
            <w:sdt>
              <w:sdtPr>
                <w:alias w:val="119-1 p."/>
                <w:tag w:val="part_dbf2287cafc9408da3df698eb1edb257"/>
                <w:lock w:val="sdtLocked"/>
                <w:richText/>
              </w:sdtPr>
              <w:sdtContent>
                <w:p>
                  <w:pPr>
                    <w:pStyle w:val="PlainText"/>
                    <w:ind w:firstLine="567"/>
                    <w:jc w:val="both"/>
                    <w:rPr>
                      <w:rFonts w:ascii="Arial" w:hAnsi="Arial"/>
                      <w:b/>
                      <w:bCs/>
                      <w:sz w:val="22"/>
                    </w:rPr>
                  </w:pPr>
                  <w:r>
                    <w:rPr>
                      <w:rFonts w:ascii="Arial" w:hAnsi="Arial"/>
                      <w:sz w:val="22"/>
                    </w:rPr>
                    <w:t>119</w:t>
                  </w:r>
                  <w:r>
                    <w:rPr>
                      <w:rFonts w:ascii="Arial" w:hAnsi="Arial"/>
                      <w:vertAlign w:val="superscript"/>
                      <w:sz w:val="22"/>
                    </w:rPr>
                    <w:t>1</w:t>
                  </w:r>
                  <w:r>
                    <w:rPr>
                      <w:rFonts w:ascii="Arial" w:hAnsi="Arial"/>
                      <w:sz w:val="22"/>
                    </w:rPr>
                    <w:t>.</w:t>
                  </w:r>
                  <w:r>
                    <w:rPr>
                      <w:rFonts w:ascii="Arial" w:eastAsia="MS Mincho" w:hAnsi="Arial"/>
                      <w:sz w:val="20"/>
                      <w:i/>
                      <w:iCs/>
                    </w:rPr>
                    <w:t xml:space="preserve"> Neteko galios nuo 2020-07-17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b7ec10747d11e8ae2bfd1913d66d57">
                    <w:r w:rsidRPr="00532B9F">
                      <w:rPr>
                        <w:rFonts w:ascii="Arial" w:eastAsia="MS Mincho" w:hAnsi="Arial"/>
                        <w:sz w:val="20"/>
                        <w:i/>
                        <w:iCs/>
                        <w:color w:val="0000FF" w:themeColor="hyperlink"/>
                        <w:u w:val="single"/>
                      </w:rPr>
                      <w:t>D1-537</w:t>
                    </w:r>
                  </w:fldSimple>
                  <w:r>
                    <w:rPr>
                      <w:rFonts w:ascii="Arial" w:eastAsia="MS Mincho" w:hAnsi="Arial"/>
                      <w:sz w:val="20"/>
                      <w:i/>
                      <w:iCs/>
                    </w:rPr>
                    <w:t>,
2018-06-19,
paskelbta TAR 2018-06-20, i. k. 2018-10131            </w:t>
                  </w:r>
                </w:p>
                <w:p/>
              </w:sdtContent>
            </w:sdt>
            <w:sdt>
              <w:sdtPr>
                <w:alias w:val="119-2 p."/>
                <w:tag w:val="part_1902b0365d71473db8269f82529c4553"/>
                <w:lock w:val="sdtLocked"/>
                <w:richText/>
              </w:sdtPr>
              <w:sdtContent>
                <w:p>
                  <w:pPr>
                    <w:ind w:firstLine="567"/>
                    <w:jc w:val="both"/>
                    <w:rPr>
                      <w:color w:val="000000"/>
                      <w:szCs w:val="24"/>
                      <w:lang w:eastAsia="lt-LT"/>
                    </w:rPr>
                  </w:pPr>
                  <w:sdt>
                    <w:sdtPr>
                      <w:alias w:val="Numeris"/>
                      <w:tag w:val="nr_1902b0365d71473db8269f82529c4553"/>
                      <w:lock w:val="sdtLocked"/>
                      <w:richText/>
                    </w:sdtPr>
                    <w:sdtContent>
                      <w:r>
                        <w:rPr>
                          <w:szCs w:val="24"/>
                          <w:lang w:eastAsia="lt-LT"/>
                        </w:rPr>
                        <w:t>119</w:t>
                      </w:r>
                      <w:r>
                        <w:rPr>
                          <w:szCs w:val="24"/>
                          <w:vertAlign w:val="superscript"/>
                          <w:lang w:eastAsia="lt-LT"/>
                        </w:rPr>
                        <w:t>2</w:t>
                      </w:r>
                    </w:sdtContent>
                  </w:sdt>
                  <w:r>
                    <w:rPr>
                      <w:szCs w:val="24"/>
                      <w:lang w:eastAsia="lt-LT"/>
                    </w:rPr>
                    <w:t>. Veiklos vykdytojas, vykdantis po atlikto planinio ar neplaninio patikrinimo privalomajame nurodyme surašytus veiksmus ir (ar) priemones, kuriuos AAD nurodė būtinais siekiant, kad būtų ištaisytas pažeidimas ir vėl būtų laikomasi leidimo sąlygų, neatleidžiamas nuo prievolės vykdyti Taisyklių 118 punkte nurodytus reikalavimus.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58dcda07c7011e4abe983995522ea30">
                    <w:r w:rsidRPr="00532B9F">
                      <w:rPr>
                        <w:rFonts w:ascii="Arial" w:eastAsia="MS Mincho" w:hAnsi="Arial"/>
                        <w:sz w:val="20"/>
                        <w:i/>
                        <w:iCs/>
                        <w:color w:val="0000FF" w:themeColor="hyperlink"/>
                        <w:u w:val="single"/>
                      </w:rPr>
                      <w:t>D1-983</w:t>
                    </w:r>
                  </w:fldSimple>
                  <w:r>
                    <w:rPr>
                      <w:rFonts w:ascii="Arial" w:eastAsia="MS Mincho" w:hAnsi="Arial"/>
                      <w:sz w:val="20"/>
                      <w:i/>
                      <w:iCs/>
                    </w:rPr>
                    <w:t>,
2014-12-04,
paskelbta TAR 2014-12-05, i. k. 2014-19056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b7ec10747d11e8ae2bfd1913d66d57">
                    <w:r w:rsidRPr="00532B9F">
                      <w:rPr>
                        <w:rFonts w:ascii="Arial" w:eastAsia="MS Mincho" w:hAnsi="Arial"/>
                        <w:sz w:val="20"/>
                        <w:i/>
                        <w:iCs/>
                        <w:color w:val="0000FF" w:themeColor="hyperlink"/>
                        <w:u w:val="single"/>
                      </w:rPr>
                      <w:t>D1-537</w:t>
                    </w:r>
                  </w:fldSimple>
                  <w:r>
                    <w:rPr>
                      <w:rFonts w:ascii="Arial" w:eastAsia="MS Mincho" w:hAnsi="Arial"/>
                      <w:sz w:val="20"/>
                      <w:i/>
                      <w:iCs/>
                    </w:rPr>
                    <w:t>,
2018-06-19,
paskelbta TAR 2018-06-20, i. k. 2018-10131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sdtContent>
            </w:sdt>
            <w:sdt>
              <w:sdtPr>
                <w:alias w:val="119-3 p."/>
                <w:tag w:val="part_6cc4271c61fd43abae0d72829a6b72b2"/>
                <w:lock w:val="sdtLocked"/>
                <w:richText/>
              </w:sdtPr>
              <w:sdtContent>
                <w:p>
                  <w:pPr>
                    <w:ind w:firstLine="567"/>
                    <w:jc w:val="both"/>
                    <w:rPr>
                      <w:color w:val="000000"/>
                      <w:szCs w:val="24"/>
                      <w:lang w:eastAsia="lt-LT"/>
                    </w:rPr>
                  </w:pPr>
                  <w:sdt>
                    <w:sdtPr>
                      <w:alias w:val="Numeris"/>
                      <w:tag w:val="nr_6cc4271c61fd43abae0d72829a6b72b2"/>
                      <w:lock w:val="sdtLocked"/>
                      <w:richText/>
                    </w:sdtPr>
                    <w:sdtContent>
                      <w:r>
                        <w:rPr>
                          <w:szCs w:val="24"/>
                          <w:lang w:eastAsia="lt-LT"/>
                        </w:rPr>
                        <w:t>119</w:t>
                      </w:r>
                      <w:r>
                        <w:rPr>
                          <w:szCs w:val="24"/>
                          <w:vertAlign w:val="superscript"/>
                          <w:lang w:eastAsia="lt-LT"/>
                        </w:rPr>
                        <w:t>3</w:t>
                      </w:r>
                    </w:sdtContent>
                  </w:sdt>
                  <w:r>
                    <w:rPr>
                      <w:szCs w:val="24"/>
                      <w:lang w:eastAsia="lt-LT"/>
                    </w:rPr>
                    <w:t>. Taisyklių 97 punkte nurodytu sprendimu (-ais) turi vadovautis veiklos vykdytojas, eksploatuojantis įrenginį, (-ius), kuriam (kuriems) išduotas leidimas, ir AAD, vykdantis leidimo sąlygų laikymosi kontrolę.</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b7ec10747d11e8ae2bfd1913d66d57">
                    <w:r w:rsidRPr="00532B9F">
                      <w:rPr>
                        <w:rFonts w:ascii="Arial" w:eastAsia="MS Mincho" w:hAnsi="Arial"/>
                        <w:sz w:val="20"/>
                        <w:i/>
                        <w:iCs/>
                        <w:color w:val="0000FF" w:themeColor="hyperlink"/>
                        <w:u w:val="single"/>
                      </w:rPr>
                      <w:t>D1-537</w:t>
                    </w:r>
                  </w:fldSimple>
                  <w:r>
                    <w:rPr>
                      <w:rFonts w:ascii="Arial" w:eastAsia="MS Mincho" w:hAnsi="Arial"/>
                      <w:sz w:val="20"/>
                      <w:i/>
                      <w:iCs/>
                    </w:rPr>
                    <w:t>,
2018-06-19,
paskelbta TAR 2018-06-20, i. k. 2018-10131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sdtContent>
            </w:sdt>
            <w:sdt>
              <w:sdtPr>
                <w:alias w:val="120 p."/>
                <w:tag w:val="part_0658af485a73442abe502d204ad56e04"/>
                <w:lock w:val="sdtLocked"/>
                <w:richText/>
              </w:sdtPr>
              <w:sdtContent>
                <w:p>
                  <w:pPr>
                    <w:ind w:firstLine="567"/>
                    <w:jc w:val="both"/>
                    <w:rPr>
                      <w:szCs w:val="24"/>
                      <w:lang w:eastAsia="lt-LT"/>
                    </w:rPr>
                  </w:pPr>
                  <w:sdt>
                    <w:sdtPr>
                      <w:alias w:val="Numeris"/>
                      <w:tag w:val="nr_0658af485a73442abe502d204ad56e04"/>
                      <w:lock w:val="sdtLocked"/>
                      <w:richText/>
                    </w:sdtPr>
                    <w:sdtContent>
                      <w:r>
                        <w:rPr>
                          <w:color w:val="000000"/>
                          <w:szCs w:val="24"/>
                          <w:lang w:eastAsia="lt-LT"/>
                        </w:rPr>
                        <w:t>120</w:t>
                      </w:r>
                    </w:sdtContent>
                  </w:sdt>
                  <w:r>
                    <w:rPr>
                      <w:color w:val="000000"/>
                      <w:szCs w:val="24"/>
                      <w:lang w:eastAsia="lt-LT"/>
                    </w:rPr>
                    <w:t>. Atsižvelgiant į Lietuvos Respublikos aplinkos ministro 2006 m. gegužės 16 d. įsakymo Nr. D1-228 „Dėl Aplinkos atkūrimo priemonių parinkimo bei išankstinio pritarimo gavimo tvarkos aprašo patvirtinimo“ nuostatas, įvykus reikšmingą poveikį aplinkai turinčiam incidentui ar avarijai, turi būti imamasi šių priemonių:</w:t>
                  </w:r>
                </w:p>
                <w:sdt>
                  <w:sdtPr>
                    <w:alias w:val="120.1 pp."/>
                    <w:tag w:val="part_da1161a5ade4478096fbc62ef7ffce12"/>
                    <w:lock w:val="sdtLocked"/>
                    <w:richText/>
                  </w:sdtPr>
                  <w:sdtContent>
                    <w:p>
                      <w:pPr>
                        <w:ind w:firstLine="567"/>
                        <w:jc w:val="both"/>
                        <w:rPr>
                          <w:szCs w:val="24"/>
                          <w:lang w:eastAsia="lt-LT"/>
                        </w:rPr>
                      </w:pPr>
                      <w:sdt>
                        <w:sdtPr>
                          <w:alias w:val="Numeris"/>
                          <w:tag w:val="nr_da1161a5ade4478096fbc62ef7ffce12"/>
                          <w:lock w:val="sdtLocked"/>
                          <w:richText/>
                        </w:sdtPr>
                        <w:sdtContent>
                          <w:r>
                            <w:rPr>
                              <w:color w:val="000000"/>
                              <w:szCs w:val="24"/>
                              <w:lang w:eastAsia="lt-LT"/>
                            </w:rPr>
                            <w:t>120.1</w:t>
                          </w:r>
                        </w:sdtContent>
                      </w:sdt>
                      <w:r>
                        <w:rPr>
                          <w:color w:val="000000"/>
                          <w:szCs w:val="24"/>
                          <w:lang w:eastAsia="lt-LT"/>
                        </w:rPr>
                        <w:t>. veiklos vykdytojas nedelsdamas apie tai privalo pranešti AAD;</w:t>
                      </w:r>
                    </w:p>
                  </w:sdtContent>
                </w:sdt>
                <w:sdt>
                  <w:sdtPr>
                    <w:alias w:val="120.2 pp."/>
                    <w:tag w:val="part_abc99b650fcf45169b4bb3beb407dc5b"/>
                    <w:lock w:val="sdtLocked"/>
                    <w:richText/>
                  </w:sdtPr>
                  <w:sdtContent>
                    <w:p>
                      <w:pPr>
                        <w:ind w:firstLine="567"/>
                        <w:jc w:val="both"/>
                        <w:rPr>
                          <w:szCs w:val="24"/>
                          <w:lang w:eastAsia="lt-LT"/>
                        </w:rPr>
                      </w:pPr>
                      <w:sdt>
                        <w:sdtPr>
                          <w:alias w:val="Numeris"/>
                          <w:tag w:val="nr_abc99b650fcf45169b4bb3beb407dc5b"/>
                          <w:lock w:val="sdtLocked"/>
                          <w:richText/>
                        </w:sdtPr>
                        <w:sdtContent>
                          <w:r>
                            <w:rPr>
                              <w:color w:val="000000"/>
                              <w:szCs w:val="24"/>
                              <w:lang w:eastAsia="lt-LT"/>
                            </w:rPr>
                            <w:t>120.2</w:t>
                          </w:r>
                        </w:sdtContent>
                      </w:sdt>
                      <w:r>
                        <w:rPr>
                          <w:color w:val="000000"/>
                          <w:szCs w:val="24"/>
                          <w:lang w:eastAsia="lt-LT"/>
                        </w:rPr>
                        <w:t>. veiklos vykdytojas turi nedelsdamas imtis priemonių apriboti poveikį aplinkai ir užkirsti kelią kitiems galimiems incidentams ir avarijoms;</w:t>
                      </w:r>
                    </w:p>
                  </w:sdtContent>
                </w:sdt>
                <w:sdt>
                  <w:sdtPr>
                    <w:alias w:val="120.3 pp."/>
                    <w:tag w:val="part_c5a2dad357db426abdaf2a1db611dac2"/>
                    <w:lock w:val="sdtLocked"/>
                    <w:richText/>
                  </w:sdtPr>
                  <w:sdtContent>
                    <w:p>
                      <w:pPr>
                        <w:ind w:firstLine="567"/>
                        <w:jc w:val="both"/>
                        <w:rPr>
                          <w:color w:val="000000"/>
                          <w:szCs w:val="24"/>
                          <w:lang w:eastAsia="lt-LT"/>
                        </w:rPr>
                      </w:pPr>
                      <w:sdt>
                        <w:sdtPr>
                          <w:alias w:val="Numeris"/>
                          <w:tag w:val="nr_c5a2dad357db426abdaf2a1db611dac2"/>
                          <w:lock w:val="sdtLocked"/>
                          <w:richText/>
                        </w:sdtPr>
                        <w:sdtContent>
                          <w:r>
                            <w:rPr>
                              <w:color w:val="000000"/>
                              <w:szCs w:val="24"/>
                              <w:lang w:eastAsia="lt-LT"/>
                            </w:rPr>
                            <w:t>120.3</w:t>
                          </w:r>
                        </w:sdtContent>
                      </w:sdt>
                      <w:r>
                        <w:rPr>
                          <w:color w:val="000000"/>
                          <w:szCs w:val="24"/>
                          <w:lang w:eastAsia="lt-LT"/>
                        </w:rPr>
                        <w:t>. AAD privalo reikalauti, kad veiklos vykdytojas imtųsi papildomų priemonių, kurias</w:t>
                      </w:r>
                      <w:r>
                        <w:rPr>
                          <w:strike/>
                          <w:color w:val="000000"/>
                          <w:szCs w:val="24"/>
                          <w:lang w:eastAsia="lt-LT"/>
                        </w:rPr>
                        <w:t xml:space="preserve"> </w:t>
                      </w:r>
                      <w:r>
                        <w:rPr>
                          <w:color w:val="000000"/>
                          <w:szCs w:val="24"/>
                          <w:lang w:eastAsia="lt-LT"/>
                        </w:rPr>
                        <w:t>AAD laiko būtinomis, siekiant apriboti poveikį aplinkai ir užkirsti kelią kitiems galimiems incidentams ir avarijoms.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b7ec10747d11e8ae2bfd1913d66d57">
                    <w:r w:rsidRPr="00532B9F">
                      <w:rPr>
                        <w:rFonts w:ascii="Arial" w:eastAsia="MS Mincho" w:hAnsi="Arial"/>
                        <w:sz w:val="20"/>
                        <w:i/>
                        <w:iCs/>
                        <w:color w:val="0000FF" w:themeColor="hyperlink"/>
                        <w:u w:val="single"/>
                      </w:rPr>
                      <w:t>D1-537</w:t>
                    </w:r>
                  </w:fldSimple>
                  <w:r>
                    <w:rPr>
                      <w:rFonts w:ascii="Arial" w:eastAsia="MS Mincho" w:hAnsi="Arial"/>
                      <w:sz w:val="20"/>
                      <w:i/>
                      <w:iCs/>
                    </w:rPr>
                    <w:t>,
2018-06-19,
paskelbta TAR 2018-06-20, i. k. 2018-10131            </w:t>
                  </w:r>
                </w:p>
                <w:p/>
              </w:sdtContent>
            </w:sdt>
          </w:sdtContent>
        </w:sdt>
        <w:sdt>
          <w:sdtPr>
            <w:alias w:val="skyrius"/>
            <w:tag w:val="part_16714ee09297403ca15bc10d78d39b6f"/>
            <w:lock w:val="sdtLocked"/>
            <w:richText/>
          </w:sdtPr>
          <w:sdtContent>
            <w:p>
              <w:pPr>
                <w:widowControl w:val="0"/>
                <w:jc w:val="center"/>
                <w:rPr>
                  <w:b/>
                  <w:bCs/>
                  <w:caps/>
                  <w:color w:val="000000"/>
                  <w:szCs w:val="24"/>
                  <w:lang w:eastAsia="lt-LT"/>
                </w:rPr>
              </w:pPr>
              <w:sdt>
                <w:sdtPr>
                  <w:alias w:val="Numeris"/>
                  <w:tag w:val="nr_16714ee09297403ca15bc10d78d39b6f"/>
                  <w:lock w:val="sdtLocked"/>
                  <w:richText/>
                </w:sdtPr>
                <w:sdtContent>
                  <w:r>
                    <w:rPr>
                      <w:b/>
                      <w:bCs/>
                      <w:caps/>
                      <w:color w:val="000000"/>
                      <w:szCs w:val="24"/>
                      <w:lang w:eastAsia="lt-LT"/>
                    </w:rPr>
                    <w:t>XV</w:t>
                  </w:r>
                </w:sdtContent>
              </w:sdt>
              <w:r>
                <w:rPr>
                  <w:b/>
                  <w:bCs/>
                  <w:caps/>
                  <w:color w:val="000000"/>
                  <w:szCs w:val="24"/>
                  <w:lang w:eastAsia="lt-LT"/>
                </w:rPr>
                <w:t xml:space="preserve">. </w:t>
              </w:r>
              <w:sdt>
                <w:sdtPr>
                  <w:alias w:val="Pavadinimas"/>
                  <w:tag w:val="title_16714ee09297403ca15bc10d78d39b6f"/>
                  <w:lock w:val="sdtLocked"/>
                  <w:richText/>
                </w:sdtPr>
                <w:sdtContent>
                  <w:r>
                    <w:rPr>
                      <w:b/>
                      <w:bCs/>
                      <w:caps/>
                      <w:color w:val="000000"/>
                      <w:szCs w:val="24"/>
                      <w:lang w:eastAsia="lt-LT"/>
                    </w:rPr>
                    <w:t>INFORMACIJOS VIEŠINIMAS</w:t>
                  </w:r>
                </w:sdtContent>
              </w:sdt>
            </w:p>
            <w:p>
              <w:pPr>
                <w:widowControl w:val="0"/>
                <w:ind w:firstLine="567"/>
                <w:jc w:val="both"/>
                <w:rPr>
                  <w:color w:val="000000"/>
                  <w:szCs w:val="24"/>
                  <w:lang w:eastAsia="lt-LT"/>
                </w:rPr>
              </w:pPr>
            </w:p>
            <w:sdt>
              <w:sdtPr>
                <w:alias w:val="121 p."/>
                <w:tag w:val="part_b1f0906f98344b4e85fd86fd19337be3"/>
                <w:lock w:val="sdtLocked"/>
                <w:richText/>
              </w:sdtPr>
              <w:sdtContent>
                <w:p>
                  <w:pPr>
                    <w:pStyle w:val="PlainText"/>
                    <w:ind w:firstLine="567"/>
                    <w:jc w:val="both"/>
                    <w:rPr>
                      <w:rFonts w:ascii="Arial" w:hAnsi="Arial"/>
                      <w:b/>
                      <w:bCs/>
                      <w:sz w:val="22"/>
                    </w:rPr>
                  </w:pPr>
                  <w:r>
                    <w:rPr>
                      <w:rFonts w:ascii="Arial" w:hAnsi="Arial"/>
                      <w:sz w:val="22"/>
                    </w:rPr>
                    <w:t>121</w:t>
                  </w:r>
                  <w:r>
                    <w:rPr>
                      <w:rFonts w:ascii="Arial" w:hAnsi="Arial"/>
                      <w:sz w:val="22"/>
                    </w:rPr>
                    <w:t>.</w:t>
                  </w:r>
                  <w:r>
                    <w:rPr>
                      <w:rFonts w:ascii="Arial" w:eastAsia="MS Mincho" w:hAnsi="Arial"/>
                      <w:sz w:val="20"/>
                      <w:i/>
                      <w:iCs/>
                    </w:rPr>
                    <w:t xml:space="preserve"> Neteko galios nuo 2023-02-21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58dcda07c7011e4abe983995522ea30">
                    <w:r w:rsidRPr="00532B9F">
                      <w:rPr>
                        <w:rFonts w:ascii="Arial" w:eastAsia="MS Mincho" w:hAnsi="Arial"/>
                        <w:sz w:val="20"/>
                        <w:i/>
                        <w:iCs/>
                        <w:color w:val="0000FF" w:themeColor="hyperlink"/>
                        <w:u w:val="single"/>
                      </w:rPr>
                      <w:t>D1-983</w:t>
                    </w:r>
                  </w:fldSimple>
                  <w:r>
                    <w:rPr>
                      <w:rFonts w:ascii="Arial" w:eastAsia="MS Mincho" w:hAnsi="Arial"/>
                      <w:sz w:val="20"/>
                      <w:i/>
                      <w:iCs/>
                    </w:rPr>
                    <w:t>,
2014-12-04,
paskelbta TAR 2014-12-05, i. k. 2014-19056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sdtContent>
            </w:sdt>
            <w:sdt>
              <w:sdtPr>
                <w:alias w:val="122 p."/>
                <w:tag w:val="part_7c7da25f59c6495ca71c3eabd381724d"/>
                <w:lock w:val="sdtLocked"/>
                <w:richText/>
              </w:sdtPr>
              <w:sdtContent>
                <w:p>
                  <w:pPr>
                    <w:pStyle w:val="PlainText"/>
                    <w:ind w:firstLine="567"/>
                    <w:jc w:val="both"/>
                    <w:rPr>
                      <w:rFonts w:ascii="Arial" w:hAnsi="Arial"/>
                      <w:b/>
                      <w:bCs/>
                      <w:sz w:val="22"/>
                    </w:rPr>
                  </w:pPr>
                  <w:r>
                    <w:rPr>
                      <w:rFonts w:ascii="Arial" w:hAnsi="Arial"/>
                      <w:sz w:val="22"/>
                    </w:rPr>
                    <w:t>122</w:t>
                  </w:r>
                  <w:r>
                    <w:rPr>
                      <w:rFonts w:ascii="Arial" w:hAnsi="Arial"/>
                      <w:sz w:val="22"/>
                    </w:rPr>
                    <w:t>.</w:t>
                  </w:r>
                  <w:r>
                    <w:rPr>
                      <w:rFonts w:ascii="Arial" w:eastAsia="MS Mincho" w:hAnsi="Arial"/>
                      <w:sz w:val="20"/>
                      <w:i/>
                      <w:iCs/>
                    </w:rPr>
                    <w:t xml:space="preserve"> Neteko galios nuo 2023-02-21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58dcda07c7011e4abe983995522ea30">
                    <w:r w:rsidRPr="00532B9F">
                      <w:rPr>
                        <w:rFonts w:ascii="Arial" w:eastAsia="MS Mincho" w:hAnsi="Arial"/>
                        <w:sz w:val="20"/>
                        <w:i/>
                        <w:iCs/>
                        <w:color w:val="0000FF" w:themeColor="hyperlink"/>
                        <w:u w:val="single"/>
                      </w:rPr>
                      <w:t>D1-983</w:t>
                    </w:r>
                  </w:fldSimple>
                  <w:r>
                    <w:rPr>
                      <w:rFonts w:ascii="Arial" w:eastAsia="MS Mincho" w:hAnsi="Arial"/>
                      <w:sz w:val="20"/>
                      <w:i/>
                      <w:iCs/>
                    </w:rPr>
                    <w:t>,
2014-12-04,
paskelbta TAR 2014-12-05, i. k. 2014-19056            </w:t>
                  </w:r>
                </w:p>
                <w:p/>
              </w:sdtContent>
            </w:sdt>
            <w:sdt>
              <w:sdtPr>
                <w:alias w:val="123 p."/>
                <w:tag w:val="part_cef0c40fda46483db2aaa61ad22e2559"/>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pPr>
                  <w:sdt>
                    <w:sdtPr>
                      <w:alias w:val="Numeris"/>
                      <w:tag w:val="nr_cef0c40fda46483db2aaa61ad22e2559"/>
                      <w:lock w:val="sdtLocked"/>
                      <w:richText/>
                    </w:sdtPr>
                    <w:sdtContent>
                      <w:r>
                        <w:rPr>
                          <w:szCs w:val="24"/>
                          <w:lang w:eastAsia="lt-LT"/>
                        </w:rPr>
                        <w:t>123</w:t>
                      </w:r>
                    </w:sdtContent>
                  </w:sdt>
                  <w:r>
                    <w:rPr>
                      <w:szCs w:val="24"/>
                      <w:lang w:eastAsia="lt-LT"/>
                    </w:rPr>
                    <w:t>. AAA ALIS arba savo interneto svetainėje ne vėliau kaip per 3 darbo dienas paskelbia išduotų ar pakeistų leidimų skaitmenines versijas kartu su Taisyklių 68.1–68.4, 68.6, 68.10–68.13 ir 68.16–68.18 papunkčiuose nurodytais dokumentais ir (ar) informacija ar jų nuorodomis, jei jie paskelbti atskirai, sprendimus patikslinti leidimų sąlygas ir (ar) leidimų rekvizitus, sprendimus neišduoti leidimų ir sprendimus panaikinti leidimų galiojimą.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123-1 p."/>
                <w:tag w:val="part_779d785404ea4ffe8a35057f76a12f01"/>
                <w:lock w:val="sdtLocked"/>
                <w:richText/>
              </w:sdtPr>
              <w:sdtContent>
                <w:p>
                  <w:pPr>
                    <w:ind w:firstLine="567"/>
                    <w:jc w:val="both"/>
                  </w:pPr>
                  <w:sdt>
                    <w:sdtPr>
                      <w:alias w:val="Numeris"/>
                      <w:tag w:val="nr_779d785404ea4ffe8a35057f76a12f01"/>
                      <w:lock w:val="sdtLocked"/>
                      <w:richText/>
                    </w:sdtPr>
                    <w:sdtContent>
                      <w:r>
                        <w:rPr>
                          <w:szCs w:val="24"/>
                          <w:lang w:eastAsia="lt-LT"/>
                        </w:rPr>
                        <w:t>123</w:t>
                      </w:r>
                      <w:r>
                        <w:rPr>
                          <w:szCs w:val="24"/>
                          <w:vertAlign w:val="superscript"/>
                          <w:lang w:eastAsia="lt-LT"/>
                        </w:rPr>
                        <w:t>1</w:t>
                      </w:r>
                    </w:sdtContent>
                  </w:sdt>
                  <w:r>
                    <w:rPr>
                      <w:szCs w:val="24"/>
                      <w:lang w:eastAsia="lt-LT"/>
                    </w:rPr>
                    <w:t>. AAD skelbia informaciją apie veiklos vykdytojo taikomas priemones galutinai nutraukiant veiklą pagal Taisyklių 112, 112</w:t>
                  </w:r>
                  <w:r>
                    <w:rPr>
                      <w:szCs w:val="24"/>
                      <w:vertAlign w:val="superscript"/>
                      <w:lang w:eastAsia="lt-LT"/>
                    </w:rPr>
                    <w:t xml:space="preserve">1 </w:t>
                  </w:r>
                  <w:r>
                    <w:rPr>
                      <w:szCs w:val="24"/>
                      <w:lang w:eastAsia="lt-LT"/>
                    </w:rPr>
                    <w:t>ir 113 punktų reikalavimus.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58dcda07c7011e4abe983995522ea30">
                    <w:r w:rsidRPr="00532B9F">
                      <w:rPr>
                        <w:rFonts w:ascii="Arial" w:eastAsia="MS Mincho" w:hAnsi="Arial"/>
                        <w:sz w:val="20"/>
                        <w:i/>
                        <w:iCs/>
                        <w:color w:val="0000FF" w:themeColor="hyperlink"/>
                        <w:u w:val="single"/>
                      </w:rPr>
                      <w:t>D1-983</w:t>
                    </w:r>
                  </w:fldSimple>
                  <w:r>
                    <w:rPr>
                      <w:rFonts w:ascii="Arial" w:eastAsia="MS Mincho" w:hAnsi="Arial"/>
                      <w:sz w:val="20"/>
                      <w:i/>
                      <w:iCs/>
                    </w:rPr>
                    <w:t>,
2014-12-04,
paskelbta TAR 2014-12-05, i. k. 2014-19056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b7ec10747d11e8ae2bfd1913d66d57">
                    <w:r w:rsidRPr="00532B9F">
                      <w:rPr>
                        <w:rFonts w:ascii="Arial" w:eastAsia="MS Mincho" w:hAnsi="Arial"/>
                        <w:sz w:val="20"/>
                        <w:i/>
                        <w:iCs/>
                        <w:color w:val="0000FF" w:themeColor="hyperlink"/>
                        <w:u w:val="single"/>
                      </w:rPr>
                      <w:t>D1-537</w:t>
                    </w:r>
                  </w:fldSimple>
                  <w:r>
                    <w:rPr>
                      <w:rFonts w:ascii="Arial" w:eastAsia="MS Mincho" w:hAnsi="Arial"/>
                      <w:sz w:val="20"/>
                      <w:i/>
                      <w:iCs/>
                    </w:rPr>
                    <w:t>,
2018-06-19,
paskelbta TAR 2018-06-20, i. k. 2018-10131            </w:t>
                  </w:r>
                </w:p>
                <w:p/>
              </w:sdtContent>
            </w:sdt>
            <w:sdt>
              <w:sdtPr>
                <w:alias w:val="123-2 p."/>
                <w:tag w:val="part_5a2e2f8cc0ed42f68e8d055351dff2ee"/>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pPr>
                  <w:sdt>
                    <w:sdtPr>
                      <w:alias w:val="Numeris"/>
                      <w:tag w:val="nr_5a2e2f8cc0ed42f68e8d055351dff2ee"/>
                      <w:lock w:val="sdtLocked"/>
                      <w:richText/>
                    </w:sdtPr>
                    <w:sdtContent>
                      <w:r>
                        <w:rPr>
                          <w:szCs w:val="24"/>
                          <w:lang w:eastAsia="lt-LT"/>
                        </w:rPr>
                        <w:t>123</w:t>
                      </w:r>
                      <w:r>
                        <w:rPr>
                          <w:szCs w:val="24"/>
                          <w:vertAlign w:val="superscript"/>
                          <w:lang w:eastAsia="lt-LT"/>
                        </w:rPr>
                        <w:t>2</w:t>
                      </w:r>
                    </w:sdtContent>
                  </w:sdt>
                  <w:r>
                    <w:rPr>
                      <w:szCs w:val="24"/>
                      <w:lang w:eastAsia="lt-LT"/>
                    </w:rPr>
                    <w:t>. Taisyklių 121-123</w:t>
                  </w:r>
                  <w:r>
                    <w:rPr>
                      <w:szCs w:val="24"/>
                      <w:vertAlign w:val="superscript"/>
                      <w:lang w:eastAsia="lt-LT"/>
                    </w:rPr>
                    <w:t>1</w:t>
                  </w:r>
                  <w:r>
                    <w:rPr>
                      <w:szCs w:val="24"/>
                      <w:lang w:eastAsia="lt-LT"/>
                    </w:rPr>
                    <w:t xml:space="preserve"> punktuose nurodyta informacija skelbiama atsižvelgiant į Informacijos apie aplinką Lietuvos Respublikoje teikimo visuomenei tvarkos aprašo, patvirtinto Lietuvos Respublikos Vyriausybės 1999 m. spalio 22 d. nutarimu Nr. 1175 „Dėl Informacijos apie aplinką Lietuvos Respublikoje teikimo visuomenei tvarkos aprašo patvirtinimo“, nuostatas dėl informacijos teikimo apribojimų.</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58dcda07c7011e4abe983995522ea30">
                    <w:r w:rsidRPr="00532B9F">
                      <w:rPr>
                        <w:rFonts w:ascii="Arial" w:eastAsia="MS Mincho" w:hAnsi="Arial"/>
                        <w:sz w:val="20"/>
                        <w:i/>
                        <w:iCs/>
                        <w:color w:val="0000FF" w:themeColor="hyperlink"/>
                        <w:u w:val="single"/>
                      </w:rPr>
                      <w:t>D1-983</w:t>
                    </w:r>
                  </w:fldSimple>
                  <w:r>
                    <w:rPr>
                      <w:rFonts w:ascii="Arial" w:eastAsia="MS Mincho" w:hAnsi="Arial"/>
                      <w:sz w:val="20"/>
                      <w:i/>
                      <w:iCs/>
                    </w:rPr>
                    <w:t>,
2014-12-04,
paskelbta TAR 2014-12-05, i. k. 2014-19056        </w:t>
                  </w:r>
                </w:p>
                <w:p/>
              </w:sdtContent>
            </w:sdt>
            <w:sdt>
              <w:sdtPr>
                <w:alias w:val="123-3 p."/>
                <w:tag w:val="part_bf404c6165dc4302bf43ff2326b0b8cd"/>
                <w:lock w:val="sdtLocked"/>
                <w:richText/>
              </w:sdtPr>
              <w:sdtContent>
                <w:p>
                  <w:pPr>
                    <w:ind w:firstLine="567"/>
                    <w:jc w:val="both"/>
                    <w:rPr>
                      <w:b/>
                      <w:bCs/>
                      <w:color w:val="000000"/>
                      <w:szCs w:val="24"/>
                      <w:lang w:eastAsia="lt-LT"/>
                    </w:rPr>
                  </w:pPr>
                  <w:sdt>
                    <w:sdtPr>
                      <w:alias w:val="Numeris"/>
                      <w:tag w:val="nr_bf404c6165dc4302bf43ff2326b0b8cd"/>
                      <w:lock w:val="sdtLocked"/>
                      <w:richText/>
                    </w:sdtPr>
                    <w:sdtContent>
                      <w:r>
                        <w:t>123</w:t>
                      </w:r>
                      <w:r>
                        <w:rPr>
                          <w:vertAlign w:val="superscript"/>
                        </w:rPr>
                        <w:t>3</w:t>
                      </w:r>
                    </w:sdtContent>
                  </w:sdt>
                  <w:r>
                    <w:t xml:space="preserve">. Agentūrai pakeitus Leidime nustatytą didžiausią leidžiamą naudoti, šalinti ir laikyti atliekų kiekius, AAA per 3 darbo dienas, naudodamasi Vieninga gaminių, pakuočių ir atliekų apskaitos informacine sistema, atnaujina duomenis apie pakeistą nustatytą didžiausią vienu metu leidžiamą laikyti bendrą atliekų kiekį, įskaitant apdorojimo metu susidarysiančių atliekų kiekį, didžiausią vienu metu leidžiamą laikyti bendrą atliekų kiekį, didžiausią leidžiamą šalinti bendrą atliekų kiekį.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519680364811e78397ae072f58c508">
                    <w:r w:rsidRPr="00532B9F">
                      <w:rPr>
                        <w:rFonts w:ascii="Arial" w:eastAsia="MS Mincho" w:hAnsi="Arial"/>
                        <w:sz w:val="20"/>
                        <w:i/>
                        <w:iCs/>
                        <w:color w:val="0000FF" w:themeColor="hyperlink"/>
                        <w:u w:val="single"/>
                      </w:rPr>
                      <w:t>D1-402</w:t>
                    </w:r>
                  </w:fldSimple>
                  <w:r>
                    <w:rPr>
                      <w:rFonts w:ascii="Arial" w:eastAsia="MS Mincho" w:hAnsi="Arial"/>
                      <w:sz w:val="20"/>
                      <w:i/>
                      <w:iCs/>
                    </w:rPr>
                    <w:t>,
2017-05-11,
paskelbta TAR 2017-05-12, i. k. 2017-08064        </w:t>
                  </w:r>
                </w:p>
                <w:p/>
              </w:sdtContent>
            </w:sdt>
            <w:sdt>
              <w:sdtPr>
                <w:alias w:val="123-4 p."/>
                <w:tag w:val="part_6aca1940ee704d11b0e08e5c6ccc23c3"/>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b/>
                      <w:bCs/>
                      <w:color w:val="000000"/>
                      <w:szCs w:val="24"/>
                      <w:lang w:eastAsia="lt-LT"/>
                    </w:rPr>
                  </w:pPr>
                  <w:sdt>
                    <w:sdtPr>
                      <w:alias w:val="Numeris"/>
                      <w:tag w:val="nr_6aca1940ee704d11b0e08e5c6ccc23c3"/>
                      <w:lock w:val="sdtLocked"/>
                      <w:richText/>
                    </w:sdtPr>
                    <w:sdtContent>
                      <w:r>
                        <w:rPr>
                          <w:szCs w:val="24"/>
                        </w:rPr>
                        <w:t>123</w:t>
                      </w:r>
                      <w:r>
                        <w:rPr>
                          <w:szCs w:val="24"/>
                          <w:vertAlign w:val="superscript"/>
                        </w:rPr>
                        <w:t>4</w:t>
                      </w:r>
                    </w:sdtContent>
                  </w:sdt>
                  <w:r>
                    <w:rPr>
                      <w:szCs w:val="24"/>
                    </w:rPr>
                    <w:t xml:space="preserve">. Apie išduotus ar pakeistus leidimus, patikslintas leidimų sąlygas, sprendimus panaikinti leidimų galiojimą AAA per 3 darbo dienas nuo sprendimo išduoti ar pakeisti leidimą arba sprendimo panaikinti leidimo galiojimą priėmimo dienos informuoja AAD, NVSC, Priešgaisrinės apsaugos ir gelbėjimo departamentą prie Vidaus reikalų ministerijos ir savivaldybės, kurios teritorijoje planuojama vykdyti ūkinę veiklą, </w:t>
                  </w:r>
                  <w:r>
                    <w:rPr>
                      <w:szCs w:val="24"/>
                      <w:lang w:eastAsia="lt-LT"/>
                    </w:rPr>
                    <w:t>administraciją</w:t>
                  </w:r>
                  <w:r>
                    <w:rPr>
                      <w:szCs w:val="24"/>
                    </w:rPr>
                    <w:t>, pateikdama nuorodą ALIS arba AAA interneto svetainėje. A</w:t>
                  </w:r>
                  <w:r>
                    <w:rPr>
                      <w:color w:val="000000"/>
                      <w:szCs w:val="24"/>
                      <w:lang w:eastAsia="lt-LT"/>
                    </w:rPr>
                    <w:t>pie sprendimą neišduoti leidimo per 3 darbo dienas nuo sprendimo priėmimo dienos raštu informuojami AAD, NVSC ir atitinkama savivaldybės administracija</w:t>
                  </w:r>
                  <w:r>
                    <w:rPr>
                      <w:szCs w:val="24"/>
                    </w:rPr>
                    <w:t>. Išdavus ar pakeitus leidimą ūkinei veiklai ar jos pakeitimui, kuriai atliktas poveikio aplinkai vertinimas, apie išduotą ar pakeistą leidimą per 3 darbo dienas nuo sprendimo išduoti ar pakeisti leidimą priėmimo dienos informuojami ir kiti, šiame punkte nenurodyti, poveikio aplinkai vertinimo subjektai, dalyvavę priimant šį PAV sprendimą; jei atliktas tarpvalstybinis poveikio aplinkai vertinimas ir (ar) tarpvalstybinės konsultacijos pagal Taisyklių IX skyriaus nuostatas – ir Lietuvos Respublikos aplinkos ministerija.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Content>
        </w:sdt>
        <w:sdt>
          <w:sdtPr>
            <w:alias w:val="skyrius"/>
            <w:tag w:val="part_3e06d35450c74ffc9d49467afecbd513"/>
            <w:lock w:val="sdtLocked"/>
            <w:richText/>
          </w:sdtPr>
          <w:sdtContent>
            <w:p>
              <w:pPr>
                <w:widowControl w:val="0"/>
                <w:jc w:val="center"/>
                <w:rPr>
                  <w:b/>
                  <w:bCs/>
                  <w:caps/>
                  <w:color w:val="000000"/>
                  <w:szCs w:val="24"/>
                  <w:lang w:eastAsia="lt-LT"/>
                </w:rPr>
              </w:pPr>
              <w:sdt>
                <w:sdtPr>
                  <w:alias w:val="Numeris"/>
                  <w:tag w:val="nr_3e06d35450c74ffc9d49467afecbd513"/>
                  <w:lock w:val="sdtLocked"/>
                  <w:richText/>
                </w:sdtPr>
                <w:sdtContent>
                  <w:r>
                    <w:rPr>
                      <w:b/>
                      <w:bCs/>
                      <w:caps/>
                      <w:color w:val="000000"/>
                      <w:szCs w:val="24"/>
                      <w:lang w:eastAsia="lt-LT"/>
                    </w:rPr>
                    <w:t>XVI</w:t>
                  </w:r>
                </w:sdtContent>
              </w:sdt>
              <w:r>
                <w:rPr>
                  <w:b/>
                  <w:bCs/>
                  <w:caps/>
                  <w:color w:val="000000"/>
                  <w:szCs w:val="24"/>
                  <w:lang w:eastAsia="lt-LT"/>
                </w:rPr>
                <w:t xml:space="preserve">. </w:t>
              </w:r>
              <w:sdt>
                <w:sdtPr>
                  <w:alias w:val="Pavadinimas"/>
                  <w:tag w:val="title_3e06d35450c74ffc9d49467afecbd513"/>
                  <w:lock w:val="sdtLocked"/>
                  <w:richText/>
                </w:sdtPr>
                <w:sdtContent>
                  <w:r>
                    <w:rPr>
                      <w:b/>
                      <w:bCs/>
                      <w:caps/>
                      <w:color w:val="000000"/>
                      <w:szCs w:val="24"/>
                      <w:lang w:eastAsia="lt-LT"/>
                    </w:rPr>
                    <w:t>BAIGIAMOSIOS NUOSTATOS</w:t>
                  </w:r>
                </w:sdtContent>
              </w:sdt>
            </w:p>
            <w:p>
              <w:pPr>
                <w:widowControl w:val="0"/>
                <w:ind w:firstLine="567"/>
                <w:jc w:val="both"/>
                <w:rPr>
                  <w:color w:val="000000"/>
                  <w:szCs w:val="24"/>
                  <w:lang w:eastAsia="lt-LT"/>
                </w:rPr>
              </w:pPr>
            </w:p>
            <w:sdt>
              <w:sdtPr>
                <w:alias w:val="124 p."/>
                <w:tag w:val="part_e048a07c228b4142a237b0ec122f7d38"/>
                <w:lock w:val="sdtLocked"/>
                <w:richText/>
              </w:sdtPr>
              <w:sdtContent>
                <w:p>
                  <w:pPr>
                    <w:widowControl w:val="0"/>
                    <w:ind w:firstLine="567"/>
                    <w:jc w:val="both"/>
                    <w:rPr>
                      <w:color w:val="000000"/>
                      <w:szCs w:val="24"/>
                      <w:lang w:eastAsia="lt-LT"/>
                    </w:rPr>
                  </w:pPr>
                  <w:sdt>
                    <w:sdtPr>
                      <w:alias w:val="Numeris"/>
                      <w:tag w:val="nr_e048a07c228b4142a237b0ec122f7d38"/>
                      <w:lock w:val="sdtLocked"/>
                      <w:richText/>
                    </w:sdtPr>
                    <w:sdtContent>
                      <w:r>
                        <w:rPr>
                          <w:color w:val="000000"/>
                          <w:szCs w:val="24"/>
                          <w:lang w:eastAsia="lt-LT"/>
                        </w:rPr>
                        <w:t>124</w:t>
                      </w:r>
                    </w:sdtContent>
                  </w:sdt>
                  <w:r>
                    <w:rPr>
                      <w:color w:val="000000"/>
                      <w:szCs w:val="24"/>
                      <w:lang w:eastAsia="lt-LT"/>
                    </w:rPr>
                    <w:t>. Veiklos vykdytojas, suinteresuotoji visuomenė, taip pat nevyriausybinės organizacijos, skatinančios aplinkos apsaugą ir atitinkančios reikalavimus pagal Lietuvos Respublikos teisę, kiti suinteresuoti asmenys nuo AAA sprendimo priimti paraišką arba sprendimo nepriimti paraiškos dienos gali apskųsti AAA sprendimus ir veiksmus ar neveikimą, susijusius su paraiškos priėmimu, leidimo išdavimu, pakeitimu arba galiojimo panaikinimu, įskaitant visuomenės dalyvavimą, teismui įstatymų nustatyta tvarka.</w:t>
                  </w:r>
                </w:p>
              </w:sdtContent>
            </w:sdt>
            <w:sdt>
              <w:sdtPr>
                <w:alias w:val="125 p."/>
                <w:tag w:val="part_28a9482eba464e6ab780cd7756ab5b4a"/>
                <w:lock w:val="sdtLocked"/>
                <w:richText/>
              </w:sdtPr>
              <w:sdtContent>
                <w:p>
                  <w:pPr>
                    <w:widowControl w:val="0"/>
                    <w:ind w:firstLine="567"/>
                    <w:jc w:val="both"/>
                    <w:rPr>
                      <w:color w:val="000000"/>
                      <w:szCs w:val="24"/>
                      <w:lang w:eastAsia="lt-LT"/>
                    </w:rPr>
                  </w:pPr>
                  <w:sdt>
                    <w:sdtPr>
                      <w:alias w:val="Numeris"/>
                      <w:tag w:val="nr_28a9482eba464e6ab780cd7756ab5b4a"/>
                      <w:lock w:val="sdtLocked"/>
                      <w:richText/>
                    </w:sdtPr>
                    <w:sdtContent>
                      <w:r>
                        <w:rPr>
                          <w:color w:val="000000"/>
                          <w:szCs w:val="24"/>
                          <w:lang w:eastAsia="lt-LT"/>
                        </w:rPr>
                        <w:t>125</w:t>
                      </w:r>
                    </w:sdtContent>
                  </w:sdt>
                  <w:r>
                    <w:rPr>
                      <w:color w:val="000000"/>
                      <w:szCs w:val="24"/>
                      <w:lang w:eastAsia="lt-LT"/>
                    </w:rPr>
                    <w:t>. AAA pagal savo kompetenciją užtikrina, kad visuomenei būtų prieinama praktinio pobūdžio informacija apie teisę apskųsti sprendimus, veiksmus ar neveikimą, susijusius su leidimo išdavimu, pakeitimu arba galiojimo panaikinimu, įskaitant visuomenės dalyvavimą, teismui ar kitoms kompetentingoms institucijoms.</w:t>
                  </w:r>
                </w:p>
              </w:sdtContent>
            </w:sdt>
            <w:sdt>
              <w:sdtPr>
                <w:alias w:val="125-1 p."/>
                <w:tag w:val="part_3fe61a8cfe3b470f81a7985c6f8f99ee"/>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Cs w:val="24"/>
                      <w:lang w:eastAsia="lt-LT"/>
                    </w:rPr>
                  </w:pPr>
                  <w:sdt>
                    <w:sdtPr>
                      <w:alias w:val="Numeris"/>
                      <w:tag w:val="nr_3fe61a8cfe3b470f81a7985c6f8f99ee"/>
                      <w:lock w:val="sdtLocked"/>
                      <w:richText/>
                    </w:sdtPr>
                    <w:sdtContent>
                      <w:r>
                        <w:rPr>
                          <w:szCs w:val="24"/>
                          <w:lang w:eastAsia="lt-LT"/>
                        </w:rPr>
                        <w:t>125</w:t>
                      </w:r>
                      <w:r>
                        <w:rPr>
                          <w:szCs w:val="24"/>
                          <w:vertAlign w:val="superscript"/>
                          <w:lang w:eastAsia="lt-LT"/>
                        </w:rPr>
                        <w:t>1</w:t>
                      </w:r>
                    </w:sdtContent>
                  </w:sdt>
                  <w:r>
                    <w:rPr>
                      <w:szCs w:val="24"/>
                      <w:lang w:eastAsia="lt-LT"/>
                    </w:rPr>
                    <w:t>. Leidimuose klaidos ištaisomos vadovaujantis Lietuvos Respublikos viešojo administravimo įstatymo 35 straipsnyje nustatytais teisiniais pagrindais ir sąlygomis šia tvarka:</w:t>
                  </w:r>
                </w:p>
                <w:sdt>
                  <w:sdtPr>
                    <w:alias w:val="125-1.1 p."/>
                    <w:tag w:val="part_51017e71d80a4aec9bbdb5827788bb2d"/>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Cs w:val="24"/>
                          <w:lang w:eastAsia="lt-LT"/>
                        </w:rPr>
                      </w:pPr>
                      <w:sdt>
                        <w:sdtPr>
                          <w:alias w:val="Numeris"/>
                          <w:tag w:val="nr_51017e71d80a4aec9bbdb5827788bb2d"/>
                          <w:lock w:val="sdtLocked"/>
                          <w:richText/>
                        </w:sdtPr>
                        <w:sdtContent>
                          <w:r>
                            <w:rPr>
                              <w:szCs w:val="24"/>
                              <w:lang w:eastAsia="lt-LT"/>
                            </w:rPr>
                            <w:t>125</w:t>
                          </w:r>
                          <w:r>
                            <w:rPr>
                              <w:szCs w:val="24"/>
                              <w:vertAlign w:val="superscript"/>
                              <w:lang w:eastAsia="lt-LT"/>
                            </w:rPr>
                            <w:t>1</w:t>
                          </w:r>
                          <w:r>
                            <w:rPr>
                              <w:szCs w:val="24"/>
                              <w:lang w:eastAsia="lt-LT"/>
                            </w:rPr>
                            <w:t>.1</w:t>
                          </w:r>
                        </w:sdtContent>
                      </w:sdt>
                      <w:r>
                        <w:rPr>
                          <w:szCs w:val="24"/>
                          <w:lang w:eastAsia="lt-LT"/>
                        </w:rPr>
                        <w:t>. AAA, išdavusi ar pakeitusi leidimą ir pastebėjusi ar gavusi iš veiklos vykdytojo ar kontrolę vykdančios institucijos raštu pranešimą apie skaičiavimo, spausdinimo, faktinių duomenų neatitikimo ar kitas technines klaidas, kurios gali turėti esminės įtakos leidime nustatytų sąlygų laikymuisi ar institucijų atliekamai leidimų sąlygų laikymosi kontrolei, imasi reikalingų priemonių klaidoms ištaisyti;</w:t>
                      </w:r>
                    </w:p>
                  </w:sdtContent>
                </w:sdt>
                <w:sdt>
                  <w:sdtPr>
                    <w:alias w:val="125-1.2 p."/>
                    <w:tag w:val="part_eeb3a89722664858b273382a062f5356"/>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Cs w:val="24"/>
                          <w:lang w:eastAsia="lt-LT"/>
                        </w:rPr>
                      </w:pPr>
                      <w:sdt>
                        <w:sdtPr>
                          <w:alias w:val="Numeris"/>
                          <w:tag w:val="nr_eeb3a89722664858b273382a062f5356"/>
                          <w:lock w:val="sdtLocked"/>
                          <w:richText/>
                        </w:sdtPr>
                        <w:sdtContent>
                          <w:r>
                            <w:rPr>
                              <w:szCs w:val="24"/>
                              <w:lang w:eastAsia="lt-LT"/>
                            </w:rPr>
                            <w:t>125</w:t>
                          </w:r>
                          <w:r>
                            <w:rPr>
                              <w:szCs w:val="24"/>
                              <w:vertAlign w:val="superscript"/>
                              <w:lang w:eastAsia="lt-LT"/>
                            </w:rPr>
                            <w:t>1</w:t>
                          </w:r>
                          <w:r>
                            <w:rPr>
                              <w:szCs w:val="24"/>
                              <w:lang w:eastAsia="lt-LT"/>
                            </w:rPr>
                            <w:t>.2</w:t>
                          </w:r>
                        </w:sdtContent>
                      </w:sdt>
                      <w:r>
                        <w:rPr>
                          <w:szCs w:val="24"/>
                          <w:lang w:eastAsia="lt-LT"/>
                        </w:rPr>
                        <w:t>. klaidos pripažinimo technine klaida būtina sąlyga yra fakto konstatavimas, kad toks ištaisymas nepažeis trečiųjų asmenų teisėtų interesų. Gali būti patikslinti ir ištaisyti netikslūs ir klaidingi duomenys, jeigu į išduotą ar pakeistą leidimą įrašyti duomenys neatitinka dokumentų, kuriais remiantis buvo įrašyti;</w:t>
                      </w:r>
                    </w:p>
                  </w:sdtContent>
                </w:sdt>
                <w:sdt>
                  <w:sdtPr>
                    <w:alias w:val="125-1.3 p."/>
                    <w:tag w:val="part_a69b3679f6a943adb71b51ed1bbab116"/>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color w:val="000000"/>
                          <w:szCs w:val="24"/>
                          <w:lang w:eastAsia="lt-LT"/>
                        </w:rPr>
                      </w:pPr>
                      <w:sdt>
                        <w:sdtPr>
                          <w:alias w:val="Numeris"/>
                          <w:tag w:val="nr_a69b3679f6a943adb71b51ed1bbab116"/>
                          <w:lock w:val="sdtLocked"/>
                          <w:richText/>
                        </w:sdtPr>
                        <w:sdtContent>
                          <w:r>
                            <w:t>125</w:t>
                          </w:r>
                          <w:r>
                            <w:rPr>
                              <w:vertAlign w:val="superscript"/>
                            </w:rPr>
                            <w:t>1</w:t>
                          </w:r>
                          <w:r>
                            <w:t>.3</w:t>
                          </w:r>
                        </w:sdtContent>
                      </w:sdt>
                      <w:r>
                        <w:t xml:space="preserve">. AAA, baigusi administracinę procedūrą dėl klaidų ištaisymo, per 3 darbo dienas raštu informuoja </w:t>
                      </w:r>
                      <w:r>
                        <w:rPr>
                          <w:szCs w:val="24"/>
                          <w:lang w:eastAsia="lt-LT"/>
                        </w:rPr>
                        <w:t xml:space="preserve">ūkinės </w:t>
                      </w:r>
                      <w:r>
                        <w:t xml:space="preserve">veiklos vykdytoją ir AAD apie klaidas, jas nurodo, pateikia pataisytą leidimą ir paskelbia </w:t>
                      </w:r>
                      <w:r>
                        <w:rPr>
                          <w:szCs w:val="24"/>
                        </w:rPr>
                        <w:t>informaciją apie buvusias klaidas, jų ištaisymą ir pataisytą leidimą ALIS arba AAA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b7ec10747d11e8ae2bfd1913d66d57">
                        <w:r w:rsidRPr="00532B9F">
                          <w:rPr>
                            <w:rFonts w:ascii="Arial" w:eastAsia="MS Mincho" w:hAnsi="Arial"/>
                            <w:sz w:val="20"/>
                            <w:i/>
                            <w:iCs/>
                            <w:color w:val="0000FF" w:themeColor="hyperlink"/>
                            <w:u w:val="single"/>
                          </w:rPr>
                          <w:t>D1-537</w:t>
                        </w:r>
                      </w:fldSimple>
                      <w:r>
                        <w:rPr>
                          <w:rFonts w:ascii="Arial" w:eastAsia="MS Mincho" w:hAnsi="Arial"/>
                          <w:sz w:val="20"/>
                          <w:i/>
                          <w:iCs/>
                        </w:rPr>
                        <w:t>,
2018-06-19,
paskelbta TAR 2018-06-20, i. k. 2018-10131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126 p."/>
                <w:tag w:val="part_a2700a1669114d069188508af08f356f"/>
                <w:lock w:val="sdtLocked"/>
                <w:richText/>
              </w:sdtPr>
              <w:sdtContent>
                <w:p>
                  <w:pPr>
                    <w:widowControl w:val="0"/>
                    <w:ind w:firstLine="567"/>
                    <w:jc w:val="both"/>
                    <w:rPr>
                      <w:color w:val="000000"/>
                      <w:szCs w:val="24"/>
                      <w:lang w:eastAsia="lt-LT"/>
                    </w:rPr>
                  </w:pPr>
                  <w:sdt>
                    <w:sdtPr>
                      <w:alias w:val="Numeris"/>
                      <w:tag w:val="nr_a2700a1669114d069188508af08f356f"/>
                      <w:lock w:val="sdtLocked"/>
                      <w:richText/>
                    </w:sdtPr>
                    <w:sdtContent>
                      <w:r>
                        <w:rPr>
                          <w:color w:val="000000"/>
                          <w:szCs w:val="24"/>
                          <w:lang w:eastAsia="lt-LT"/>
                        </w:rPr>
                        <w:t>126</w:t>
                      </w:r>
                    </w:sdtContent>
                  </w:sdt>
                  <w:r>
                    <w:rPr>
                      <w:color w:val="000000"/>
                      <w:szCs w:val="24"/>
                      <w:lang w:eastAsia="lt-LT"/>
                    </w:rPr>
                    <w:t>. Už Taisyklėse nustatytų reikalavimų nesilaikymą taikoma atsakomybė Lietuvos Respublikos teisės aktų nustatyta tvarka.</w:t>
                  </w:r>
                </w:p>
                <w:p>
                  <w:pPr>
                    <w:widowControl w:val="0"/>
                    <w:ind w:firstLine="567"/>
                    <w:jc w:val="both"/>
                    <w:rPr>
                      <w:color w:val="000000"/>
                      <w:szCs w:val="24"/>
                      <w:lang w:eastAsia="lt-LT"/>
                    </w:rPr>
                  </w:pPr>
                </w:p>
              </w:sdtContent>
            </w:sdt>
          </w:sdtContent>
        </w:sdt>
        <w:sdt>
          <w:sdtPr>
            <w:alias w:val="pabaiga"/>
            <w:tag w:val="part_916678593ed24bc482b97f8626dd9f88"/>
            <w:lock w:val="sdtLocked"/>
            <w:richText/>
          </w:sdtPr>
          <w:sdtContent>
            <w:p>
              <w:pPr>
                <w:widowControl w:val="0"/>
                <w:jc w:val="center"/>
                <w:rPr>
                  <w:bCs/>
                  <w:color w:val="000000"/>
                  <w:szCs w:val="24"/>
                  <w:lang w:eastAsia="lt-LT"/>
                </w:rPr>
              </w:pPr>
              <w:r>
                <w:rPr>
                  <w:color w:val="000000"/>
                  <w:szCs w:val="24"/>
                  <w:lang w:eastAsia="lt-LT"/>
                </w:rPr>
                <w:t>_________________</w:t>
              </w:r>
            </w:p>
          </w:sdtContent>
        </w:sdt>
      </w:sdtContent>
    </w:sdt>
    <w:sdt>
      <w:sdtPr>
        <w:alias w:val="1 pr."/>
        <w:tag w:val="part_27e080f03b8d4778ad804acb5d76f07a"/>
        <w:lock w:val="sdtLocked"/>
        <w:richText/>
      </w:sdtPr>
      <w:sdtContent>
        <w:p>
          <w:pPr>
            <w:ind w:left="4535"/>
            <w:sectPr>
              <w:pgSz w:w="12240" w:h="15840" w:code="1"/>
              <w:pgMar w:top="1134" w:right="1134" w:bottom="1418" w:left="1701" w:header="720" w:footer="720" w:gutter="0"/>
              <w:pgNumType w:start="1"/>
              <w:cols w:space="720"/>
              <w:noEndnote/>
              <w:titlePg/>
              <w:docGrid w:linePitch="326"/>
            </w:sectPr>
          </w:pPr>
        </w:p>
        <w:p>
          <w:pPr>
            <w:ind w:left="4535"/>
            <w:rPr>
              <w:szCs w:val="24"/>
              <w:lang w:eastAsia="lt-LT"/>
            </w:rPr>
          </w:pPr>
          <w:r>
            <w:rPr>
              <w:szCs w:val="24"/>
              <w:lang w:eastAsia="lt-LT"/>
            </w:rPr>
            <w:t xml:space="preserve">Taršos integruotos prevencijos ir kontrolės leidimų išdavimo, pakeitimo ir </w:t>
          </w:r>
          <w:r>
            <w:rPr>
              <w:bCs/>
              <w:szCs w:val="24"/>
              <w:lang w:eastAsia="lt-LT"/>
            </w:rPr>
            <w:t xml:space="preserve">galiojimo </w:t>
          </w:r>
          <w:r>
            <w:rPr>
              <w:szCs w:val="24"/>
              <w:lang w:eastAsia="lt-LT"/>
            </w:rPr>
            <w:t xml:space="preserve">panaikinimo taisyklių </w:t>
          </w:r>
        </w:p>
        <w:p>
          <w:pPr>
            <w:ind w:left="4535"/>
            <w:rPr>
              <w:szCs w:val="24"/>
              <w:lang w:eastAsia="lt-LT"/>
            </w:rPr>
          </w:pPr>
          <w:sdt>
            <w:sdtPr>
              <w:alias w:val="Numeris"/>
              <w:tag w:val="nr_27e080f03b8d4778ad804acb5d76f07a"/>
              <w:lock w:val="sdtLocked"/>
              <w:richText/>
            </w:sdtPr>
            <w:sdtContent>
              <w:r>
                <w:rPr>
                  <w:szCs w:val="24"/>
                  <w:lang w:eastAsia="lt-LT"/>
                </w:rPr>
                <w:t>1</w:t>
              </w:r>
            </w:sdtContent>
          </w:sdt>
          <w:r>
            <w:rPr>
              <w:szCs w:val="24"/>
              <w:lang w:eastAsia="lt-LT"/>
            </w:rPr>
            <w:t xml:space="preserve"> priedas</w:t>
          </w:r>
        </w:p>
        <w:p>
          <w:pPr>
            <w:suppressAutoHyphens/>
            <w:ind w:firstLine="567"/>
            <w:jc w:val="center"/>
            <w:textAlignment w:val="baseline"/>
            <w:rPr>
              <w:b/>
              <w:bCs/>
              <w:szCs w:val="24"/>
              <w:lang w:eastAsia="lt-LT"/>
            </w:rPr>
          </w:pPr>
        </w:p>
        <w:p>
          <w:pPr>
            <w:suppressAutoHyphens/>
            <w:jc w:val="center"/>
            <w:textAlignment w:val="baseline"/>
            <w:rPr>
              <w:b/>
              <w:bCs/>
              <w:szCs w:val="24"/>
              <w:lang w:eastAsia="lt-LT"/>
            </w:rPr>
          </w:pPr>
          <w:sdt>
            <w:sdtPr>
              <w:alias w:val="Pavadinimas"/>
              <w:tag w:val="title_27e080f03b8d4778ad804acb5d76f07a"/>
              <w:lock w:val="sdtLocked"/>
              <w:richText/>
            </w:sdtPr>
            <w:sdtContent>
              <w:r>
                <w:rPr>
                  <w:b/>
                  <w:bCs/>
                  <w:szCs w:val="24"/>
                  <w:lang w:eastAsia="lt-LT"/>
                </w:rPr>
                <w:t>VEIKLOS RŪŠYS, PAGAL KURIAS NUSTATOMA, AR ĮRENGINIUI REIKIA TURĖTI LEIDIMĄ PAGAL TAISYKLIŲ REIKALAVIMUS</w:t>
              </w:r>
            </w:sdtContent>
          </w:sdt>
        </w:p>
        <w:p>
          <w:pPr>
            <w:ind w:firstLine="567"/>
            <w:jc w:val="both"/>
            <w:rPr>
              <w:b/>
              <w:szCs w:val="24"/>
              <w:lang w:eastAsia="lt-LT"/>
            </w:rPr>
          </w:pPr>
        </w:p>
        <w:p>
          <w:pPr>
            <w:ind w:firstLine="567"/>
            <w:jc w:val="both"/>
            <w:rPr>
              <w:szCs w:val="24"/>
              <w:lang w:eastAsia="lt-LT"/>
            </w:rPr>
          </w:pPr>
          <w:r>
            <w:rPr>
              <w:szCs w:val="24"/>
              <w:lang w:eastAsia="lt-LT"/>
            </w:rPr>
            <w:t xml:space="preserve">Šiame priede pateiktos ribos nurodo gamybos (projektinius) pajėgumus ar našumą. Jei tame pačiame įrenginyje vykdoma kelių rūšių veikla, nurodyta veiklos aprašyme (išvardintų po viena paantrašte), kuriame nurodyta riba, tokių veiklos rūšių pajėgumai sudedami. Atliekų tvarkymo veiklos atveju tokie skaičiavimai taikomi šio priedo 5.1, 5.3 ir 5.4 punktuose nurodytais atvejais. </w:t>
          </w:r>
        </w:p>
        <w:p>
          <w:pPr>
            <w:ind w:firstLine="567"/>
            <w:jc w:val="both"/>
            <w:rPr>
              <w:b/>
              <w:szCs w:val="24"/>
              <w:lang w:eastAsia="lt-LT"/>
            </w:rPr>
          </w:pPr>
        </w:p>
        <w:sdt>
          <w:sdtPr>
            <w:alias w:val="1 pr. 1 p."/>
            <w:tag w:val="part_da7a7e54b6b340b39763f4bf80ac332e"/>
            <w:lock w:val="sdtLocked"/>
            <w:richText/>
          </w:sdtPr>
          <w:sdtContent>
            <w:p>
              <w:pPr>
                <w:ind w:firstLine="567"/>
                <w:jc w:val="both"/>
                <w:rPr>
                  <w:b/>
                  <w:szCs w:val="24"/>
                  <w:lang w:eastAsia="lt-LT"/>
                </w:rPr>
              </w:pPr>
              <w:sdt>
                <w:sdtPr>
                  <w:alias w:val="Numeris"/>
                  <w:tag w:val="nr_da7a7e54b6b340b39763f4bf80ac332e"/>
                  <w:lock w:val="sdtLocked"/>
                  <w:richText/>
                </w:sdtPr>
                <w:sdtContent>
                  <w:r>
                    <w:rPr>
                      <w:b/>
                      <w:szCs w:val="24"/>
                      <w:lang w:eastAsia="lt-LT"/>
                    </w:rPr>
                    <w:t>1</w:t>
                  </w:r>
                </w:sdtContent>
              </w:sdt>
              <w:r>
                <w:rPr>
                  <w:b/>
                  <w:szCs w:val="24"/>
                  <w:lang w:eastAsia="lt-LT"/>
                </w:rPr>
                <w:t>. Energetikos pramonė:</w:t>
              </w:r>
            </w:p>
            <w:p>
              <w:pPr>
                <w:ind w:firstLine="567"/>
                <w:jc w:val="both"/>
                <w:rPr>
                  <w:b/>
                  <w:szCs w:val="24"/>
                  <w:lang w:eastAsia="lt-LT"/>
                </w:rPr>
              </w:pPr>
            </w:p>
            <w:sdt>
              <w:sdtPr>
                <w:alias w:val="1 pr. 1.1 p."/>
                <w:tag w:val="part_38b02849b765420f889e9c02a9a5ebe9"/>
                <w:lock w:val="sdtLocked"/>
                <w:richText/>
              </w:sdtPr>
              <w:sdtContent>
                <w:p>
                  <w:pPr>
                    <w:ind w:firstLine="567"/>
                    <w:jc w:val="both"/>
                    <w:rPr>
                      <w:szCs w:val="24"/>
                      <w:lang w:eastAsia="lt-LT"/>
                    </w:rPr>
                  </w:pPr>
                  <w:sdt>
                    <w:sdtPr>
                      <w:alias w:val="Numeris"/>
                      <w:tag w:val="nr_38b02849b765420f889e9c02a9a5ebe9"/>
                      <w:lock w:val="sdtLocked"/>
                      <w:richText/>
                    </w:sdtPr>
                    <w:sdtContent>
                      <w:r>
                        <w:rPr>
                          <w:szCs w:val="24"/>
                          <w:lang w:eastAsia="lt-LT"/>
                        </w:rPr>
                        <w:t>1.1</w:t>
                      </w:r>
                    </w:sdtContent>
                  </w:sdt>
                  <w:r>
                    <w:rPr>
                      <w:szCs w:val="24"/>
                      <w:lang w:eastAsia="lt-LT"/>
                    </w:rPr>
                    <w:t>. kuro deginimas įrenginiuose, kurių bendra vardinė (nominali) šiluminė galia lygi arba</w:t>
                  </w:r>
                  <w:r>
                    <w:rPr>
                      <w:b/>
                      <w:szCs w:val="24"/>
                      <w:lang w:eastAsia="lt-LT"/>
                    </w:rPr>
                    <w:t xml:space="preserve"> </w:t>
                  </w:r>
                  <w:r>
                    <w:rPr>
                      <w:szCs w:val="24"/>
                      <w:lang w:eastAsia="lt-LT"/>
                    </w:rPr>
                    <w:t>didesnė kaip 50 MW;</w:t>
                  </w:r>
                </w:p>
              </w:sdtContent>
            </w:sdt>
            <w:sdt>
              <w:sdtPr>
                <w:alias w:val="1 pr. 1.2 p."/>
                <w:tag w:val="part_3d419f45f2d04c369808b91c39ff8a3c"/>
                <w:lock w:val="sdtLocked"/>
                <w:richText/>
              </w:sdtPr>
              <w:sdtContent>
                <w:p>
                  <w:pPr>
                    <w:ind w:firstLine="567"/>
                    <w:jc w:val="both"/>
                    <w:rPr>
                      <w:szCs w:val="24"/>
                      <w:lang w:eastAsia="lt-LT"/>
                    </w:rPr>
                  </w:pPr>
                  <w:sdt>
                    <w:sdtPr>
                      <w:alias w:val="Numeris"/>
                      <w:tag w:val="nr_3d419f45f2d04c369808b91c39ff8a3c"/>
                      <w:lock w:val="sdtLocked"/>
                      <w:richText/>
                    </w:sdtPr>
                    <w:sdtContent>
                      <w:r>
                        <w:rPr>
                          <w:szCs w:val="24"/>
                          <w:lang w:eastAsia="lt-LT"/>
                        </w:rPr>
                        <w:t>1.2</w:t>
                      </w:r>
                    </w:sdtContent>
                  </w:sdt>
                  <w:r>
                    <w:rPr>
                      <w:szCs w:val="24"/>
                      <w:lang w:eastAsia="lt-LT"/>
                    </w:rPr>
                    <w:t>. naftos ir dujų perdirbimas;</w:t>
                  </w:r>
                </w:p>
              </w:sdtContent>
            </w:sdt>
            <w:sdt>
              <w:sdtPr>
                <w:alias w:val="1 pr. 1.3 p."/>
                <w:tag w:val="part_38b29198e53e421bba6682aafb0ecfe5"/>
                <w:lock w:val="sdtLocked"/>
                <w:richText/>
              </w:sdtPr>
              <w:sdtContent>
                <w:p>
                  <w:pPr>
                    <w:ind w:firstLine="567"/>
                    <w:jc w:val="both"/>
                    <w:rPr>
                      <w:szCs w:val="24"/>
                      <w:lang w:eastAsia="lt-LT"/>
                    </w:rPr>
                  </w:pPr>
                  <w:sdt>
                    <w:sdtPr>
                      <w:alias w:val="Numeris"/>
                      <w:tag w:val="nr_38b29198e53e421bba6682aafb0ecfe5"/>
                      <w:lock w:val="sdtLocked"/>
                      <w:richText/>
                    </w:sdtPr>
                    <w:sdtContent>
                      <w:r>
                        <w:rPr>
                          <w:szCs w:val="24"/>
                          <w:lang w:eastAsia="lt-LT"/>
                        </w:rPr>
                        <w:t>1.3</w:t>
                      </w:r>
                    </w:sdtContent>
                  </w:sdt>
                  <w:r>
                    <w:rPr>
                      <w:szCs w:val="24"/>
                      <w:lang w:eastAsia="lt-LT"/>
                    </w:rPr>
                    <w:t>. kokso gamyba;</w:t>
                  </w:r>
                </w:p>
              </w:sdtContent>
            </w:sdt>
            <w:sdt>
              <w:sdtPr>
                <w:alias w:val="1 pr. 1.4 p."/>
                <w:tag w:val="part_e3b9de8fc27846a69a2d6e07107db0ae"/>
                <w:lock w:val="sdtLocked"/>
                <w:richText/>
              </w:sdtPr>
              <w:sdtContent>
                <w:p>
                  <w:pPr>
                    <w:ind w:firstLine="567"/>
                    <w:jc w:val="both"/>
                    <w:rPr>
                      <w:szCs w:val="24"/>
                      <w:lang w:eastAsia="lt-LT"/>
                    </w:rPr>
                  </w:pPr>
                  <w:sdt>
                    <w:sdtPr>
                      <w:alias w:val="Numeris"/>
                      <w:tag w:val="nr_e3b9de8fc27846a69a2d6e07107db0ae"/>
                      <w:lock w:val="sdtLocked"/>
                      <w:richText/>
                    </w:sdtPr>
                    <w:sdtContent>
                      <w:r>
                        <w:rPr>
                          <w:szCs w:val="24"/>
                          <w:lang w:eastAsia="lt-LT"/>
                        </w:rPr>
                        <w:t>1.4</w:t>
                      </w:r>
                    </w:sdtContent>
                  </w:sdt>
                  <w:r>
                    <w:rPr>
                      <w:szCs w:val="24"/>
                      <w:lang w:eastAsia="lt-LT"/>
                    </w:rPr>
                    <w:t>. anglies dujofikavimas ar suskystinimas; kito kuro dujofikavimas ar suskystinimas įrenginiuose, kurių bendra nominali šiluminė galia yra lygi arba didesnė kaip 20 MW.</w:t>
                  </w:r>
                </w:p>
                <w:p>
                  <w:pPr>
                    <w:ind w:firstLine="567"/>
                    <w:jc w:val="both"/>
                    <w:rPr>
                      <w:szCs w:val="24"/>
                      <w:lang w:eastAsia="lt-LT"/>
                    </w:rPr>
                  </w:pPr>
                </w:p>
              </w:sdtContent>
            </w:sdt>
          </w:sdtContent>
        </w:sdt>
        <w:sdt>
          <w:sdtPr>
            <w:alias w:val="1 pr. 2 p."/>
            <w:tag w:val="part_aa501b9bbd9942ae95fd3e071179f0f5"/>
            <w:lock w:val="sdtLocked"/>
            <w:richText/>
          </w:sdtPr>
          <w:sdtContent>
            <w:p>
              <w:pPr>
                <w:ind w:firstLine="567"/>
                <w:jc w:val="both"/>
                <w:rPr>
                  <w:b/>
                  <w:szCs w:val="24"/>
                  <w:lang w:eastAsia="lt-LT"/>
                </w:rPr>
              </w:pPr>
              <w:sdt>
                <w:sdtPr>
                  <w:alias w:val="Numeris"/>
                  <w:tag w:val="nr_aa501b9bbd9942ae95fd3e071179f0f5"/>
                  <w:lock w:val="sdtLocked"/>
                  <w:richText/>
                </w:sdtPr>
                <w:sdtContent>
                  <w:r>
                    <w:rPr>
                      <w:b/>
                      <w:szCs w:val="24"/>
                      <w:lang w:eastAsia="lt-LT"/>
                    </w:rPr>
                    <w:t>2</w:t>
                  </w:r>
                </w:sdtContent>
              </w:sdt>
              <w:r>
                <w:rPr>
                  <w:b/>
                  <w:szCs w:val="24"/>
                  <w:lang w:eastAsia="lt-LT"/>
                </w:rPr>
                <w:t>. Metalų gamyba ir apdirbimas:</w:t>
              </w:r>
            </w:p>
            <w:p>
              <w:pPr>
                <w:ind w:firstLine="567"/>
                <w:jc w:val="both"/>
                <w:rPr>
                  <w:b/>
                  <w:szCs w:val="24"/>
                  <w:lang w:eastAsia="lt-LT"/>
                </w:rPr>
              </w:pPr>
            </w:p>
            <w:sdt>
              <w:sdtPr>
                <w:alias w:val="1 pr. 2.1 p."/>
                <w:tag w:val="part_4aacd967f4eb43b5a48a2dd72583d7d3"/>
                <w:lock w:val="sdtLocked"/>
                <w:richText/>
              </w:sdtPr>
              <w:sdtContent>
                <w:p>
                  <w:pPr>
                    <w:ind w:firstLine="567"/>
                    <w:jc w:val="both"/>
                    <w:rPr>
                      <w:szCs w:val="24"/>
                      <w:lang w:eastAsia="lt-LT"/>
                    </w:rPr>
                  </w:pPr>
                  <w:sdt>
                    <w:sdtPr>
                      <w:alias w:val="Numeris"/>
                      <w:tag w:val="nr_4aacd967f4eb43b5a48a2dd72583d7d3"/>
                      <w:lock w:val="sdtLocked"/>
                      <w:richText/>
                    </w:sdtPr>
                    <w:sdtContent>
                      <w:r>
                        <w:rPr>
                          <w:szCs w:val="24"/>
                          <w:lang w:eastAsia="lt-LT"/>
                        </w:rPr>
                        <w:t>2.1</w:t>
                      </w:r>
                    </w:sdtContent>
                  </w:sdt>
                  <w:r>
                    <w:rPr>
                      <w:szCs w:val="24"/>
                      <w:lang w:eastAsia="lt-LT"/>
                    </w:rPr>
                    <w:t>. metalo rūdos (įskaitant sulfidinę rūdą) kalcinavimas arba kaitinimas;</w:t>
                  </w:r>
                </w:p>
              </w:sdtContent>
            </w:sdt>
            <w:sdt>
              <w:sdtPr>
                <w:alias w:val="1 pr. 2.2 p."/>
                <w:tag w:val="part_a0521a1295bb42d2aa498500798b15a1"/>
                <w:lock w:val="sdtLocked"/>
                <w:richText/>
              </w:sdtPr>
              <w:sdtContent>
                <w:p>
                  <w:pPr>
                    <w:ind w:firstLine="567"/>
                    <w:jc w:val="both"/>
                    <w:rPr>
                      <w:szCs w:val="24"/>
                      <w:lang w:eastAsia="lt-LT"/>
                    </w:rPr>
                  </w:pPr>
                  <w:sdt>
                    <w:sdtPr>
                      <w:alias w:val="Numeris"/>
                      <w:tag w:val="nr_a0521a1295bb42d2aa498500798b15a1"/>
                      <w:lock w:val="sdtLocked"/>
                      <w:richText/>
                    </w:sdtPr>
                    <w:sdtContent>
                      <w:r>
                        <w:rPr>
                          <w:szCs w:val="24"/>
                          <w:lang w:eastAsia="lt-LT"/>
                        </w:rPr>
                        <w:t>2.2</w:t>
                      </w:r>
                    </w:sdtContent>
                  </w:sdt>
                  <w:r>
                    <w:rPr>
                      <w:szCs w:val="24"/>
                      <w:lang w:eastAsia="lt-LT"/>
                    </w:rPr>
                    <w:t xml:space="preserve">. ketaus arba plieno (pirminis arba antrinis lydymas) gamyba, įskaitant tolydinį liejimą, kai  pajėgumas didesnis kaip 2,5 tonos per valandą;</w:t>
                  </w:r>
                </w:p>
              </w:sdtContent>
            </w:sdt>
            <w:sdt>
              <w:sdtPr>
                <w:alias w:val="1 pr. 2.3 p."/>
                <w:tag w:val="part_9c354aac3a3149a29668f6cee4beb2a1"/>
                <w:lock w:val="sdtLocked"/>
                <w:richText/>
              </w:sdtPr>
              <w:sdtContent>
                <w:p>
                  <w:pPr>
                    <w:ind w:firstLine="567"/>
                    <w:jc w:val="both"/>
                    <w:rPr>
                      <w:szCs w:val="24"/>
                      <w:lang w:eastAsia="lt-LT"/>
                    </w:rPr>
                  </w:pPr>
                  <w:sdt>
                    <w:sdtPr>
                      <w:alias w:val="Numeris"/>
                      <w:tag w:val="nr_9c354aac3a3149a29668f6cee4beb2a1"/>
                      <w:lock w:val="sdtLocked"/>
                      <w:richText/>
                    </w:sdtPr>
                    <w:sdtContent>
                      <w:r>
                        <w:rPr>
                          <w:szCs w:val="24"/>
                          <w:lang w:eastAsia="lt-LT"/>
                        </w:rPr>
                        <w:t>2.3</w:t>
                      </w:r>
                    </w:sdtContent>
                  </w:sdt>
                  <w:r>
                    <w:rPr>
                      <w:szCs w:val="24"/>
                      <w:lang w:eastAsia="lt-LT"/>
                    </w:rPr>
                    <w:t>. juodųjų metalų apdirbimas:</w:t>
                  </w:r>
                </w:p>
                <w:sdt>
                  <w:sdtPr>
                    <w:alias w:val="1 pr. 2.3.1 p."/>
                    <w:tag w:val="part_5c853aead9c8472cba53a6e46eefab5c"/>
                    <w:lock w:val="sdtLocked"/>
                    <w:richText/>
                  </w:sdtPr>
                  <w:sdtContent>
                    <w:p>
                      <w:pPr>
                        <w:ind w:firstLine="567"/>
                        <w:jc w:val="both"/>
                        <w:rPr>
                          <w:szCs w:val="24"/>
                          <w:lang w:eastAsia="lt-LT"/>
                        </w:rPr>
                      </w:pPr>
                      <w:sdt>
                        <w:sdtPr>
                          <w:alias w:val="Numeris"/>
                          <w:tag w:val="nr_5c853aead9c8472cba53a6e46eefab5c"/>
                          <w:lock w:val="sdtLocked"/>
                          <w:richText/>
                        </w:sdtPr>
                        <w:sdtContent>
                          <w:r>
                            <w:rPr>
                              <w:szCs w:val="24"/>
                              <w:lang w:eastAsia="lt-LT"/>
                            </w:rPr>
                            <w:t>2.3.1</w:t>
                          </w:r>
                        </w:sdtContent>
                      </w:sdt>
                      <w:r>
                        <w:rPr>
                          <w:szCs w:val="24"/>
                          <w:lang w:eastAsia="lt-LT"/>
                        </w:rPr>
                        <w:t>. karšto valcavimo staklių, kurių pajėgumas didesnis kaip 20 tonų termiškai neapdoroto plieno per valandą, eksploatavimas;</w:t>
                      </w:r>
                    </w:p>
                  </w:sdtContent>
                </w:sdt>
                <w:sdt>
                  <w:sdtPr>
                    <w:alias w:val="1 pr. 2.3.2 p."/>
                    <w:tag w:val="part_ecbdc618980246209938cb819cac1fd8"/>
                    <w:lock w:val="sdtLocked"/>
                    <w:richText/>
                  </w:sdtPr>
                  <w:sdtContent>
                    <w:p>
                      <w:pPr>
                        <w:ind w:firstLine="567"/>
                        <w:jc w:val="both"/>
                        <w:rPr>
                          <w:szCs w:val="24"/>
                          <w:lang w:eastAsia="lt-LT"/>
                        </w:rPr>
                      </w:pPr>
                      <w:sdt>
                        <w:sdtPr>
                          <w:alias w:val="Numeris"/>
                          <w:tag w:val="nr_ecbdc618980246209938cb819cac1fd8"/>
                          <w:lock w:val="sdtLocked"/>
                          <w:richText/>
                        </w:sdtPr>
                        <w:sdtContent>
                          <w:r>
                            <w:rPr>
                              <w:szCs w:val="24"/>
                              <w:lang w:eastAsia="lt-LT"/>
                            </w:rPr>
                            <w:t>2.3.2</w:t>
                          </w:r>
                        </w:sdtContent>
                      </w:sdt>
                      <w:r>
                        <w:rPr>
                          <w:szCs w:val="24"/>
                          <w:lang w:eastAsia="lt-LT"/>
                        </w:rPr>
                        <w:t>. kalvių, turinčių kūjus, kurių kiekvieno energija didesnė kaip 50 kilodžaulių ir kurių kaloringumas didesnis kaip 20 MW, eksploatavimas;</w:t>
                      </w:r>
                    </w:p>
                  </w:sdtContent>
                </w:sdt>
                <w:sdt>
                  <w:sdtPr>
                    <w:alias w:val="1 pr. 2.3.3 p."/>
                    <w:tag w:val="part_5613f38081c041688cff33ace37bfe0b"/>
                    <w:lock w:val="sdtLocked"/>
                    <w:richText/>
                  </w:sdtPr>
                  <w:sdtContent>
                    <w:p>
                      <w:pPr>
                        <w:ind w:firstLine="567"/>
                        <w:jc w:val="both"/>
                        <w:rPr>
                          <w:szCs w:val="24"/>
                          <w:lang w:eastAsia="lt-LT"/>
                        </w:rPr>
                      </w:pPr>
                      <w:sdt>
                        <w:sdtPr>
                          <w:alias w:val="Numeris"/>
                          <w:tag w:val="nr_5613f38081c041688cff33ace37bfe0b"/>
                          <w:lock w:val="sdtLocked"/>
                          <w:richText/>
                        </w:sdtPr>
                        <w:sdtContent>
                          <w:r>
                            <w:rPr>
                              <w:szCs w:val="24"/>
                              <w:lang w:eastAsia="lt-LT"/>
                            </w:rPr>
                            <w:t>2.3.3</w:t>
                          </w:r>
                        </w:sdtContent>
                      </w:sdt>
                      <w:r>
                        <w:rPr>
                          <w:szCs w:val="24"/>
                          <w:lang w:eastAsia="lt-LT"/>
                        </w:rPr>
                        <w:t>. dengimas apsauginėmis lydyto metalo dangomis, kurių įkrova didesnė kaip 2 tonos termiškai neapdoroto plieno per valandą;</w:t>
                      </w:r>
                    </w:p>
                  </w:sdtContent>
                </w:sdt>
              </w:sdtContent>
            </w:sdt>
            <w:sdt>
              <w:sdtPr>
                <w:alias w:val="1 pr. 2.4 p."/>
                <w:tag w:val="part_e667c5eafcbd4a51b3c26033ecdea2ee"/>
                <w:lock w:val="sdtLocked"/>
                <w:richText/>
              </w:sdtPr>
              <w:sdtContent>
                <w:p>
                  <w:pPr>
                    <w:ind w:firstLine="567"/>
                    <w:jc w:val="both"/>
                    <w:rPr>
                      <w:szCs w:val="24"/>
                      <w:lang w:eastAsia="lt-LT"/>
                    </w:rPr>
                  </w:pPr>
                  <w:sdt>
                    <w:sdtPr>
                      <w:alias w:val="Numeris"/>
                      <w:tag w:val="nr_e667c5eafcbd4a51b3c26033ecdea2ee"/>
                      <w:lock w:val="sdtLocked"/>
                      <w:richText/>
                    </w:sdtPr>
                    <w:sdtContent>
                      <w:r>
                        <w:rPr>
                          <w:szCs w:val="24"/>
                          <w:lang w:eastAsia="lt-LT"/>
                        </w:rPr>
                        <w:t>2.4</w:t>
                      </w:r>
                    </w:sdtContent>
                  </w:sdt>
                  <w:r>
                    <w:rPr>
                      <w:szCs w:val="24"/>
                      <w:lang w:eastAsia="lt-LT"/>
                    </w:rPr>
                    <w:t>. juodųjų metalų liejyklų, kurių gamybos pajėgumas didesnis kaip 20 tonų per dieną, eksploatavimas;</w:t>
                  </w:r>
                </w:p>
              </w:sdtContent>
            </w:sdt>
            <w:sdt>
              <w:sdtPr>
                <w:alias w:val="1 pr. 2.5 p."/>
                <w:tag w:val="part_e899a08697284cbda50d72f49366852e"/>
                <w:lock w:val="sdtLocked"/>
                <w:richText/>
              </w:sdtPr>
              <w:sdtContent>
                <w:p>
                  <w:pPr>
                    <w:ind w:firstLine="567"/>
                    <w:jc w:val="both"/>
                    <w:rPr>
                      <w:szCs w:val="24"/>
                      <w:lang w:eastAsia="lt-LT"/>
                    </w:rPr>
                  </w:pPr>
                  <w:sdt>
                    <w:sdtPr>
                      <w:alias w:val="Numeris"/>
                      <w:tag w:val="nr_e899a08697284cbda50d72f49366852e"/>
                      <w:lock w:val="sdtLocked"/>
                      <w:richText/>
                    </w:sdtPr>
                    <w:sdtContent>
                      <w:r>
                        <w:rPr>
                          <w:szCs w:val="24"/>
                          <w:lang w:eastAsia="lt-LT"/>
                        </w:rPr>
                        <w:t>2.5</w:t>
                      </w:r>
                    </w:sdtContent>
                  </w:sdt>
                  <w:r>
                    <w:rPr>
                      <w:szCs w:val="24"/>
                      <w:lang w:eastAsia="lt-LT"/>
                    </w:rPr>
                    <w:t>. spalvotųjų metalų apdirbimas:</w:t>
                  </w:r>
                </w:p>
                <w:sdt>
                  <w:sdtPr>
                    <w:alias w:val="1 pr. 2.5.1 p."/>
                    <w:tag w:val="part_4aae451b26284a48ac8dc5527cf99dd4"/>
                    <w:lock w:val="sdtLocked"/>
                    <w:richText/>
                  </w:sdtPr>
                  <w:sdtContent>
                    <w:p>
                      <w:pPr>
                        <w:ind w:firstLine="567"/>
                        <w:jc w:val="both"/>
                        <w:rPr>
                          <w:szCs w:val="24"/>
                          <w:lang w:eastAsia="lt-LT"/>
                        </w:rPr>
                      </w:pPr>
                      <w:sdt>
                        <w:sdtPr>
                          <w:alias w:val="Numeris"/>
                          <w:tag w:val="nr_4aae451b26284a48ac8dc5527cf99dd4"/>
                          <w:lock w:val="sdtLocked"/>
                          <w:richText/>
                        </w:sdtPr>
                        <w:sdtContent>
                          <w:r>
                            <w:rPr>
                              <w:szCs w:val="24"/>
                              <w:lang w:eastAsia="lt-LT"/>
                            </w:rPr>
                            <w:t>2.5.1</w:t>
                          </w:r>
                        </w:sdtContent>
                      </w:sdt>
                      <w:r>
                        <w:rPr>
                          <w:szCs w:val="24"/>
                          <w:lang w:eastAsia="lt-LT"/>
                        </w:rPr>
                        <w:t>. neapdirbtų spalvotųjų metalų gamyba iš rūdos, koncentratų arba antrinių žaliavų, naudojant metalurginius, cheminius arba elektrolitinius procesus;</w:t>
                      </w:r>
                    </w:p>
                  </w:sdtContent>
                </w:sdt>
                <w:sdt>
                  <w:sdtPr>
                    <w:alias w:val="1 pr. 2.5.2 p."/>
                    <w:tag w:val="part_5629c49f5c0d4a39bb9d8b72f8cc0693"/>
                    <w:lock w:val="sdtLocked"/>
                    <w:richText/>
                  </w:sdtPr>
                  <w:sdtContent>
                    <w:p>
                      <w:pPr>
                        <w:ind w:firstLine="567"/>
                        <w:jc w:val="both"/>
                        <w:rPr>
                          <w:szCs w:val="24"/>
                          <w:lang w:eastAsia="lt-LT"/>
                        </w:rPr>
                      </w:pPr>
                      <w:sdt>
                        <w:sdtPr>
                          <w:alias w:val="Numeris"/>
                          <w:tag w:val="nr_5629c49f5c0d4a39bb9d8b72f8cc0693"/>
                          <w:lock w:val="sdtLocked"/>
                          <w:richText/>
                        </w:sdtPr>
                        <w:sdtContent>
                          <w:r>
                            <w:rPr>
                              <w:szCs w:val="24"/>
                              <w:lang w:eastAsia="lt-LT"/>
                            </w:rPr>
                            <w:t>2.5.2</w:t>
                          </w:r>
                        </w:sdtContent>
                      </w:sdt>
                      <w:r>
                        <w:rPr>
                          <w:szCs w:val="24"/>
                          <w:lang w:eastAsia="lt-LT"/>
                        </w:rPr>
                        <w:t>. spalvotųjų metalų, įskaitant regeneruotus produktus, lydymas, įskaitant legiravimą, ir spalvotųjų metalų liejyklų eksploatavimas, kai švino ir kadmio lydymo pajėgumas didesnis kaip 4 tonos per dieną, o visų kitų metalų – 20 tonų per dieną;</w:t>
                      </w:r>
                    </w:p>
                  </w:sdtContent>
                </w:sdt>
              </w:sdtContent>
            </w:sdt>
            <w:sdt>
              <w:sdtPr>
                <w:alias w:val="1 pr. 2.6 p."/>
                <w:tag w:val="part_fd0c8b26c0a74f6994d451a92cfb5183"/>
                <w:lock w:val="sdtLocked"/>
                <w:richText/>
              </w:sdtPr>
              <w:sdtContent>
                <w:p>
                  <w:pPr>
                    <w:ind w:firstLine="567"/>
                    <w:jc w:val="both"/>
                    <w:rPr>
                      <w:szCs w:val="24"/>
                      <w:lang w:eastAsia="lt-LT"/>
                    </w:rPr>
                  </w:pPr>
                  <w:sdt>
                    <w:sdtPr>
                      <w:alias w:val="Numeris"/>
                      <w:tag w:val="nr_fd0c8b26c0a74f6994d451a92cfb5183"/>
                      <w:lock w:val="sdtLocked"/>
                      <w:richText/>
                    </w:sdtPr>
                    <w:sdtContent>
                      <w:r>
                        <w:rPr>
                          <w:szCs w:val="24"/>
                          <w:lang w:eastAsia="lt-LT"/>
                        </w:rPr>
                        <w:t>2.6</w:t>
                      </w:r>
                    </w:sdtContent>
                  </w:sdt>
                  <w:r>
                    <w:rPr>
                      <w:szCs w:val="24"/>
                      <w:lang w:eastAsia="lt-LT"/>
                    </w:rPr>
                    <w:t>. metalų ir plastiko medžiagų paviršių apdorojimas elektrolizės arba cheminiais procesais, kai dengimo vonių tūris didesnis kaip 30 m</w:t>
                  </w:r>
                  <w:r>
                    <w:rPr>
                      <w:szCs w:val="24"/>
                      <w:vertAlign w:val="superscript"/>
                      <w:lang w:eastAsia="lt-LT"/>
                    </w:rPr>
                    <w:t>3</w:t>
                  </w:r>
                  <w:r>
                    <w:rPr>
                      <w:szCs w:val="24"/>
                      <w:lang w:eastAsia="lt-LT"/>
                    </w:rPr>
                    <w:t xml:space="preserve">. </w:t>
                  </w:r>
                </w:p>
                <w:p>
                  <w:pPr>
                    <w:ind w:firstLine="567"/>
                    <w:jc w:val="both"/>
                    <w:rPr>
                      <w:szCs w:val="24"/>
                      <w:lang w:eastAsia="lt-LT"/>
                    </w:rPr>
                  </w:pPr>
                </w:p>
              </w:sdtContent>
            </w:sdt>
          </w:sdtContent>
        </w:sdt>
        <w:sdt>
          <w:sdtPr>
            <w:alias w:val="1 pr. 3 p."/>
            <w:tag w:val="part_7691e0c4850346bfad667891686f067c"/>
            <w:lock w:val="sdtLocked"/>
            <w:richText/>
          </w:sdtPr>
          <w:sdtContent>
            <w:p>
              <w:pPr>
                <w:ind w:firstLine="567"/>
                <w:jc w:val="both"/>
                <w:rPr>
                  <w:b/>
                  <w:szCs w:val="24"/>
                  <w:lang w:eastAsia="lt-LT"/>
                </w:rPr>
              </w:pPr>
              <w:sdt>
                <w:sdtPr>
                  <w:alias w:val="Numeris"/>
                  <w:tag w:val="nr_7691e0c4850346bfad667891686f067c"/>
                  <w:lock w:val="sdtLocked"/>
                  <w:richText/>
                </w:sdtPr>
                <w:sdtContent>
                  <w:r>
                    <w:rPr>
                      <w:b/>
                      <w:szCs w:val="24"/>
                      <w:lang w:eastAsia="lt-LT"/>
                    </w:rPr>
                    <w:t>3</w:t>
                  </w:r>
                </w:sdtContent>
              </w:sdt>
              <w:r>
                <w:rPr>
                  <w:b/>
                  <w:szCs w:val="24"/>
                  <w:lang w:eastAsia="lt-LT"/>
                </w:rPr>
                <w:t>. Mineralinių medžiagų apdirbimo pramonė:</w:t>
              </w:r>
            </w:p>
            <w:p>
              <w:pPr>
                <w:ind w:firstLine="567"/>
                <w:jc w:val="both"/>
                <w:rPr>
                  <w:b/>
                  <w:szCs w:val="24"/>
                  <w:lang w:eastAsia="lt-LT"/>
                </w:rPr>
              </w:pPr>
            </w:p>
            <w:sdt>
              <w:sdtPr>
                <w:alias w:val="1 pr. 3.1 p."/>
                <w:tag w:val="part_edb8ca78e1274dc6bac59fa09cab2c29"/>
                <w:lock w:val="sdtLocked"/>
                <w:richText/>
              </w:sdtPr>
              <w:sdtContent>
                <w:p>
                  <w:pPr>
                    <w:ind w:firstLine="567"/>
                    <w:jc w:val="both"/>
                    <w:rPr>
                      <w:szCs w:val="24"/>
                      <w:lang w:eastAsia="lt-LT"/>
                    </w:rPr>
                  </w:pPr>
                  <w:sdt>
                    <w:sdtPr>
                      <w:alias w:val="Numeris"/>
                      <w:tag w:val="nr_edb8ca78e1274dc6bac59fa09cab2c29"/>
                      <w:lock w:val="sdtLocked"/>
                      <w:richText/>
                    </w:sdtPr>
                    <w:sdtContent>
                      <w:r>
                        <w:rPr>
                          <w:szCs w:val="24"/>
                          <w:lang w:eastAsia="lt-LT"/>
                        </w:rPr>
                        <w:t>3.1</w:t>
                      </w:r>
                    </w:sdtContent>
                  </w:sdt>
                  <w:r>
                    <w:rPr>
                      <w:szCs w:val="24"/>
                      <w:lang w:eastAsia="lt-LT"/>
                    </w:rPr>
                    <w:t>. cemento, kalkių ir magnio oksido gamyba:</w:t>
                  </w:r>
                </w:p>
                <w:sdt>
                  <w:sdtPr>
                    <w:alias w:val="1 pr. 3.1.1 p."/>
                    <w:tag w:val="part_0c2422fdb7b242b9ae3405eb32a35ab3"/>
                    <w:lock w:val="sdtLocked"/>
                    <w:richText/>
                  </w:sdtPr>
                  <w:sdtContent>
                    <w:p>
                      <w:pPr>
                        <w:ind w:firstLine="567"/>
                        <w:jc w:val="both"/>
                        <w:rPr>
                          <w:szCs w:val="24"/>
                          <w:lang w:eastAsia="lt-LT"/>
                        </w:rPr>
                      </w:pPr>
                      <w:sdt>
                        <w:sdtPr>
                          <w:alias w:val="Numeris"/>
                          <w:tag w:val="nr_0c2422fdb7b242b9ae3405eb32a35ab3"/>
                          <w:lock w:val="sdtLocked"/>
                          <w:richText/>
                        </w:sdtPr>
                        <w:sdtContent>
                          <w:r>
                            <w:rPr>
                              <w:szCs w:val="24"/>
                              <w:lang w:eastAsia="lt-LT"/>
                            </w:rPr>
                            <w:t>3.1.1</w:t>
                          </w:r>
                        </w:sdtContent>
                      </w:sdt>
                      <w:r>
                        <w:rPr>
                          <w:szCs w:val="24"/>
                          <w:lang w:eastAsia="lt-LT"/>
                        </w:rPr>
                        <w:t>. cemento klinkerio gamyba rotacinėse krosnyse, kurių gamybos pajėgumas didesnis kaip 500 tonų per dieną, arba kitose krosnyse, kurių gamybos pajėgumas didesnis kaip 50 tonų per dieną;</w:t>
                      </w:r>
                    </w:p>
                  </w:sdtContent>
                </w:sdt>
                <w:sdt>
                  <w:sdtPr>
                    <w:alias w:val="1 pr. 3.1.2 p."/>
                    <w:tag w:val="part_5571c40434be44e99befe6abb903621a"/>
                    <w:lock w:val="sdtLocked"/>
                    <w:richText/>
                  </w:sdtPr>
                  <w:sdtContent>
                    <w:p>
                      <w:pPr>
                        <w:ind w:firstLine="567"/>
                        <w:jc w:val="both"/>
                        <w:rPr>
                          <w:szCs w:val="24"/>
                          <w:lang w:eastAsia="lt-LT"/>
                        </w:rPr>
                      </w:pPr>
                      <w:sdt>
                        <w:sdtPr>
                          <w:alias w:val="Numeris"/>
                          <w:tag w:val="nr_5571c40434be44e99befe6abb903621a"/>
                          <w:lock w:val="sdtLocked"/>
                          <w:richText/>
                        </w:sdtPr>
                        <w:sdtContent>
                          <w:r>
                            <w:rPr>
                              <w:szCs w:val="24"/>
                              <w:lang w:eastAsia="lt-LT"/>
                            </w:rPr>
                            <w:t>3.1.2</w:t>
                          </w:r>
                        </w:sdtContent>
                      </w:sdt>
                      <w:r>
                        <w:rPr>
                          <w:szCs w:val="24"/>
                          <w:lang w:eastAsia="lt-LT"/>
                        </w:rPr>
                        <w:t>. kalkių gamyba krosnyse, kurių gamybos pajėgumas didesnis kaip 50 tonų per dieną;</w:t>
                      </w:r>
                    </w:p>
                  </w:sdtContent>
                </w:sdt>
                <w:sdt>
                  <w:sdtPr>
                    <w:alias w:val="1 pr. 3.1.3 p."/>
                    <w:tag w:val="part_a89db4a0b3ce44a49b858266eb8614cd"/>
                    <w:lock w:val="sdtLocked"/>
                    <w:richText/>
                  </w:sdtPr>
                  <w:sdtContent>
                    <w:p>
                      <w:pPr>
                        <w:ind w:firstLine="567"/>
                        <w:jc w:val="both"/>
                        <w:rPr>
                          <w:szCs w:val="24"/>
                          <w:lang w:eastAsia="lt-LT"/>
                        </w:rPr>
                      </w:pPr>
                      <w:sdt>
                        <w:sdtPr>
                          <w:alias w:val="Numeris"/>
                          <w:tag w:val="nr_a89db4a0b3ce44a49b858266eb8614cd"/>
                          <w:lock w:val="sdtLocked"/>
                          <w:richText/>
                        </w:sdtPr>
                        <w:sdtContent>
                          <w:r>
                            <w:rPr>
                              <w:szCs w:val="24"/>
                              <w:lang w:eastAsia="lt-LT"/>
                            </w:rPr>
                            <w:t>3.1.3</w:t>
                          </w:r>
                        </w:sdtContent>
                      </w:sdt>
                      <w:r>
                        <w:rPr>
                          <w:szCs w:val="24"/>
                          <w:lang w:eastAsia="lt-LT"/>
                        </w:rPr>
                        <w:t>. magnio oksido gamyba krosnyse, kurių gamybos pajėgumas didesnis kaip 50 tonų per dieną;</w:t>
                      </w:r>
                    </w:p>
                  </w:sdtContent>
                </w:sdt>
              </w:sdtContent>
            </w:sdt>
            <w:sdt>
              <w:sdtPr>
                <w:alias w:val="1 pr. 3.2 p."/>
                <w:tag w:val="part_8e3b6b797a844f7b821954921c2b7ba8"/>
                <w:lock w:val="sdtLocked"/>
                <w:richText/>
              </w:sdtPr>
              <w:sdtContent>
                <w:p>
                  <w:pPr>
                    <w:ind w:firstLine="567"/>
                    <w:jc w:val="both"/>
                    <w:rPr>
                      <w:szCs w:val="24"/>
                      <w:lang w:eastAsia="lt-LT"/>
                    </w:rPr>
                  </w:pPr>
                  <w:sdt>
                    <w:sdtPr>
                      <w:alias w:val="Numeris"/>
                      <w:tag w:val="nr_8e3b6b797a844f7b821954921c2b7ba8"/>
                      <w:lock w:val="sdtLocked"/>
                      <w:richText/>
                    </w:sdtPr>
                    <w:sdtContent>
                      <w:r>
                        <w:rPr>
                          <w:szCs w:val="24"/>
                          <w:lang w:eastAsia="lt-LT"/>
                        </w:rPr>
                        <w:t>3.2</w:t>
                      </w:r>
                    </w:sdtContent>
                  </w:sdt>
                  <w:r>
                    <w:rPr>
                      <w:szCs w:val="24"/>
                      <w:lang w:eastAsia="lt-LT"/>
                    </w:rPr>
                    <w:t>. asbesto arba produktų iš asbesto gamyba;</w:t>
                  </w:r>
                </w:p>
              </w:sdtContent>
            </w:sdt>
            <w:sdt>
              <w:sdtPr>
                <w:alias w:val="1 pr. 3.3 p."/>
                <w:tag w:val="part_a0d014bef8f1419ca3518ffe272243d0"/>
                <w:lock w:val="sdtLocked"/>
                <w:richText/>
              </w:sdtPr>
              <w:sdtContent>
                <w:p>
                  <w:pPr>
                    <w:ind w:firstLine="567"/>
                    <w:jc w:val="both"/>
                    <w:rPr>
                      <w:szCs w:val="24"/>
                      <w:lang w:eastAsia="lt-LT"/>
                    </w:rPr>
                  </w:pPr>
                  <w:sdt>
                    <w:sdtPr>
                      <w:alias w:val="Numeris"/>
                      <w:tag w:val="nr_a0d014bef8f1419ca3518ffe272243d0"/>
                      <w:lock w:val="sdtLocked"/>
                      <w:richText/>
                    </w:sdtPr>
                    <w:sdtContent>
                      <w:r>
                        <w:rPr>
                          <w:szCs w:val="24"/>
                          <w:lang w:eastAsia="lt-LT"/>
                        </w:rPr>
                        <w:t>3.3</w:t>
                      </w:r>
                    </w:sdtContent>
                  </w:sdt>
                  <w:r>
                    <w:rPr>
                      <w:szCs w:val="24"/>
                      <w:lang w:eastAsia="lt-LT"/>
                    </w:rPr>
                    <w:t>. stiklo, įskaitant stiklo pluoštą, gamyba, kai lydymo pajėgumas didesnis kaip 20 tonų per dieną;</w:t>
                  </w:r>
                </w:p>
              </w:sdtContent>
            </w:sdt>
            <w:sdt>
              <w:sdtPr>
                <w:alias w:val="1 pr. 3.4 p."/>
                <w:tag w:val="part_625607d37173492c92310eccfb152e53"/>
                <w:lock w:val="sdtLocked"/>
                <w:richText/>
              </w:sdtPr>
              <w:sdtContent>
                <w:p>
                  <w:pPr>
                    <w:ind w:firstLine="567"/>
                    <w:jc w:val="both"/>
                    <w:rPr>
                      <w:szCs w:val="24"/>
                      <w:lang w:eastAsia="lt-LT"/>
                    </w:rPr>
                  </w:pPr>
                  <w:sdt>
                    <w:sdtPr>
                      <w:alias w:val="Numeris"/>
                      <w:tag w:val="nr_625607d37173492c92310eccfb152e53"/>
                      <w:lock w:val="sdtLocked"/>
                      <w:richText/>
                    </w:sdtPr>
                    <w:sdtContent>
                      <w:r>
                        <w:rPr>
                          <w:szCs w:val="24"/>
                          <w:lang w:eastAsia="lt-LT"/>
                        </w:rPr>
                        <w:t>3.4</w:t>
                      </w:r>
                    </w:sdtContent>
                  </w:sdt>
                  <w:r>
                    <w:rPr>
                      <w:szCs w:val="24"/>
                      <w:lang w:eastAsia="lt-LT"/>
                    </w:rPr>
                    <w:t>. mineralinių medžiagų lydymas, įskaitant mineralinio pluošto gamybą, kai lydymo pajėgumas didesnis kaip 20 tonų per dieną;</w:t>
                  </w:r>
                </w:p>
              </w:sdtContent>
            </w:sdt>
            <w:sdt>
              <w:sdtPr>
                <w:alias w:val="1 pr. 3.5 p."/>
                <w:tag w:val="part_6e77893cc1b4455ca98441d3c91a6d3d"/>
                <w:lock w:val="sdtLocked"/>
                <w:richText/>
              </w:sdtPr>
              <w:sdtContent>
                <w:p>
                  <w:pPr>
                    <w:ind w:firstLine="567"/>
                    <w:jc w:val="both"/>
                    <w:rPr>
                      <w:szCs w:val="24"/>
                      <w:lang w:eastAsia="lt-LT"/>
                    </w:rPr>
                  </w:pPr>
                  <w:sdt>
                    <w:sdtPr>
                      <w:alias w:val="Numeris"/>
                      <w:tag w:val="nr_6e77893cc1b4455ca98441d3c91a6d3d"/>
                      <w:lock w:val="sdtLocked"/>
                      <w:richText/>
                    </w:sdtPr>
                    <w:sdtContent>
                      <w:r>
                        <w:rPr>
                          <w:szCs w:val="24"/>
                          <w:lang w:eastAsia="lt-LT"/>
                        </w:rPr>
                        <w:t>3.5</w:t>
                      </w:r>
                    </w:sdtContent>
                  </w:sdt>
                  <w:r>
                    <w:rPr>
                      <w:szCs w:val="24"/>
                      <w:lang w:eastAsia="lt-LT"/>
                    </w:rPr>
                    <w:t>. keraminių gaminių gamyba degimo būdu, ypač stogų čerpių, plytų, ugniai atsparių plytų, čerpių, molio dirbinių arba porceliano, kai gamybos pajėgumas didesnis kaip 75 tonos per dieną ir (ar) kai degimo krosnies pajėgumas didesnis kaip 4 m</w:t>
                  </w:r>
                  <w:r>
                    <w:rPr>
                      <w:szCs w:val="24"/>
                      <w:vertAlign w:val="superscript"/>
                      <w:lang w:eastAsia="lt-LT"/>
                    </w:rPr>
                    <w:t>3</w:t>
                  </w:r>
                  <w:r>
                    <w:rPr>
                      <w:szCs w:val="24"/>
                      <w:lang w:eastAsia="lt-LT"/>
                    </w:rPr>
                    <w:t>, o vienos krosnies džiovinimo talpa didesnė kaip 300 kg/m</w:t>
                  </w:r>
                  <w:r>
                    <w:rPr>
                      <w:szCs w:val="24"/>
                      <w:vertAlign w:val="superscript"/>
                      <w:lang w:eastAsia="lt-LT"/>
                    </w:rPr>
                    <w:t>3</w:t>
                  </w:r>
                  <w:r>
                    <w:rPr>
                      <w:szCs w:val="24"/>
                      <w:lang w:eastAsia="lt-LT"/>
                    </w:rPr>
                    <w:t>.</w:t>
                  </w:r>
                </w:p>
                <w:p>
                  <w:pPr>
                    <w:ind w:firstLine="567"/>
                    <w:jc w:val="both"/>
                    <w:rPr>
                      <w:szCs w:val="24"/>
                      <w:lang w:eastAsia="lt-LT"/>
                    </w:rPr>
                  </w:pPr>
                </w:p>
              </w:sdtContent>
            </w:sdt>
          </w:sdtContent>
        </w:sdt>
        <w:sdt>
          <w:sdtPr>
            <w:alias w:val="1 pr. 4 p."/>
            <w:tag w:val="part_5c9237fc1834439abd16c0de9d7d5dde"/>
            <w:lock w:val="sdtLocked"/>
            <w:richText/>
          </w:sdtPr>
          <w:sdtContent>
            <w:p>
              <w:pPr>
                <w:ind w:firstLine="567"/>
                <w:jc w:val="both"/>
                <w:rPr>
                  <w:b/>
                  <w:szCs w:val="24"/>
                  <w:lang w:eastAsia="lt-LT"/>
                </w:rPr>
              </w:pPr>
              <w:sdt>
                <w:sdtPr>
                  <w:alias w:val="Numeris"/>
                  <w:tag w:val="nr_5c9237fc1834439abd16c0de9d7d5dde"/>
                  <w:lock w:val="sdtLocked"/>
                  <w:richText/>
                </w:sdtPr>
                <w:sdtContent>
                  <w:r>
                    <w:rPr>
                      <w:b/>
                      <w:szCs w:val="24"/>
                      <w:lang w:eastAsia="lt-LT"/>
                    </w:rPr>
                    <w:t>4</w:t>
                  </w:r>
                </w:sdtContent>
              </w:sdt>
              <w:r>
                <w:rPr>
                  <w:b/>
                  <w:szCs w:val="24"/>
                  <w:lang w:eastAsia="lt-LT"/>
                </w:rPr>
                <w:t>. Chemijos pramonė:</w:t>
              </w:r>
            </w:p>
            <w:p>
              <w:pPr>
                <w:ind w:firstLine="567"/>
                <w:jc w:val="both"/>
                <w:rPr>
                  <w:b/>
                  <w:szCs w:val="24"/>
                  <w:lang w:eastAsia="lt-LT"/>
                </w:rPr>
              </w:pPr>
            </w:p>
            <w:p>
              <w:pPr>
                <w:ind w:firstLine="567"/>
                <w:jc w:val="both"/>
                <w:rPr>
                  <w:szCs w:val="24"/>
                  <w:lang w:eastAsia="lt-LT"/>
                </w:rPr>
              </w:pPr>
              <w:r>
                <w:rPr>
                  <w:szCs w:val="24"/>
                  <w:lang w:eastAsia="lt-LT"/>
                </w:rPr>
                <w:t>Gamyba pagal šioje dalyje apibrėžtų veiklos rūšių kategorijas yra medžiagų arba medžiagų grupių, išvardytų šio priedo 4.1–4.6 punktuose, pramoninio masto gamyba chemiškai arba biologiškai jas perdirbant.</w:t>
              </w:r>
            </w:p>
            <w:sdt>
              <w:sdtPr>
                <w:alias w:val="4.1 p."/>
                <w:tag w:val="part_d69af65e45894ac28dd65dea766cf379"/>
                <w:lock w:val="sdtLocked"/>
                <w:richText/>
              </w:sdtPr>
              <w:sdtContent>
                <w:p>
                  <w:pPr>
                    <w:ind w:firstLine="567"/>
                    <w:jc w:val="both"/>
                    <w:rPr>
                      <w:szCs w:val="24"/>
                      <w:lang w:eastAsia="lt-LT"/>
                    </w:rPr>
                  </w:pPr>
                  <w:sdt>
                    <w:sdtPr>
                      <w:alias w:val="Numeris"/>
                      <w:tag w:val="nr_d69af65e45894ac28dd65dea766cf379"/>
                      <w:lock w:val="sdtLocked"/>
                      <w:richText/>
                    </w:sdtPr>
                    <w:sdtContent>
                      <w:r>
                        <w:rPr>
                          <w:szCs w:val="24"/>
                          <w:lang w:eastAsia="lt-LT"/>
                        </w:rPr>
                        <w:t>4.1</w:t>
                      </w:r>
                    </w:sdtContent>
                  </w:sdt>
                  <w:r>
                    <w:rPr>
                      <w:szCs w:val="24"/>
                      <w:lang w:eastAsia="lt-LT"/>
                    </w:rPr>
                    <w:t>. organinių cheminių medžiagų gamyba:</w:t>
                  </w:r>
                </w:p>
                <w:sdt>
                  <w:sdtPr>
                    <w:alias w:val="4.1.1 p."/>
                    <w:tag w:val="part_20c3118f250147acb76a2a1ec7fbd430"/>
                    <w:lock w:val="sdtLocked"/>
                    <w:richText/>
                  </w:sdtPr>
                  <w:sdtContent>
                    <w:p>
                      <w:pPr>
                        <w:ind w:firstLine="567"/>
                        <w:jc w:val="both"/>
                        <w:rPr>
                          <w:szCs w:val="24"/>
                          <w:lang w:eastAsia="lt-LT"/>
                        </w:rPr>
                      </w:pPr>
                      <w:sdt>
                        <w:sdtPr>
                          <w:alias w:val="Numeris"/>
                          <w:tag w:val="nr_20c3118f250147acb76a2a1ec7fbd430"/>
                          <w:lock w:val="sdtLocked"/>
                          <w:richText/>
                        </w:sdtPr>
                        <w:sdtContent>
                          <w:r>
                            <w:rPr>
                              <w:szCs w:val="24"/>
                              <w:lang w:eastAsia="lt-LT"/>
                            </w:rPr>
                            <w:t>4.1.1</w:t>
                          </w:r>
                        </w:sdtContent>
                      </w:sdt>
                      <w:r>
                        <w:rPr>
                          <w:szCs w:val="24"/>
                          <w:lang w:eastAsia="lt-LT"/>
                        </w:rPr>
                        <w:t>. angliavandenilių (linijinių arba ciklinių; sočiųjų arba nesočiųjų; alifatinių arba aromatinių);</w:t>
                      </w:r>
                    </w:p>
                  </w:sdtContent>
                </w:sdt>
                <w:sdt>
                  <w:sdtPr>
                    <w:alias w:val="4.1.2 p."/>
                    <w:tag w:val="part_f55d49a9ffed4a9cb9375a0f36b198ff"/>
                    <w:lock w:val="sdtLocked"/>
                    <w:richText/>
                  </w:sdtPr>
                  <w:sdtContent>
                    <w:p>
                      <w:pPr>
                        <w:ind w:firstLine="567"/>
                        <w:jc w:val="both"/>
                        <w:rPr>
                          <w:szCs w:val="24"/>
                          <w:lang w:eastAsia="lt-LT"/>
                        </w:rPr>
                      </w:pPr>
                      <w:sdt>
                        <w:sdtPr>
                          <w:alias w:val="Numeris"/>
                          <w:tag w:val="nr_f55d49a9ffed4a9cb9375a0f36b198ff"/>
                          <w:lock w:val="sdtLocked"/>
                          <w:richText/>
                        </w:sdtPr>
                        <w:sdtContent>
                          <w:r>
                            <w:rPr>
                              <w:szCs w:val="24"/>
                              <w:lang w:eastAsia="lt-LT"/>
                            </w:rPr>
                            <w:t>4.1.2</w:t>
                          </w:r>
                        </w:sdtContent>
                      </w:sdt>
                      <w:r>
                        <w:rPr>
                          <w:szCs w:val="24"/>
                          <w:lang w:eastAsia="lt-LT"/>
                        </w:rPr>
                        <w:t>. deguonies turinčių organinių junginių: alkoholio, aldehidų, ketonų, karboksirūgščių, esterių ir esterių mišinių, acetatų, eterių, peroksidų, epoksidinių dervų;</w:t>
                      </w:r>
                    </w:p>
                  </w:sdtContent>
                </w:sdt>
                <w:sdt>
                  <w:sdtPr>
                    <w:alias w:val="4.1.3 p."/>
                    <w:tag w:val="part_11b4ab0247814b9394f1b8a160fd540b"/>
                    <w:lock w:val="sdtLocked"/>
                    <w:richText/>
                  </w:sdtPr>
                  <w:sdtContent>
                    <w:p>
                      <w:pPr>
                        <w:ind w:firstLine="567"/>
                        <w:jc w:val="both"/>
                        <w:rPr>
                          <w:szCs w:val="24"/>
                          <w:lang w:eastAsia="lt-LT"/>
                        </w:rPr>
                      </w:pPr>
                      <w:sdt>
                        <w:sdtPr>
                          <w:alias w:val="Numeris"/>
                          <w:tag w:val="nr_11b4ab0247814b9394f1b8a160fd540b"/>
                          <w:lock w:val="sdtLocked"/>
                          <w:richText/>
                        </w:sdtPr>
                        <w:sdtContent>
                          <w:r>
                            <w:rPr>
                              <w:szCs w:val="24"/>
                              <w:lang w:eastAsia="lt-LT"/>
                            </w:rPr>
                            <w:t>4.1.3</w:t>
                          </w:r>
                        </w:sdtContent>
                      </w:sdt>
                      <w:r>
                        <w:rPr>
                          <w:szCs w:val="24"/>
                          <w:lang w:eastAsia="lt-LT"/>
                        </w:rPr>
                        <w:t>. sieros turinčių organinių junginių;</w:t>
                      </w:r>
                    </w:p>
                  </w:sdtContent>
                </w:sdt>
                <w:sdt>
                  <w:sdtPr>
                    <w:alias w:val="4.1.4 p."/>
                    <w:tag w:val="part_1fe03204c1fa4467bd9d4bea8aa2d29e"/>
                    <w:lock w:val="sdtLocked"/>
                    <w:richText/>
                  </w:sdtPr>
                  <w:sdtContent>
                    <w:p>
                      <w:pPr>
                        <w:ind w:firstLine="567"/>
                        <w:jc w:val="both"/>
                        <w:rPr>
                          <w:szCs w:val="24"/>
                          <w:lang w:eastAsia="lt-LT"/>
                        </w:rPr>
                      </w:pPr>
                      <w:sdt>
                        <w:sdtPr>
                          <w:alias w:val="Numeris"/>
                          <w:tag w:val="nr_1fe03204c1fa4467bd9d4bea8aa2d29e"/>
                          <w:lock w:val="sdtLocked"/>
                          <w:richText/>
                        </w:sdtPr>
                        <w:sdtContent>
                          <w:r>
                            <w:rPr>
                              <w:szCs w:val="24"/>
                              <w:lang w:eastAsia="lt-LT"/>
                            </w:rPr>
                            <w:t>4.1.4</w:t>
                          </w:r>
                        </w:sdtContent>
                      </w:sdt>
                      <w:r>
                        <w:rPr>
                          <w:szCs w:val="24"/>
                          <w:lang w:eastAsia="lt-LT"/>
                        </w:rPr>
                        <w:t>. azoto turinčių organinių junginių: aminų, amidų, nitrozo ir nitro junginių arba nitratų, nitrilų, cianatų, izocianatų;</w:t>
                      </w:r>
                    </w:p>
                  </w:sdtContent>
                </w:sdt>
                <w:sdt>
                  <w:sdtPr>
                    <w:alias w:val="4.1.5 p."/>
                    <w:tag w:val="part_1f05c1ea681a4317a4597be6c3ddfad6"/>
                    <w:lock w:val="sdtLocked"/>
                    <w:richText/>
                  </w:sdtPr>
                  <w:sdtContent>
                    <w:p>
                      <w:pPr>
                        <w:ind w:firstLine="567"/>
                        <w:jc w:val="both"/>
                        <w:rPr>
                          <w:szCs w:val="24"/>
                          <w:lang w:eastAsia="lt-LT"/>
                        </w:rPr>
                      </w:pPr>
                      <w:sdt>
                        <w:sdtPr>
                          <w:alias w:val="Numeris"/>
                          <w:tag w:val="nr_1f05c1ea681a4317a4597be6c3ddfad6"/>
                          <w:lock w:val="sdtLocked"/>
                          <w:richText/>
                        </w:sdtPr>
                        <w:sdtContent>
                          <w:r>
                            <w:rPr>
                              <w:szCs w:val="24"/>
                              <w:lang w:eastAsia="lt-LT"/>
                            </w:rPr>
                            <w:t>4.1.5</w:t>
                          </w:r>
                        </w:sdtContent>
                      </w:sdt>
                      <w:r>
                        <w:rPr>
                          <w:szCs w:val="24"/>
                          <w:lang w:eastAsia="lt-LT"/>
                        </w:rPr>
                        <w:t>. fosforo turinčių organinių junginių;</w:t>
                      </w:r>
                    </w:p>
                  </w:sdtContent>
                </w:sdt>
                <w:sdt>
                  <w:sdtPr>
                    <w:alias w:val="4.1.6 p."/>
                    <w:tag w:val="part_9d09772919f54483b6acd29c645e2521"/>
                    <w:lock w:val="sdtLocked"/>
                    <w:richText/>
                  </w:sdtPr>
                  <w:sdtContent>
                    <w:p>
                      <w:pPr>
                        <w:ind w:firstLine="567"/>
                        <w:jc w:val="both"/>
                        <w:rPr>
                          <w:szCs w:val="24"/>
                          <w:lang w:eastAsia="lt-LT"/>
                        </w:rPr>
                      </w:pPr>
                      <w:sdt>
                        <w:sdtPr>
                          <w:alias w:val="Numeris"/>
                          <w:tag w:val="nr_9d09772919f54483b6acd29c645e2521"/>
                          <w:lock w:val="sdtLocked"/>
                          <w:richText/>
                        </w:sdtPr>
                        <w:sdtContent>
                          <w:r>
                            <w:rPr>
                              <w:szCs w:val="24"/>
                              <w:lang w:eastAsia="lt-LT"/>
                            </w:rPr>
                            <w:t>4.1.6</w:t>
                          </w:r>
                        </w:sdtContent>
                      </w:sdt>
                      <w:r>
                        <w:rPr>
                          <w:szCs w:val="24"/>
                          <w:lang w:eastAsia="lt-LT"/>
                        </w:rPr>
                        <w:t>. halogenintų angliavandenilių;</w:t>
                      </w:r>
                    </w:p>
                  </w:sdtContent>
                </w:sdt>
                <w:sdt>
                  <w:sdtPr>
                    <w:alias w:val="4.1.7 p."/>
                    <w:tag w:val="part_2e505948d7944738bc03bdb67f122f61"/>
                    <w:lock w:val="sdtLocked"/>
                    <w:richText/>
                  </w:sdtPr>
                  <w:sdtContent>
                    <w:p>
                      <w:pPr>
                        <w:ind w:firstLine="567"/>
                        <w:jc w:val="both"/>
                        <w:rPr>
                          <w:szCs w:val="24"/>
                          <w:lang w:eastAsia="lt-LT"/>
                        </w:rPr>
                      </w:pPr>
                      <w:sdt>
                        <w:sdtPr>
                          <w:alias w:val="Numeris"/>
                          <w:tag w:val="nr_2e505948d7944738bc03bdb67f122f61"/>
                          <w:lock w:val="sdtLocked"/>
                          <w:richText/>
                        </w:sdtPr>
                        <w:sdtContent>
                          <w:r>
                            <w:rPr>
                              <w:szCs w:val="24"/>
                              <w:lang w:eastAsia="lt-LT"/>
                            </w:rPr>
                            <w:t>4.1.7</w:t>
                          </w:r>
                        </w:sdtContent>
                      </w:sdt>
                      <w:r>
                        <w:rPr>
                          <w:szCs w:val="24"/>
                          <w:lang w:eastAsia="lt-LT"/>
                        </w:rPr>
                        <w:t>. metalo organinių junginių;</w:t>
                      </w:r>
                    </w:p>
                  </w:sdtContent>
                </w:sdt>
                <w:sdt>
                  <w:sdtPr>
                    <w:alias w:val="4.1.8 p."/>
                    <w:tag w:val="part_401e262497ca4ae3bcb9afff4ad87921"/>
                    <w:lock w:val="sdtLocked"/>
                    <w:richText/>
                  </w:sdtPr>
                  <w:sdtContent>
                    <w:p>
                      <w:pPr>
                        <w:ind w:firstLine="567"/>
                        <w:jc w:val="both"/>
                        <w:rPr>
                          <w:szCs w:val="24"/>
                          <w:lang w:eastAsia="lt-LT"/>
                        </w:rPr>
                      </w:pPr>
                      <w:sdt>
                        <w:sdtPr>
                          <w:alias w:val="Numeris"/>
                          <w:tag w:val="nr_401e262497ca4ae3bcb9afff4ad87921"/>
                          <w:lock w:val="sdtLocked"/>
                          <w:richText/>
                        </w:sdtPr>
                        <w:sdtContent>
                          <w:r>
                            <w:rPr>
                              <w:szCs w:val="24"/>
                              <w:lang w:eastAsia="lt-LT"/>
                            </w:rPr>
                            <w:t>4.1.8</w:t>
                          </w:r>
                        </w:sdtContent>
                      </w:sdt>
                      <w:r>
                        <w:rPr>
                          <w:szCs w:val="24"/>
                          <w:lang w:eastAsia="lt-LT"/>
                        </w:rPr>
                        <w:t xml:space="preserve">. plastinių medžiagų (polimerų,  sintetinio pluošto ir pluošto, turinčio celiuliozės);</w:t>
                      </w:r>
                    </w:p>
                  </w:sdtContent>
                </w:sdt>
                <w:sdt>
                  <w:sdtPr>
                    <w:alias w:val="4.1.9 p."/>
                    <w:tag w:val="part_71766404c0db410fbd0701ba1d06b9a0"/>
                    <w:lock w:val="sdtLocked"/>
                    <w:richText/>
                  </w:sdtPr>
                  <w:sdtContent>
                    <w:p>
                      <w:pPr>
                        <w:ind w:firstLine="567"/>
                        <w:jc w:val="both"/>
                        <w:rPr>
                          <w:szCs w:val="24"/>
                          <w:lang w:eastAsia="lt-LT"/>
                        </w:rPr>
                      </w:pPr>
                      <w:sdt>
                        <w:sdtPr>
                          <w:alias w:val="Numeris"/>
                          <w:tag w:val="nr_71766404c0db410fbd0701ba1d06b9a0"/>
                          <w:lock w:val="sdtLocked"/>
                          <w:richText/>
                        </w:sdtPr>
                        <w:sdtContent>
                          <w:r>
                            <w:rPr>
                              <w:szCs w:val="24"/>
                              <w:lang w:eastAsia="lt-LT"/>
                            </w:rPr>
                            <w:t>4.1.9</w:t>
                          </w:r>
                        </w:sdtContent>
                      </w:sdt>
                      <w:r>
                        <w:rPr>
                          <w:szCs w:val="24"/>
                          <w:lang w:eastAsia="lt-LT"/>
                        </w:rPr>
                        <w:t>. sintetinio kaučiuko;</w:t>
                      </w:r>
                    </w:p>
                  </w:sdtContent>
                </w:sdt>
                <w:sdt>
                  <w:sdtPr>
                    <w:alias w:val="4.1.10 p."/>
                    <w:tag w:val="part_6d078582e15a454f98e90a08656a28a6"/>
                    <w:lock w:val="sdtLocked"/>
                    <w:richText/>
                  </w:sdtPr>
                  <w:sdtContent>
                    <w:p>
                      <w:pPr>
                        <w:ind w:firstLine="567"/>
                        <w:jc w:val="both"/>
                        <w:rPr>
                          <w:szCs w:val="24"/>
                          <w:lang w:eastAsia="lt-LT"/>
                        </w:rPr>
                      </w:pPr>
                      <w:sdt>
                        <w:sdtPr>
                          <w:alias w:val="Numeris"/>
                          <w:tag w:val="nr_6d078582e15a454f98e90a08656a28a6"/>
                          <w:lock w:val="sdtLocked"/>
                          <w:richText/>
                        </w:sdtPr>
                        <w:sdtContent>
                          <w:r>
                            <w:rPr>
                              <w:szCs w:val="24"/>
                              <w:lang w:eastAsia="lt-LT"/>
                            </w:rPr>
                            <w:t>4.1.10</w:t>
                          </w:r>
                        </w:sdtContent>
                      </w:sdt>
                      <w:r>
                        <w:rPr>
                          <w:szCs w:val="24"/>
                          <w:lang w:eastAsia="lt-LT"/>
                        </w:rPr>
                        <w:t>. dažiklių ir pigmentų;</w:t>
                      </w:r>
                    </w:p>
                  </w:sdtContent>
                </w:sdt>
                <w:sdt>
                  <w:sdtPr>
                    <w:alias w:val="4.1.11 p."/>
                    <w:tag w:val="part_29cabbd56d024ffe923e45ffc098dbe4"/>
                    <w:lock w:val="sdtLocked"/>
                    <w:richText/>
                  </w:sdtPr>
                  <w:sdtContent>
                    <w:p>
                      <w:pPr>
                        <w:ind w:firstLine="567"/>
                        <w:jc w:val="both"/>
                        <w:rPr>
                          <w:szCs w:val="24"/>
                          <w:lang w:eastAsia="lt-LT"/>
                        </w:rPr>
                      </w:pPr>
                      <w:sdt>
                        <w:sdtPr>
                          <w:alias w:val="Numeris"/>
                          <w:tag w:val="nr_29cabbd56d024ffe923e45ffc098dbe4"/>
                          <w:lock w:val="sdtLocked"/>
                          <w:richText/>
                        </w:sdtPr>
                        <w:sdtContent>
                          <w:r>
                            <w:rPr>
                              <w:szCs w:val="24"/>
                              <w:lang w:eastAsia="lt-LT"/>
                            </w:rPr>
                            <w:t>4.1.11</w:t>
                          </w:r>
                        </w:sdtContent>
                      </w:sdt>
                      <w:r>
                        <w:rPr>
                          <w:szCs w:val="24"/>
                          <w:lang w:eastAsia="lt-LT"/>
                        </w:rPr>
                        <w:t>. paviršinio aktyvumo agentų ir medžiagų;</w:t>
                      </w:r>
                    </w:p>
                  </w:sdtContent>
                </w:sdt>
              </w:sdtContent>
            </w:sdt>
            <w:sdt>
              <w:sdtPr>
                <w:alias w:val="4.2 p."/>
                <w:tag w:val="part_0c7b66928d124fcb8fa1b04dc021c3b4"/>
                <w:lock w:val="sdtLocked"/>
                <w:richText/>
              </w:sdtPr>
              <w:sdtContent>
                <w:p>
                  <w:pPr>
                    <w:ind w:firstLine="567"/>
                    <w:jc w:val="both"/>
                    <w:rPr>
                      <w:szCs w:val="24"/>
                      <w:lang w:eastAsia="lt-LT"/>
                    </w:rPr>
                  </w:pPr>
                  <w:sdt>
                    <w:sdtPr>
                      <w:alias w:val="Numeris"/>
                      <w:tag w:val="nr_0c7b66928d124fcb8fa1b04dc021c3b4"/>
                      <w:lock w:val="sdtLocked"/>
                      <w:richText/>
                    </w:sdtPr>
                    <w:sdtContent>
                      <w:r>
                        <w:rPr>
                          <w:szCs w:val="24"/>
                          <w:lang w:eastAsia="lt-LT"/>
                        </w:rPr>
                        <w:t>4.2</w:t>
                      </w:r>
                    </w:sdtContent>
                  </w:sdt>
                  <w:r>
                    <w:rPr>
                      <w:szCs w:val="24"/>
                      <w:lang w:eastAsia="lt-LT"/>
                    </w:rPr>
                    <w:t>. neorganinių cheminių medžiagų gamyba:</w:t>
                  </w:r>
                </w:p>
                <w:sdt>
                  <w:sdtPr>
                    <w:alias w:val="4.2.1 p."/>
                    <w:tag w:val="part_f2a34154d17d44f2902f5a028622685d"/>
                    <w:lock w:val="sdtLocked"/>
                    <w:richText/>
                  </w:sdtPr>
                  <w:sdtContent>
                    <w:p>
                      <w:pPr>
                        <w:ind w:firstLine="567"/>
                        <w:jc w:val="both"/>
                        <w:rPr>
                          <w:szCs w:val="24"/>
                          <w:lang w:eastAsia="lt-LT"/>
                        </w:rPr>
                      </w:pPr>
                      <w:sdt>
                        <w:sdtPr>
                          <w:alias w:val="Numeris"/>
                          <w:tag w:val="nr_f2a34154d17d44f2902f5a028622685d"/>
                          <w:lock w:val="sdtLocked"/>
                          <w:richText/>
                        </w:sdtPr>
                        <w:sdtContent>
                          <w:r>
                            <w:rPr>
                              <w:szCs w:val="24"/>
                              <w:lang w:eastAsia="lt-LT"/>
                            </w:rPr>
                            <w:t>4.2.1</w:t>
                          </w:r>
                        </w:sdtContent>
                      </w:sdt>
                      <w:r>
                        <w:rPr>
                          <w:szCs w:val="24"/>
                          <w:lang w:eastAsia="lt-LT"/>
                        </w:rPr>
                        <w:t>. dujų – amoniako, chloro arba vandenilio chlorido, fluoro arba vandenilio fluorido, anglies oksido, sieros turinčių junginių, azoto oksidų, vandenilio, sieros dioksido, karbonilo chlorido (fosgeno);</w:t>
                      </w:r>
                    </w:p>
                  </w:sdtContent>
                </w:sdt>
                <w:sdt>
                  <w:sdtPr>
                    <w:alias w:val="4.2.2 p."/>
                    <w:tag w:val="part_5a7c435000e04f1e892b48c787f60fa3"/>
                    <w:lock w:val="sdtLocked"/>
                    <w:richText/>
                  </w:sdtPr>
                  <w:sdtContent>
                    <w:p>
                      <w:pPr>
                        <w:ind w:firstLine="567"/>
                        <w:jc w:val="both"/>
                        <w:rPr>
                          <w:szCs w:val="24"/>
                          <w:lang w:eastAsia="lt-LT"/>
                        </w:rPr>
                      </w:pPr>
                      <w:sdt>
                        <w:sdtPr>
                          <w:alias w:val="Numeris"/>
                          <w:tag w:val="nr_5a7c435000e04f1e892b48c787f60fa3"/>
                          <w:lock w:val="sdtLocked"/>
                          <w:richText/>
                        </w:sdtPr>
                        <w:sdtContent>
                          <w:r>
                            <w:rPr>
                              <w:szCs w:val="24"/>
                              <w:lang w:eastAsia="lt-LT"/>
                            </w:rPr>
                            <w:t>4.2.2</w:t>
                          </w:r>
                        </w:sdtContent>
                      </w:sdt>
                      <w:r>
                        <w:rPr>
                          <w:szCs w:val="24"/>
                          <w:lang w:eastAsia="lt-LT"/>
                        </w:rPr>
                        <w:t xml:space="preserve">. rūgščių – chromo rūgšties, fluoro vandenilio rūgšties, fosforo rūgšties, azoto rūgšties, druskos rūgšties, sieros rūgšties, oleumo, sulfitinių rūgščių; </w:t>
                      </w:r>
                    </w:p>
                  </w:sdtContent>
                </w:sdt>
                <w:sdt>
                  <w:sdtPr>
                    <w:alias w:val="4.2.3 p."/>
                    <w:tag w:val="part_3cb5b70135c847059a6be2b2a96ed87b"/>
                    <w:lock w:val="sdtLocked"/>
                    <w:richText/>
                  </w:sdtPr>
                  <w:sdtContent>
                    <w:p>
                      <w:pPr>
                        <w:ind w:firstLine="567"/>
                        <w:jc w:val="both"/>
                        <w:rPr>
                          <w:szCs w:val="24"/>
                          <w:lang w:eastAsia="lt-LT"/>
                        </w:rPr>
                      </w:pPr>
                      <w:sdt>
                        <w:sdtPr>
                          <w:alias w:val="Numeris"/>
                          <w:tag w:val="nr_3cb5b70135c847059a6be2b2a96ed87b"/>
                          <w:lock w:val="sdtLocked"/>
                          <w:richText/>
                        </w:sdtPr>
                        <w:sdtContent>
                          <w:r>
                            <w:rPr>
                              <w:szCs w:val="24"/>
                              <w:lang w:eastAsia="lt-LT"/>
                            </w:rPr>
                            <w:t>4.2.3</w:t>
                          </w:r>
                        </w:sdtContent>
                      </w:sdt>
                      <w:r>
                        <w:rPr>
                          <w:szCs w:val="24"/>
                          <w:lang w:eastAsia="lt-LT"/>
                        </w:rPr>
                        <w:t>. bazių – amonio hidroksido, kalio hidroksido, natrio hidroksido;</w:t>
                      </w:r>
                    </w:p>
                  </w:sdtContent>
                </w:sdt>
                <w:sdt>
                  <w:sdtPr>
                    <w:alias w:val="4.2.4 p."/>
                    <w:tag w:val="part_bf17f7024a4f482d97a5b606a4f17fcf"/>
                    <w:lock w:val="sdtLocked"/>
                    <w:richText/>
                  </w:sdtPr>
                  <w:sdtContent>
                    <w:p>
                      <w:pPr>
                        <w:ind w:firstLine="567"/>
                        <w:jc w:val="both"/>
                        <w:rPr>
                          <w:szCs w:val="24"/>
                          <w:lang w:eastAsia="lt-LT"/>
                        </w:rPr>
                      </w:pPr>
                      <w:sdt>
                        <w:sdtPr>
                          <w:alias w:val="Numeris"/>
                          <w:tag w:val="nr_bf17f7024a4f482d97a5b606a4f17fcf"/>
                          <w:lock w:val="sdtLocked"/>
                          <w:richText/>
                        </w:sdtPr>
                        <w:sdtContent>
                          <w:r>
                            <w:rPr>
                              <w:szCs w:val="24"/>
                              <w:lang w:eastAsia="lt-LT"/>
                            </w:rPr>
                            <w:t>4.2.4</w:t>
                          </w:r>
                        </w:sdtContent>
                      </w:sdt>
                      <w:r>
                        <w:rPr>
                          <w:szCs w:val="24"/>
                          <w:lang w:eastAsia="lt-LT"/>
                        </w:rPr>
                        <w:t>. druskos – amonio chlorido, kalio chlorato, kalio karbonato, natrio karbonato, perborato, sidabro nitrato;</w:t>
                      </w:r>
                    </w:p>
                  </w:sdtContent>
                </w:sdt>
                <w:sdt>
                  <w:sdtPr>
                    <w:alias w:val="4.2.5 p."/>
                    <w:tag w:val="part_222501559d52455ebead84fd3bf038ee"/>
                    <w:lock w:val="sdtLocked"/>
                    <w:richText/>
                  </w:sdtPr>
                  <w:sdtContent>
                    <w:p>
                      <w:pPr>
                        <w:ind w:firstLine="567"/>
                        <w:jc w:val="both"/>
                        <w:rPr>
                          <w:szCs w:val="24"/>
                          <w:lang w:eastAsia="lt-LT"/>
                        </w:rPr>
                      </w:pPr>
                      <w:sdt>
                        <w:sdtPr>
                          <w:alias w:val="Numeris"/>
                          <w:tag w:val="nr_222501559d52455ebead84fd3bf038ee"/>
                          <w:lock w:val="sdtLocked"/>
                          <w:richText/>
                        </w:sdtPr>
                        <w:sdtContent>
                          <w:r>
                            <w:rPr>
                              <w:szCs w:val="24"/>
                              <w:lang w:eastAsia="lt-LT"/>
                            </w:rPr>
                            <w:t>4.2.5</w:t>
                          </w:r>
                        </w:sdtContent>
                      </w:sdt>
                      <w:r>
                        <w:rPr>
                          <w:szCs w:val="24"/>
                          <w:lang w:eastAsia="lt-LT"/>
                        </w:rPr>
                        <w:t xml:space="preserve"> ne metalų, metalo oksidų arba kitų neorganinių junginių – kalcio karbido, silicio, silicio karbido;</w:t>
                      </w:r>
                    </w:p>
                  </w:sdtContent>
                </w:sdt>
              </w:sdtContent>
            </w:sdt>
            <w:sdt>
              <w:sdtPr>
                <w:alias w:val="4.3 p."/>
                <w:tag w:val="part_45feb486b5a748c097f0fcdf35344c1b"/>
                <w:lock w:val="sdtLocked"/>
                <w:richText/>
              </w:sdtPr>
              <w:sdtContent>
                <w:p>
                  <w:pPr>
                    <w:ind w:firstLine="567"/>
                    <w:jc w:val="both"/>
                    <w:rPr>
                      <w:szCs w:val="24"/>
                      <w:lang w:eastAsia="lt-LT"/>
                    </w:rPr>
                  </w:pPr>
                  <w:sdt>
                    <w:sdtPr>
                      <w:alias w:val="Numeris"/>
                      <w:tag w:val="nr_45feb486b5a748c097f0fcdf35344c1b"/>
                      <w:lock w:val="sdtLocked"/>
                      <w:richText/>
                    </w:sdtPr>
                    <w:sdtContent>
                      <w:r>
                        <w:rPr>
                          <w:szCs w:val="24"/>
                          <w:lang w:eastAsia="lt-LT"/>
                        </w:rPr>
                        <w:t>4.3</w:t>
                      </w:r>
                    </w:sdtContent>
                  </w:sdt>
                  <w:r>
                    <w:rPr>
                      <w:szCs w:val="24"/>
                      <w:lang w:eastAsia="lt-LT"/>
                    </w:rPr>
                    <w:t>. fosforo, azoto arba kalio trąšų (paprastų ar kompleksinių) gamyba;</w:t>
                  </w:r>
                </w:p>
              </w:sdtContent>
            </w:sdt>
            <w:sdt>
              <w:sdtPr>
                <w:alias w:val="4.4 p."/>
                <w:tag w:val="part_38fa5c5da9c649abbdfdf2488fbf97bb"/>
                <w:lock w:val="sdtLocked"/>
                <w:richText/>
              </w:sdtPr>
              <w:sdtContent>
                <w:p>
                  <w:pPr>
                    <w:ind w:firstLine="567"/>
                    <w:jc w:val="both"/>
                    <w:rPr>
                      <w:szCs w:val="24"/>
                      <w:lang w:eastAsia="lt-LT"/>
                    </w:rPr>
                  </w:pPr>
                  <w:sdt>
                    <w:sdtPr>
                      <w:alias w:val="Numeris"/>
                      <w:tag w:val="nr_38fa5c5da9c649abbdfdf2488fbf97bb"/>
                      <w:lock w:val="sdtLocked"/>
                      <w:richText/>
                    </w:sdtPr>
                    <w:sdtContent>
                      <w:r>
                        <w:rPr>
                          <w:szCs w:val="24"/>
                          <w:lang w:eastAsia="lt-LT"/>
                        </w:rPr>
                        <w:t>4.4</w:t>
                      </w:r>
                    </w:sdtContent>
                  </w:sdt>
                  <w:r>
                    <w:rPr>
                      <w:szCs w:val="24"/>
                      <w:lang w:eastAsia="lt-LT"/>
                    </w:rPr>
                    <w:t>. augalų apsaugos produktų arba biocidų gamyba;</w:t>
                  </w:r>
                </w:p>
              </w:sdtContent>
            </w:sdt>
            <w:sdt>
              <w:sdtPr>
                <w:alias w:val="4.5 p."/>
                <w:tag w:val="part_c56e700971d24102bbfd651ea848fcea"/>
                <w:lock w:val="sdtLocked"/>
                <w:richText/>
              </w:sdtPr>
              <w:sdtContent>
                <w:p>
                  <w:pPr>
                    <w:ind w:firstLine="567"/>
                    <w:jc w:val="both"/>
                    <w:rPr>
                      <w:szCs w:val="24"/>
                      <w:lang w:eastAsia="lt-LT"/>
                    </w:rPr>
                  </w:pPr>
                  <w:sdt>
                    <w:sdtPr>
                      <w:alias w:val="Numeris"/>
                      <w:tag w:val="nr_c56e700971d24102bbfd651ea848fcea"/>
                      <w:lock w:val="sdtLocked"/>
                      <w:richText/>
                    </w:sdtPr>
                    <w:sdtContent>
                      <w:r>
                        <w:rPr>
                          <w:szCs w:val="24"/>
                          <w:lang w:eastAsia="lt-LT"/>
                        </w:rPr>
                        <w:t>4.5</w:t>
                      </w:r>
                    </w:sdtContent>
                  </w:sdt>
                  <w:r>
                    <w:rPr>
                      <w:szCs w:val="24"/>
                      <w:lang w:eastAsia="lt-LT"/>
                    </w:rPr>
                    <w:t>. farmacijos produktų, įskaitant tarpinius produktus, gamyba;</w:t>
                  </w:r>
                </w:p>
              </w:sdtContent>
            </w:sdt>
            <w:sdt>
              <w:sdtPr>
                <w:alias w:val="4.6 p."/>
                <w:tag w:val="part_636de194aa3b486f9b55a7a212b37aaf"/>
                <w:lock w:val="sdtLocked"/>
                <w:richText/>
              </w:sdtPr>
              <w:sdtContent>
                <w:p>
                  <w:pPr>
                    <w:ind w:firstLine="567"/>
                    <w:jc w:val="both"/>
                    <w:rPr>
                      <w:b/>
                      <w:szCs w:val="24"/>
                      <w:lang w:eastAsia="lt-LT"/>
                    </w:rPr>
                  </w:pPr>
                  <w:sdt>
                    <w:sdtPr>
                      <w:alias w:val="Numeris"/>
                      <w:tag w:val="nr_636de194aa3b486f9b55a7a212b37aaf"/>
                      <w:lock w:val="sdtLocked"/>
                      <w:richText/>
                    </w:sdtPr>
                    <w:sdtContent>
                      <w:r>
                        <w:rPr>
                          <w:szCs w:val="24"/>
                          <w:lang w:eastAsia="lt-LT"/>
                        </w:rPr>
                        <w:t>4.6</w:t>
                      </w:r>
                    </w:sdtContent>
                  </w:sdt>
                  <w:r>
                    <w:rPr>
                      <w:szCs w:val="24"/>
                      <w:lang w:eastAsia="lt-LT"/>
                    </w:rPr>
                    <w:t>. sprogmenų gamyba.</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sdtContent>
        </w:sdt>
        <w:sdt>
          <w:sdtPr>
            <w:alias w:val="1 pr. 5 p."/>
            <w:tag w:val="part_e8bc33bc4fa24d26b1cd2952d075a3a5"/>
            <w:lock w:val="sdtLocked"/>
            <w:richText/>
          </w:sdtPr>
          <w:sdtContent>
            <w:p>
              <w:pPr>
                <w:ind w:firstLine="567"/>
                <w:jc w:val="both"/>
                <w:rPr>
                  <w:b/>
                  <w:szCs w:val="24"/>
                  <w:lang w:eastAsia="lt-LT"/>
                </w:rPr>
              </w:pPr>
              <w:sdt>
                <w:sdtPr>
                  <w:alias w:val="Numeris"/>
                  <w:tag w:val="nr_e8bc33bc4fa24d26b1cd2952d075a3a5"/>
                  <w:lock w:val="sdtLocked"/>
                  <w:richText/>
                </w:sdtPr>
                <w:sdtContent>
                  <w:r>
                    <w:rPr>
                      <w:b/>
                      <w:szCs w:val="24"/>
                      <w:lang w:eastAsia="lt-LT"/>
                    </w:rPr>
                    <w:t>5</w:t>
                  </w:r>
                </w:sdtContent>
              </w:sdt>
              <w:r>
                <w:rPr>
                  <w:b/>
                  <w:szCs w:val="24"/>
                  <w:lang w:eastAsia="lt-LT"/>
                </w:rPr>
                <w:t>. Atliekų tvarkymas:</w:t>
              </w:r>
            </w:p>
            <w:p>
              <w:pPr>
                <w:ind w:firstLine="567"/>
                <w:jc w:val="both"/>
                <w:rPr>
                  <w:szCs w:val="24"/>
                  <w:lang w:eastAsia="ar-SA"/>
                </w:rPr>
              </w:pPr>
            </w:p>
            <w:sdt>
              <w:sdtPr>
                <w:alias w:val="1 pr. 5.1 p."/>
                <w:tag w:val="part_71204f97c1614825be3f857dd4b8b907"/>
                <w:lock w:val="sdtLocked"/>
                <w:richText/>
              </w:sdtPr>
              <w:sdtContent>
                <w:p>
                  <w:pPr>
                    <w:ind w:firstLine="567"/>
                    <w:jc w:val="both"/>
                    <w:rPr>
                      <w:szCs w:val="24"/>
                      <w:lang w:eastAsia="ar-SA"/>
                    </w:rPr>
                  </w:pPr>
                  <w:sdt>
                    <w:sdtPr>
                      <w:alias w:val="Numeris"/>
                      <w:tag w:val="nr_71204f97c1614825be3f857dd4b8b907"/>
                      <w:lock w:val="sdtLocked"/>
                      <w:richText/>
                    </w:sdtPr>
                    <w:sdtContent>
                      <w:r>
                        <w:rPr>
                          <w:szCs w:val="24"/>
                          <w:lang w:eastAsia="ar-SA"/>
                        </w:rPr>
                        <w:t>5.1</w:t>
                      </w:r>
                    </w:sdtContent>
                  </w:sdt>
                  <w:r>
                    <w:rPr>
                      <w:szCs w:val="24"/>
                      <w:lang w:eastAsia="ar-SA"/>
                    </w:rPr>
                    <w:t xml:space="preserve">. </w:t>
                  </w:r>
                  <w:r>
                    <w:rPr>
                      <w:szCs w:val="24"/>
                      <w:lang w:eastAsia="lt-LT"/>
                    </w:rPr>
                    <w:t>pavojingųjų atliekų šalinimas arba naudojimas, kai pajėgumas didesnis kaip 10 tonų per dieną, apimantis vieną ar daugiau šių veiklos rūšių</w:t>
                  </w:r>
                  <w:r>
                    <w:rPr>
                      <w:szCs w:val="24"/>
                      <w:lang w:eastAsia="ar-SA"/>
                    </w:rPr>
                    <w:t>:</w:t>
                  </w:r>
                </w:p>
                <w:sdt>
                  <w:sdtPr>
                    <w:alias w:val="5.1.1 p."/>
                    <w:tag w:val="part_7efa53713ff447148a1f1b8d8221c156"/>
                    <w:lock w:val="sdtLocked"/>
                    <w:richText/>
                  </w:sdtPr>
                  <w:sdtContent>
                    <w:p>
                      <w:pPr>
                        <w:ind w:firstLine="567"/>
                        <w:jc w:val="both"/>
                        <w:rPr>
                          <w:szCs w:val="24"/>
                          <w:lang w:eastAsia="ar-SA"/>
                        </w:rPr>
                      </w:pPr>
                      <w:sdt>
                        <w:sdtPr>
                          <w:alias w:val="Numeris"/>
                          <w:tag w:val="nr_7efa53713ff447148a1f1b8d8221c156"/>
                          <w:lock w:val="sdtLocked"/>
                          <w:richText/>
                        </w:sdtPr>
                        <w:sdtContent>
                          <w:r>
                            <w:rPr>
                              <w:szCs w:val="24"/>
                              <w:lang w:eastAsia="ar-SA"/>
                            </w:rPr>
                            <w:t>5.1.1</w:t>
                          </w:r>
                        </w:sdtContent>
                      </w:sdt>
                      <w:r>
                        <w:rPr>
                          <w:szCs w:val="24"/>
                          <w:lang w:eastAsia="ar-SA"/>
                        </w:rPr>
                        <w:t>. biologinį apdorojimą;</w:t>
                      </w:r>
                    </w:p>
                  </w:sdtContent>
                </w:sdt>
                <w:sdt>
                  <w:sdtPr>
                    <w:alias w:val="5.1.2 p."/>
                    <w:tag w:val="part_1145c506f85844a49fd260ecbdfdb5cd"/>
                    <w:lock w:val="sdtLocked"/>
                    <w:richText/>
                  </w:sdtPr>
                  <w:sdtContent>
                    <w:p>
                      <w:pPr>
                        <w:ind w:firstLine="567"/>
                        <w:jc w:val="both"/>
                        <w:rPr>
                          <w:szCs w:val="24"/>
                          <w:lang w:eastAsia="ar-SA"/>
                        </w:rPr>
                      </w:pPr>
                      <w:sdt>
                        <w:sdtPr>
                          <w:alias w:val="Numeris"/>
                          <w:tag w:val="nr_1145c506f85844a49fd260ecbdfdb5cd"/>
                          <w:lock w:val="sdtLocked"/>
                          <w:richText/>
                        </w:sdtPr>
                        <w:sdtContent>
                          <w:r>
                            <w:rPr>
                              <w:szCs w:val="24"/>
                              <w:lang w:eastAsia="ar-SA"/>
                            </w:rPr>
                            <w:t>5.1.2</w:t>
                          </w:r>
                        </w:sdtContent>
                      </w:sdt>
                      <w:r>
                        <w:rPr>
                          <w:szCs w:val="24"/>
                          <w:lang w:eastAsia="ar-SA"/>
                        </w:rPr>
                        <w:t>. fizikinį cheminį apdorojimą;</w:t>
                      </w:r>
                    </w:p>
                  </w:sdtContent>
                </w:sdt>
                <w:sdt>
                  <w:sdtPr>
                    <w:alias w:val="1 pr. 5.1.3 p."/>
                    <w:tag w:val="part_58b127d78f7f41e280e73cbf4bba67d0"/>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Cs w:val="24"/>
                          <w:lang w:eastAsia="ar-SA"/>
                        </w:rPr>
                      </w:pPr>
                      <w:sdt>
                        <w:sdtPr>
                          <w:alias w:val="Numeris"/>
                          <w:tag w:val="nr_58b127d78f7f41e280e73cbf4bba67d0"/>
                          <w:lock w:val="sdtLocked"/>
                          <w:richText/>
                        </w:sdtPr>
                        <w:sdtContent>
                          <w:r>
                            <w:rPr>
                              <w:rFonts w:eastAsia="Franklin Gothic Book"/>
                              <w:spacing w:val="-4"/>
                              <w:szCs w:val="24"/>
                              <w:lang w:eastAsia="ar-SA"/>
                            </w:rPr>
                            <w:t>5.1.3</w:t>
                          </w:r>
                        </w:sdtContent>
                      </w:sdt>
                      <w:r>
                        <w:rPr>
                          <w:rFonts w:eastAsia="Franklin Gothic Book"/>
                          <w:spacing w:val="-4"/>
                          <w:szCs w:val="24"/>
                          <w:lang w:eastAsia="ar-SA"/>
                        </w:rPr>
                        <w:t>. sumaišymą arba maišymą prieš perduodant vykdyti bet kurią kitą šio priedo 5.1 ir 5.2 papunkčiuose išvardintų rūšių veiklą;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1 pr. 5.1.4 p."/>
                    <w:tag w:val="part_a9c8bb037d4a46f8ab02aed51393f575"/>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Cs w:val="24"/>
                          <w:lang w:eastAsia="ar-SA"/>
                        </w:rPr>
                      </w:pPr>
                      <w:sdt>
                        <w:sdtPr>
                          <w:alias w:val="Numeris"/>
                          <w:tag w:val="nr_a9c8bb037d4a46f8ab02aed51393f575"/>
                          <w:lock w:val="sdtLocked"/>
                          <w:richText/>
                        </w:sdtPr>
                        <w:sdtContent>
                          <w:r>
                            <w:rPr>
                              <w:rFonts w:eastAsia="Franklin Gothic Book"/>
                              <w:spacing w:val="-4"/>
                              <w:szCs w:val="24"/>
                              <w:lang w:eastAsia="ar-SA"/>
                            </w:rPr>
                            <w:t>5.1.4</w:t>
                          </w:r>
                        </w:sdtContent>
                      </w:sdt>
                      <w:r>
                        <w:rPr>
                          <w:rFonts w:eastAsia="Franklin Gothic Book"/>
                          <w:spacing w:val="-4"/>
                          <w:szCs w:val="24"/>
                          <w:lang w:eastAsia="ar-SA"/>
                        </w:rPr>
                        <w:t>. perpakavimą prieš perduodant vykdyti bet kurią kitą šio priedo 5.1 ir 5.2 papunkčiuose išvardintų rūšių veiklą;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5.1.5 p."/>
                    <w:tag w:val="part_854fc225175d443f8e2880ba864067d1"/>
                    <w:lock w:val="sdtLocked"/>
                    <w:richText/>
                  </w:sdtPr>
                  <w:sdtContent>
                    <w:p>
                      <w:pPr>
                        <w:ind w:firstLine="567"/>
                        <w:jc w:val="both"/>
                        <w:rPr>
                          <w:szCs w:val="24"/>
                          <w:lang w:eastAsia="ar-SA"/>
                        </w:rPr>
                      </w:pPr>
                      <w:sdt>
                        <w:sdtPr>
                          <w:alias w:val="Numeris"/>
                          <w:tag w:val="nr_854fc225175d443f8e2880ba864067d1"/>
                          <w:lock w:val="sdtLocked"/>
                          <w:richText/>
                        </w:sdtPr>
                        <w:sdtContent>
                          <w:r>
                            <w:rPr>
                              <w:szCs w:val="24"/>
                              <w:lang w:eastAsia="ar-SA"/>
                            </w:rPr>
                            <w:t>5.1.5</w:t>
                          </w:r>
                        </w:sdtContent>
                      </w:sdt>
                      <w:r>
                        <w:rPr>
                          <w:szCs w:val="24"/>
                          <w:lang w:eastAsia="ar-SA"/>
                        </w:rPr>
                        <w:t>. tirpiklių atnaujinimą ir (ar) regeneravimą;</w:t>
                      </w:r>
                    </w:p>
                  </w:sdtContent>
                </w:sdt>
                <w:sdt>
                  <w:sdtPr>
                    <w:alias w:val="5.1.6 p."/>
                    <w:tag w:val="part_79cdf0e30fa94f6e929b7d2d402a02b0"/>
                    <w:lock w:val="sdtLocked"/>
                    <w:richText/>
                  </w:sdtPr>
                  <w:sdtContent>
                    <w:p>
                      <w:pPr>
                        <w:ind w:firstLine="567"/>
                        <w:jc w:val="both"/>
                        <w:rPr>
                          <w:szCs w:val="24"/>
                          <w:lang w:eastAsia="ar-SA"/>
                        </w:rPr>
                      </w:pPr>
                      <w:sdt>
                        <w:sdtPr>
                          <w:alias w:val="Numeris"/>
                          <w:tag w:val="nr_79cdf0e30fa94f6e929b7d2d402a02b0"/>
                          <w:lock w:val="sdtLocked"/>
                          <w:richText/>
                        </w:sdtPr>
                        <w:sdtContent>
                          <w:r>
                            <w:rPr>
                              <w:szCs w:val="24"/>
                              <w:lang w:eastAsia="ar-SA"/>
                            </w:rPr>
                            <w:t>5.1.6</w:t>
                          </w:r>
                        </w:sdtContent>
                      </w:sdt>
                      <w:r>
                        <w:rPr>
                          <w:szCs w:val="24"/>
                          <w:lang w:eastAsia="ar-SA"/>
                        </w:rPr>
                        <w:t>. neorganinių medžiagų, išskyrus metalus arba metalo junginius, perdirbimą ir (ar) atnaujinimą;</w:t>
                      </w:r>
                    </w:p>
                  </w:sdtContent>
                </w:sdt>
                <w:sdt>
                  <w:sdtPr>
                    <w:alias w:val="5.1.7 p."/>
                    <w:tag w:val="part_60d7791b68d74c599e8c0a0e618caa3e"/>
                    <w:lock w:val="sdtLocked"/>
                    <w:richText/>
                  </w:sdtPr>
                  <w:sdtContent>
                    <w:p>
                      <w:pPr>
                        <w:ind w:firstLine="567"/>
                        <w:jc w:val="both"/>
                        <w:rPr>
                          <w:szCs w:val="24"/>
                          <w:lang w:eastAsia="ar-SA"/>
                        </w:rPr>
                      </w:pPr>
                      <w:sdt>
                        <w:sdtPr>
                          <w:alias w:val="Numeris"/>
                          <w:tag w:val="nr_60d7791b68d74c599e8c0a0e618caa3e"/>
                          <w:lock w:val="sdtLocked"/>
                          <w:richText/>
                        </w:sdtPr>
                        <w:sdtContent>
                          <w:r>
                            <w:rPr>
                              <w:szCs w:val="24"/>
                              <w:lang w:eastAsia="ar-SA"/>
                            </w:rPr>
                            <w:t>5.1.7</w:t>
                          </w:r>
                        </w:sdtContent>
                      </w:sdt>
                      <w:r>
                        <w:rPr>
                          <w:szCs w:val="24"/>
                          <w:lang w:eastAsia="ar-SA"/>
                        </w:rPr>
                        <w:t>. rūgščių arba bazių regeneravimą;</w:t>
                      </w:r>
                    </w:p>
                  </w:sdtContent>
                </w:sdt>
                <w:sdt>
                  <w:sdtPr>
                    <w:alias w:val="5.1.8 p."/>
                    <w:tag w:val="part_d41230de532d4049a71fdfd2fb299661"/>
                    <w:lock w:val="sdtLocked"/>
                    <w:richText/>
                  </w:sdtPr>
                  <w:sdtContent>
                    <w:p>
                      <w:pPr>
                        <w:ind w:firstLine="567"/>
                        <w:jc w:val="both"/>
                        <w:rPr>
                          <w:szCs w:val="24"/>
                          <w:lang w:eastAsia="ar-SA"/>
                        </w:rPr>
                      </w:pPr>
                      <w:sdt>
                        <w:sdtPr>
                          <w:alias w:val="Numeris"/>
                          <w:tag w:val="nr_d41230de532d4049a71fdfd2fb299661"/>
                          <w:lock w:val="sdtLocked"/>
                          <w:richText/>
                        </w:sdtPr>
                        <w:sdtContent>
                          <w:r>
                            <w:rPr>
                              <w:szCs w:val="24"/>
                              <w:lang w:eastAsia="ar-SA"/>
                            </w:rPr>
                            <w:t>5.1.8</w:t>
                          </w:r>
                        </w:sdtContent>
                      </w:sdt>
                      <w:r>
                        <w:rPr>
                          <w:szCs w:val="24"/>
                          <w:lang w:eastAsia="ar-SA"/>
                        </w:rPr>
                        <w:t>. taršai mažinti skirtų sudėtinių dalių naudojimą;</w:t>
                      </w:r>
                    </w:p>
                  </w:sdtContent>
                </w:sdt>
                <w:sdt>
                  <w:sdtPr>
                    <w:alias w:val="5.1.9 p."/>
                    <w:tag w:val="part_7b4dad4f294a41b0981ddcd3080dca1d"/>
                    <w:lock w:val="sdtLocked"/>
                    <w:richText/>
                  </w:sdtPr>
                  <w:sdtContent>
                    <w:p>
                      <w:pPr>
                        <w:ind w:firstLine="567"/>
                        <w:jc w:val="both"/>
                        <w:rPr>
                          <w:szCs w:val="24"/>
                          <w:lang w:eastAsia="ar-SA"/>
                        </w:rPr>
                      </w:pPr>
                      <w:sdt>
                        <w:sdtPr>
                          <w:alias w:val="Numeris"/>
                          <w:tag w:val="nr_7b4dad4f294a41b0981ddcd3080dca1d"/>
                          <w:lock w:val="sdtLocked"/>
                          <w:richText/>
                        </w:sdtPr>
                        <w:sdtContent>
                          <w:r>
                            <w:rPr>
                              <w:szCs w:val="24"/>
                              <w:lang w:eastAsia="ar-SA"/>
                            </w:rPr>
                            <w:t>5.1.9</w:t>
                          </w:r>
                        </w:sdtContent>
                      </w:sdt>
                      <w:r>
                        <w:rPr>
                          <w:szCs w:val="24"/>
                          <w:lang w:eastAsia="ar-SA"/>
                        </w:rPr>
                        <w:t>. katalizatorių sudėtinių dalių naudojimą;</w:t>
                      </w:r>
                    </w:p>
                  </w:sdtContent>
                </w:sdt>
                <w:sdt>
                  <w:sdtPr>
                    <w:alias w:val="5.1.10 p."/>
                    <w:tag w:val="part_2013d66e3a914de599d7b2d655245a8b"/>
                    <w:lock w:val="sdtLocked"/>
                    <w:richText/>
                  </w:sdtPr>
                  <w:sdtContent>
                    <w:p>
                      <w:pPr>
                        <w:ind w:firstLine="567"/>
                        <w:jc w:val="both"/>
                        <w:rPr>
                          <w:szCs w:val="24"/>
                          <w:lang w:eastAsia="ar-SA"/>
                        </w:rPr>
                      </w:pPr>
                      <w:sdt>
                        <w:sdtPr>
                          <w:alias w:val="Numeris"/>
                          <w:tag w:val="nr_2013d66e3a914de599d7b2d655245a8b"/>
                          <w:lock w:val="sdtLocked"/>
                          <w:richText/>
                        </w:sdtPr>
                        <w:sdtContent>
                          <w:r>
                            <w:rPr>
                              <w:szCs w:val="24"/>
                              <w:lang w:eastAsia="ar-SA"/>
                            </w:rPr>
                            <w:t>5.1.10</w:t>
                          </w:r>
                        </w:sdtContent>
                      </w:sdt>
                      <w:r>
                        <w:rPr>
                          <w:szCs w:val="24"/>
                          <w:lang w:eastAsia="ar-SA"/>
                        </w:rPr>
                        <w:t>. pakartotinį naftos rafinavimą arba kitokį pakartotinį naftos produktų naudojimą;</w:t>
                      </w:r>
                    </w:p>
                  </w:sdtContent>
                </w:sdt>
                <w:sdt>
                  <w:sdtPr>
                    <w:alias w:val="1 pr. 5.1.11 p."/>
                    <w:tag w:val="part_52f7fb3cf70b42b29e12fcdd1f8089be"/>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Cs w:val="24"/>
                          <w:lang w:eastAsia="ar-SA"/>
                        </w:rPr>
                      </w:pPr>
                      <w:sdt>
                        <w:sdtPr>
                          <w:alias w:val="Numeris"/>
                          <w:tag w:val="nr_52f7fb3cf70b42b29e12fcdd1f8089be"/>
                          <w:lock w:val="sdtLocked"/>
                          <w:richText/>
                        </w:sdtPr>
                        <w:sdtContent>
                          <w:r>
                            <w:rPr>
                              <w:rFonts w:eastAsia="Franklin Gothic Book"/>
                              <w:spacing w:val="-4"/>
                              <w:szCs w:val="24"/>
                              <w:lang w:eastAsia="ar-SA"/>
                            </w:rPr>
                            <w:t>5.1.11</w:t>
                          </w:r>
                        </w:sdtContent>
                      </w:sdt>
                      <w:r>
                        <w:rPr>
                          <w:rFonts w:eastAsia="Franklin Gothic Book"/>
                          <w:spacing w:val="-4"/>
                          <w:szCs w:val="24"/>
                          <w:lang w:eastAsia="ar-SA"/>
                        </w:rPr>
                        <w:t>. surinkimas ant žemės ar po žeme;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1 pr. 5.2 p."/>
                <w:tag w:val="part_7a4ba9341e614da3aa6061b6d5ac7b0d"/>
                <w:lock w:val="sdtLocked"/>
                <w:richText/>
              </w:sdtPr>
              <w:sdtContent>
                <w:p>
                  <w:pPr>
                    <w:ind w:firstLine="567"/>
                    <w:jc w:val="both"/>
                    <w:rPr>
                      <w:szCs w:val="24"/>
                      <w:lang w:eastAsia="ar-SA"/>
                    </w:rPr>
                  </w:pPr>
                  <w:sdt>
                    <w:sdtPr>
                      <w:alias w:val="Numeris"/>
                      <w:tag w:val="nr_7a4ba9341e614da3aa6061b6d5ac7b0d"/>
                      <w:lock w:val="sdtLocked"/>
                      <w:richText/>
                    </w:sdtPr>
                    <w:sdtContent>
                      <w:r>
                        <w:rPr>
                          <w:szCs w:val="24"/>
                          <w:lang w:eastAsia="ar-SA"/>
                        </w:rPr>
                        <w:t>5.2</w:t>
                      </w:r>
                    </w:sdtContent>
                  </w:sdt>
                  <w:r>
                    <w:rPr>
                      <w:szCs w:val="24"/>
                      <w:lang w:eastAsia="ar-SA"/>
                    </w:rPr>
                    <w:t>. atliekų šalinimas arba naudojimas atliekų deginimo arba bendro atliekų deginimo įrenginiuose:</w:t>
                  </w:r>
                </w:p>
                <w:sdt>
                  <w:sdtPr>
                    <w:alias w:val="1 pr. 5.2.1 p."/>
                    <w:tag w:val="part_1d01483db02f4956bb326ec7534a5c2b"/>
                    <w:lock w:val="sdtLocked"/>
                    <w:richText/>
                  </w:sdtPr>
                  <w:sdtContent>
                    <w:p>
                      <w:pPr>
                        <w:ind w:firstLine="567"/>
                        <w:jc w:val="both"/>
                        <w:rPr>
                          <w:szCs w:val="24"/>
                          <w:lang w:eastAsia="ar-SA"/>
                        </w:rPr>
                      </w:pPr>
                      <w:sdt>
                        <w:sdtPr>
                          <w:alias w:val="Numeris"/>
                          <w:tag w:val="nr_1d01483db02f4956bb326ec7534a5c2b"/>
                          <w:lock w:val="sdtLocked"/>
                          <w:richText/>
                        </w:sdtPr>
                        <w:sdtContent>
                          <w:r>
                            <w:rPr>
                              <w:szCs w:val="24"/>
                              <w:lang w:eastAsia="ar-SA"/>
                            </w:rPr>
                            <w:t>5.2.1</w:t>
                          </w:r>
                        </w:sdtContent>
                      </w:sdt>
                      <w:r>
                        <w:rPr>
                          <w:szCs w:val="24"/>
                          <w:lang w:eastAsia="ar-SA"/>
                        </w:rPr>
                        <w:t>. nepavojingų atliekų, kai pajėgumas didesnis kaip 3 tonos per valandą;</w:t>
                      </w:r>
                    </w:p>
                  </w:sdtContent>
                </w:sdt>
                <w:sdt>
                  <w:sdtPr>
                    <w:alias w:val="1 pr. 5.2.2 p."/>
                    <w:tag w:val="part_213dd5f9054b4d75b5d892cec4702690"/>
                    <w:lock w:val="sdtLocked"/>
                    <w:richText/>
                  </w:sdtPr>
                  <w:sdtContent>
                    <w:p>
                      <w:pPr>
                        <w:ind w:firstLine="567"/>
                        <w:jc w:val="both"/>
                        <w:rPr>
                          <w:szCs w:val="24"/>
                          <w:lang w:eastAsia="ar-SA"/>
                        </w:rPr>
                      </w:pPr>
                      <w:sdt>
                        <w:sdtPr>
                          <w:alias w:val="Numeris"/>
                          <w:tag w:val="nr_213dd5f9054b4d75b5d892cec4702690"/>
                          <w:lock w:val="sdtLocked"/>
                          <w:richText/>
                        </w:sdtPr>
                        <w:sdtContent>
                          <w:r>
                            <w:rPr>
                              <w:szCs w:val="24"/>
                              <w:lang w:eastAsia="ar-SA"/>
                            </w:rPr>
                            <w:t>5.2.2</w:t>
                          </w:r>
                        </w:sdtContent>
                      </w:sdt>
                      <w:r>
                        <w:rPr>
                          <w:szCs w:val="24"/>
                          <w:lang w:eastAsia="ar-SA"/>
                        </w:rPr>
                        <w:t>. pavojingų atliekų, kai pajėgumas didesnis kaip 10 tonų per dieną;</w:t>
                      </w:r>
                    </w:p>
                  </w:sdtContent>
                </w:sdt>
              </w:sdtContent>
            </w:sdt>
            <w:sdt>
              <w:sdtPr>
                <w:alias w:val="1 pr. 5.3 p."/>
                <w:tag w:val="part_89c2300029d8401db148938cbb3de72d"/>
                <w:lock w:val="sdtLocked"/>
                <w:richText/>
              </w:sdtPr>
              <w:sdtContent>
                <w:p>
                  <w:pPr>
                    <w:ind w:firstLine="567"/>
                    <w:jc w:val="both"/>
                    <w:rPr>
                      <w:szCs w:val="24"/>
                      <w:lang w:eastAsia="ar-SA"/>
                    </w:rPr>
                  </w:pPr>
                  <w:sdt>
                    <w:sdtPr>
                      <w:alias w:val="Numeris"/>
                      <w:tag w:val="nr_89c2300029d8401db148938cbb3de72d"/>
                      <w:lock w:val="sdtLocked"/>
                      <w:richText/>
                    </w:sdtPr>
                    <w:sdtContent>
                      <w:r>
                        <w:rPr>
                          <w:szCs w:val="24"/>
                          <w:lang w:eastAsia="ar-SA"/>
                        </w:rPr>
                        <w:t>5.3</w:t>
                      </w:r>
                    </w:sdtContent>
                  </w:sdt>
                  <w:r>
                    <w:rPr>
                      <w:szCs w:val="24"/>
                      <w:lang w:eastAsia="ar-SA"/>
                    </w:rPr>
                    <w:t xml:space="preserve">. </w:t>
                  </w:r>
                  <w:r>
                    <w:rPr>
                      <w:szCs w:val="24"/>
                      <w:lang w:eastAsia="lt-LT"/>
                    </w:rPr>
                    <w:t>nepavojingųjų atliekų šalinimas, kai pajėgumas didesnis kaip 50 tonų per dieną, apimantis vieną ar daugiau toliau nurodytų veiklos rūšių, išskyrus nuotekų dumblo iš komunalinių nuotekų valymo įrenginių apdorojimo veiklą</w:t>
                  </w:r>
                  <w:r>
                    <w:rPr>
                      <w:szCs w:val="24"/>
                      <w:lang w:eastAsia="ar-SA"/>
                    </w:rPr>
                    <w:t>:</w:t>
                  </w:r>
                </w:p>
                <w:sdt>
                  <w:sdtPr>
                    <w:alias w:val="5.3.1 p."/>
                    <w:tag w:val="part_3cbf9906694f45e38a4d5b5a0cfbd76c"/>
                    <w:lock w:val="sdtLocked"/>
                    <w:richText/>
                  </w:sdtPr>
                  <w:sdtContent>
                    <w:p>
                      <w:pPr>
                        <w:ind w:firstLine="567"/>
                        <w:jc w:val="both"/>
                        <w:rPr>
                          <w:szCs w:val="24"/>
                          <w:lang w:eastAsia="ar-SA"/>
                        </w:rPr>
                      </w:pPr>
                      <w:sdt>
                        <w:sdtPr>
                          <w:alias w:val="Numeris"/>
                          <w:tag w:val="nr_3cbf9906694f45e38a4d5b5a0cfbd76c"/>
                          <w:lock w:val="sdtLocked"/>
                          <w:richText/>
                        </w:sdtPr>
                        <w:sdtContent>
                          <w:r>
                            <w:rPr>
                              <w:szCs w:val="24"/>
                              <w:lang w:eastAsia="ar-SA"/>
                            </w:rPr>
                            <w:t>5.3.1</w:t>
                          </w:r>
                        </w:sdtContent>
                      </w:sdt>
                      <w:r>
                        <w:rPr>
                          <w:szCs w:val="24"/>
                          <w:lang w:eastAsia="ar-SA"/>
                        </w:rPr>
                        <w:t>. biologinį apdorojimą;</w:t>
                      </w:r>
                    </w:p>
                  </w:sdtContent>
                </w:sdt>
                <w:sdt>
                  <w:sdtPr>
                    <w:alias w:val="5.3.2 p."/>
                    <w:tag w:val="part_315a3e838cec4c7887c1ea2ff0a00d6a"/>
                    <w:lock w:val="sdtLocked"/>
                    <w:richText/>
                  </w:sdtPr>
                  <w:sdtContent>
                    <w:p>
                      <w:pPr>
                        <w:ind w:firstLine="567"/>
                        <w:jc w:val="both"/>
                        <w:rPr>
                          <w:szCs w:val="24"/>
                          <w:lang w:eastAsia="ar-SA"/>
                        </w:rPr>
                      </w:pPr>
                      <w:sdt>
                        <w:sdtPr>
                          <w:alias w:val="Numeris"/>
                          <w:tag w:val="nr_315a3e838cec4c7887c1ea2ff0a00d6a"/>
                          <w:lock w:val="sdtLocked"/>
                          <w:richText/>
                        </w:sdtPr>
                        <w:sdtContent>
                          <w:r>
                            <w:rPr>
                              <w:szCs w:val="24"/>
                              <w:lang w:eastAsia="ar-SA"/>
                            </w:rPr>
                            <w:t>5.3.2</w:t>
                          </w:r>
                        </w:sdtContent>
                      </w:sdt>
                      <w:r>
                        <w:rPr>
                          <w:szCs w:val="24"/>
                          <w:lang w:eastAsia="ar-SA"/>
                        </w:rPr>
                        <w:t>. fizikinį-cheminį apdorojimą;</w:t>
                      </w:r>
                    </w:p>
                  </w:sdtContent>
                </w:sdt>
                <w:sdt>
                  <w:sdtPr>
                    <w:alias w:val="5.3.3 p."/>
                    <w:tag w:val="part_bbc88bd386b84d269302ac359fe6af0d"/>
                    <w:lock w:val="sdtLocked"/>
                    <w:richText/>
                  </w:sdtPr>
                  <w:sdtContent>
                    <w:p>
                      <w:pPr>
                        <w:ind w:firstLine="567"/>
                        <w:jc w:val="both"/>
                        <w:rPr>
                          <w:szCs w:val="24"/>
                          <w:lang w:eastAsia="ar-SA"/>
                        </w:rPr>
                      </w:pPr>
                      <w:sdt>
                        <w:sdtPr>
                          <w:alias w:val="Numeris"/>
                          <w:tag w:val="nr_bbc88bd386b84d269302ac359fe6af0d"/>
                          <w:lock w:val="sdtLocked"/>
                          <w:richText/>
                        </w:sdtPr>
                        <w:sdtContent>
                          <w:r>
                            <w:rPr>
                              <w:szCs w:val="24"/>
                              <w:lang w:eastAsia="ar-SA"/>
                            </w:rPr>
                            <w:t>5.3.3</w:t>
                          </w:r>
                        </w:sdtContent>
                      </w:sdt>
                      <w:r>
                        <w:rPr>
                          <w:szCs w:val="24"/>
                          <w:lang w:eastAsia="ar-SA"/>
                        </w:rPr>
                        <w:t>. atliekų paruošimą deginimui arba bendram deginimui;</w:t>
                      </w:r>
                    </w:p>
                  </w:sdtContent>
                </w:sdt>
                <w:sdt>
                  <w:sdtPr>
                    <w:alias w:val="5.3.4 p."/>
                    <w:tag w:val="part_5f9d9e2b52b941a69dce2e3f60560bab"/>
                    <w:lock w:val="sdtLocked"/>
                    <w:richText/>
                  </w:sdtPr>
                  <w:sdtContent>
                    <w:p>
                      <w:pPr>
                        <w:ind w:firstLine="567"/>
                        <w:jc w:val="both"/>
                        <w:rPr>
                          <w:szCs w:val="24"/>
                          <w:lang w:eastAsia="ar-SA"/>
                        </w:rPr>
                      </w:pPr>
                      <w:sdt>
                        <w:sdtPr>
                          <w:alias w:val="Numeris"/>
                          <w:tag w:val="nr_5f9d9e2b52b941a69dce2e3f60560bab"/>
                          <w:lock w:val="sdtLocked"/>
                          <w:richText/>
                        </w:sdtPr>
                        <w:sdtContent>
                          <w:r>
                            <w:rPr>
                              <w:szCs w:val="24"/>
                              <w:lang w:eastAsia="ar-SA"/>
                            </w:rPr>
                            <w:t>5.3.4</w:t>
                          </w:r>
                        </w:sdtContent>
                      </w:sdt>
                      <w:r>
                        <w:rPr>
                          <w:szCs w:val="24"/>
                          <w:lang w:eastAsia="ar-SA"/>
                        </w:rPr>
                        <w:t>. šlakų ir pelenų apdorojimas;</w:t>
                      </w:r>
                    </w:p>
                  </w:sdtContent>
                </w:sdt>
                <w:sdt>
                  <w:sdtPr>
                    <w:alias w:val="5.3.5 p."/>
                    <w:tag w:val="part_05e7d13294b44e808791855a738a6c33"/>
                    <w:lock w:val="sdtLocked"/>
                    <w:richText/>
                  </w:sdtPr>
                  <w:sdtContent>
                    <w:p>
                      <w:pPr>
                        <w:ind w:firstLine="567"/>
                        <w:jc w:val="both"/>
                        <w:rPr>
                          <w:szCs w:val="24"/>
                          <w:lang w:eastAsia="ar-SA"/>
                        </w:rPr>
                      </w:pPr>
                      <w:sdt>
                        <w:sdtPr>
                          <w:alias w:val="Numeris"/>
                          <w:tag w:val="nr_05e7d13294b44e808791855a738a6c33"/>
                          <w:lock w:val="sdtLocked"/>
                          <w:richText/>
                        </w:sdtPr>
                        <w:sdtContent>
                          <w:r>
                            <w:rPr>
                              <w:szCs w:val="24"/>
                              <w:lang w:eastAsia="ar-SA"/>
                            </w:rPr>
                            <w:t>5.3.5</w:t>
                          </w:r>
                        </w:sdtContent>
                      </w:sdt>
                      <w:r>
                        <w:rPr>
                          <w:szCs w:val="24"/>
                          <w:lang w:eastAsia="ar-SA"/>
                        </w:rPr>
                        <w:t>. metalo atliekų, įskaitant elektros ir elektroninės įrangos atliekas ir netinkamų naudoti transporto priemonių laužą ir jų sudedamųjų dalių atliekas, apdorojimą smulkintuvuose;</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1 pr. 5.4 p."/>
                <w:tag w:val="part_dafe64c454534103928efcb3c123a433"/>
                <w:lock w:val="sdtLocked"/>
                <w:richText/>
              </w:sdtPr>
              <w:sdtContent>
                <w:p>
                  <w:pPr>
                    <w:ind w:firstLine="567"/>
                    <w:jc w:val="both"/>
                    <w:rPr>
                      <w:szCs w:val="24"/>
                      <w:lang w:eastAsia="ar-SA"/>
                    </w:rPr>
                  </w:pPr>
                  <w:sdt>
                    <w:sdtPr>
                      <w:alias w:val="Numeris"/>
                      <w:tag w:val="nr_dafe64c454534103928efcb3c123a433"/>
                      <w:lock w:val="sdtLocked"/>
                      <w:richText/>
                    </w:sdtPr>
                    <w:sdtContent>
                      <w:r>
                        <w:rPr>
                          <w:szCs w:val="24"/>
                          <w:lang w:eastAsia="ar-SA"/>
                        </w:rPr>
                        <w:t>5.4</w:t>
                      </w:r>
                    </w:sdtContent>
                  </w:sdt>
                  <w:r>
                    <w:rPr>
                      <w:szCs w:val="24"/>
                      <w:lang w:eastAsia="ar-SA"/>
                    </w:rPr>
                    <w:t xml:space="preserve">. </w:t>
                  </w:r>
                  <w:r>
                    <w:rPr>
                      <w:szCs w:val="24"/>
                      <w:lang w:eastAsia="lt-LT"/>
                    </w:rPr>
                    <w:t>nepavojingųjų atliekų naudojimas arba naudojimas ir šalinimas kartu, kai pajėgumas didesnis kaip 75 tonos per dieną, apimantis vieną ar daugiau toliau nurodytų veiklos rūšių, išskyrus nuotekų dumblo iš komunalinių nuotekų valymo įrenginių apdorojimo veiklą</w:t>
                  </w:r>
                  <w:r>
                    <w:rPr>
                      <w:szCs w:val="24"/>
                      <w:lang w:eastAsia="ar-SA"/>
                    </w:rPr>
                    <w:t xml:space="preserve">: </w:t>
                  </w:r>
                </w:p>
                <w:sdt>
                  <w:sdtPr>
                    <w:alias w:val="5.4.1 p."/>
                    <w:tag w:val="part_2b2ccb74f74e496998b909d207ab5eb8"/>
                    <w:lock w:val="sdtLocked"/>
                    <w:richText/>
                  </w:sdtPr>
                  <w:sdtContent>
                    <w:p>
                      <w:pPr>
                        <w:ind w:firstLine="567"/>
                        <w:jc w:val="both"/>
                        <w:rPr>
                          <w:szCs w:val="24"/>
                          <w:lang w:eastAsia="ar-SA"/>
                        </w:rPr>
                      </w:pPr>
                      <w:sdt>
                        <w:sdtPr>
                          <w:alias w:val="Numeris"/>
                          <w:tag w:val="nr_2b2ccb74f74e496998b909d207ab5eb8"/>
                          <w:lock w:val="sdtLocked"/>
                          <w:richText/>
                        </w:sdtPr>
                        <w:sdtContent>
                          <w:r>
                            <w:rPr>
                              <w:szCs w:val="24"/>
                              <w:lang w:eastAsia="ar-SA"/>
                            </w:rPr>
                            <w:t>5.4.1</w:t>
                          </w:r>
                        </w:sdtContent>
                      </w:sdt>
                      <w:r>
                        <w:rPr>
                          <w:szCs w:val="24"/>
                          <w:lang w:eastAsia="ar-SA"/>
                        </w:rPr>
                        <w:t>. biologinį apdorojimą;</w:t>
                      </w:r>
                    </w:p>
                  </w:sdtContent>
                </w:sdt>
                <w:sdt>
                  <w:sdtPr>
                    <w:alias w:val="5.4.2 p."/>
                    <w:tag w:val="part_7c55e655c59144a5ad33f2ce01a51eff"/>
                    <w:lock w:val="sdtLocked"/>
                    <w:richText/>
                  </w:sdtPr>
                  <w:sdtContent>
                    <w:p>
                      <w:pPr>
                        <w:ind w:firstLine="567"/>
                        <w:jc w:val="both"/>
                        <w:rPr>
                          <w:szCs w:val="24"/>
                          <w:lang w:eastAsia="ar-SA"/>
                        </w:rPr>
                      </w:pPr>
                      <w:sdt>
                        <w:sdtPr>
                          <w:alias w:val="Numeris"/>
                          <w:tag w:val="nr_7c55e655c59144a5ad33f2ce01a51eff"/>
                          <w:lock w:val="sdtLocked"/>
                          <w:richText/>
                        </w:sdtPr>
                        <w:sdtContent>
                          <w:r>
                            <w:rPr>
                              <w:szCs w:val="24"/>
                              <w:lang w:eastAsia="ar-SA"/>
                            </w:rPr>
                            <w:t>5.4.2</w:t>
                          </w:r>
                        </w:sdtContent>
                      </w:sdt>
                      <w:r>
                        <w:rPr>
                          <w:szCs w:val="24"/>
                          <w:lang w:eastAsia="ar-SA"/>
                        </w:rPr>
                        <w:t>. atliekų paruošimą deginimui arba bendram deginimui;</w:t>
                      </w:r>
                    </w:p>
                  </w:sdtContent>
                </w:sdt>
                <w:sdt>
                  <w:sdtPr>
                    <w:alias w:val="5.4.3 p."/>
                    <w:tag w:val="part_41559b6f000c49b58d0f7c7cfa842c2f"/>
                    <w:lock w:val="sdtLocked"/>
                    <w:richText/>
                  </w:sdtPr>
                  <w:sdtContent>
                    <w:p>
                      <w:pPr>
                        <w:ind w:firstLine="567"/>
                        <w:jc w:val="both"/>
                        <w:rPr>
                          <w:szCs w:val="24"/>
                          <w:lang w:eastAsia="ar-SA"/>
                        </w:rPr>
                      </w:pPr>
                      <w:sdt>
                        <w:sdtPr>
                          <w:alias w:val="Numeris"/>
                          <w:tag w:val="nr_41559b6f000c49b58d0f7c7cfa842c2f"/>
                          <w:lock w:val="sdtLocked"/>
                          <w:richText/>
                        </w:sdtPr>
                        <w:sdtContent>
                          <w:r>
                            <w:rPr>
                              <w:szCs w:val="24"/>
                              <w:lang w:eastAsia="ar-SA"/>
                            </w:rPr>
                            <w:t>5.4.3</w:t>
                          </w:r>
                        </w:sdtContent>
                      </w:sdt>
                      <w:r>
                        <w:rPr>
                          <w:szCs w:val="24"/>
                          <w:lang w:eastAsia="ar-SA"/>
                        </w:rPr>
                        <w:t>. šlakų ir pelenų apdorojimą;</w:t>
                      </w:r>
                    </w:p>
                  </w:sdtContent>
                </w:sdt>
                <w:sdt>
                  <w:sdtPr>
                    <w:alias w:val="5.4.4 p."/>
                    <w:tag w:val="part_687ca9d33dcb4cec82bded430e757f47"/>
                    <w:lock w:val="sdtLocked"/>
                    <w:richText/>
                  </w:sdtPr>
                  <w:sdtContent>
                    <w:p>
                      <w:pPr>
                        <w:ind w:firstLine="567"/>
                        <w:jc w:val="both"/>
                        <w:rPr>
                          <w:szCs w:val="24"/>
                          <w:lang w:eastAsia="ar-SA"/>
                        </w:rPr>
                      </w:pPr>
                      <w:sdt>
                        <w:sdtPr>
                          <w:alias w:val="Numeris"/>
                          <w:tag w:val="nr_687ca9d33dcb4cec82bded430e757f47"/>
                          <w:lock w:val="sdtLocked"/>
                          <w:richText/>
                        </w:sdtPr>
                        <w:sdtContent>
                          <w:r>
                            <w:rPr>
                              <w:szCs w:val="24"/>
                              <w:lang w:eastAsia="ar-SA"/>
                            </w:rPr>
                            <w:t>5.4.4</w:t>
                          </w:r>
                        </w:sdtContent>
                      </w:sdt>
                      <w:r>
                        <w:rPr>
                          <w:szCs w:val="24"/>
                          <w:lang w:eastAsia="ar-SA"/>
                        </w:rPr>
                        <w:t>. metalo atliekų, įskaitant elektros ir elektroninės įrangos atliekas ir netinkamų naudoti transporto priemonių laužą ir jų sudedamųjų dalių atliekas, apdorojimą smulkintuvuose.</w:t>
                      </w:r>
                    </w:p>
                    <w:p>
                      <w:pPr>
                        <w:ind w:firstLine="567"/>
                        <w:jc w:val="both"/>
                        <w:rPr>
                          <w:szCs w:val="24"/>
                          <w:lang w:eastAsia="ar-SA"/>
                        </w:rPr>
                      </w:pPr>
                      <w:r>
                        <w:rPr>
                          <w:szCs w:val="24"/>
                          <w:lang w:eastAsia="ar-SA"/>
                        </w:rPr>
                        <w:t>Tais atvejais, kai vienintelė vykdoma atliekų tvarkymo veikla yra anaerobinis apdorojimas, šios veiklos pajėgumas turi būti 100 tonų per dieną ir daugiau;</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1 pr. 5.5 p."/>
                <w:tag w:val="part_fc69359f51694a7f9cfb01a4794f15c0"/>
                <w:lock w:val="sdtLocked"/>
                <w:richText/>
              </w:sdtPr>
              <w:sdtContent>
                <w:p>
                  <w:pPr>
                    <w:ind w:firstLine="567"/>
                    <w:jc w:val="both"/>
                    <w:rPr>
                      <w:szCs w:val="24"/>
                      <w:lang w:eastAsia="ar-SA"/>
                    </w:rPr>
                  </w:pPr>
                  <w:sdt>
                    <w:sdtPr>
                      <w:alias w:val="Numeris"/>
                      <w:tag w:val="nr_fc69359f51694a7f9cfb01a4794f15c0"/>
                      <w:lock w:val="sdtLocked"/>
                      <w:richText/>
                    </w:sdtPr>
                    <w:sdtContent>
                      <w:r>
                        <w:rPr>
                          <w:szCs w:val="24"/>
                          <w:lang w:eastAsia="ar-SA"/>
                        </w:rPr>
                        <w:t>5.5</w:t>
                      </w:r>
                    </w:sdtContent>
                  </w:sdt>
                  <w:r>
                    <w:rPr>
                      <w:szCs w:val="24"/>
                      <w:lang w:eastAsia="ar-SA"/>
                    </w:rPr>
                    <w:t>. sąvartynai, kaip apibrėžta Atliekų tvarkymo įstatyme, priimantys daugiau negu 10 tonų atliekų per dieną arba kurių bendras pajėgumas didesnis kaip 25 000 tonų, išskyrus inertinių atliekų sąvartynus;</w:t>
                  </w:r>
                </w:p>
              </w:sdtContent>
            </w:sdt>
            <w:sdt>
              <w:sdtPr>
                <w:alias w:val="1 pr. 5.6 p."/>
                <w:tag w:val="part_486bec0d27134ac8ade90df61fd2ce96"/>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Cs w:val="24"/>
                      <w:lang w:eastAsia="ar-SA"/>
                    </w:rPr>
                  </w:pPr>
                  <w:sdt>
                    <w:sdtPr>
                      <w:alias w:val="Numeris"/>
                      <w:tag w:val="nr_486bec0d27134ac8ade90df61fd2ce96"/>
                      <w:lock w:val="sdtLocked"/>
                      <w:richText/>
                    </w:sdtPr>
                    <w:sdtContent>
                      <w:r>
                        <w:rPr>
                          <w:szCs w:val="24"/>
                          <w:lang w:eastAsia="lt-LT"/>
                        </w:rPr>
                        <w:t>5.6</w:t>
                      </w:r>
                    </w:sdtContent>
                  </w:sdt>
                  <w:r>
                    <w:rPr>
                      <w:szCs w:val="24"/>
                      <w:lang w:eastAsia="lt-LT"/>
                    </w:rPr>
                    <w:t>. pavojingųjų atliekų laikymas, kuriam netaikomas 5.5 punktas, prieš atliekant bet kurios 5.1, 5.2, 5.5 ir 5.7 punktuose išvardytos rūšies veiklą, kai bendras pajėgumas yra didesnis kaip 50 tonų, išskyrus laikinąjį laikymą atliekų susidarymo vietoje prieš surenkant;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ef9be01ff311e586708c6593c243ce">
                    <w:r w:rsidRPr="00532B9F">
                      <w:rPr>
                        <w:rFonts w:ascii="Arial" w:eastAsia="MS Mincho" w:hAnsi="Arial"/>
                        <w:sz w:val="20"/>
                        <w:i/>
                        <w:iCs/>
                        <w:color w:val="0000FF" w:themeColor="hyperlink"/>
                        <w:u w:val="single"/>
                      </w:rPr>
                      <w:t>D1-510</w:t>
                    </w:r>
                  </w:fldSimple>
                  <w:r>
                    <w:rPr>
                      <w:rFonts w:ascii="Arial" w:eastAsia="MS Mincho" w:hAnsi="Arial"/>
                      <w:sz w:val="20"/>
                      <w:i/>
                      <w:iCs/>
                    </w:rPr>
                    <w:t>,
2015-06-30,
paskelbta TAR 2015-07-01, i. k. 2015-10611            </w:t>
                  </w:r>
                </w:p>
                <w:p/>
              </w:sdtContent>
            </w:sdt>
            <w:sdt>
              <w:sdtPr>
                <w:alias w:val="1 pr. 5.7 p."/>
                <w:tag w:val="part_6bc1034aa57348259abdb55c99abd3c6"/>
                <w:lock w:val="sdtLocked"/>
                <w:richText/>
              </w:sdtPr>
              <w:sdtContent>
                <w:p>
                  <w:pPr>
                    <w:ind w:firstLine="567"/>
                    <w:jc w:val="both"/>
                    <w:rPr>
                      <w:szCs w:val="24"/>
                      <w:lang w:eastAsia="ar-SA"/>
                    </w:rPr>
                  </w:pPr>
                  <w:sdt>
                    <w:sdtPr>
                      <w:alias w:val="Numeris"/>
                      <w:tag w:val="nr_6bc1034aa57348259abdb55c99abd3c6"/>
                      <w:lock w:val="sdtLocked"/>
                      <w:richText/>
                    </w:sdtPr>
                    <w:sdtContent>
                      <w:r>
                        <w:rPr>
                          <w:szCs w:val="24"/>
                          <w:lang w:eastAsia="ar-SA"/>
                        </w:rPr>
                        <w:t>5.7</w:t>
                      </w:r>
                    </w:sdtContent>
                  </w:sdt>
                  <w:r>
                    <w:rPr>
                      <w:szCs w:val="24"/>
                      <w:lang w:eastAsia="ar-SA"/>
                    </w:rPr>
                    <w:t>. požeminis pavojingųjų atliekų laikymas, kai bendras pajėgumas yra didesnis kaip 50 tonų.</w:t>
                  </w:r>
                </w:p>
                <w:p>
                  <w:pPr>
                    <w:ind w:firstLine="567"/>
                    <w:jc w:val="both"/>
                    <w:rPr>
                      <w:b/>
                      <w:szCs w:val="24"/>
                      <w:lang w:eastAsia="lt-LT"/>
                    </w:rPr>
                  </w:pPr>
                </w:p>
              </w:sdtContent>
            </w:sdt>
          </w:sdtContent>
        </w:sdt>
        <w:sdt>
          <w:sdtPr>
            <w:alias w:val="1 pr. 6 p."/>
            <w:tag w:val="part_1934d531be8a464b834df3d6bce048db"/>
            <w:lock w:val="sdtLocked"/>
            <w:richText/>
          </w:sdtPr>
          <w:sdtContent>
            <w:p>
              <w:pPr>
                <w:ind w:firstLine="567"/>
                <w:jc w:val="both"/>
                <w:rPr>
                  <w:b/>
                  <w:szCs w:val="24"/>
                  <w:lang w:eastAsia="lt-LT"/>
                </w:rPr>
              </w:pPr>
              <w:sdt>
                <w:sdtPr>
                  <w:alias w:val="Numeris"/>
                  <w:tag w:val="nr_1934d531be8a464b834df3d6bce048db"/>
                  <w:lock w:val="sdtLocked"/>
                  <w:richText/>
                </w:sdtPr>
                <w:sdtContent>
                  <w:r>
                    <w:rPr>
                      <w:b/>
                      <w:szCs w:val="24"/>
                      <w:lang w:eastAsia="lt-LT"/>
                    </w:rPr>
                    <w:t>6</w:t>
                  </w:r>
                </w:sdtContent>
              </w:sdt>
              <w:r>
                <w:rPr>
                  <w:b/>
                  <w:szCs w:val="24"/>
                  <w:lang w:eastAsia="lt-LT"/>
                </w:rPr>
                <w:t>. Kitos veiklos rūšys:</w:t>
              </w:r>
            </w:p>
            <w:p>
              <w:pPr>
                <w:ind w:firstLine="567"/>
                <w:jc w:val="both"/>
                <w:rPr>
                  <w:szCs w:val="24"/>
                </w:rPr>
              </w:pPr>
            </w:p>
            <w:sdt>
              <w:sdtPr>
                <w:alias w:val="1 pr. 6.1 p."/>
                <w:tag w:val="part_e4ac23eef9e34375b631b460b6542e96"/>
                <w:lock w:val="sdtLocked"/>
                <w:richText/>
              </w:sdtPr>
              <w:sdtContent>
                <w:p>
                  <w:pPr>
                    <w:ind w:firstLine="567"/>
                    <w:jc w:val="both"/>
                    <w:rPr>
                      <w:szCs w:val="24"/>
                    </w:rPr>
                  </w:pPr>
                  <w:sdt>
                    <w:sdtPr>
                      <w:alias w:val="Numeris"/>
                      <w:tag w:val="nr_e4ac23eef9e34375b631b460b6542e96"/>
                      <w:lock w:val="sdtLocked"/>
                      <w:richText/>
                    </w:sdtPr>
                    <w:sdtContent>
                      <w:r>
                        <w:rPr>
                          <w:szCs w:val="24"/>
                        </w:rPr>
                        <w:t>6.1</w:t>
                      </w:r>
                    </w:sdtContent>
                  </w:sdt>
                  <w:r>
                    <w:rPr>
                      <w:szCs w:val="24"/>
                    </w:rPr>
                    <w:t xml:space="preserve">. pramoniniuose įrenginiuose atliekama šių gaminių gamyba: </w:t>
                  </w:r>
                </w:p>
                <w:sdt>
                  <w:sdtPr>
                    <w:alias w:val="1 pr. 6.1.1 p."/>
                    <w:tag w:val="part_8c09becd1164467ba663d4344d1f8e47"/>
                    <w:lock w:val="sdtLocked"/>
                    <w:richText/>
                  </w:sdtPr>
                  <w:sdtContent>
                    <w:p>
                      <w:pPr>
                        <w:ind w:firstLine="567"/>
                        <w:jc w:val="both"/>
                        <w:rPr>
                          <w:szCs w:val="24"/>
                        </w:rPr>
                      </w:pPr>
                      <w:sdt>
                        <w:sdtPr>
                          <w:alias w:val="Numeris"/>
                          <w:tag w:val="nr_8c09becd1164467ba663d4344d1f8e47"/>
                          <w:lock w:val="sdtLocked"/>
                          <w:richText/>
                        </w:sdtPr>
                        <w:sdtContent>
                          <w:r>
                            <w:rPr>
                              <w:szCs w:val="24"/>
                            </w:rPr>
                            <w:t>6.1.1</w:t>
                          </w:r>
                        </w:sdtContent>
                      </w:sdt>
                      <w:r>
                        <w:rPr>
                          <w:szCs w:val="24"/>
                        </w:rPr>
                        <w:t>. celiuliozė iš medienos arba kitų pluoštinių medžiagų;</w:t>
                      </w:r>
                    </w:p>
                  </w:sdtContent>
                </w:sdt>
                <w:sdt>
                  <w:sdtPr>
                    <w:alias w:val="1 pr. 6.1.2 p."/>
                    <w:tag w:val="part_5bc4252e754a48c7aadbd61f0ad70018"/>
                    <w:lock w:val="sdtLocked"/>
                    <w:richText/>
                  </w:sdtPr>
                  <w:sdtContent>
                    <w:p>
                      <w:pPr>
                        <w:ind w:firstLine="567"/>
                        <w:jc w:val="both"/>
                        <w:rPr>
                          <w:szCs w:val="24"/>
                        </w:rPr>
                      </w:pPr>
                      <w:sdt>
                        <w:sdtPr>
                          <w:alias w:val="Numeris"/>
                          <w:tag w:val="nr_5bc4252e754a48c7aadbd61f0ad70018"/>
                          <w:lock w:val="sdtLocked"/>
                          <w:richText/>
                        </w:sdtPr>
                        <w:sdtContent>
                          <w:r>
                            <w:rPr>
                              <w:szCs w:val="24"/>
                            </w:rPr>
                            <w:t>6.1.2</w:t>
                          </w:r>
                        </w:sdtContent>
                      </w:sdt>
                      <w:r>
                        <w:rPr>
                          <w:szCs w:val="24"/>
                        </w:rPr>
                        <w:t>. popieriaus ar kartono, kai gamybos pajėgumas didesnis kaip 20 tonų per dieną;</w:t>
                      </w:r>
                    </w:p>
                  </w:sdtContent>
                </w:sdt>
                <w:sdt>
                  <w:sdtPr>
                    <w:alias w:val="1 pr. 6.1.3 p."/>
                    <w:tag w:val="part_170a51ee252940e3b34bcba185c23d10"/>
                    <w:lock w:val="sdtLocked"/>
                    <w:richText/>
                  </w:sdtPr>
                  <w:sdtContent>
                    <w:p>
                      <w:pPr>
                        <w:ind w:firstLine="567"/>
                        <w:jc w:val="both"/>
                        <w:rPr>
                          <w:szCs w:val="24"/>
                        </w:rPr>
                      </w:pPr>
                      <w:sdt>
                        <w:sdtPr>
                          <w:alias w:val="Numeris"/>
                          <w:tag w:val="nr_170a51ee252940e3b34bcba185c23d10"/>
                          <w:lock w:val="sdtLocked"/>
                          <w:richText/>
                        </w:sdtPr>
                        <w:sdtContent>
                          <w:r>
                            <w:rPr>
                              <w:szCs w:val="24"/>
                            </w:rPr>
                            <w:t>6.1.3</w:t>
                          </w:r>
                        </w:sdtContent>
                      </w:sdt>
                      <w:r>
                        <w:rPr>
                          <w:szCs w:val="24"/>
                        </w:rPr>
                        <w:t>. vienos ar daugiau rūšių medžio plokščių: orientuotų skiedrantų plokščių, smulkintų plokščių arba plaušų plokščių, kai gamybos pajėgumas didesnis kaip 600 m</w:t>
                      </w:r>
                      <w:r>
                        <w:rPr>
                          <w:szCs w:val="24"/>
                          <w:vertAlign w:val="superscript"/>
                        </w:rPr>
                        <w:t>3</w:t>
                      </w:r>
                      <w:r>
                        <w:rPr>
                          <w:szCs w:val="24"/>
                        </w:rPr>
                        <w:t xml:space="preserve"> per dieną;</w:t>
                      </w:r>
                    </w:p>
                  </w:sdtContent>
                </w:sdt>
              </w:sdtContent>
            </w:sdt>
            <w:sdt>
              <w:sdtPr>
                <w:alias w:val="1 pr. 6.2 p."/>
                <w:tag w:val="part_7a10e11bc7324c80ae15161dfafbbb8b"/>
                <w:lock w:val="sdtLocked"/>
                <w:richText/>
              </w:sdtPr>
              <w:sdtContent>
                <w:p>
                  <w:pPr>
                    <w:ind w:firstLine="567"/>
                    <w:jc w:val="both"/>
                    <w:rPr>
                      <w:szCs w:val="24"/>
                    </w:rPr>
                  </w:pPr>
                  <w:sdt>
                    <w:sdtPr>
                      <w:alias w:val="Numeris"/>
                      <w:tag w:val="nr_7a10e11bc7324c80ae15161dfafbbb8b"/>
                      <w:lock w:val="sdtLocked"/>
                      <w:richText/>
                    </w:sdtPr>
                    <w:sdtContent>
                      <w:r>
                        <w:rPr>
                          <w:szCs w:val="24"/>
                        </w:rPr>
                        <w:t>6.2</w:t>
                      </w:r>
                    </w:sdtContent>
                  </w:sdt>
                  <w:r>
                    <w:rPr>
                      <w:szCs w:val="24"/>
                    </w:rPr>
                    <w:t>. pirminis pluošto arba tekstilės apdorojimas (plovimas, balinimas, merserizavimas) arba dažymas, kai apdorojimo pajėgumas didesnis kaip 10 tonų pluošto per dieną;</w:t>
                  </w:r>
                </w:p>
              </w:sdtContent>
            </w:sdt>
            <w:sdt>
              <w:sdtPr>
                <w:alias w:val="1 pr. 6.3 p."/>
                <w:tag w:val="part_beb8d2a0ffa246c5a38c61525d1c0f9f"/>
                <w:lock w:val="sdtLocked"/>
                <w:richText/>
              </w:sdtPr>
              <w:sdtContent>
                <w:p>
                  <w:pPr>
                    <w:ind w:firstLine="567"/>
                    <w:jc w:val="both"/>
                    <w:rPr>
                      <w:szCs w:val="24"/>
                      <w:lang w:eastAsia="lt-LT"/>
                    </w:rPr>
                  </w:pPr>
                  <w:sdt>
                    <w:sdtPr>
                      <w:alias w:val="Numeris"/>
                      <w:tag w:val="nr_beb8d2a0ffa246c5a38c61525d1c0f9f"/>
                      <w:lock w:val="sdtLocked"/>
                      <w:richText/>
                    </w:sdtPr>
                    <w:sdtContent>
                      <w:r>
                        <w:rPr>
                          <w:szCs w:val="24"/>
                          <w:lang w:eastAsia="lt-LT"/>
                        </w:rPr>
                        <w:t>6.3</w:t>
                      </w:r>
                    </w:sdtContent>
                  </w:sdt>
                  <w:r>
                    <w:rPr>
                      <w:szCs w:val="24"/>
                      <w:lang w:eastAsia="lt-LT"/>
                    </w:rPr>
                    <w:t>. kailių ir odų rauginimas, kai apdorojimo pajėgumas didesnis kaip 12 tonų gatavos produkcijos per dieną;</w:t>
                  </w:r>
                </w:p>
              </w:sdtContent>
            </w:sdt>
            <w:sdt>
              <w:sdtPr>
                <w:alias w:val="1 pr. 6.4 p."/>
                <w:tag w:val="part_965a6ec50d5a41ffa90519775af4a723"/>
                <w:lock w:val="sdtLocked"/>
                <w:richText/>
              </w:sdtPr>
              <w:sdtContent>
                <w:p>
                  <w:pPr>
                    <w:ind w:firstLine="567"/>
                    <w:jc w:val="both"/>
                    <w:rPr>
                      <w:szCs w:val="24"/>
                      <w:lang w:eastAsia="lt-LT"/>
                    </w:rPr>
                  </w:pPr>
                  <w:sdt>
                    <w:sdtPr>
                      <w:alias w:val="Numeris"/>
                      <w:tag w:val="nr_965a6ec50d5a41ffa90519775af4a723"/>
                      <w:lock w:val="sdtLocked"/>
                      <w:richText/>
                    </w:sdtPr>
                    <w:sdtContent>
                      <w:r>
                        <w:rPr>
                          <w:szCs w:val="24"/>
                          <w:lang w:eastAsia="lt-LT"/>
                        </w:rPr>
                        <w:t>6.4</w:t>
                      </w:r>
                    </w:sdtContent>
                  </w:sdt>
                  <w:r>
                    <w:rPr>
                      <w:szCs w:val="24"/>
                      <w:lang w:eastAsia="lt-LT"/>
                    </w:rPr>
                    <w:t xml:space="preserve">. skerdyklų ir maisto pramonės įrenginių eksploatavimas: </w:t>
                  </w:r>
                </w:p>
                <w:sdt>
                  <w:sdtPr>
                    <w:alias w:val="1 pr. 6.4.1 p."/>
                    <w:tag w:val="part_19d4109a3cc04800ac80356a1ab48a87"/>
                    <w:lock w:val="sdtLocked"/>
                    <w:richText/>
                  </w:sdtPr>
                  <w:sdtContent>
                    <w:p>
                      <w:pPr>
                        <w:ind w:firstLine="567"/>
                        <w:jc w:val="both"/>
                        <w:rPr>
                          <w:szCs w:val="24"/>
                          <w:lang w:eastAsia="lt-LT"/>
                        </w:rPr>
                      </w:pPr>
                      <w:sdt>
                        <w:sdtPr>
                          <w:alias w:val="Numeris"/>
                          <w:tag w:val="nr_19d4109a3cc04800ac80356a1ab48a87"/>
                          <w:lock w:val="sdtLocked"/>
                          <w:richText/>
                        </w:sdtPr>
                        <w:sdtContent>
                          <w:r>
                            <w:rPr>
                              <w:szCs w:val="24"/>
                              <w:lang w:eastAsia="lt-LT"/>
                            </w:rPr>
                            <w:t>6.4.1</w:t>
                          </w:r>
                        </w:sdtContent>
                      </w:sdt>
                      <w:r>
                        <w:rPr>
                          <w:szCs w:val="24"/>
                          <w:lang w:eastAsia="lt-LT"/>
                        </w:rPr>
                        <w:t>. skerdyklų, kurių skerdienos gamybos pajėgumas didesnis kaip 50 tonų per dieną, eksploatavimas;</w:t>
                      </w:r>
                    </w:p>
                  </w:sdtContent>
                </w:sdt>
                <w:sdt>
                  <w:sdtPr>
                    <w:alias w:val="1 pr. 6.4.2 p."/>
                    <w:tag w:val="part_81825ce5e56d4e55890037426fda07cd"/>
                    <w:lock w:val="sdtLocked"/>
                    <w:richText/>
                  </w:sdtPr>
                  <w:sdtContent>
                    <w:p>
                      <w:pPr>
                        <w:ind w:firstLine="567"/>
                        <w:jc w:val="both"/>
                        <w:rPr>
                          <w:szCs w:val="24"/>
                          <w:lang w:eastAsia="lt-LT"/>
                        </w:rPr>
                      </w:pPr>
                      <w:sdt>
                        <w:sdtPr>
                          <w:alias w:val="Numeris"/>
                          <w:tag w:val="nr_81825ce5e56d4e55890037426fda07cd"/>
                          <w:lock w:val="sdtLocked"/>
                          <w:richText/>
                        </w:sdtPr>
                        <w:sdtContent>
                          <w:r>
                            <w:rPr>
                              <w:szCs w:val="24"/>
                              <w:lang w:eastAsia="lt-LT"/>
                            </w:rPr>
                            <w:t>6.4.2</w:t>
                          </w:r>
                        </w:sdtContent>
                      </w:sdt>
                      <w:r>
                        <w:rPr>
                          <w:szCs w:val="24"/>
                          <w:lang w:eastAsia="lt-LT"/>
                        </w:rPr>
                        <w:t xml:space="preserve">. apdorojimo ir perdirbimo veikla (išskyrus atvejus, kai šiame punkte nurodytos perdirbtos ar neperdirbtos žaliavos tik pakuojamos) maisto produktams arba gyvulių pašarams gaminti iš: </w:t>
                      </w:r>
                    </w:p>
                    <w:sdt>
                      <w:sdtPr>
                        <w:alias w:val="1 pr. 6.4.2.1 p."/>
                        <w:tag w:val="part_347882d0189d4d3e979ba6996f228889"/>
                        <w:lock w:val="sdtLocked"/>
                        <w:richText/>
                      </w:sdtPr>
                      <w:sdtContent>
                        <w:p>
                          <w:pPr>
                            <w:ind w:firstLine="567"/>
                            <w:jc w:val="both"/>
                            <w:rPr>
                              <w:szCs w:val="24"/>
                              <w:lang w:eastAsia="lt-LT"/>
                            </w:rPr>
                          </w:pPr>
                          <w:sdt>
                            <w:sdtPr>
                              <w:alias w:val="Numeris"/>
                              <w:tag w:val="nr_347882d0189d4d3e979ba6996f228889"/>
                              <w:lock w:val="sdtLocked"/>
                              <w:richText/>
                            </w:sdtPr>
                            <w:sdtContent>
                              <w:r>
                                <w:rPr>
                                  <w:szCs w:val="24"/>
                                  <w:lang w:eastAsia="lt-LT"/>
                                </w:rPr>
                                <w:t>6.4.2.1</w:t>
                              </w:r>
                            </w:sdtContent>
                          </w:sdt>
                          <w:r>
                            <w:rPr>
                              <w:szCs w:val="24"/>
                              <w:lang w:eastAsia="lt-LT"/>
                            </w:rPr>
                            <w:t>. gyvulinės žaliavos (išskyrus pieną), kai galutinio produkto gamybos pajėgumas didesnis kaip 75 tonos per dieną;</w:t>
                          </w:r>
                        </w:p>
                      </w:sdtContent>
                    </w:sdt>
                    <w:sdt>
                      <w:sdtPr>
                        <w:alias w:val="1 pr. 6.4.2.2 p."/>
                        <w:tag w:val="part_01d3cd8248764b3ea1454a4291ddcba3"/>
                        <w:lock w:val="sdtLocked"/>
                        <w:richText/>
                      </w:sdtPr>
                      <w:sdtContent>
                        <w:p>
                          <w:pPr>
                            <w:suppressAutoHyphens/>
                            <w:ind w:firstLine="567"/>
                            <w:jc w:val="both"/>
                            <w:textAlignment w:val="baseline"/>
                            <w:rPr>
                              <w:szCs w:val="24"/>
                              <w:lang w:eastAsia="lt-LT"/>
                            </w:rPr>
                          </w:pPr>
                          <w:sdt>
                            <w:sdtPr>
                              <w:alias w:val="Numeris"/>
                              <w:tag w:val="nr_01d3cd8248764b3ea1454a4291ddcba3"/>
                              <w:lock w:val="sdtLocked"/>
                              <w:richText/>
                            </w:sdtPr>
                            <w:sdtContent>
                              <w:r>
                                <w:rPr>
                                  <w:szCs w:val="24"/>
                                  <w:lang w:eastAsia="lt-LT"/>
                                </w:rPr>
                                <w:t>6.4.2.2</w:t>
                              </w:r>
                            </w:sdtContent>
                          </w:sdt>
                          <w:r>
                            <w:rPr>
                              <w:szCs w:val="24"/>
                              <w:lang w:eastAsia="lt-LT"/>
                            </w:rPr>
                            <w:t>. augalinės žaliavos, kai galutinio produkto gamybos pajėgumas didesnis kaip 300 tonų per dieną arba 600 tonų per dieną, kai įrenginys veikia ne ilgiau kaip 90 dienų iš eilės bet kuriais metais;</w:t>
                          </w:r>
                        </w:p>
                      </w:sdtContent>
                    </w:sdt>
                    <w:sdt>
                      <w:sdtPr>
                        <w:alias w:val="1 pr. 6.4.2.3 p."/>
                        <w:tag w:val="part_97fe22d39a4a4275bed8bd22771d00e7"/>
                        <w:lock w:val="sdtLocked"/>
                        <w:richText/>
                      </w:sdtPr>
                      <w:sdtContent>
                        <w:p>
                          <w:pPr>
                            <w:suppressAutoHyphens/>
                            <w:ind w:firstLine="567"/>
                            <w:jc w:val="both"/>
                            <w:textAlignment w:val="baseline"/>
                            <w:rPr>
                              <w:szCs w:val="24"/>
                              <w:lang w:eastAsia="lt-LT"/>
                            </w:rPr>
                          </w:pPr>
                          <w:sdt>
                            <w:sdtPr>
                              <w:alias w:val="Numeris"/>
                              <w:tag w:val="nr_97fe22d39a4a4275bed8bd22771d00e7"/>
                              <w:lock w:val="sdtLocked"/>
                              <w:richText/>
                            </w:sdtPr>
                            <w:sdtContent>
                              <w:r>
                                <w:rPr>
                                  <w:szCs w:val="24"/>
                                  <w:lang w:eastAsia="lt-LT"/>
                                </w:rPr>
                                <w:t>6.4.2.3</w:t>
                              </w:r>
                            </w:sdtContent>
                          </w:sdt>
                          <w:r>
                            <w:rPr>
                              <w:szCs w:val="24"/>
                              <w:lang w:eastAsia="lt-LT"/>
                            </w:rPr>
                            <w:t xml:space="preserve">. gyvulinių ir augalinių žaliavų mišinio tiek kombinuotuose, tiek atskiruose produktuose, kai pagaminamos produkcijos gamybos pajėgumas tonomis per dieną yra: </w:t>
                          </w:r>
                        </w:p>
                        <w:p>
                          <w:pPr>
                            <w:suppressAutoHyphens/>
                            <w:ind w:firstLine="567"/>
                            <w:jc w:val="both"/>
                            <w:textAlignment w:val="baseline"/>
                            <w:rPr>
                              <w:szCs w:val="24"/>
                              <w:lang w:eastAsia="lt-LT"/>
                            </w:rPr>
                          </w:pPr>
                          <w:r>
                            <w:rPr>
                              <w:szCs w:val="24"/>
                              <w:lang w:eastAsia="lt-LT"/>
                            </w:rPr>
                            <w:t xml:space="preserve">didesnis kaip 75 t, jei galutinės produkcijos gamybos pajėgumo gyvūninės kilmės medžiagos dalis (svorio procentais) yra lygi arba daugiau nei 10; arba [300-(22,5xA)] (kai A yra galutinės produkcijos gamybos pajėgumo gyvūninės medžiagos dalis svorio procentais) visais kitais atvejais.  </w:t>
                          </w:r>
                        </w:p>
                        <w:p>
                          <w:pPr>
                            <w:suppressAutoHyphens/>
                            <w:ind w:firstLine="567"/>
                            <w:jc w:val="both"/>
                            <w:textAlignment w:val="baseline"/>
                            <w:rPr>
                              <w:szCs w:val="24"/>
                              <w:lang w:eastAsia="lt-LT"/>
                            </w:rPr>
                          </w:pPr>
                          <w:r>
                            <w:rPr>
                              <w:szCs w:val="24"/>
                              <w:lang w:eastAsia="lt-LT"/>
                            </w:rPr>
                            <w:t>Pakuotė neįtraukiama į galutinį produkto svorį.</w:t>
                          </w:r>
                        </w:p>
                        <w:p>
                          <w:pPr>
                            <w:suppressAutoHyphens/>
                            <w:ind w:firstLine="567"/>
                            <w:jc w:val="both"/>
                            <w:textAlignment w:val="baseline"/>
                            <w:rPr>
                              <w:szCs w:val="24"/>
                              <w:lang w:eastAsia="lt-LT"/>
                            </w:rPr>
                          </w:pPr>
                          <w:r>
                            <w:rPr>
                              <w:szCs w:val="24"/>
                              <w:lang w:eastAsia="lt-LT"/>
                            </w:rPr>
                            <w:t>Šis 6.4.2.3. punktas netaikomas, kai žaliavą sudaro tik pienas;</w:t>
                          </w:r>
                        </w:p>
                      </w:sdtContent>
                    </w:sdt>
                  </w:sdtContent>
                </w:sdt>
                <w:sdt>
                  <w:sdtPr>
                    <w:alias w:val="1 pr. 6.4.3 p."/>
                    <w:tag w:val="part_85efac2e17364a62acb4a6ab665946a0"/>
                    <w:lock w:val="sdtLocked"/>
                    <w:richText/>
                  </w:sdtPr>
                  <w:sdtContent>
                    <w:p>
                      <w:pPr>
                        <w:ind w:firstLine="567"/>
                        <w:jc w:val="both"/>
                        <w:rPr>
                          <w:szCs w:val="24"/>
                          <w:lang w:eastAsia="lt-LT"/>
                        </w:rPr>
                      </w:pPr>
                      <w:sdt>
                        <w:sdtPr>
                          <w:alias w:val="Numeris"/>
                          <w:tag w:val="nr_85efac2e17364a62acb4a6ab665946a0"/>
                          <w:lock w:val="sdtLocked"/>
                          <w:richText/>
                        </w:sdtPr>
                        <w:sdtContent>
                          <w:r>
                            <w:rPr>
                              <w:szCs w:val="24"/>
                              <w:lang w:eastAsia="lt-LT"/>
                            </w:rPr>
                            <w:t>6.4.3</w:t>
                          </w:r>
                        </w:sdtContent>
                      </w:sdt>
                      <w:r>
                        <w:rPr>
                          <w:szCs w:val="24"/>
                          <w:lang w:eastAsia="lt-LT"/>
                        </w:rPr>
                        <w:t>. pieno apdorojimas ir perdirbimas, kai per dieną priimama daugiau kaip 200 tonų pieno (metinis vidurkis);</w:t>
                      </w:r>
                    </w:p>
                  </w:sdtContent>
                </w:sdt>
              </w:sdtContent>
            </w:sdt>
            <w:sdt>
              <w:sdtPr>
                <w:alias w:val="1 pr. 6.5 p."/>
                <w:tag w:val="part_a41ff52c329a4f86889ad65c69fa3c7d"/>
                <w:lock w:val="sdtLocked"/>
                <w:richText/>
              </w:sdtPr>
              <w:sdtContent>
                <w:p>
                  <w:pPr>
                    <w:ind w:firstLine="567"/>
                    <w:jc w:val="both"/>
                    <w:rPr>
                      <w:szCs w:val="24"/>
                      <w:lang w:eastAsia="lt-LT"/>
                    </w:rPr>
                  </w:pPr>
                  <w:sdt>
                    <w:sdtPr>
                      <w:alias w:val="Numeris"/>
                      <w:tag w:val="nr_a41ff52c329a4f86889ad65c69fa3c7d"/>
                      <w:lock w:val="sdtLocked"/>
                      <w:richText/>
                    </w:sdtPr>
                    <w:sdtContent>
                      <w:r>
                        <w:rPr>
                          <w:szCs w:val="24"/>
                          <w:lang w:eastAsia="lt-LT"/>
                        </w:rPr>
                        <w:t>6.5</w:t>
                      </w:r>
                    </w:sdtContent>
                  </w:sdt>
                  <w:r>
                    <w:rPr>
                      <w:szCs w:val="24"/>
                      <w:lang w:eastAsia="lt-LT"/>
                    </w:rPr>
                    <w:t>. gyvulių skerdenų ir gyvūninių atliekų šalinimas arba perdirbimas, kai apdorojimo pajėgumas didesnis kaip 10 tonų per dieną;</w:t>
                  </w:r>
                </w:p>
              </w:sdtContent>
            </w:sdt>
            <w:sdt>
              <w:sdtPr>
                <w:alias w:val="1 pr. 6.6 p."/>
                <w:tag w:val="part_6afa281cc21e4476ab66ffcc488abad3"/>
                <w:lock w:val="sdtLocked"/>
                <w:richText/>
              </w:sdtPr>
              <w:sdtContent>
                <w:p>
                  <w:pPr>
                    <w:ind w:firstLine="567"/>
                    <w:jc w:val="both"/>
                    <w:rPr>
                      <w:szCs w:val="24"/>
                      <w:lang w:eastAsia="lt-LT"/>
                    </w:rPr>
                  </w:pPr>
                  <w:sdt>
                    <w:sdtPr>
                      <w:alias w:val="Numeris"/>
                      <w:tag w:val="nr_6afa281cc21e4476ab66ffcc488abad3"/>
                      <w:lock w:val="sdtLocked"/>
                      <w:richText/>
                    </w:sdtPr>
                    <w:sdtContent>
                      <w:r>
                        <w:rPr>
                          <w:szCs w:val="24"/>
                          <w:lang w:eastAsia="lt-LT"/>
                        </w:rPr>
                        <w:t>6.6</w:t>
                      </w:r>
                    </w:sdtContent>
                  </w:sdt>
                  <w:r>
                    <w:rPr>
                      <w:szCs w:val="24"/>
                      <w:lang w:eastAsia="lt-LT"/>
                    </w:rPr>
                    <w:t xml:space="preserve">. intensyvus paukščių arba kiaulių auginimas, kai: </w:t>
                  </w:r>
                </w:p>
                <w:sdt>
                  <w:sdtPr>
                    <w:alias w:val="1 pr. 6.6.1 p."/>
                    <w:tag w:val="part_95b6039e4ecd45c597a2be2bf7e434e1"/>
                    <w:lock w:val="sdtLocked"/>
                    <w:richText/>
                  </w:sdtPr>
                  <w:sdtContent>
                    <w:p>
                      <w:pPr>
                        <w:ind w:firstLine="567"/>
                        <w:jc w:val="both"/>
                        <w:rPr>
                          <w:szCs w:val="24"/>
                          <w:lang w:eastAsia="lt-LT"/>
                        </w:rPr>
                      </w:pPr>
                      <w:sdt>
                        <w:sdtPr>
                          <w:alias w:val="Numeris"/>
                          <w:tag w:val="nr_95b6039e4ecd45c597a2be2bf7e434e1"/>
                          <w:lock w:val="sdtLocked"/>
                          <w:richText/>
                        </w:sdtPr>
                        <w:sdtContent>
                          <w:r>
                            <w:rPr>
                              <w:szCs w:val="24"/>
                              <w:lang w:eastAsia="lt-LT"/>
                            </w:rPr>
                            <w:t>6.6.1</w:t>
                          </w:r>
                        </w:sdtContent>
                      </w:sdt>
                      <w:r>
                        <w:rPr>
                          <w:szCs w:val="24"/>
                          <w:lang w:eastAsia="lt-LT"/>
                        </w:rPr>
                        <w:t xml:space="preserve">. yra daugiau kaip 40 000 vietų naminiams  paukščiams;</w:t>
                      </w:r>
                    </w:p>
                  </w:sdtContent>
                </w:sdt>
                <w:sdt>
                  <w:sdtPr>
                    <w:alias w:val="1 pr. 6.6.2 p."/>
                    <w:tag w:val="part_b4d2d6d843014c70b2f39b94a51c7ca4"/>
                    <w:lock w:val="sdtLocked"/>
                    <w:richText/>
                  </w:sdtPr>
                  <w:sdtContent>
                    <w:p>
                      <w:pPr>
                        <w:ind w:firstLine="567"/>
                        <w:jc w:val="both"/>
                        <w:rPr>
                          <w:szCs w:val="24"/>
                          <w:lang w:eastAsia="lt-LT"/>
                        </w:rPr>
                      </w:pPr>
                      <w:sdt>
                        <w:sdtPr>
                          <w:alias w:val="Numeris"/>
                          <w:tag w:val="nr_b4d2d6d843014c70b2f39b94a51c7ca4"/>
                          <w:lock w:val="sdtLocked"/>
                          <w:richText/>
                        </w:sdtPr>
                        <w:sdtContent>
                          <w:r>
                            <w:rPr>
                              <w:szCs w:val="24"/>
                              <w:lang w:eastAsia="lt-LT"/>
                            </w:rPr>
                            <w:t>6.6.2</w:t>
                          </w:r>
                        </w:sdtContent>
                      </w:sdt>
                      <w:r>
                        <w:rPr>
                          <w:szCs w:val="24"/>
                          <w:lang w:eastAsia="lt-LT"/>
                        </w:rPr>
                        <w:t>. yra daugiau kaip 2 000 vietų mėsinėms kiaulėms (daugiau kaip 30 kg);</w:t>
                      </w:r>
                    </w:p>
                  </w:sdtContent>
                </w:sdt>
                <w:sdt>
                  <w:sdtPr>
                    <w:alias w:val="1 pr. 6.6.3 p."/>
                    <w:tag w:val="part_3e5a4a090fe944fc9fc0e0ee7f15f090"/>
                    <w:lock w:val="sdtLocked"/>
                    <w:richText/>
                  </w:sdtPr>
                  <w:sdtContent>
                    <w:p>
                      <w:pPr>
                        <w:ind w:firstLine="567"/>
                        <w:jc w:val="both"/>
                        <w:rPr>
                          <w:szCs w:val="24"/>
                          <w:lang w:eastAsia="lt-LT"/>
                        </w:rPr>
                      </w:pPr>
                      <w:sdt>
                        <w:sdtPr>
                          <w:alias w:val="Numeris"/>
                          <w:tag w:val="nr_3e5a4a090fe944fc9fc0e0ee7f15f090"/>
                          <w:lock w:val="sdtLocked"/>
                          <w:richText/>
                        </w:sdtPr>
                        <w:sdtContent>
                          <w:r>
                            <w:rPr>
                              <w:szCs w:val="24"/>
                              <w:lang w:eastAsia="lt-LT"/>
                            </w:rPr>
                            <w:t>6.6.3</w:t>
                          </w:r>
                        </w:sdtContent>
                      </w:sdt>
                      <w:r>
                        <w:rPr>
                          <w:szCs w:val="24"/>
                          <w:lang w:eastAsia="lt-LT"/>
                        </w:rPr>
                        <w:t>. yra daugiau kaip 750 vietų paršavedėms;</w:t>
                      </w:r>
                    </w:p>
                  </w:sdtContent>
                </w:sdt>
              </w:sdtContent>
            </w:sdt>
            <w:sdt>
              <w:sdtPr>
                <w:alias w:val="1 pr. 6.7 p."/>
                <w:tag w:val="part_34556a2aac6b4a228df1f9a34b612014"/>
                <w:lock w:val="sdtLocked"/>
                <w:richText/>
              </w:sdtPr>
              <w:sdtContent>
                <w:p>
                  <w:pPr>
                    <w:ind w:firstLine="567"/>
                    <w:jc w:val="both"/>
                    <w:rPr>
                      <w:szCs w:val="24"/>
                      <w:lang w:eastAsia="lt-LT"/>
                    </w:rPr>
                  </w:pPr>
                  <w:sdt>
                    <w:sdtPr>
                      <w:alias w:val="Numeris"/>
                      <w:tag w:val="nr_34556a2aac6b4a228df1f9a34b612014"/>
                      <w:lock w:val="sdtLocked"/>
                      <w:richText/>
                    </w:sdtPr>
                    <w:sdtContent>
                      <w:r>
                        <w:rPr>
                          <w:szCs w:val="24"/>
                          <w:lang w:eastAsia="lt-LT"/>
                        </w:rPr>
                        <w:t>6.7</w:t>
                      </w:r>
                    </w:sdtContent>
                  </w:sdt>
                  <w:r>
                    <w:rPr>
                      <w:szCs w:val="24"/>
                      <w:lang w:eastAsia="lt-LT"/>
                    </w:rPr>
                    <w:t>. naudojant organinius tirpiklius atliekamas medžiagų, daiktų arba gaminių paviršiaus apdorojimas – taurinimas, šlichtinimas, dengimas, riebalų šalinimas, atspariu vandeniui darymas, klijavimas, dažymas, valymas arba impregnavimas, kai organinio tirpiklio sunaudojimo pajėgumas didesnis kaip 150 kg per valandą arba didesnis kaip 200 tonų per metus;</w:t>
                  </w:r>
                </w:p>
              </w:sdtContent>
            </w:sdt>
            <w:sdt>
              <w:sdtPr>
                <w:alias w:val="1 pr. 6.8 p."/>
                <w:tag w:val="part_7a662a2fda674043965e029fbd993d41"/>
                <w:lock w:val="sdtLocked"/>
                <w:richText/>
              </w:sdtPr>
              <w:sdtContent>
                <w:p>
                  <w:pPr>
                    <w:ind w:firstLine="567"/>
                    <w:jc w:val="both"/>
                    <w:rPr>
                      <w:szCs w:val="24"/>
                      <w:lang w:eastAsia="lt-LT"/>
                    </w:rPr>
                  </w:pPr>
                  <w:sdt>
                    <w:sdtPr>
                      <w:alias w:val="Numeris"/>
                      <w:tag w:val="nr_7a662a2fda674043965e029fbd993d41"/>
                      <w:lock w:val="sdtLocked"/>
                      <w:richText/>
                    </w:sdtPr>
                    <w:sdtContent>
                      <w:r>
                        <w:rPr>
                          <w:szCs w:val="24"/>
                          <w:lang w:eastAsia="lt-LT"/>
                        </w:rPr>
                        <w:t>6.8</w:t>
                      </w:r>
                    </w:sdtContent>
                  </w:sdt>
                  <w:r>
                    <w:rPr>
                      <w:szCs w:val="24"/>
                      <w:lang w:eastAsia="lt-LT"/>
                    </w:rPr>
                    <w:t>. anglies (perdegtos anglies) arba elektrografito gamyba deginimo arba grafitizacijos būdu;</w:t>
                  </w:r>
                </w:p>
              </w:sdtContent>
            </w:sdt>
            <w:sdt>
              <w:sdtPr>
                <w:alias w:val="1 pr. 6.9 p."/>
                <w:tag w:val="part_0798a31d8b294b768616b9be938ce773"/>
                <w:lock w:val="sdtLocked"/>
                <w:richText/>
              </w:sdtPr>
              <w:sdtContent>
                <w:p>
                  <w:pPr>
                    <w:ind w:firstLine="567"/>
                    <w:jc w:val="both"/>
                    <w:rPr>
                      <w:szCs w:val="24"/>
                      <w:lang w:eastAsia="lt-LT"/>
                    </w:rPr>
                  </w:pPr>
                  <w:sdt>
                    <w:sdtPr>
                      <w:alias w:val="Numeris"/>
                      <w:tag w:val="nr_0798a31d8b294b768616b9be938ce773"/>
                      <w:lock w:val="sdtLocked"/>
                      <w:richText/>
                    </w:sdtPr>
                    <w:sdtContent>
                      <w:r>
                        <w:rPr>
                          <w:szCs w:val="24"/>
                          <w:lang w:eastAsia="lt-LT"/>
                        </w:rPr>
                        <w:t>6.9</w:t>
                      </w:r>
                    </w:sdtContent>
                  </w:sdt>
                  <w:r>
                    <w:rPr>
                      <w:szCs w:val="24"/>
                      <w:lang w:eastAsia="lt-LT"/>
                    </w:rPr>
                    <w:t>. anglies dioksido (CO</w:t>
                  </w:r>
                  <w:r>
                    <w:rPr>
                      <w:szCs w:val="24"/>
                      <w:vertAlign w:val="subscript"/>
                      <w:lang w:eastAsia="lt-LT"/>
                    </w:rPr>
                    <w:t>2</w:t>
                  </w:r>
                  <w:r>
                    <w:rPr>
                      <w:szCs w:val="24"/>
                      <w:lang w:eastAsia="lt-LT"/>
                    </w:rPr>
                    <w:t>) surinkimas iš įrenginių, kuriems taikomos Taisyklės, ir geologinis saugojimas gelmėse;</w:t>
                  </w:r>
                </w:p>
              </w:sdtContent>
            </w:sdt>
            <w:sdt>
              <w:sdtPr>
                <w:alias w:val="1 pr. 6.10 p."/>
                <w:tag w:val="part_165f48248fa44489944349d2eeb9fc1c"/>
                <w:lock w:val="sdtLocked"/>
                <w:richText/>
              </w:sdtPr>
              <w:sdtContent>
                <w:p>
                  <w:pPr>
                    <w:ind w:firstLine="567"/>
                    <w:jc w:val="both"/>
                    <w:rPr>
                      <w:szCs w:val="24"/>
                      <w:lang w:eastAsia="lt-LT"/>
                    </w:rPr>
                  </w:pPr>
                  <w:sdt>
                    <w:sdtPr>
                      <w:alias w:val="Numeris"/>
                      <w:tag w:val="nr_165f48248fa44489944349d2eeb9fc1c"/>
                      <w:lock w:val="sdtLocked"/>
                      <w:richText/>
                    </w:sdtPr>
                    <w:sdtContent>
                      <w:r>
                        <w:rPr>
                          <w:szCs w:val="24"/>
                          <w:lang w:eastAsia="lt-LT"/>
                        </w:rPr>
                        <w:t>6.10</w:t>
                      </w:r>
                    </w:sdtContent>
                  </w:sdt>
                  <w:r>
                    <w:rPr>
                      <w:szCs w:val="24"/>
                      <w:lang w:eastAsia="lt-LT"/>
                    </w:rPr>
                    <w:t>. medienos ir medienos gaminių konservavimas naudojant chemines medžiagas, kai gamybos pajėgumas didesnis kaip 75 m</w:t>
                  </w:r>
                  <w:r>
                    <w:rPr>
                      <w:szCs w:val="24"/>
                      <w:vertAlign w:val="superscript"/>
                      <w:lang w:eastAsia="lt-LT"/>
                    </w:rPr>
                    <w:t>3</w:t>
                  </w:r>
                  <w:r>
                    <w:rPr>
                      <w:szCs w:val="24"/>
                      <w:lang w:eastAsia="lt-LT"/>
                    </w:rPr>
                    <w:t xml:space="preserve"> per dieną, išskyrus vien tik apdorojimą siekiant apsaugoti medieną nuo mėlynavimo;</w:t>
                  </w:r>
                </w:p>
              </w:sdtContent>
            </w:sdt>
            <w:sdt>
              <w:sdtPr>
                <w:alias w:val="1 pr. 6.11 p."/>
                <w:tag w:val="part_114e1bb8b4d64a77a962634cf5b1e25f"/>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pPr>
                  <w:sdt>
                    <w:sdtPr>
                      <w:alias w:val="Numeris"/>
                      <w:tag w:val="nr_114e1bb8b4d64a77a962634cf5b1e25f"/>
                      <w:lock w:val="sdtLocked"/>
                      <w:richText/>
                    </w:sdtPr>
                    <w:sdtContent>
                      <w:r>
                        <w:rPr>
                          <w:szCs w:val="24"/>
                          <w:lang w:eastAsia="lt-LT"/>
                        </w:rPr>
                        <w:t>6.11</w:t>
                      </w:r>
                    </w:sdtContent>
                  </w:sdt>
                  <w:r>
                    <w:rPr>
                      <w:szCs w:val="24"/>
                      <w:lang w:eastAsia="lt-LT"/>
                    </w:rPr>
                    <w:t xml:space="preserve">. gamybinių nuotekų valymas nuotekų valymo įrenginiuose </w:t>
                  </w:r>
                  <w:r>
                    <w:rPr>
                      <w:bCs/>
                      <w:szCs w:val="24"/>
                      <w:lang w:eastAsia="lt-LT"/>
                    </w:rPr>
                    <w:t>(išskyrus priklausančius viešajam geriamojo vandens tiekėjui ir nuotekų tvarkytojui)</w:t>
                  </w:r>
                  <w:r>
                    <w:rPr>
                      <w:szCs w:val="24"/>
                      <w:lang w:eastAsia="lt-LT"/>
                    </w:rPr>
                    <w:t>, priimančiuose nuotekas iš įrenginių ir įmonių, kurių veikla išvardinta šiame priede, ir išleidimas į gamtinę aplinką. Šis punktas netaikomas pieno perdirbimo, vaisių ir daržovių produktų gamybos, nealkoholinių gėrimų gamybos ir išpilstymo, bulvių perdirbimo, mėsos pramonės, alaus darykloms, alkoholio ir alkoholinių gėrimų gamybos, augalinių pašarų gamybos, želatinos ir klijų gamybos iš odų ir kaulų, salyklo gamybos ir žuvies perdirbimo pramonės įmonėse susidarančių gamybinių nuotekų valymui ir išleidimui į gamtinę aplinką.</w:t>
                  </w:r>
                  <w:r>
                    <w:t xml:space="preserve"> </w:t>
                  </w:r>
                </w:p>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Cs w:val="24"/>
                      <w:lang w:eastAsia="lt-LT"/>
                    </w:rPr>
                  </w:pPr>
                  <w:r>
                    <w:t>_________________</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58dcda07c7011e4abe983995522ea30">
                    <w:r w:rsidRPr="00532B9F">
                      <w:rPr>
                        <w:rFonts w:ascii="Arial" w:eastAsia="MS Mincho" w:hAnsi="Arial"/>
                        <w:sz w:val="20"/>
                        <w:i/>
                        <w:iCs/>
                        <w:color w:val="0000FF" w:themeColor="hyperlink"/>
                        <w:u w:val="single"/>
                      </w:rPr>
                      <w:t>D1-983</w:t>
                    </w:r>
                  </w:fldSimple>
                  <w:r>
                    <w:rPr>
                      <w:rFonts w:ascii="Arial" w:eastAsia="MS Mincho" w:hAnsi="Arial"/>
                      <w:sz w:val="20"/>
                      <w:i/>
                      <w:iCs/>
                    </w:rPr>
                    <w:t>,
2014-12-04,
paskelbta TAR 2014-12-05, i. k. 2014-19056            </w:t>
                  </w:r>
                </w:p>
                <w:p/>
              </w:sdtContent>
            </w:sdt>
          </w:sdtContent>
        </w:sdt>
      </w:sdtContent>
    </w:sdt>
    <w:sdt>
      <w:sdtPr>
        <w:alias w:val="2 pr."/>
        <w:tag w:val="part_007b02317b5a4ed3a53c9b58a0e3ba44"/>
        <w:lock w:val="sdtLocked"/>
        <w:richText/>
      </w:sdtPr>
      <w:sdtContent>
        <w:p>
          <w:pPr>
            <w:ind w:left="4535"/>
            <w:sectPr>
              <w:pgSz w:w="12240" w:h="15840" w:code="1"/>
              <w:pgMar w:top="1134" w:right="1134" w:bottom="1418" w:left="1701" w:header="720" w:footer="720" w:gutter="0"/>
              <w:pgNumType w:start="1"/>
              <w:cols w:space="720"/>
              <w:noEndnote/>
              <w:titlePg/>
              <w:docGrid w:linePitch="326"/>
            </w:sectPr>
          </w:pPr>
        </w:p>
        <w:p>
          <w:pPr>
            <w:ind w:left="4535"/>
            <w:rPr>
              <w:szCs w:val="24"/>
              <w:lang w:eastAsia="lt-LT"/>
            </w:rPr>
          </w:pPr>
          <w:r>
            <w:rPr>
              <w:szCs w:val="24"/>
              <w:lang w:eastAsia="lt-LT"/>
            </w:rPr>
            <w:t xml:space="preserve">Taršos integruotos prevencijos ir kontrolės leidimų išdavimo, pakeitimo ir </w:t>
          </w:r>
          <w:r>
            <w:rPr>
              <w:bCs/>
              <w:szCs w:val="24"/>
              <w:lang w:eastAsia="lt-LT"/>
            </w:rPr>
            <w:t xml:space="preserve">galiojimo </w:t>
          </w:r>
          <w:r>
            <w:rPr>
              <w:szCs w:val="24"/>
              <w:lang w:eastAsia="lt-LT"/>
            </w:rPr>
            <w:t xml:space="preserve">panaikinimo taisyklių </w:t>
          </w:r>
        </w:p>
        <w:p>
          <w:pPr>
            <w:ind w:left="4535"/>
            <w:rPr>
              <w:szCs w:val="24"/>
              <w:lang w:eastAsia="lt-LT"/>
            </w:rPr>
          </w:pPr>
          <w:sdt>
            <w:sdtPr>
              <w:alias w:val="Numeris"/>
              <w:tag w:val="nr_007b02317b5a4ed3a53c9b58a0e3ba44"/>
              <w:lock w:val="sdtLocked"/>
              <w:richText/>
            </w:sdtPr>
            <w:sdtContent>
              <w:r>
                <w:rPr>
                  <w:szCs w:val="24"/>
                  <w:lang w:eastAsia="lt-LT"/>
                </w:rPr>
                <w:t>2</w:t>
              </w:r>
            </w:sdtContent>
          </w:sdt>
          <w:r>
            <w:rPr>
              <w:szCs w:val="24"/>
              <w:lang w:eastAsia="lt-LT"/>
            </w:rPr>
            <w:t xml:space="preserve"> priedas</w:t>
          </w:r>
        </w:p>
        <w:p>
          <w:pPr>
            <w:ind w:firstLine="567"/>
            <w:rPr>
              <w:szCs w:val="24"/>
              <w:lang w:eastAsia="lt-LT"/>
            </w:rPr>
          </w:pPr>
        </w:p>
        <w:p>
          <w:pPr>
            <w:jc w:val="center"/>
            <w:rPr>
              <w:b/>
              <w:bCs/>
              <w:caps/>
              <w:szCs w:val="24"/>
              <w:lang w:eastAsia="lt-LT"/>
            </w:rPr>
          </w:pPr>
          <w:sdt>
            <w:sdtPr>
              <w:alias w:val="Pavadinimas"/>
              <w:tag w:val="title_007b02317b5a4ed3a53c9b58a0e3ba44"/>
              <w:lock w:val="sdtLocked"/>
              <w:richText/>
            </w:sdtPr>
            <w:sdtContent>
              <w:r>
                <w:rPr>
                  <w:b/>
                  <w:bCs/>
                  <w:caps/>
                  <w:szCs w:val="24"/>
                  <w:lang w:eastAsia="lt-LT"/>
                </w:rPr>
                <w:t>Geriausių prieinamų gamybos būdų nustatymo kriterijai</w:t>
              </w:r>
            </w:sdtContent>
          </w:sdt>
        </w:p>
        <w:p>
          <w:pPr>
            <w:ind w:firstLine="567"/>
            <w:jc w:val="both"/>
            <w:rPr>
              <w:b/>
              <w:bCs/>
              <w:szCs w:val="24"/>
              <w:lang w:eastAsia="lt-LT"/>
            </w:rPr>
          </w:pPr>
        </w:p>
        <w:sdt>
          <w:sdtPr>
            <w:alias w:val="2 pr. 1 p."/>
            <w:tag w:val="part_d144907401b043d29ca30511e5eed8f6"/>
            <w:lock w:val="sdtLocked"/>
            <w:richText/>
          </w:sdtPr>
          <w:sdtContent>
            <w:p>
              <w:pPr>
                <w:ind w:firstLine="567"/>
                <w:jc w:val="both"/>
                <w:rPr>
                  <w:szCs w:val="24"/>
                  <w:lang w:eastAsia="lt-LT"/>
                </w:rPr>
              </w:pPr>
              <w:sdt>
                <w:sdtPr>
                  <w:alias w:val="Numeris"/>
                  <w:tag w:val="nr_d144907401b043d29ca30511e5eed8f6"/>
                  <w:lock w:val="sdtLocked"/>
                  <w:richText/>
                </w:sdtPr>
                <w:sdtContent>
                  <w:r>
                    <w:rPr>
                      <w:szCs w:val="24"/>
                      <w:lang w:eastAsia="lt-LT"/>
                    </w:rPr>
                    <w:t>1</w:t>
                  </w:r>
                </w:sdtContent>
              </w:sdt>
              <w:r>
                <w:rPr>
                  <w:szCs w:val="24"/>
                  <w:lang w:eastAsia="lt-LT"/>
                </w:rPr>
                <w:t>. Mažaatliekės technologijos naudojimas.</w:t>
              </w:r>
            </w:p>
          </w:sdtContent>
        </w:sdt>
        <w:sdt>
          <w:sdtPr>
            <w:alias w:val="2 pr. 2 p."/>
            <w:tag w:val="part_6e615c3900e44adeabdea4c87ca2c624"/>
            <w:lock w:val="sdtLocked"/>
            <w:richText/>
          </w:sdtPr>
          <w:sdtContent>
            <w:p>
              <w:pPr>
                <w:ind w:firstLine="567"/>
                <w:jc w:val="both"/>
                <w:rPr>
                  <w:szCs w:val="24"/>
                  <w:lang w:eastAsia="lt-LT"/>
                </w:rPr>
              </w:pPr>
              <w:sdt>
                <w:sdtPr>
                  <w:alias w:val="Numeris"/>
                  <w:tag w:val="nr_6e615c3900e44adeabdea4c87ca2c624"/>
                  <w:lock w:val="sdtLocked"/>
                  <w:richText/>
                </w:sdtPr>
                <w:sdtContent>
                  <w:r>
                    <w:rPr>
                      <w:szCs w:val="24"/>
                      <w:lang w:eastAsia="lt-LT"/>
                    </w:rPr>
                    <w:t>2</w:t>
                  </w:r>
                </w:sdtContent>
              </w:sdt>
              <w:r>
                <w:rPr>
                  <w:szCs w:val="24"/>
                  <w:lang w:eastAsia="lt-LT"/>
                </w:rPr>
                <w:t>. Mažiau pavojingų medžiagų naudojimas.</w:t>
              </w:r>
            </w:p>
          </w:sdtContent>
        </w:sdt>
        <w:sdt>
          <w:sdtPr>
            <w:alias w:val="2 pr. 3 p."/>
            <w:tag w:val="part_ca9576858ee644ecadc17c9c8d751c4f"/>
            <w:lock w:val="sdtLocked"/>
            <w:richText/>
          </w:sdtPr>
          <w:sdtContent>
            <w:p>
              <w:pPr>
                <w:ind w:firstLine="567"/>
                <w:jc w:val="both"/>
                <w:rPr>
                  <w:szCs w:val="24"/>
                  <w:lang w:eastAsia="lt-LT"/>
                </w:rPr>
              </w:pPr>
              <w:sdt>
                <w:sdtPr>
                  <w:alias w:val="Numeris"/>
                  <w:tag w:val="nr_ca9576858ee644ecadc17c9c8d751c4f"/>
                  <w:lock w:val="sdtLocked"/>
                  <w:richText/>
                </w:sdtPr>
                <w:sdtContent>
                  <w:r>
                    <w:rPr>
                      <w:szCs w:val="24"/>
                      <w:lang w:eastAsia="lt-LT"/>
                    </w:rPr>
                    <w:t>3</w:t>
                  </w:r>
                </w:sdtContent>
              </w:sdt>
              <w:r>
                <w:rPr>
                  <w:szCs w:val="24"/>
                  <w:lang w:eastAsia="lt-LT"/>
                </w:rPr>
                <w:t>. Proceso metu susidarančių ir naudotų medžiagų bei atitinkamų atliekų panaudojimo bei perdirbimo skatinimas.</w:t>
              </w:r>
            </w:p>
          </w:sdtContent>
        </w:sdt>
        <w:sdt>
          <w:sdtPr>
            <w:alias w:val="2 pr. 4 p."/>
            <w:tag w:val="part_2b33cf4e54f24bc0b416dbead309bb6e"/>
            <w:lock w:val="sdtLocked"/>
            <w:richText/>
          </w:sdtPr>
          <w:sdtContent>
            <w:p>
              <w:pPr>
                <w:ind w:firstLine="567"/>
                <w:jc w:val="both"/>
                <w:rPr>
                  <w:szCs w:val="24"/>
                  <w:lang w:eastAsia="lt-LT"/>
                </w:rPr>
              </w:pPr>
              <w:sdt>
                <w:sdtPr>
                  <w:alias w:val="Numeris"/>
                  <w:tag w:val="nr_2b33cf4e54f24bc0b416dbead309bb6e"/>
                  <w:lock w:val="sdtLocked"/>
                  <w:richText/>
                </w:sdtPr>
                <w:sdtContent>
                  <w:r>
                    <w:rPr>
                      <w:szCs w:val="24"/>
                      <w:lang w:eastAsia="lt-LT"/>
                    </w:rPr>
                    <w:t>4</w:t>
                  </w:r>
                </w:sdtContent>
              </w:sdt>
              <w:r>
                <w:rPr>
                  <w:szCs w:val="24"/>
                  <w:lang w:eastAsia="lt-LT"/>
                </w:rPr>
                <w:t>. Palyginami eksploatavimo procesai, įrengimai ar metodai, sėkmingai išbandyti pramoniniu mastu.</w:t>
              </w:r>
            </w:p>
          </w:sdtContent>
        </w:sdt>
        <w:sdt>
          <w:sdtPr>
            <w:alias w:val="2 pr. 5 p."/>
            <w:tag w:val="part_dcf7fbdeb51443ff87f53c0cbf22b51c"/>
            <w:lock w:val="sdtLocked"/>
            <w:richText/>
          </w:sdtPr>
          <w:sdtContent>
            <w:p>
              <w:pPr>
                <w:ind w:firstLine="567"/>
                <w:jc w:val="both"/>
                <w:rPr>
                  <w:szCs w:val="24"/>
                  <w:lang w:eastAsia="lt-LT"/>
                </w:rPr>
              </w:pPr>
              <w:sdt>
                <w:sdtPr>
                  <w:alias w:val="Numeris"/>
                  <w:tag w:val="nr_dcf7fbdeb51443ff87f53c0cbf22b51c"/>
                  <w:lock w:val="sdtLocked"/>
                  <w:richText/>
                </w:sdtPr>
                <w:sdtContent>
                  <w:r>
                    <w:rPr>
                      <w:szCs w:val="24"/>
                      <w:lang w:eastAsia="lt-LT"/>
                    </w:rPr>
                    <w:t>5</w:t>
                  </w:r>
                </w:sdtContent>
              </w:sdt>
              <w:r>
                <w:rPr>
                  <w:szCs w:val="24"/>
                  <w:lang w:eastAsia="lt-LT"/>
                </w:rPr>
                <w:t>. Technikos pasiekimai ir mokslo žinių bei supratimo pokyčiai.</w:t>
              </w:r>
            </w:p>
          </w:sdtContent>
        </w:sdt>
        <w:sdt>
          <w:sdtPr>
            <w:alias w:val="2 pr. 6 p."/>
            <w:tag w:val="part_287b065b86a6418c970050cc1b41f4f7"/>
            <w:lock w:val="sdtLocked"/>
            <w:richText/>
          </w:sdtPr>
          <w:sdtContent>
            <w:p>
              <w:pPr>
                <w:ind w:firstLine="567"/>
                <w:jc w:val="both"/>
                <w:rPr>
                  <w:szCs w:val="24"/>
                  <w:lang w:eastAsia="lt-LT"/>
                </w:rPr>
              </w:pPr>
              <w:sdt>
                <w:sdtPr>
                  <w:alias w:val="Numeris"/>
                  <w:tag w:val="nr_287b065b86a6418c970050cc1b41f4f7"/>
                  <w:lock w:val="sdtLocked"/>
                  <w:richText/>
                </w:sdtPr>
                <w:sdtContent>
                  <w:r>
                    <w:rPr>
                      <w:szCs w:val="24"/>
                      <w:lang w:eastAsia="lt-LT"/>
                    </w:rPr>
                    <w:t>6</w:t>
                  </w:r>
                </w:sdtContent>
              </w:sdt>
              <w:r>
                <w:rPr>
                  <w:szCs w:val="24"/>
                  <w:lang w:eastAsia="lt-LT"/>
                </w:rPr>
                <w:t>. Atitinkamų išmetamų teršalų pobūdis, pasekmės ir apimtys.</w:t>
              </w:r>
            </w:p>
          </w:sdtContent>
        </w:sdt>
        <w:sdt>
          <w:sdtPr>
            <w:alias w:val="2 pr. 7 p."/>
            <w:tag w:val="part_dcaddfa99fef47b7ae49bd0988871fe2"/>
            <w:lock w:val="sdtLocked"/>
            <w:richText/>
          </w:sdtPr>
          <w:sdtContent>
            <w:p>
              <w:pPr>
                <w:ind w:firstLine="567"/>
                <w:jc w:val="both"/>
                <w:rPr>
                  <w:szCs w:val="24"/>
                  <w:lang w:eastAsia="lt-LT"/>
                </w:rPr>
              </w:pPr>
              <w:sdt>
                <w:sdtPr>
                  <w:alias w:val="Numeris"/>
                  <w:tag w:val="nr_dcaddfa99fef47b7ae49bd0988871fe2"/>
                  <w:lock w:val="sdtLocked"/>
                  <w:richText/>
                </w:sdtPr>
                <w:sdtContent>
                  <w:r>
                    <w:rPr>
                      <w:szCs w:val="24"/>
                      <w:lang w:eastAsia="lt-LT"/>
                    </w:rPr>
                    <w:t>7</w:t>
                  </w:r>
                </w:sdtContent>
              </w:sdt>
              <w:r>
                <w:rPr>
                  <w:szCs w:val="24"/>
                  <w:lang w:eastAsia="lt-LT"/>
                </w:rPr>
                <w:t>. Naujo ar esamo įrenginio paleidimo data.</w:t>
              </w:r>
            </w:p>
          </w:sdtContent>
        </w:sdt>
        <w:sdt>
          <w:sdtPr>
            <w:alias w:val="2 pr. 8 p."/>
            <w:tag w:val="part_d510ae8981aa4861a1373e5b4d8616b5"/>
            <w:lock w:val="sdtLocked"/>
            <w:richText/>
          </w:sdtPr>
          <w:sdtContent>
            <w:p>
              <w:pPr>
                <w:ind w:firstLine="567"/>
                <w:jc w:val="both"/>
                <w:rPr>
                  <w:szCs w:val="24"/>
                  <w:lang w:eastAsia="lt-LT"/>
                </w:rPr>
              </w:pPr>
              <w:sdt>
                <w:sdtPr>
                  <w:alias w:val="Numeris"/>
                  <w:tag w:val="nr_d510ae8981aa4861a1373e5b4d8616b5"/>
                  <w:lock w:val="sdtLocked"/>
                  <w:richText/>
                </w:sdtPr>
                <w:sdtContent>
                  <w:r>
                    <w:rPr>
                      <w:szCs w:val="24"/>
                      <w:lang w:eastAsia="lt-LT"/>
                    </w:rPr>
                    <w:t>8</w:t>
                  </w:r>
                </w:sdtContent>
              </w:sdt>
              <w:r>
                <w:rPr>
                  <w:szCs w:val="24"/>
                  <w:lang w:eastAsia="lt-LT"/>
                </w:rPr>
                <w:t>. Laikas, reikalingas geriausiam prieinamam gamybos būdui įdiegti.</w:t>
              </w:r>
            </w:p>
          </w:sdtContent>
        </w:sdt>
        <w:sdt>
          <w:sdtPr>
            <w:alias w:val="2 pr. 9 p."/>
            <w:tag w:val="part_1b5ec9ba75c940c68e58325c9784cf10"/>
            <w:lock w:val="sdtLocked"/>
            <w:richText/>
          </w:sdtPr>
          <w:sdtContent>
            <w:p>
              <w:pPr>
                <w:ind w:firstLine="567"/>
                <w:jc w:val="both"/>
                <w:rPr>
                  <w:szCs w:val="24"/>
                  <w:lang w:eastAsia="lt-LT"/>
                </w:rPr>
              </w:pPr>
              <w:sdt>
                <w:sdtPr>
                  <w:alias w:val="Numeris"/>
                  <w:tag w:val="nr_1b5ec9ba75c940c68e58325c9784cf10"/>
                  <w:lock w:val="sdtLocked"/>
                  <w:richText/>
                </w:sdtPr>
                <w:sdtContent>
                  <w:r>
                    <w:rPr>
                      <w:szCs w:val="24"/>
                      <w:lang w:eastAsia="lt-LT"/>
                    </w:rPr>
                    <w:t>9</w:t>
                  </w:r>
                </w:sdtContent>
              </w:sdt>
              <w:r>
                <w:rPr>
                  <w:szCs w:val="24"/>
                  <w:lang w:eastAsia="lt-LT"/>
                </w:rPr>
                <w:t>. Procese naudojamų žaliavų (įskaitant vandenį) suvartojimas ir pobūdis bei jų energetinis efektyvumas.</w:t>
              </w:r>
            </w:p>
          </w:sdtContent>
        </w:sdt>
        <w:sdt>
          <w:sdtPr>
            <w:alias w:val="2 pr. 10 p."/>
            <w:tag w:val="part_42edca0dd7f34fd5abb2ed268c3a8c35"/>
            <w:lock w:val="sdtLocked"/>
            <w:richText/>
          </w:sdtPr>
          <w:sdtContent>
            <w:p>
              <w:pPr>
                <w:ind w:firstLine="567"/>
                <w:jc w:val="both"/>
                <w:rPr>
                  <w:szCs w:val="24"/>
                  <w:lang w:eastAsia="lt-LT"/>
                </w:rPr>
              </w:pPr>
              <w:sdt>
                <w:sdtPr>
                  <w:alias w:val="Numeris"/>
                  <w:tag w:val="nr_42edca0dd7f34fd5abb2ed268c3a8c35"/>
                  <w:lock w:val="sdtLocked"/>
                  <w:richText/>
                </w:sdtPr>
                <w:sdtContent>
                  <w:r>
                    <w:rPr>
                      <w:szCs w:val="24"/>
                      <w:lang w:eastAsia="lt-LT"/>
                    </w:rPr>
                    <w:t>10</w:t>
                  </w:r>
                </w:sdtContent>
              </w:sdt>
              <w:r>
                <w:rPr>
                  <w:szCs w:val="24"/>
                  <w:lang w:eastAsia="lt-LT"/>
                </w:rPr>
                <w:t>. Būtinybė užtikrinti taršos prevenciją arba kuo labiau sumažinti jos poveikį aplinkai ir keliamą riziką.</w:t>
              </w:r>
            </w:p>
          </w:sdtContent>
        </w:sdt>
        <w:sdt>
          <w:sdtPr>
            <w:alias w:val="2 pr. 11 p."/>
            <w:tag w:val="part_035af101655e4826a617cd09920b42e7"/>
            <w:lock w:val="sdtLocked"/>
            <w:richText/>
          </w:sdtPr>
          <w:sdtContent>
            <w:p>
              <w:pPr>
                <w:ind w:firstLine="567"/>
                <w:jc w:val="both"/>
                <w:rPr>
                  <w:szCs w:val="24"/>
                  <w:lang w:eastAsia="lt-LT"/>
                </w:rPr>
              </w:pPr>
              <w:sdt>
                <w:sdtPr>
                  <w:alias w:val="Numeris"/>
                  <w:tag w:val="nr_035af101655e4826a617cd09920b42e7"/>
                  <w:lock w:val="sdtLocked"/>
                  <w:richText/>
                </w:sdtPr>
                <w:sdtContent>
                  <w:r>
                    <w:rPr>
                      <w:szCs w:val="24"/>
                      <w:lang w:eastAsia="lt-LT"/>
                    </w:rPr>
                    <w:t>11</w:t>
                  </w:r>
                </w:sdtContent>
              </w:sdt>
              <w:r>
                <w:rPr>
                  <w:szCs w:val="24"/>
                  <w:lang w:eastAsia="lt-LT"/>
                </w:rPr>
                <w:t>. Avarijų prevencijos reikalingumas ir būtinybė kuo labiau sumažinti jų pasekmes aplinkai.</w:t>
              </w:r>
            </w:p>
          </w:sdtContent>
        </w:sdt>
        <w:sdt>
          <w:sdtPr>
            <w:alias w:val="2 pr. 12 p."/>
            <w:tag w:val="part_772acd531eb0414599d206cc637b62db"/>
            <w:lock w:val="sdtLocked"/>
            <w:richText/>
          </w:sdtPr>
          <w:sdtContent>
            <w:p>
              <w:pPr>
                <w:ind w:firstLine="567"/>
                <w:jc w:val="both"/>
                <w:rPr>
                  <w:szCs w:val="24"/>
                  <w:lang w:eastAsia="lt-LT"/>
                </w:rPr>
              </w:pPr>
              <w:sdt>
                <w:sdtPr>
                  <w:alias w:val="Numeris"/>
                  <w:tag w:val="nr_772acd531eb0414599d206cc637b62db"/>
                  <w:lock w:val="sdtLocked"/>
                  <w:richText/>
                </w:sdtPr>
                <w:sdtContent>
                  <w:r>
                    <w:rPr>
                      <w:szCs w:val="24"/>
                      <w:lang w:eastAsia="lt-LT"/>
                    </w:rPr>
                    <w:t>12</w:t>
                  </w:r>
                </w:sdtContent>
              </w:sdt>
              <w:r>
                <w:rPr>
                  <w:szCs w:val="24"/>
                  <w:lang w:eastAsia="lt-LT"/>
                </w:rPr>
                <w:t>. Viešųjų tarptautinių organizacijų paskelbta informacija.</w:t>
              </w:r>
            </w:p>
            <w:p>
              <w:pPr>
                <w:jc w:val="center"/>
                <w:rPr>
                  <w:szCs w:val="24"/>
                  <w:lang w:eastAsia="lt-LT"/>
                </w:rPr>
              </w:pPr>
              <w:r>
                <w:rPr>
                  <w:szCs w:val="24"/>
                  <w:lang w:eastAsia="lt-LT"/>
                </w:rPr>
                <w:t>_________________</w:t>
              </w:r>
            </w:p>
          </w:sdtContent>
        </w:sdt>
      </w:sdtContent>
    </w:sdt>
    <w:sdt>
      <w:sdtPr>
        <w:alias w:val="3 pr."/>
        <w:tag w:val="part_bfea686d59034fd98327a2ba50143cb2"/>
        <w:lock w:val="sdtLocked"/>
        <w:richText/>
      </w:sdtPr>
      <w:sdtContent>
        <w:p>
          <w:pPr>
            <w:ind w:left="4535"/>
            <w:sectPr>
              <w:pgSz w:w="12240" w:h="15840" w:code="1"/>
              <w:pgMar w:top="1134" w:right="1134" w:bottom="1418" w:left="1701" w:header="720" w:footer="720" w:gutter="0"/>
              <w:pgNumType w:start="1"/>
              <w:cols w:space="720"/>
              <w:noEndnote/>
              <w:titlePg/>
              <w:docGrid w:linePitch="326"/>
            </w:sectPr>
          </w:pPr>
        </w:p>
        <w:p>
          <w:pPr>
            <w:ind w:left="4535"/>
            <w:rPr>
              <w:szCs w:val="24"/>
              <w:lang w:eastAsia="lt-LT"/>
            </w:rPr>
          </w:pPr>
          <w:r>
            <w:rPr>
              <w:szCs w:val="24"/>
              <w:lang w:eastAsia="lt-LT"/>
            </w:rPr>
            <w:t xml:space="preserve">Taršos integruotos prevencijos ir kontrolės leidimų išdavimo, pakeitimo ir </w:t>
          </w:r>
          <w:r>
            <w:rPr>
              <w:bCs/>
              <w:szCs w:val="24"/>
              <w:lang w:eastAsia="lt-LT"/>
            </w:rPr>
            <w:t xml:space="preserve">galiojimo </w:t>
          </w:r>
          <w:r>
            <w:rPr>
              <w:szCs w:val="24"/>
              <w:lang w:eastAsia="lt-LT"/>
            </w:rPr>
            <w:t xml:space="preserve">panaikinimo taisyklių </w:t>
          </w:r>
        </w:p>
        <w:p>
          <w:pPr>
            <w:ind w:left="4535"/>
            <w:rPr>
              <w:szCs w:val="24"/>
              <w:lang w:eastAsia="lt-LT"/>
            </w:rPr>
          </w:pPr>
          <w:sdt>
            <w:sdtPr>
              <w:alias w:val="Numeris"/>
              <w:tag w:val="nr_bfea686d59034fd98327a2ba50143cb2"/>
              <w:lock w:val="sdtLocked"/>
              <w:richText/>
            </w:sdtPr>
            <w:sdtContent>
              <w:r>
                <w:rPr>
                  <w:szCs w:val="24"/>
                  <w:lang w:eastAsia="lt-LT"/>
                </w:rPr>
                <w:t>3</w:t>
              </w:r>
            </w:sdtContent>
          </w:sdt>
          <w:r>
            <w:rPr>
              <w:szCs w:val="24"/>
              <w:lang w:eastAsia="lt-LT"/>
            </w:rPr>
            <w:t xml:space="preserve"> priedas</w:t>
          </w:r>
        </w:p>
        <w:p>
          <w:pPr>
            <w:jc w:val="center"/>
            <w:rPr>
              <w:szCs w:val="24"/>
              <w:lang w:eastAsia="lt-LT"/>
            </w:rPr>
          </w:pPr>
        </w:p>
        <w:p>
          <w:pPr>
            <w:jc w:val="center"/>
            <w:rPr>
              <w:b/>
              <w:szCs w:val="24"/>
              <w:lang w:eastAsia="lt-LT"/>
            </w:rPr>
          </w:pPr>
          <w:sdt>
            <w:sdtPr>
              <w:alias w:val="Pavadinimas"/>
              <w:tag w:val="title_bfea686d59034fd98327a2ba50143cb2"/>
              <w:lock w:val="sdtLocked"/>
              <w:richText/>
            </w:sdtPr>
            <w:sdtContent>
              <w:r>
                <w:rPr>
                  <w:b/>
                  <w:szCs w:val="24"/>
                  <w:lang w:eastAsia="lt-LT"/>
                </w:rPr>
                <w:t>TERŠALŲ SĄRAŠAS</w:t>
              </w:r>
            </w:sdtContent>
          </w:sdt>
        </w:p>
        <w:p>
          <w:pPr>
            <w:jc w:val="center"/>
            <w:rPr>
              <w:szCs w:val="24"/>
              <w:lang w:eastAsia="lt-LT"/>
            </w:rPr>
          </w:pPr>
        </w:p>
        <w:sdt>
          <w:sdtPr>
            <w:alias w:val="skyrius"/>
            <w:tag w:val="part_1aaa7b687a4e4f49bb359e4d9c8bcad8"/>
            <w:lock w:val="sdtLocked"/>
            <w:richText/>
          </w:sdtPr>
          <w:sdtContent>
            <w:p>
              <w:pPr>
                <w:jc w:val="center"/>
                <w:rPr>
                  <w:b/>
                  <w:szCs w:val="24"/>
                  <w:lang w:eastAsia="lt-LT"/>
                </w:rPr>
              </w:pPr>
              <w:sdt>
                <w:sdtPr>
                  <w:alias w:val="Numeris"/>
                  <w:tag w:val="nr_1aaa7b687a4e4f49bb359e4d9c8bcad8"/>
                  <w:lock w:val="sdtLocked"/>
                  <w:richText/>
                </w:sdtPr>
                <w:sdtContent>
                  <w:r>
                    <w:rPr>
                      <w:b/>
                      <w:szCs w:val="24"/>
                      <w:lang w:eastAsia="lt-LT"/>
                    </w:rPr>
                    <w:t>I</w:t>
                  </w:r>
                </w:sdtContent>
              </w:sdt>
              <w:r>
                <w:rPr>
                  <w:b/>
                  <w:szCs w:val="24"/>
                  <w:lang w:eastAsia="lt-LT"/>
                </w:rPr>
                <w:t xml:space="preserve">. </w:t>
              </w:r>
              <w:sdt>
                <w:sdtPr>
                  <w:alias w:val="Pavadinimas"/>
                  <w:tag w:val="title_1aaa7b687a4e4f49bb359e4d9c8bcad8"/>
                  <w:lock w:val="sdtLocked"/>
                  <w:richText/>
                </w:sdtPr>
                <w:sdtContent>
                  <w:r>
                    <w:rPr>
                      <w:b/>
                      <w:szCs w:val="24"/>
                      <w:lang w:eastAsia="lt-LT"/>
                    </w:rPr>
                    <w:t>ORAS</w:t>
                  </w:r>
                </w:sdtContent>
              </w:sdt>
            </w:p>
            <w:p>
              <w:pPr>
                <w:ind w:firstLine="567"/>
                <w:jc w:val="both"/>
                <w:rPr>
                  <w:szCs w:val="24"/>
                  <w:lang w:eastAsia="lt-LT"/>
                </w:rPr>
              </w:pPr>
            </w:p>
            <w:sdt>
              <w:sdtPr>
                <w:alias w:val="3 pr. 1 p."/>
                <w:tag w:val="part_a60993f11c304b26b5976a9e09cfb92b"/>
                <w:lock w:val="sdtLocked"/>
                <w:richText/>
              </w:sdtPr>
              <w:sdtContent>
                <w:p>
                  <w:pPr>
                    <w:ind w:firstLine="567"/>
                    <w:jc w:val="both"/>
                    <w:rPr>
                      <w:szCs w:val="24"/>
                      <w:lang w:eastAsia="lt-LT"/>
                    </w:rPr>
                  </w:pPr>
                  <w:sdt>
                    <w:sdtPr>
                      <w:alias w:val="Numeris"/>
                      <w:tag w:val="nr_a60993f11c304b26b5976a9e09cfb92b"/>
                      <w:lock w:val="sdtLocked"/>
                      <w:richText/>
                    </w:sdtPr>
                    <w:sdtContent>
                      <w:r>
                        <w:rPr>
                          <w:szCs w:val="24"/>
                          <w:lang w:eastAsia="lt-LT"/>
                        </w:rPr>
                        <w:t>1</w:t>
                      </w:r>
                    </w:sdtContent>
                  </w:sdt>
                  <w:r>
                    <w:rPr>
                      <w:szCs w:val="24"/>
                      <w:lang w:eastAsia="lt-LT"/>
                    </w:rPr>
                    <w:t>. Sieros dioksidas ir kiti sieros turintys junginiai.</w:t>
                  </w:r>
                </w:p>
              </w:sdtContent>
            </w:sdt>
            <w:sdt>
              <w:sdtPr>
                <w:alias w:val="3 pr. 2 p."/>
                <w:tag w:val="part_cfd2cae422594f27b7405f2ab6dd3f92"/>
                <w:lock w:val="sdtLocked"/>
                <w:richText/>
              </w:sdtPr>
              <w:sdtContent>
                <w:p>
                  <w:pPr>
                    <w:ind w:firstLine="567"/>
                    <w:jc w:val="both"/>
                    <w:rPr>
                      <w:szCs w:val="24"/>
                      <w:lang w:eastAsia="lt-LT"/>
                    </w:rPr>
                  </w:pPr>
                  <w:sdt>
                    <w:sdtPr>
                      <w:alias w:val="Numeris"/>
                      <w:tag w:val="nr_cfd2cae422594f27b7405f2ab6dd3f92"/>
                      <w:lock w:val="sdtLocked"/>
                      <w:richText/>
                    </w:sdtPr>
                    <w:sdtContent>
                      <w:r>
                        <w:rPr>
                          <w:szCs w:val="24"/>
                          <w:lang w:eastAsia="lt-LT"/>
                        </w:rPr>
                        <w:t>2</w:t>
                      </w:r>
                    </w:sdtContent>
                  </w:sdt>
                  <w:r>
                    <w:rPr>
                      <w:szCs w:val="24"/>
                      <w:lang w:eastAsia="lt-LT"/>
                    </w:rPr>
                    <w:t>. Azoto oksidai ir kiti azoto turintys junginiai.</w:t>
                  </w:r>
                </w:p>
              </w:sdtContent>
            </w:sdt>
            <w:sdt>
              <w:sdtPr>
                <w:alias w:val="3 pr. 3 p."/>
                <w:tag w:val="part_7e96a9fcbdf74aab807593375edd58d4"/>
                <w:lock w:val="sdtLocked"/>
                <w:richText/>
              </w:sdtPr>
              <w:sdtContent>
                <w:p>
                  <w:pPr>
                    <w:ind w:firstLine="567"/>
                    <w:jc w:val="both"/>
                    <w:rPr>
                      <w:szCs w:val="24"/>
                      <w:lang w:eastAsia="lt-LT"/>
                    </w:rPr>
                  </w:pPr>
                  <w:sdt>
                    <w:sdtPr>
                      <w:alias w:val="Numeris"/>
                      <w:tag w:val="nr_7e96a9fcbdf74aab807593375edd58d4"/>
                      <w:lock w:val="sdtLocked"/>
                      <w:richText/>
                    </w:sdtPr>
                    <w:sdtContent>
                      <w:r>
                        <w:rPr>
                          <w:szCs w:val="24"/>
                          <w:lang w:eastAsia="lt-LT"/>
                        </w:rPr>
                        <w:t>3</w:t>
                      </w:r>
                    </w:sdtContent>
                  </w:sdt>
                  <w:r>
                    <w:rPr>
                      <w:szCs w:val="24"/>
                      <w:lang w:eastAsia="lt-LT"/>
                    </w:rPr>
                    <w:t>. Anglies monoksidas.</w:t>
                  </w:r>
                </w:p>
              </w:sdtContent>
            </w:sdt>
            <w:sdt>
              <w:sdtPr>
                <w:alias w:val="3 pr. 4 p."/>
                <w:tag w:val="part_b390b1faadc74c1a8160a18d3936274a"/>
                <w:lock w:val="sdtLocked"/>
                <w:richText/>
              </w:sdtPr>
              <w:sdtContent>
                <w:p>
                  <w:pPr>
                    <w:ind w:firstLine="567"/>
                    <w:jc w:val="both"/>
                    <w:rPr>
                      <w:szCs w:val="24"/>
                      <w:lang w:eastAsia="lt-LT"/>
                    </w:rPr>
                  </w:pPr>
                  <w:sdt>
                    <w:sdtPr>
                      <w:alias w:val="Numeris"/>
                      <w:tag w:val="nr_b390b1faadc74c1a8160a18d3936274a"/>
                      <w:lock w:val="sdtLocked"/>
                      <w:richText/>
                    </w:sdtPr>
                    <w:sdtContent>
                      <w:r>
                        <w:rPr>
                          <w:szCs w:val="24"/>
                          <w:lang w:eastAsia="lt-LT"/>
                        </w:rPr>
                        <w:t>4</w:t>
                      </w:r>
                    </w:sdtContent>
                  </w:sdt>
                  <w:r>
                    <w:rPr>
                      <w:szCs w:val="24"/>
                      <w:lang w:eastAsia="lt-LT"/>
                    </w:rPr>
                    <w:t>. Lakieji organiniai junginiai.</w:t>
                  </w:r>
                </w:p>
              </w:sdtContent>
            </w:sdt>
            <w:sdt>
              <w:sdtPr>
                <w:alias w:val="3 pr. 5 p."/>
                <w:tag w:val="part_cf4a5213df704259ab1d719799c5dbbe"/>
                <w:lock w:val="sdtLocked"/>
                <w:richText/>
              </w:sdtPr>
              <w:sdtContent>
                <w:p>
                  <w:pPr>
                    <w:ind w:firstLine="567"/>
                    <w:jc w:val="both"/>
                    <w:rPr>
                      <w:szCs w:val="24"/>
                      <w:lang w:eastAsia="lt-LT"/>
                    </w:rPr>
                  </w:pPr>
                  <w:sdt>
                    <w:sdtPr>
                      <w:alias w:val="Numeris"/>
                      <w:tag w:val="nr_cf4a5213df704259ab1d719799c5dbbe"/>
                      <w:lock w:val="sdtLocked"/>
                      <w:richText/>
                    </w:sdtPr>
                    <w:sdtContent>
                      <w:r>
                        <w:rPr>
                          <w:szCs w:val="24"/>
                          <w:lang w:eastAsia="lt-LT"/>
                        </w:rPr>
                        <w:t>5</w:t>
                      </w:r>
                    </w:sdtContent>
                  </w:sdt>
                  <w:r>
                    <w:rPr>
                      <w:szCs w:val="24"/>
                      <w:lang w:eastAsia="lt-LT"/>
                    </w:rPr>
                    <w:t>. Metalai ir jų junginiai.</w:t>
                  </w:r>
                </w:p>
              </w:sdtContent>
            </w:sdt>
            <w:sdt>
              <w:sdtPr>
                <w:alias w:val="3 pr. 6 p."/>
                <w:tag w:val="part_8eb98c15831b422987a9c5e4145a39d7"/>
                <w:lock w:val="sdtLocked"/>
                <w:richText/>
              </w:sdtPr>
              <w:sdtContent>
                <w:p>
                  <w:pPr>
                    <w:ind w:firstLine="567"/>
                    <w:jc w:val="both"/>
                    <w:rPr>
                      <w:szCs w:val="24"/>
                      <w:lang w:eastAsia="lt-LT"/>
                    </w:rPr>
                  </w:pPr>
                  <w:sdt>
                    <w:sdtPr>
                      <w:alias w:val="Numeris"/>
                      <w:tag w:val="nr_8eb98c15831b422987a9c5e4145a39d7"/>
                      <w:lock w:val="sdtLocked"/>
                      <w:richText/>
                    </w:sdtPr>
                    <w:sdtContent>
                      <w:r>
                        <w:rPr>
                          <w:szCs w:val="24"/>
                          <w:lang w:eastAsia="lt-LT"/>
                        </w:rPr>
                        <w:t>6</w:t>
                      </w:r>
                    </w:sdtContent>
                  </w:sdt>
                  <w:r>
                    <w:rPr>
                      <w:szCs w:val="24"/>
                      <w:lang w:eastAsia="lt-LT"/>
                    </w:rPr>
                    <w:t>. Kietosios dalelės, įskaitant smulkias kietąsias daleles.</w:t>
                  </w:r>
                </w:p>
              </w:sdtContent>
            </w:sdt>
            <w:sdt>
              <w:sdtPr>
                <w:alias w:val="3 pr. 7 p."/>
                <w:tag w:val="part_3c86bb4a5e534ccbb443955fab360bd5"/>
                <w:lock w:val="sdtLocked"/>
                <w:richText/>
              </w:sdtPr>
              <w:sdtContent>
                <w:p>
                  <w:pPr>
                    <w:ind w:firstLine="567"/>
                    <w:jc w:val="both"/>
                    <w:rPr>
                      <w:szCs w:val="24"/>
                      <w:lang w:eastAsia="lt-LT"/>
                    </w:rPr>
                  </w:pPr>
                  <w:sdt>
                    <w:sdtPr>
                      <w:alias w:val="Numeris"/>
                      <w:tag w:val="nr_3c86bb4a5e534ccbb443955fab360bd5"/>
                      <w:lock w:val="sdtLocked"/>
                      <w:richText/>
                    </w:sdtPr>
                    <w:sdtContent>
                      <w:r>
                        <w:rPr>
                          <w:szCs w:val="24"/>
                          <w:lang w:eastAsia="lt-LT"/>
                        </w:rPr>
                        <w:t>7</w:t>
                      </w:r>
                    </w:sdtContent>
                  </w:sdt>
                  <w:r>
                    <w:rPr>
                      <w:szCs w:val="24"/>
                      <w:lang w:eastAsia="lt-LT"/>
                    </w:rPr>
                    <w:t>. Asbestas (suspenduotos dalelės, pluoštai).</w:t>
                  </w:r>
                </w:p>
              </w:sdtContent>
            </w:sdt>
            <w:sdt>
              <w:sdtPr>
                <w:alias w:val="3 pr. 8 p."/>
                <w:tag w:val="part_bd7bfce689bf46caacec4e78d527ac65"/>
                <w:lock w:val="sdtLocked"/>
                <w:richText/>
              </w:sdtPr>
              <w:sdtContent>
                <w:p>
                  <w:pPr>
                    <w:ind w:firstLine="567"/>
                    <w:jc w:val="both"/>
                    <w:rPr>
                      <w:szCs w:val="24"/>
                      <w:lang w:eastAsia="lt-LT"/>
                    </w:rPr>
                  </w:pPr>
                  <w:sdt>
                    <w:sdtPr>
                      <w:alias w:val="Numeris"/>
                      <w:tag w:val="nr_bd7bfce689bf46caacec4e78d527ac65"/>
                      <w:lock w:val="sdtLocked"/>
                      <w:richText/>
                    </w:sdtPr>
                    <w:sdtContent>
                      <w:r>
                        <w:rPr>
                          <w:szCs w:val="24"/>
                          <w:lang w:eastAsia="lt-LT"/>
                        </w:rPr>
                        <w:t>8</w:t>
                      </w:r>
                    </w:sdtContent>
                  </w:sdt>
                  <w:r>
                    <w:rPr>
                      <w:szCs w:val="24"/>
                      <w:lang w:eastAsia="lt-LT"/>
                    </w:rPr>
                    <w:t>. Chloras ir jo junginiai.</w:t>
                  </w:r>
                </w:p>
              </w:sdtContent>
            </w:sdt>
            <w:sdt>
              <w:sdtPr>
                <w:alias w:val="3 pr. 9 p."/>
                <w:tag w:val="part_e82c96eb86174d5ab029bbdd5a1a758e"/>
                <w:lock w:val="sdtLocked"/>
                <w:richText/>
              </w:sdtPr>
              <w:sdtContent>
                <w:p>
                  <w:pPr>
                    <w:ind w:firstLine="567"/>
                    <w:jc w:val="both"/>
                    <w:rPr>
                      <w:szCs w:val="24"/>
                      <w:lang w:eastAsia="lt-LT"/>
                    </w:rPr>
                  </w:pPr>
                  <w:sdt>
                    <w:sdtPr>
                      <w:alias w:val="Numeris"/>
                      <w:tag w:val="nr_e82c96eb86174d5ab029bbdd5a1a758e"/>
                      <w:lock w:val="sdtLocked"/>
                      <w:richText/>
                    </w:sdtPr>
                    <w:sdtContent>
                      <w:r>
                        <w:rPr>
                          <w:szCs w:val="24"/>
                          <w:lang w:eastAsia="lt-LT"/>
                        </w:rPr>
                        <w:t>9</w:t>
                      </w:r>
                    </w:sdtContent>
                  </w:sdt>
                  <w:r>
                    <w:rPr>
                      <w:szCs w:val="24"/>
                      <w:lang w:eastAsia="lt-LT"/>
                    </w:rPr>
                    <w:t>. Fluoras ir jo junginiai.</w:t>
                  </w:r>
                </w:p>
              </w:sdtContent>
            </w:sdt>
            <w:sdt>
              <w:sdtPr>
                <w:alias w:val="3 pr. 10 p."/>
                <w:tag w:val="part_d7aaf478baf3463084756f42d90b190a"/>
                <w:lock w:val="sdtLocked"/>
                <w:richText/>
              </w:sdtPr>
              <w:sdtContent>
                <w:p>
                  <w:pPr>
                    <w:ind w:firstLine="567"/>
                    <w:jc w:val="both"/>
                    <w:rPr>
                      <w:szCs w:val="24"/>
                      <w:lang w:eastAsia="lt-LT"/>
                    </w:rPr>
                  </w:pPr>
                  <w:sdt>
                    <w:sdtPr>
                      <w:alias w:val="Numeris"/>
                      <w:tag w:val="nr_d7aaf478baf3463084756f42d90b190a"/>
                      <w:lock w:val="sdtLocked"/>
                      <w:richText/>
                    </w:sdtPr>
                    <w:sdtContent>
                      <w:r>
                        <w:rPr>
                          <w:szCs w:val="24"/>
                          <w:lang w:eastAsia="lt-LT"/>
                        </w:rPr>
                        <w:t>10</w:t>
                      </w:r>
                    </w:sdtContent>
                  </w:sdt>
                  <w:r>
                    <w:rPr>
                      <w:szCs w:val="24"/>
                      <w:lang w:eastAsia="lt-LT"/>
                    </w:rPr>
                    <w:t>. Arsenas ir jo junginiai.</w:t>
                  </w:r>
                </w:p>
              </w:sdtContent>
            </w:sdt>
            <w:sdt>
              <w:sdtPr>
                <w:alias w:val="3 pr. 11 p."/>
                <w:tag w:val="part_c869a2e5098f484d8d2d8300fb56f44a"/>
                <w:lock w:val="sdtLocked"/>
                <w:richText/>
              </w:sdtPr>
              <w:sdtContent>
                <w:p>
                  <w:pPr>
                    <w:ind w:firstLine="567"/>
                    <w:jc w:val="both"/>
                    <w:rPr>
                      <w:szCs w:val="24"/>
                      <w:lang w:eastAsia="lt-LT"/>
                    </w:rPr>
                  </w:pPr>
                  <w:sdt>
                    <w:sdtPr>
                      <w:alias w:val="Numeris"/>
                      <w:tag w:val="nr_c869a2e5098f484d8d2d8300fb56f44a"/>
                      <w:lock w:val="sdtLocked"/>
                      <w:richText/>
                    </w:sdtPr>
                    <w:sdtContent>
                      <w:r>
                        <w:rPr>
                          <w:szCs w:val="24"/>
                          <w:lang w:eastAsia="lt-LT"/>
                        </w:rPr>
                        <w:t>11</w:t>
                      </w:r>
                    </w:sdtContent>
                  </w:sdt>
                  <w:r>
                    <w:rPr>
                      <w:szCs w:val="24"/>
                      <w:lang w:eastAsia="lt-LT"/>
                    </w:rPr>
                    <w:t>. Cianidai.</w:t>
                  </w:r>
                </w:p>
              </w:sdtContent>
            </w:sdt>
            <w:sdt>
              <w:sdtPr>
                <w:alias w:val="3 pr. 12 p."/>
                <w:tag w:val="part_812f00240e3a4ef3b880c3f3b6ea2b22"/>
                <w:lock w:val="sdtLocked"/>
                <w:richText/>
              </w:sdtPr>
              <w:sdtContent>
                <w:p>
                  <w:pPr>
                    <w:ind w:firstLine="567"/>
                    <w:jc w:val="both"/>
                    <w:rPr>
                      <w:szCs w:val="24"/>
                      <w:lang w:eastAsia="lt-LT"/>
                    </w:rPr>
                  </w:pPr>
                  <w:sdt>
                    <w:sdtPr>
                      <w:alias w:val="Numeris"/>
                      <w:tag w:val="nr_812f00240e3a4ef3b880c3f3b6ea2b22"/>
                      <w:lock w:val="sdtLocked"/>
                      <w:richText/>
                    </w:sdtPr>
                    <w:sdtContent>
                      <w:r>
                        <w:rPr>
                          <w:szCs w:val="24"/>
                          <w:lang w:eastAsia="lt-LT"/>
                        </w:rPr>
                        <w:t>12</w:t>
                      </w:r>
                    </w:sdtContent>
                  </w:sdt>
                  <w:r>
                    <w:rPr>
                      <w:szCs w:val="24"/>
                      <w:lang w:eastAsia="lt-LT"/>
                    </w:rPr>
                    <w:t>. Medžiagos ir mišiniai, kurie, kaip įrodyta, turi kancerogeninių ar mutageninių savybių arba tokių savybių, kurios gali veikti dauginimąsi per orą.</w:t>
                  </w:r>
                </w:p>
              </w:sdtContent>
            </w:sdt>
            <w:sdt>
              <w:sdtPr>
                <w:alias w:val="3 pr. 13 p."/>
                <w:tag w:val="part_d71acfc0fdb34d2386d61196fbb847a4"/>
                <w:lock w:val="sdtLocked"/>
                <w:richText/>
              </w:sdtPr>
              <w:sdtContent>
                <w:p>
                  <w:pPr>
                    <w:ind w:firstLine="567"/>
                    <w:jc w:val="both"/>
                    <w:rPr>
                      <w:szCs w:val="24"/>
                      <w:lang w:eastAsia="lt-LT"/>
                    </w:rPr>
                  </w:pPr>
                  <w:sdt>
                    <w:sdtPr>
                      <w:alias w:val="Numeris"/>
                      <w:tag w:val="nr_d71acfc0fdb34d2386d61196fbb847a4"/>
                      <w:lock w:val="sdtLocked"/>
                      <w:richText/>
                    </w:sdtPr>
                    <w:sdtContent>
                      <w:r>
                        <w:rPr>
                          <w:szCs w:val="24"/>
                          <w:lang w:eastAsia="lt-LT"/>
                        </w:rPr>
                        <w:t>13</w:t>
                      </w:r>
                    </w:sdtContent>
                  </w:sdt>
                  <w:r>
                    <w:rPr>
                      <w:szCs w:val="24"/>
                      <w:lang w:eastAsia="lt-LT"/>
                    </w:rPr>
                    <w:t>. Polichlorinti dibenzodioksinai ir polichlorinti dibenzofuranai.</w:t>
                  </w:r>
                </w:p>
                <w:p>
                  <w:pPr>
                    <w:ind w:firstLine="567"/>
                    <w:jc w:val="both"/>
                    <w:rPr>
                      <w:szCs w:val="24"/>
                      <w:lang w:eastAsia="lt-LT"/>
                    </w:rPr>
                  </w:pPr>
                </w:p>
              </w:sdtContent>
            </w:sdt>
          </w:sdtContent>
        </w:sdt>
        <w:sdt>
          <w:sdtPr>
            <w:alias w:val="skyrius"/>
            <w:tag w:val="part_ad061d730d03422d9d4f4b3dc3d06af3"/>
            <w:lock w:val="sdtLocked"/>
            <w:richText/>
          </w:sdtPr>
          <w:sdtContent>
            <w:p>
              <w:pPr>
                <w:jc w:val="center"/>
                <w:rPr>
                  <w:b/>
                  <w:szCs w:val="24"/>
                  <w:lang w:eastAsia="lt-LT"/>
                </w:rPr>
              </w:pPr>
              <w:sdt>
                <w:sdtPr>
                  <w:alias w:val="Numeris"/>
                  <w:tag w:val="nr_ad061d730d03422d9d4f4b3dc3d06af3"/>
                  <w:lock w:val="sdtLocked"/>
                  <w:richText/>
                </w:sdtPr>
                <w:sdtContent>
                  <w:r>
                    <w:rPr>
                      <w:b/>
                      <w:szCs w:val="24"/>
                      <w:lang w:eastAsia="lt-LT"/>
                    </w:rPr>
                    <w:t>II</w:t>
                  </w:r>
                </w:sdtContent>
              </w:sdt>
              <w:r>
                <w:rPr>
                  <w:b/>
                  <w:szCs w:val="24"/>
                  <w:lang w:eastAsia="lt-LT"/>
                </w:rPr>
                <w:t xml:space="preserve">. </w:t>
              </w:r>
              <w:sdt>
                <w:sdtPr>
                  <w:alias w:val="Pavadinimas"/>
                  <w:tag w:val="title_ad061d730d03422d9d4f4b3dc3d06af3"/>
                  <w:lock w:val="sdtLocked"/>
                  <w:richText/>
                </w:sdtPr>
                <w:sdtContent>
                  <w:r>
                    <w:rPr>
                      <w:b/>
                      <w:szCs w:val="24"/>
                      <w:lang w:eastAsia="lt-LT"/>
                    </w:rPr>
                    <w:t>VANDUO</w:t>
                  </w:r>
                </w:sdtContent>
              </w:sdt>
            </w:p>
            <w:p>
              <w:pPr>
                <w:ind w:firstLine="567"/>
                <w:jc w:val="both"/>
                <w:rPr>
                  <w:szCs w:val="24"/>
                  <w:lang w:eastAsia="lt-LT"/>
                </w:rPr>
              </w:pPr>
            </w:p>
            <w:sdt>
              <w:sdtPr>
                <w:alias w:val="3 pr. 1 p."/>
                <w:tag w:val="part_731b18a018d1444d8e9390ff62d8dfca"/>
                <w:lock w:val="sdtLocked"/>
                <w:richText/>
              </w:sdtPr>
              <w:sdtContent>
                <w:p>
                  <w:pPr>
                    <w:ind w:firstLine="567"/>
                    <w:jc w:val="both"/>
                    <w:rPr>
                      <w:szCs w:val="24"/>
                      <w:lang w:eastAsia="lt-LT"/>
                    </w:rPr>
                  </w:pPr>
                  <w:sdt>
                    <w:sdtPr>
                      <w:alias w:val="Numeris"/>
                      <w:tag w:val="nr_731b18a018d1444d8e9390ff62d8dfca"/>
                      <w:lock w:val="sdtLocked"/>
                      <w:richText/>
                    </w:sdtPr>
                    <w:sdtContent>
                      <w:r>
                        <w:rPr>
                          <w:szCs w:val="24"/>
                          <w:lang w:eastAsia="lt-LT"/>
                        </w:rPr>
                        <w:t>1</w:t>
                      </w:r>
                    </w:sdtContent>
                  </w:sdt>
                  <w:r>
                    <w:rPr>
                      <w:szCs w:val="24"/>
                      <w:lang w:eastAsia="lt-LT"/>
                    </w:rPr>
                    <w:t>. Halogeninti organiniai junginiai ir medžiagos, galinčios sudaryti tokius junginius vandenyje.</w:t>
                  </w:r>
                </w:p>
              </w:sdtContent>
            </w:sdt>
            <w:sdt>
              <w:sdtPr>
                <w:alias w:val="3 pr. 2 p."/>
                <w:tag w:val="part_2fd24a9357d5457e869d541a2b40fad2"/>
                <w:lock w:val="sdtLocked"/>
                <w:richText/>
              </w:sdtPr>
              <w:sdtContent>
                <w:p>
                  <w:pPr>
                    <w:ind w:firstLine="567"/>
                    <w:jc w:val="both"/>
                    <w:rPr>
                      <w:szCs w:val="24"/>
                      <w:lang w:eastAsia="lt-LT"/>
                    </w:rPr>
                  </w:pPr>
                  <w:sdt>
                    <w:sdtPr>
                      <w:alias w:val="Numeris"/>
                      <w:tag w:val="nr_2fd24a9357d5457e869d541a2b40fad2"/>
                      <w:lock w:val="sdtLocked"/>
                      <w:richText/>
                    </w:sdtPr>
                    <w:sdtContent>
                      <w:r>
                        <w:rPr>
                          <w:szCs w:val="24"/>
                          <w:lang w:eastAsia="lt-LT"/>
                        </w:rPr>
                        <w:t>2</w:t>
                      </w:r>
                    </w:sdtContent>
                  </w:sdt>
                  <w:r>
                    <w:rPr>
                      <w:szCs w:val="24"/>
                      <w:lang w:eastAsia="lt-LT"/>
                    </w:rPr>
                    <w:t>. Fosforo organiniai junginiai.</w:t>
                  </w:r>
                </w:p>
              </w:sdtContent>
            </w:sdt>
            <w:sdt>
              <w:sdtPr>
                <w:alias w:val="3 pr. 3 p."/>
                <w:tag w:val="part_3eefe60e59d949a9ae75adfc9a401bd2"/>
                <w:lock w:val="sdtLocked"/>
                <w:richText/>
              </w:sdtPr>
              <w:sdtContent>
                <w:p>
                  <w:pPr>
                    <w:ind w:firstLine="567"/>
                    <w:jc w:val="both"/>
                    <w:rPr>
                      <w:szCs w:val="24"/>
                      <w:lang w:eastAsia="lt-LT"/>
                    </w:rPr>
                  </w:pPr>
                  <w:sdt>
                    <w:sdtPr>
                      <w:alias w:val="Numeris"/>
                      <w:tag w:val="nr_3eefe60e59d949a9ae75adfc9a401bd2"/>
                      <w:lock w:val="sdtLocked"/>
                      <w:richText/>
                    </w:sdtPr>
                    <w:sdtContent>
                      <w:r>
                        <w:rPr>
                          <w:szCs w:val="24"/>
                          <w:lang w:eastAsia="lt-LT"/>
                        </w:rPr>
                        <w:t>3</w:t>
                      </w:r>
                    </w:sdtContent>
                  </w:sdt>
                  <w:r>
                    <w:rPr>
                      <w:szCs w:val="24"/>
                      <w:lang w:eastAsia="lt-LT"/>
                    </w:rPr>
                    <w:t>. Organinio alavo junginiai.</w:t>
                  </w:r>
                </w:p>
              </w:sdtContent>
            </w:sdt>
            <w:sdt>
              <w:sdtPr>
                <w:alias w:val="3 pr. 4 p."/>
                <w:tag w:val="part_12e5306e16404e6fbfaf082cdd9be23f"/>
                <w:lock w:val="sdtLocked"/>
                <w:richText/>
              </w:sdtPr>
              <w:sdtContent>
                <w:p>
                  <w:pPr>
                    <w:ind w:firstLine="567"/>
                    <w:jc w:val="both"/>
                    <w:rPr>
                      <w:szCs w:val="24"/>
                      <w:lang w:eastAsia="lt-LT"/>
                    </w:rPr>
                  </w:pPr>
                  <w:sdt>
                    <w:sdtPr>
                      <w:alias w:val="Numeris"/>
                      <w:tag w:val="nr_12e5306e16404e6fbfaf082cdd9be23f"/>
                      <w:lock w:val="sdtLocked"/>
                      <w:richText/>
                    </w:sdtPr>
                    <w:sdtContent>
                      <w:r>
                        <w:rPr>
                          <w:szCs w:val="24"/>
                          <w:lang w:eastAsia="lt-LT"/>
                        </w:rPr>
                        <w:t>4</w:t>
                      </w:r>
                    </w:sdtContent>
                  </w:sdt>
                  <w:r>
                    <w:rPr>
                      <w:szCs w:val="24"/>
                      <w:lang w:eastAsia="lt-LT"/>
                    </w:rPr>
                    <w:t>. Medžiagos ir mišiniai, kurie, kaip įrodyta, turi kancerogeninių ar mutageninių savybių arba tokių savybių, kurios gali veikti dauginimąsi vandenyje arba per jį.</w:t>
                  </w:r>
                </w:p>
              </w:sdtContent>
            </w:sdt>
            <w:sdt>
              <w:sdtPr>
                <w:alias w:val="3 pr. 5 p."/>
                <w:tag w:val="part_279b01e8f03f4299b22c81169b33dc8b"/>
                <w:lock w:val="sdtLocked"/>
                <w:richText/>
              </w:sdtPr>
              <w:sdtContent>
                <w:p>
                  <w:pPr>
                    <w:ind w:firstLine="567"/>
                    <w:jc w:val="both"/>
                    <w:rPr>
                      <w:szCs w:val="24"/>
                      <w:lang w:eastAsia="lt-LT"/>
                    </w:rPr>
                  </w:pPr>
                  <w:sdt>
                    <w:sdtPr>
                      <w:alias w:val="Numeris"/>
                      <w:tag w:val="nr_279b01e8f03f4299b22c81169b33dc8b"/>
                      <w:lock w:val="sdtLocked"/>
                      <w:richText/>
                    </w:sdtPr>
                    <w:sdtContent>
                      <w:r>
                        <w:rPr>
                          <w:szCs w:val="24"/>
                          <w:lang w:eastAsia="lt-LT"/>
                        </w:rPr>
                        <w:t>5</w:t>
                      </w:r>
                    </w:sdtContent>
                  </w:sdt>
                  <w:r>
                    <w:rPr>
                      <w:szCs w:val="24"/>
                      <w:lang w:eastAsia="lt-LT"/>
                    </w:rPr>
                    <w:t>. Ilgai nesuyrantys organiniai junginiai ir ilgai nesuyrančios bei bioakumuliacinių savybių turinčios organinės toksiškos medžiagos.</w:t>
                  </w:r>
                </w:p>
              </w:sdtContent>
            </w:sdt>
            <w:sdt>
              <w:sdtPr>
                <w:alias w:val="3 pr. 6 p."/>
                <w:tag w:val="part_f444510b82ab4a5a9770ab4ed0218960"/>
                <w:lock w:val="sdtLocked"/>
                <w:richText/>
              </w:sdtPr>
              <w:sdtContent>
                <w:p>
                  <w:pPr>
                    <w:ind w:firstLine="567"/>
                    <w:jc w:val="both"/>
                    <w:rPr>
                      <w:szCs w:val="24"/>
                      <w:lang w:eastAsia="lt-LT"/>
                    </w:rPr>
                  </w:pPr>
                  <w:sdt>
                    <w:sdtPr>
                      <w:alias w:val="Numeris"/>
                      <w:tag w:val="nr_f444510b82ab4a5a9770ab4ed0218960"/>
                      <w:lock w:val="sdtLocked"/>
                      <w:richText/>
                    </w:sdtPr>
                    <w:sdtContent>
                      <w:r>
                        <w:rPr>
                          <w:szCs w:val="24"/>
                          <w:lang w:eastAsia="lt-LT"/>
                        </w:rPr>
                        <w:t>6</w:t>
                      </w:r>
                    </w:sdtContent>
                  </w:sdt>
                  <w:r>
                    <w:rPr>
                      <w:szCs w:val="24"/>
                      <w:lang w:eastAsia="lt-LT"/>
                    </w:rPr>
                    <w:t>. Cianidai.</w:t>
                  </w:r>
                </w:p>
              </w:sdtContent>
            </w:sdt>
            <w:sdt>
              <w:sdtPr>
                <w:alias w:val="3 pr. 7 p."/>
                <w:tag w:val="part_b21f17187aa5489c85d7fc98185c5106"/>
                <w:lock w:val="sdtLocked"/>
                <w:richText/>
              </w:sdtPr>
              <w:sdtContent>
                <w:p>
                  <w:pPr>
                    <w:ind w:firstLine="567"/>
                    <w:jc w:val="both"/>
                    <w:rPr>
                      <w:szCs w:val="24"/>
                      <w:lang w:eastAsia="lt-LT"/>
                    </w:rPr>
                  </w:pPr>
                  <w:sdt>
                    <w:sdtPr>
                      <w:alias w:val="Numeris"/>
                      <w:tag w:val="nr_b21f17187aa5489c85d7fc98185c5106"/>
                      <w:lock w:val="sdtLocked"/>
                      <w:richText/>
                    </w:sdtPr>
                    <w:sdtContent>
                      <w:r>
                        <w:rPr>
                          <w:szCs w:val="24"/>
                          <w:lang w:eastAsia="lt-LT"/>
                        </w:rPr>
                        <w:t>7</w:t>
                      </w:r>
                    </w:sdtContent>
                  </w:sdt>
                  <w:r>
                    <w:rPr>
                      <w:szCs w:val="24"/>
                      <w:lang w:eastAsia="lt-LT"/>
                    </w:rPr>
                    <w:t>. Metalai ir jų junginiai.</w:t>
                  </w:r>
                </w:p>
              </w:sdtContent>
            </w:sdt>
            <w:sdt>
              <w:sdtPr>
                <w:alias w:val="3 pr. 8 p."/>
                <w:tag w:val="part_b0f756cc3dd44a8c8e8c33778579c4fc"/>
                <w:lock w:val="sdtLocked"/>
                <w:richText/>
              </w:sdtPr>
              <w:sdtContent>
                <w:p>
                  <w:pPr>
                    <w:ind w:firstLine="567"/>
                    <w:jc w:val="both"/>
                    <w:rPr>
                      <w:szCs w:val="24"/>
                      <w:lang w:eastAsia="lt-LT"/>
                    </w:rPr>
                  </w:pPr>
                  <w:sdt>
                    <w:sdtPr>
                      <w:alias w:val="Numeris"/>
                      <w:tag w:val="nr_b0f756cc3dd44a8c8e8c33778579c4fc"/>
                      <w:lock w:val="sdtLocked"/>
                      <w:richText/>
                    </w:sdtPr>
                    <w:sdtContent>
                      <w:r>
                        <w:rPr>
                          <w:szCs w:val="24"/>
                          <w:lang w:eastAsia="lt-LT"/>
                        </w:rPr>
                        <w:t>8</w:t>
                      </w:r>
                    </w:sdtContent>
                  </w:sdt>
                  <w:r>
                    <w:rPr>
                      <w:szCs w:val="24"/>
                      <w:lang w:eastAsia="lt-LT"/>
                    </w:rPr>
                    <w:t>. Arsenas ir jo junginiai.</w:t>
                  </w:r>
                </w:p>
              </w:sdtContent>
            </w:sdt>
            <w:sdt>
              <w:sdtPr>
                <w:alias w:val="3 pr. 9 p."/>
                <w:tag w:val="part_ef6b47519a494f6394d3c33e4d8b395b"/>
                <w:lock w:val="sdtLocked"/>
                <w:richText/>
              </w:sdtPr>
              <w:sdtContent>
                <w:p>
                  <w:pPr>
                    <w:ind w:firstLine="567"/>
                    <w:jc w:val="both"/>
                    <w:rPr>
                      <w:szCs w:val="24"/>
                      <w:lang w:eastAsia="lt-LT"/>
                    </w:rPr>
                  </w:pPr>
                  <w:sdt>
                    <w:sdtPr>
                      <w:alias w:val="Numeris"/>
                      <w:tag w:val="nr_ef6b47519a494f6394d3c33e4d8b395b"/>
                      <w:lock w:val="sdtLocked"/>
                      <w:richText/>
                    </w:sdtPr>
                    <w:sdtContent>
                      <w:r>
                        <w:rPr>
                          <w:szCs w:val="24"/>
                          <w:lang w:eastAsia="lt-LT"/>
                        </w:rPr>
                        <w:t>9</w:t>
                      </w:r>
                    </w:sdtContent>
                  </w:sdt>
                  <w:r>
                    <w:rPr>
                      <w:szCs w:val="24"/>
                      <w:lang w:eastAsia="lt-LT"/>
                    </w:rPr>
                    <w:t>. Biocidai ir augalų apsaugos produktai.</w:t>
                  </w:r>
                </w:p>
              </w:sdtContent>
            </w:sdt>
            <w:sdt>
              <w:sdtPr>
                <w:alias w:val="3 pr. 10 p."/>
                <w:tag w:val="part_ba08acc10ce74e7fb142ba6839c6b69f"/>
                <w:lock w:val="sdtLocked"/>
                <w:richText/>
              </w:sdtPr>
              <w:sdtContent>
                <w:p>
                  <w:pPr>
                    <w:ind w:firstLine="567"/>
                    <w:jc w:val="both"/>
                    <w:rPr>
                      <w:szCs w:val="24"/>
                      <w:lang w:eastAsia="lt-LT"/>
                    </w:rPr>
                  </w:pPr>
                  <w:sdt>
                    <w:sdtPr>
                      <w:alias w:val="Numeris"/>
                      <w:tag w:val="nr_ba08acc10ce74e7fb142ba6839c6b69f"/>
                      <w:lock w:val="sdtLocked"/>
                      <w:richText/>
                    </w:sdtPr>
                    <w:sdtContent>
                      <w:r>
                        <w:rPr>
                          <w:szCs w:val="24"/>
                          <w:lang w:eastAsia="lt-LT"/>
                        </w:rPr>
                        <w:t>10</w:t>
                      </w:r>
                    </w:sdtContent>
                  </w:sdt>
                  <w:r>
                    <w:rPr>
                      <w:szCs w:val="24"/>
                      <w:lang w:eastAsia="lt-LT"/>
                    </w:rPr>
                    <w:t>. Skendinčios medžiagos.</w:t>
                  </w:r>
                </w:p>
              </w:sdtContent>
            </w:sdt>
            <w:sdt>
              <w:sdtPr>
                <w:alias w:val="3 pr. 11 p."/>
                <w:tag w:val="part_e8abfca8ff644cc29302c2b62595d733"/>
                <w:lock w:val="sdtLocked"/>
                <w:richText/>
              </w:sdtPr>
              <w:sdtContent>
                <w:p>
                  <w:pPr>
                    <w:ind w:firstLine="567"/>
                    <w:jc w:val="both"/>
                    <w:rPr>
                      <w:szCs w:val="24"/>
                      <w:lang w:eastAsia="lt-LT"/>
                    </w:rPr>
                  </w:pPr>
                  <w:sdt>
                    <w:sdtPr>
                      <w:alias w:val="Numeris"/>
                      <w:tag w:val="nr_e8abfca8ff644cc29302c2b62595d733"/>
                      <w:lock w:val="sdtLocked"/>
                      <w:richText/>
                    </w:sdtPr>
                    <w:sdtContent>
                      <w:r>
                        <w:rPr>
                          <w:szCs w:val="24"/>
                          <w:lang w:eastAsia="lt-LT"/>
                        </w:rPr>
                        <w:t>11</w:t>
                      </w:r>
                    </w:sdtContent>
                  </w:sdt>
                  <w:r>
                    <w:rPr>
                      <w:szCs w:val="24"/>
                      <w:lang w:eastAsia="lt-LT"/>
                    </w:rPr>
                    <w:t>. Medžiagos, sukeliančios eutrofikacijos procesą (ypač nitratai ir fosfatai).</w:t>
                  </w:r>
                </w:p>
              </w:sdtContent>
            </w:sdt>
            <w:sdt>
              <w:sdtPr>
                <w:alias w:val="3 pr. 12 p."/>
                <w:tag w:val="part_5f8558762de04168bce387f9dab18ecc"/>
                <w:lock w:val="sdtLocked"/>
                <w:richText/>
              </w:sdtPr>
              <w:sdtContent>
                <w:p>
                  <w:pPr>
                    <w:ind w:firstLine="567"/>
                    <w:jc w:val="both"/>
                    <w:rPr>
                      <w:szCs w:val="24"/>
                      <w:lang w:eastAsia="lt-LT"/>
                    </w:rPr>
                  </w:pPr>
                  <w:sdt>
                    <w:sdtPr>
                      <w:alias w:val="Numeris"/>
                      <w:tag w:val="nr_5f8558762de04168bce387f9dab18ecc"/>
                      <w:lock w:val="sdtLocked"/>
                      <w:richText/>
                    </w:sdtPr>
                    <w:sdtContent>
                      <w:r>
                        <w:rPr>
                          <w:szCs w:val="24"/>
                          <w:lang w:eastAsia="lt-LT"/>
                        </w:rPr>
                        <w:t>12</w:t>
                      </w:r>
                    </w:sdtContent>
                  </w:sdt>
                  <w:r>
                    <w:rPr>
                      <w:szCs w:val="24"/>
                      <w:lang w:eastAsia="lt-LT"/>
                    </w:rPr>
                    <w:t>. Medžiagos, neigiamai veikiančios deguonies pusiausvyrą (kurias galima įvertinti naudojant tokius rodiklius kaip BDS, ChDS, ir t. t.).</w:t>
                  </w:r>
                </w:p>
              </w:sdtContent>
            </w:sdt>
            <w:sdt>
              <w:sdtPr>
                <w:alias w:val="3 pr. 13 p."/>
                <w:tag w:val="part_145c66d6c08b4c478dd513be62b03527"/>
                <w:lock w:val="sdtLocked"/>
                <w:richText/>
              </w:sdtPr>
              <w:sdtContent>
                <w:p>
                  <w:pPr>
                    <w:ind w:firstLine="567"/>
                    <w:jc w:val="both"/>
                    <w:rPr>
                      <w:szCs w:val="24"/>
                      <w:lang w:eastAsia="lt-LT"/>
                    </w:rPr>
                  </w:pPr>
                  <w:sdt>
                    <w:sdtPr>
                      <w:alias w:val="Numeris"/>
                      <w:tag w:val="nr_145c66d6c08b4c478dd513be62b03527"/>
                      <w:lock w:val="sdtLocked"/>
                      <w:richText/>
                    </w:sdtPr>
                    <w:sdtContent>
                      <w:r>
                        <w:rPr>
                          <w:szCs w:val="24"/>
                          <w:lang w:eastAsia="lt-LT"/>
                        </w:rPr>
                        <w:t>13</w:t>
                      </w:r>
                    </w:sdtContent>
                  </w:sdt>
                  <w:r>
                    <w:rPr>
                      <w:szCs w:val="24"/>
                      <w:lang w:eastAsia="lt-LT"/>
                    </w:rPr>
                    <w:t>. Medžiagos, išvardytos Nuotekų tvarkymo reglamento 1 priede ir 2 priedo A dalyje.</w:t>
                  </w:r>
                </w:p>
                <w:p>
                  <w:pPr>
                    <w:suppressAutoHyphens/>
                    <w:jc w:val="center"/>
                    <w:textAlignment w:val="baseline"/>
                    <w:rPr>
                      <w:szCs w:val="24"/>
                      <w:lang w:eastAsia="lt-LT"/>
                    </w:rPr>
                  </w:pPr>
                  <w:r>
                    <w:rPr>
                      <w:szCs w:val="24"/>
                      <w:lang w:eastAsia="lt-LT"/>
                    </w:rPr>
                    <w:t>_________________</w:t>
                  </w:r>
                </w:p>
              </w:sdtContent>
            </w:sdt>
          </w:sdtContent>
        </w:sdt>
      </w:sdtContent>
    </w:sdt>
    <w:sdt>
      <w:sdtPr>
        <w:alias w:val="4 pr."/>
        <w:tag w:val="part_fc7c583111bb4528bba63aa43c8144e2"/>
        <w:lock w:val="sdtLocked"/>
        <w:richText/>
      </w:sdtPr>
      <w:sdtContent>
        <w:p>
          <w:pPr>
            <w:shd w:val="clear" w:color="000000" w:fill="auto"/>
            <w:suppressAutoHyphens/>
            <w:ind w:left="4535"/>
            <w:textAlignment w:val="baseline"/>
            <w:sectPr>
              <w:pgSz w:w="12240" w:h="15840" w:code="1"/>
              <w:pgMar w:top="1134" w:right="1134" w:bottom="1418" w:left="1701" w:header="720" w:footer="720" w:gutter="0"/>
              <w:pgNumType w:start="1"/>
              <w:cols w:space="720"/>
              <w:noEndnote/>
              <w:titlePg/>
              <w:docGrid w:linePitch="326"/>
            </w:sectPr>
          </w:pPr>
        </w:p>
        <w:p>
          <w:pPr>
            <w:shd w:val="clear" w:color="000000" w:fill="auto"/>
            <w:suppressAutoHyphens/>
            <w:ind w:left="4535"/>
            <w:textAlignment w:val="baseline"/>
            <w:rPr>
              <w:szCs w:val="24"/>
              <w:lang w:eastAsia="lt-LT"/>
            </w:rPr>
          </w:pPr>
          <w:r>
            <w:rPr>
              <w:szCs w:val="24"/>
              <w:lang w:eastAsia="lt-LT"/>
            </w:rPr>
            <w:t xml:space="preserve">Taršos integruotos prevencijos ir kontrolės leidimų išdavimo, pakeitimo ir </w:t>
          </w:r>
          <w:r>
            <w:rPr>
              <w:bCs/>
              <w:szCs w:val="24"/>
              <w:lang w:eastAsia="lt-LT"/>
            </w:rPr>
            <w:t xml:space="preserve">galiojimo </w:t>
          </w:r>
          <w:r>
            <w:rPr>
              <w:szCs w:val="24"/>
              <w:lang w:eastAsia="lt-LT"/>
            </w:rPr>
            <w:t xml:space="preserve">panaikinimo taisyklių </w:t>
          </w:r>
        </w:p>
        <w:p>
          <w:pPr>
            <w:shd w:val="clear" w:color="000000" w:fill="auto"/>
            <w:suppressAutoHyphens/>
            <w:ind w:left="4535"/>
            <w:textAlignment w:val="baseline"/>
            <w:rPr>
              <w:szCs w:val="24"/>
              <w:lang w:eastAsia="lt-LT"/>
            </w:rPr>
          </w:pPr>
          <w:sdt>
            <w:sdtPr>
              <w:alias w:val="Numeris"/>
              <w:tag w:val="nr_fc7c583111bb4528bba63aa43c8144e2"/>
              <w:lock w:val="sdtLocked"/>
              <w:richText/>
            </w:sdtPr>
            <w:sdtContent>
              <w:r>
                <w:rPr>
                  <w:szCs w:val="24"/>
                  <w:lang w:eastAsia="lt-LT"/>
                </w:rPr>
                <w:t>4</w:t>
              </w:r>
            </w:sdtContent>
          </w:sdt>
          <w:r>
            <w:rPr>
              <w:szCs w:val="24"/>
              <w:lang w:eastAsia="lt-LT"/>
            </w:rPr>
            <w:t xml:space="preserve"> priedas </w:t>
          </w:r>
        </w:p>
        <w:p>
          <w:pPr>
            <w:shd w:val="clear" w:color="000000" w:fill="auto"/>
            <w:suppressAutoHyphens/>
            <w:jc w:val="center"/>
            <w:textAlignment w:val="baseline"/>
            <w:rPr>
              <w:szCs w:val="24"/>
              <w:lang w:eastAsia="lt-LT"/>
            </w:rPr>
          </w:pPr>
        </w:p>
        <w:sdt>
          <w:sdtPr>
            <w:alias w:val="Pavadinimas"/>
            <w:tag w:val="title_fc7c583111bb4528bba63aa43c8144e2"/>
            <w:lock w:val="sdtLocked"/>
            <w:richText/>
          </w:sdtPr>
          <w:sdtContent>
            <w:p>
              <w:pPr>
                <w:shd w:val="clear" w:color="000000" w:fill="auto"/>
                <w:suppressAutoHyphens/>
                <w:jc w:val="center"/>
                <w:textAlignment w:val="baseline"/>
                <w:rPr>
                  <w:b/>
                  <w:szCs w:val="24"/>
                  <w:lang w:eastAsia="lt-LT"/>
                </w:rPr>
              </w:pPr>
              <w:r>
                <w:rPr>
                  <w:b/>
                  <w:szCs w:val="24"/>
                  <w:lang w:eastAsia="lt-LT"/>
                </w:rPr>
                <w:t>(Rekomenduojama paraiškos forma)</w:t>
              </w:r>
            </w:p>
            <w:p>
              <w:pPr>
                <w:shd w:val="clear" w:color="000000" w:fill="auto"/>
                <w:suppressAutoHyphens/>
                <w:jc w:val="center"/>
                <w:textAlignment w:val="baseline"/>
                <w:rPr>
                  <w:b/>
                  <w:lang w:eastAsia="lt-LT"/>
                </w:rPr>
              </w:pPr>
              <w:r>
                <w:rPr>
                  <w:b/>
                  <w:lang w:eastAsia="lt-LT"/>
                </w:rPr>
                <w:t>PARAIŠKA</w:t>
              </w:r>
            </w:p>
            <w:p>
              <w:pPr>
                <w:shd w:val="clear" w:color="000000" w:fill="auto"/>
                <w:suppressAutoHyphens/>
                <w:jc w:val="center"/>
                <w:textAlignment w:val="baseline"/>
                <w:rPr>
                  <w:b/>
                  <w:lang w:eastAsia="lt-LT"/>
                </w:rPr>
              </w:pPr>
              <w:r>
                <w:rPr>
                  <w:b/>
                  <w:lang w:eastAsia="lt-LT"/>
                </w:rPr>
                <w:t>TARŠOS INTEGRUOTOS PREVENCIJOS IR KONTROLĖS LEIDIMUI GAUTI (PAKEISTI)</w:t>
              </w:r>
            </w:p>
          </w:sdtContent>
        </w:sdt>
        <w:p>
          <w:pPr>
            <w:shd w:val="clear" w:color="000000" w:fill="auto"/>
            <w:suppressAutoHyphens/>
            <w:jc w:val="center"/>
            <w:textAlignment w:val="baseline"/>
            <w:rPr>
              <w:b/>
              <w:lang w:eastAsia="lt-LT"/>
            </w:rPr>
          </w:pPr>
        </w:p>
        <w:p>
          <w:pPr>
            <w:shd w:val="clear" w:color="000000" w:fill="auto"/>
            <w:suppressAutoHyphens/>
            <w:textAlignment w:val="baseline"/>
            <w:rPr>
              <w:lang w:eastAsia="lt-LT"/>
            </w:rPr>
          </w:pPr>
        </w:p>
        <w:p>
          <w:pPr>
            <w:shd w:val="clear" w:color="000000" w:fill="auto"/>
            <w:suppressAutoHyphens/>
            <w:textAlignment w:val="baseline"/>
            <w:rPr>
              <w:lang w:eastAsia="lt-LT"/>
            </w:rPr>
          </w:pPr>
        </w:p>
        <w:p>
          <w:pPr>
            <w:shd w:val="clear" w:color="000000" w:fill="auto"/>
            <w:suppressAutoHyphens/>
            <w:textAlignment w:val="baseline"/>
            <w:rPr>
              <w:lang w:eastAsia="lt-LT"/>
            </w:rPr>
          </w:pPr>
        </w:p>
        <w:p>
          <w:pPr>
            <w:shd w:val="clear" w:color="000000" w:fill="auto"/>
            <w:suppressAutoHyphens/>
            <w:textAlignment w:val="baseline"/>
            <w:rPr>
              <w:lang w:eastAsia="lt-LT"/>
            </w:rPr>
          </w:pPr>
        </w:p>
        <w:p>
          <w:pPr>
            <w:shd w:val="clear" w:color="000000" w:fill="auto"/>
            <w:suppressAutoHyphens/>
            <w:ind w:firstLine="6946"/>
            <w:textAlignment w:val="baseline"/>
            <w:rPr>
              <w:lang w:eastAsia="lt-LT"/>
            </w:rPr>
          </w:pPr>
          <w:r>
            <w:rPr>
              <w:lang w:eastAsia="lt-LT"/>
            </w:rPr>
            <w:t>[ ] [ ] [ ] [ ] [ ] [ ] [ ] [ ] [ ]</w:t>
          </w:r>
        </w:p>
        <w:p>
          <w:pPr>
            <w:shd w:val="clear" w:color="000000" w:fill="auto"/>
            <w:suppressAutoHyphens/>
            <w:ind w:firstLine="7371"/>
            <w:textAlignment w:val="baseline"/>
            <w:rPr>
              <w:sz w:val="20"/>
              <w:lang w:eastAsia="lt-LT"/>
            </w:rPr>
          </w:pPr>
          <w:r>
            <w:rPr>
              <w:sz w:val="20"/>
              <w:lang w:eastAsia="lt-LT"/>
            </w:rPr>
            <w:t>(Juridinio asmens kodas)</w:t>
          </w:r>
        </w:p>
        <w:p>
          <w:pPr>
            <w:shd w:val="clear" w:color="000000" w:fill="auto"/>
            <w:suppressAutoHyphens/>
            <w:textAlignment w:val="baseline"/>
            <w:rPr>
              <w:lang w:eastAsia="lt-LT"/>
            </w:rPr>
          </w:pPr>
        </w:p>
        <w:p>
          <w:pPr>
            <w:shd w:val="clear" w:color="000000" w:fill="auto"/>
            <w:tabs>
              <w:tab w:val="right" w:leader="underscore" w:pos="9072"/>
            </w:tabs>
            <w:suppressAutoHyphens/>
            <w:textAlignment w:val="baseline"/>
            <w:rPr>
              <w:lang w:eastAsia="lt-LT"/>
            </w:rPr>
          </w:pPr>
          <w:r>
            <w:rPr>
              <w:lang w:eastAsia="lt-LT"/>
            </w:rPr>
            <w:t>_</w:t>
            <w:tab/>
          </w:r>
        </w:p>
        <w:p>
          <w:pPr>
            <w:shd w:val="clear" w:color="000000" w:fill="auto"/>
            <w:tabs>
              <w:tab w:val="right" w:leader="underscore" w:pos="9072"/>
            </w:tabs>
            <w:suppressAutoHyphens/>
            <w:ind w:firstLine="142"/>
            <w:textAlignment w:val="baseline"/>
            <w:rPr>
              <w:sz w:val="20"/>
              <w:lang w:eastAsia="lt-LT"/>
            </w:rPr>
          </w:pPr>
          <w:r>
            <w:rPr>
              <w:sz w:val="20"/>
              <w:lang w:eastAsia="lt-LT"/>
            </w:rPr>
            <w:t>(Veiklos vykdytojo, teikiančio Paraišką, pavadinimas, jo adresas, telefono, fakso Nr., elektroninio</w:t>
          </w:r>
          <w:r>
            <w:rPr>
              <w:lang w:eastAsia="lt-LT"/>
            </w:rPr>
            <w:t xml:space="preserve"> </w:t>
          </w:r>
          <w:r>
            <w:rPr>
              <w:sz w:val="20"/>
              <w:lang w:eastAsia="lt-LT"/>
            </w:rPr>
            <w:t>pašto adresas)</w:t>
          </w:r>
        </w:p>
        <w:p>
          <w:pPr>
            <w:shd w:val="clear" w:color="000000" w:fill="auto"/>
            <w:tabs>
              <w:tab w:val="right" w:leader="underscore" w:pos="9072"/>
            </w:tabs>
            <w:suppressAutoHyphens/>
            <w:jc w:val="center"/>
            <w:textAlignment w:val="baseline"/>
            <w:rPr>
              <w:sz w:val="20"/>
              <w:lang w:eastAsia="lt-LT"/>
            </w:rPr>
          </w:pPr>
        </w:p>
        <w:p>
          <w:pPr>
            <w:shd w:val="clear" w:color="000000" w:fill="auto"/>
            <w:tabs>
              <w:tab w:val="right" w:leader="underscore" w:pos="9072"/>
            </w:tabs>
            <w:suppressAutoHyphens/>
            <w:textAlignment w:val="baseline"/>
            <w:rPr>
              <w:lang w:eastAsia="lt-LT"/>
            </w:rPr>
          </w:pPr>
          <w:r>
            <w:rPr>
              <w:lang w:eastAsia="lt-LT"/>
            </w:rPr>
            <w:t>_</w:t>
            <w:tab/>
          </w:r>
        </w:p>
        <w:p>
          <w:pPr>
            <w:shd w:val="clear" w:color="000000" w:fill="auto"/>
            <w:tabs>
              <w:tab w:val="right" w:leader="underscore" w:pos="9072"/>
            </w:tabs>
            <w:suppressAutoHyphens/>
            <w:ind w:firstLine="2410"/>
            <w:textAlignment w:val="baseline"/>
            <w:rPr>
              <w:sz w:val="20"/>
              <w:lang w:eastAsia="lt-LT"/>
            </w:rPr>
          </w:pPr>
          <w:r>
            <w:rPr>
              <w:sz w:val="20"/>
              <w:lang w:eastAsia="lt-LT"/>
            </w:rPr>
            <w:t>(Ūkinės veiklos objekto pavadinimas, adresas, telefonas)</w:t>
          </w:r>
        </w:p>
        <w:p>
          <w:pPr>
            <w:shd w:val="clear" w:color="000000" w:fill="auto"/>
            <w:tabs>
              <w:tab w:val="right" w:leader="underscore" w:pos="9072"/>
            </w:tabs>
            <w:suppressAutoHyphens/>
            <w:textAlignment w:val="baseline"/>
            <w:rPr>
              <w:lang w:eastAsia="lt-LT"/>
            </w:rPr>
          </w:pPr>
        </w:p>
        <w:p>
          <w:pPr>
            <w:shd w:val="clear" w:color="000000" w:fill="auto"/>
            <w:tabs>
              <w:tab w:val="right" w:leader="underscore" w:pos="9072"/>
            </w:tabs>
            <w:suppressAutoHyphens/>
            <w:textAlignment w:val="baseline"/>
            <w:rPr>
              <w:lang w:eastAsia="lt-LT"/>
            </w:rPr>
          </w:pPr>
          <w:r>
            <w:rPr>
              <w:lang w:eastAsia="lt-LT"/>
            </w:rPr>
            <w:t>_</w:t>
            <w:tab/>
          </w:r>
        </w:p>
        <w:p>
          <w:pPr>
            <w:shd w:val="clear" w:color="000000" w:fill="auto"/>
            <w:tabs>
              <w:tab w:val="right" w:leader="underscore" w:pos="9072"/>
            </w:tabs>
            <w:suppressAutoHyphens/>
            <w:ind w:firstLine="1843"/>
            <w:textAlignment w:val="baseline"/>
            <w:rPr>
              <w:sz w:val="20"/>
              <w:lang w:eastAsia="lt-LT"/>
            </w:rPr>
          </w:pPr>
          <w:r>
            <w:rPr>
              <w:sz w:val="20"/>
              <w:lang w:eastAsia="lt-LT"/>
            </w:rPr>
            <w:t>(kontaktinio asmens duomenys, telefono, fakso Nr., el. pašto adresas)</w:t>
          </w:r>
        </w:p>
        <w:p>
          <w:pPr>
            <w:shd w:val="clear" w:color="000000" w:fill="auto"/>
            <w:tabs>
              <w:tab w:val="right" w:leader="underscore" w:pos="9072"/>
            </w:tabs>
            <w:suppressAutoHyphens/>
            <w:jc w:val="center"/>
            <w:textAlignment w:val="baseline"/>
            <w:rPr>
              <w:szCs w:val="24"/>
              <w:lang w:eastAsia="lt-LT"/>
            </w:rPr>
          </w:pPr>
        </w:p>
        <w:p>
          <w:pPr>
            <w:shd w:val="clear" w:color="000000" w:fill="auto"/>
            <w:tabs>
              <w:tab w:val="right" w:leader="underscore" w:pos="9072"/>
            </w:tabs>
            <w:suppressAutoHyphens/>
            <w:jc w:val="center"/>
            <w:textAlignment w:val="baseline"/>
            <w:rPr>
              <w:szCs w:val="24"/>
              <w:lang w:eastAsia="lt-LT"/>
            </w:rPr>
            <w:sectPr>
              <w:pgSz w:w="12240" w:h="15840" w:code="1"/>
              <w:pgMar w:top="1134" w:right="1134" w:bottom="1418" w:left="1701" w:header="720" w:footer="720" w:gutter="0"/>
              <w:pgNumType w:start="1"/>
              <w:cols w:space="720"/>
              <w:noEndnote/>
              <w:titlePg/>
              <w:docGrid w:linePitch="326"/>
            </w:sectPr>
          </w:pPr>
        </w:p>
        <w:p>
          <w:pPr>
            <w:shd w:val="clear" w:color="000000" w:fill="auto"/>
            <w:tabs>
              <w:tab w:val="right" w:leader="underscore" w:pos="9072"/>
            </w:tabs>
            <w:suppressAutoHyphens/>
            <w:jc w:val="center"/>
            <w:textAlignment w:val="baseline"/>
            <w:rPr>
              <w:szCs w:val="24"/>
              <w:lang w:eastAsia="lt-LT"/>
            </w:rPr>
          </w:pPr>
        </w:p>
        <w:sdt>
          <w:sdtPr>
            <w:alias w:val="skyrius"/>
            <w:tag w:val="part_2c18f843a020494c991040e5313adb29"/>
            <w:lock w:val="sdtLocked"/>
            <w:richText/>
          </w:sdtPr>
          <w:sdtContent>
            <w:p>
              <w:pPr>
                <w:shd w:val="clear" w:color="000000" w:fill="auto"/>
                <w:suppressAutoHyphens/>
                <w:jc w:val="center"/>
                <w:textAlignment w:val="baseline"/>
                <w:rPr>
                  <w:b/>
                  <w:sz w:val="22"/>
                  <w:szCs w:val="24"/>
                  <w:lang w:eastAsia="lt-LT"/>
                </w:rPr>
              </w:pPr>
              <w:sdt>
                <w:sdtPr>
                  <w:alias w:val="Numeris"/>
                  <w:tag w:val="nr_2c18f843a020494c991040e5313adb29"/>
                  <w:lock w:val="sdtLocked"/>
                  <w:richText/>
                </w:sdtPr>
                <w:sdtContent>
                  <w:r>
                    <w:rPr>
                      <w:b/>
                      <w:sz w:val="22"/>
                      <w:szCs w:val="24"/>
                      <w:lang w:eastAsia="lt-LT"/>
                    </w:rPr>
                    <w:t>I</w:t>
                  </w:r>
                </w:sdtContent>
              </w:sdt>
              <w:r>
                <w:rPr>
                  <w:b/>
                  <w:sz w:val="22"/>
                  <w:szCs w:val="24"/>
                  <w:lang w:eastAsia="lt-LT"/>
                </w:rPr>
                <w:t xml:space="preserve">. </w:t>
              </w:r>
              <w:sdt>
                <w:sdtPr>
                  <w:alias w:val="Pavadinimas"/>
                  <w:tag w:val="title_2c18f843a020494c991040e5313adb29"/>
                  <w:lock w:val="sdtLocked"/>
                  <w:richText/>
                </w:sdtPr>
                <w:sdtContent>
                  <w:r>
                    <w:rPr>
                      <w:b/>
                      <w:sz w:val="22"/>
                      <w:szCs w:val="24"/>
                      <w:lang w:eastAsia="lt-LT"/>
                    </w:rPr>
                    <w:t>BENDRO POBŪDŽIO INFORMACIJA</w:t>
                  </w:r>
                </w:sdtContent>
              </w:sdt>
            </w:p>
            <w:p>
              <w:pPr>
                <w:shd w:val="clear" w:color="000000" w:fill="auto"/>
                <w:suppressAutoHyphens/>
                <w:ind w:firstLine="567"/>
                <w:jc w:val="both"/>
                <w:textAlignment w:val="baseline"/>
                <w:rPr>
                  <w:b/>
                  <w:sz w:val="22"/>
                  <w:szCs w:val="24"/>
                  <w:lang w:eastAsia="lt-LT"/>
                </w:rPr>
              </w:pPr>
            </w:p>
            <w:sdt>
              <w:sdtPr>
                <w:alias w:val="4 pr. 1 p."/>
                <w:tag w:val="part_e3229686cc424357bce9074fb57fdfb4"/>
                <w:lock w:val="sdtLocked"/>
                <w:richText/>
              </w:sdtPr>
              <w:sdtContent>
                <w:p>
                  <w:pPr>
                    <w:shd w:val="clear" w:color="000000" w:fill="auto"/>
                    <w:suppressAutoHyphens/>
                    <w:ind w:firstLine="567"/>
                    <w:jc w:val="both"/>
                    <w:textAlignment w:val="baseline"/>
                    <w:rPr>
                      <w:sz w:val="22"/>
                      <w:szCs w:val="24"/>
                      <w:lang w:eastAsia="lt-LT"/>
                    </w:rPr>
                  </w:pPr>
                  <w:sdt>
                    <w:sdtPr>
                      <w:alias w:val="Numeris"/>
                      <w:tag w:val="nr_e3229686cc424357bce9074fb57fdfb4"/>
                      <w:lock w:val="sdtLocked"/>
                      <w:richText/>
                    </w:sdtPr>
                    <w:sdtContent>
                      <w:r>
                        <w:rPr>
                          <w:sz w:val="22"/>
                          <w:szCs w:val="24"/>
                          <w:lang w:eastAsia="lt-LT"/>
                        </w:rPr>
                        <w:t>1</w:t>
                      </w:r>
                    </w:sdtContent>
                  </w:sdt>
                  <w:r>
                    <w:rPr>
                      <w:sz w:val="22"/>
                      <w:szCs w:val="24"/>
                      <w:lang w:eastAsia="lt-LT"/>
                    </w:rPr>
                    <w:t>. Informacija apie vietos sąlygas: įrenginio eksploatavimo</w:t>
                  </w:r>
                  <w:r>
                    <w:rPr>
                      <w:b/>
                      <w:sz w:val="22"/>
                      <w:szCs w:val="24"/>
                      <w:lang w:eastAsia="lt-LT"/>
                    </w:rPr>
                    <w:t xml:space="preserve"> </w:t>
                  </w:r>
                  <w:r>
                    <w:rPr>
                      <w:sz w:val="22"/>
                      <w:szCs w:val="24"/>
                      <w:lang w:eastAsia="lt-LT"/>
                    </w:rPr>
                    <w:t xml:space="preserve">vieta, trumpa vietovės charakteristika. </w:t>
                  </w:r>
                </w:p>
              </w:sdtContent>
            </w:sdt>
            <w:sdt>
              <w:sdtPr>
                <w:alias w:val="4 pr. 2 p."/>
                <w:tag w:val="part_b6bdb4eb864241f8bb37d94298e2fdd0"/>
                <w:lock w:val="sdtLocked"/>
                <w:richText/>
              </w:sdtPr>
              <w:sdtContent>
                <w:p>
                  <w:pPr>
                    <w:widowControl w:val="0"/>
                    <w:shd w:val="clear" w:color="000000" w:fill="auto"/>
                    <w:suppressAutoHyphens/>
                    <w:ind w:firstLine="567"/>
                    <w:jc w:val="both"/>
                    <w:rPr>
                      <w:sz w:val="18"/>
                      <w:szCs w:val="24"/>
                      <w:lang w:eastAsia="lt-LT"/>
                    </w:rPr>
                  </w:pPr>
                  <w:sdt>
                    <w:sdtPr>
                      <w:alias w:val="Numeris"/>
                      <w:tag w:val="nr_b6bdb4eb864241f8bb37d94298e2fdd0"/>
                      <w:lock w:val="sdtLocked"/>
                      <w:richText/>
                    </w:sdtPr>
                    <w:sdtContent>
                      <w:r>
                        <w:rPr>
                          <w:sz w:val="22"/>
                          <w:szCs w:val="22"/>
                        </w:rPr>
                        <w:t>2</w:t>
                      </w:r>
                    </w:sdtContent>
                  </w:sdt>
                  <w:r>
                    <w:rPr>
                      <w:sz w:val="22"/>
                      <w:szCs w:val="22"/>
                    </w:rPr>
                    <w:t xml:space="preserve">. </w:t>
                  </w:r>
                  <w:r>
                    <w:rPr>
                      <w:color w:val="000000"/>
                      <w:sz w:val="22"/>
                      <w:szCs w:val="22"/>
                      <w:lang w:eastAsia="zh-CN"/>
                    </w:rPr>
                    <w:t xml:space="preserve">Ūkinės veiklos vietos padėtis vietovės plane ar schemoje su sodo namų, </w:t>
                  </w:r>
                  <w:r>
                    <w:rPr>
                      <w:color w:val="000000"/>
                      <w:sz w:val="22"/>
                      <w:szCs w:val="22"/>
                      <w:lang w:val="lt" w:eastAsia="zh-CN"/>
                    </w:rPr>
                    <w:t xml:space="preserve">gyvenamosios, viešbučių, kultūros, mokslo, sporto, gydymo, poilsio, religinės paskirties, su </w:t>
                  </w:r>
                  <w:r>
                    <w:rPr>
                      <w:sz w:val="22"/>
                      <w:szCs w:val="22"/>
                      <w:lang w:val="lt" w:eastAsia="zh-CN"/>
                    </w:rPr>
                    <w:t>apgyvendinimu susijusios specialiosios paskirties pastatų ir pastatų, kuriuose įrengtos nurodytos paskirties patalpos,</w:t>
                  </w:r>
                  <w:r>
                    <w:rPr>
                      <w:sz w:val="22"/>
                      <w:szCs w:val="22"/>
                      <w:lang w:eastAsia="lt-LT"/>
                    </w:rPr>
                    <w:t xml:space="preserve"> suformuotos atskirais nekilnojamojo turto objektais</w:t>
                  </w:r>
                  <w:r>
                    <w:rPr>
                      <w:sz w:val="22"/>
                      <w:szCs w:val="22"/>
                      <w:lang w:eastAsia="zh-CN"/>
                    </w:rPr>
                    <w:t>, gretimų įmonių, rekreacinių</w:t>
                  </w:r>
                  <w:r>
                    <w:rPr>
                      <w:color w:val="000000"/>
                      <w:sz w:val="22"/>
                      <w:szCs w:val="22"/>
                      <w:lang w:eastAsia="zh-CN"/>
                    </w:rPr>
                    <w:t>, saugomų teritorijų ir biotopų, paviršinių vandens telkinių apsaugos zonų ir juostų, vandenviečių apsaugos zonų išsidėstymu.</w:t>
                  </w:r>
                  <w:r>
                    <w:rPr>
                      <w:sz w:val="22"/>
                      <w:szCs w:val="22"/>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4 pr. 3 p."/>
                <w:tag w:val="part_23531857b1ec4089bba8c38eefb94959"/>
                <w:lock w:val="sdtLocked"/>
                <w:richText/>
              </w:sdtPr>
              <w:sdtContent>
                <w:p>
                  <w:pPr>
                    <w:suppressAutoHyphens/>
                    <w:ind w:firstLine="567"/>
                    <w:jc w:val="both"/>
                    <w:textAlignment w:val="baseline"/>
                    <w:rPr>
                      <w:sz w:val="22"/>
                      <w:szCs w:val="22"/>
                      <w:lang w:eastAsia="ar-SA"/>
                    </w:rPr>
                  </w:pPr>
                  <w:sdt>
                    <w:sdtPr>
                      <w:alias w:val="Numeris"/>
                      <w:tag w:val="nr_23531857b1ec4089bba8c38eefb94959"/>
                      <w:lock w:val="sdtLocked"/>
                      <w:richText/>
                    </w:sdtPr>
                    <w:sdtContent>
                      <w:r>
                        <w:rPr>
                          <w:sz w:val="22"/>
                          <w:szCs w:val="22"/>
                          <w:lang w:eastAsia="ar-SA"/>
                        </w:rPr>
                        <w:t>3</w:t>
                      </w:r>
                    </w:sdtContent>
                  </w:sdt>
                  <w:r>
                    <w:rPr>
                      <w:sz w:val="22"/>
                      <w:szCs w:val="22"/>
                      <w:lang w:eastAsia="ar-SA"/>
                    </w:rPr>
                    <w:t xml:space="preserve">. Naujam įrenginiui – statybos pradžia ir planuojama veiklos pradžia. Esamam (pakeistam ar išplėstam) įrenginiui – veiklos pradžia. </w:t>
                  </w:r>
                  <w:r>
                    <w:rPr>
                      <w:sz w:val="22"/>
                      <w:szCs w:val="22"/>
                    </w:rPr>
                    <w:t xml:space="preserve">Jei </w:t>
                  </w:r>
                  <w:r>
                    <w:rPr>
                      <w:sz w:val="22"/>
                      <w:szCs w:val="22"/>
                      <w:lang w:eastAsia="lt-LT"/>
                    </w:rPr>
                    <w:t>numatomos kelios skirtingos naujo arba pakeisto ar išplėsto įrenginio (-ių) eksploatavimo ir (ar) veiklos pradžios datos, – nurodomos visos datos ar etapai</w:t>
                  </w:r>
                  <w:r>
                    <w:rPr>
                      <w:sz w:val="22"/>
                      <w:szCs w:val="22"/>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4 pr. 4 p."/>
                <w:tag w:val="part_07daf5d46cfd4bc08c6e2b8f1ba0a5b9"/>
                <w:lock w:val="sdtLocked"/>
                <w:richText/>
              </w:sdtPr>
              <w:sdtContent>
                <w:p>
                  <w:pPr>
                    <w:shd w:val="clear" w:color="000000" w:fill="auto"/>
                    <w:suppressAutoHyphens/>
                    <w:ind w:firstLine="567"/>
                    <w:jc w:val="both"/>
                    <w:textAlignment w:val="baseline"/>
                    <w:rPr>
                      <w:b/>
                      <w:sz w:val="22"/>
                      <w:szCs w:val="24"/>
                      <w:lang w:eastAsia="lt-LT"/>
                    </w:rPr>
                  </w:pPr>
                  <w:sdt>
                    <w:sdtPr>
                      <w:alias w:val="Numeris"/>
                      <w:tag w:val="nr_07daf5d46cfd4bc08c6e2b8f1ba0a5b9"/>
                      <w:lock w:val="sdtLocked"/>
                      <w:richText/>
                    </w:sdtPr>
                    <w:sdtContent>
                      <w:r>
                        <w:rPr>
                          <w:sz w:val="22"/>
                          <w:szCs w:val="24"/>
                          <w:lang w:eastAsia="ar-SA"/>
                        </w:rPr>
                        <w:t>4</w:t>
                      </w:r>
                    </w:sdtContent>
                  </w:sdt>
                  <w:r>
                    <w:rPr>
                      <w:sz w:val="22"/>
                      <w:szCs w:val="24"/>
                      <w:lang w:eastAsia="ar-SA"/>
                    </w:rPr>
                    <w:t>. Informacija apie asmenis, atsakingus už įmonės aplinkos apsaugą.</w:t>
                  </w:r>
                </w:p>
              </w:sdtContent>
            </w:sdt>
            <w:sdt>
              <w:sdtPr>
                <w:alias w:val="4 pr. 5 p."/>
                <w:tag w:val="part_acec0426dfef4531a6542f883e17456e"/>
                <w:lock w:val="sdtLocked"/>
                <w:richText/>
              </w:sdtPr>
              <w:sdtContent>
                <w:p>
                  <w:pPr>
                    <w:shd w:val="clear" w:color="000000" w:fill="auto"/>
                    <w:suppressAutoHyphens/>
                    <w:ind w:firstLine="567"/>
                    <w:jc w:val="both"/>
                    <w:textAlignment w:val="baseline"/>
                    <w:rPr>
                      <w:sz w:val="22"/>
                      <w:szCs w:val="24"/>
                      <w:lang w:eastAsia="ar-SA"/>
                    </w:rPr>
                  </w:pPr>
                  <w:sdt>
                    <w:sdtPr>
                      <w:alias w:val="Numeris"/>
                      <w:tag w:val="nr_acec0426dfef4531a6542f883e17456e"/>
                      <w:lock w:val="sdtLocked"/>
                      <w:richText/>
                    </w:sdtPr>
                    <w:sdtContent>
                      <w:r>
                        <w:rPr>
                          <w:sz w:val="22"/>
                          <w:szCs w:val="24"/>
                          <w:lang w:eastAsia="ar-SA"/>
                        </w:rPr>
                        <w:t>5</w:t>
                      </w:r>
                    </w:sdtContent>
                  </w:sdt>
                  <w:r>
                    <w:rPr>
                      <w:sz w:val="22"/>
                      <w:szCs w:val="24"/>
                      <w:lang w:eastAsia="ar-SA"/>
                    </w:rPr>
                    <w:t xml:space="preserve">. Informacija apie įdiegtas aplinkos apsaugos vadybos sistemas. </w:t>
                  </w:r>
                </w:p>
              </w:sdtContent>
            </w:sdt>
            <w:sdt>
              <w:sdtPr>
                <w:alias w:val="4 pr. 6 p."/>
                <w:tag w:val="part_57ab9bdfeb0d41f38e7039c9d84718ee"/>
                <w:lock w:val="sdtLocked"/>
                <w:richText/>
              </w:sdtPr>
              <w:sdtContent>
                <w:p>
                  <w:pPr>
                    <w:shd w:val="clear" w:color="000000" w:fill="auto"/>
                    <w:suppressAutoHyphens/>
                    <w:ind w:firstLine="567"/>
                    <w:jc w:val="both"/>
                    <w:textAlignment w:val="baseline"/>
                    <w:rPr>
                      <w:sz w:val="22"/>
                      <w:szCs w:val="24"/>
                      <w:lang w:eastAsia="ar-SA"/>
                    </w:rPr>
                  </w:pPr>
                  <w:sdt>
                    <w:sdtPr>
                      <w:alias w:val="Numeris"/>
                      <w:tag w:val="nr_57ab9bdfeb0d41f38e7039c9d84718ee"/>
                      <w:lock w:val="sdtLocked"/>
                      <w:richText/>
                    </w:sdtPr>
                    <w:sdtContent>
                      <w:r>
                        <w:rPr>
                          <w:sz w:val="22"/>
                          <w:szCs w:val="24"/>
                          <w:lang w:eastAsia="ar-SA"/>
                        </w:rPr>
                        <w:t>6</w:t>
                      </w:r>
                    </w:sdtContent>
                  </w:sdt>
                  <w:r>
                    <w:rPr>
                      <w:sz w:val="22"/>
                      <w:szCs w:val="24"/>
                      <w:lang w:eastAsia="ar-SA"/>
                    </w:rPr>
                    <w:t xml:space="preserve">. Netechninio pobūdžio santrauka (informacija apie įrenginyje (įrenginiuose) vykdomą veiklą, trumpas visos paraiškoje pateiktos informacijos apibendrinimas). </w:t>
                  </w:r>
                </w:p>
                <w:p>
                  <w:pPr>
                    <w:shd w:val="clear" w:color="000000" w:fill="auto"/>
                    <w:suppressAutoHyphens/>
                    <w:ind w:firstLine="567"/>
                    <w:jc w:val="both"/>
                    <w:textAlignment w:val="baseline"/>
                    <w:rPr>
                      <w:sz w:val="22"/>
                      <w:szCs w:val="24"/>
                      <w:lang w:eastAsia="lt-LT"/>
                    </w:rPr>
                  </w:pPr>
                </w:p>
              </w:sdtContent>
            </w:sdt>
          </w:sdtContent>
        </w:sdt>
        <w:sdt>
          <w:sdtPr>
            <w:alias w:val="skyrius"/>
            <w:tag w:val="part_be0fffcc82924e81be97e592db92bdef"/>
            <w:lock w:val="sdtLocked"/>
            <w:richText/>
          </w:sdtPr>
          <w:sdtContent>
            <w:p>
              <w:pPr>
                <w:shd w:val="clear" w:color="000000" w:fill="auto"/>
                <w:suppressAutoHyphens/>
                <w:jc w:val="center"/>
                <w:textAlignment w:val="baseline"/>
                <w:rPr>
                  <w:b/>
                  <w:sz w:val="22"/>
                  <w:szCs w:val="24"/>
                  <w:lang w:eastAsia="lt-LT"/>
                </w:rPr>
              </w:pPr>
              <w:sdt>
                <w:sdtPr>
                  <w:alias w:val="Numeris"/>
                  <w:tag w:val="nr_be0fffcc82924e81be97e592db92bdef"/>
                  <w:lock w:val="sdtLocked"/>
                  <w:richText/>
                </w:sdtPr>
                <w:sdtContent>
                  <w:r>
                    <w:rPr>
                      <w:b/>
                      <w:sz w:val="22"/>
                      <w:szCs w:val="24"/>
                      <w:lang w:eastAsia="lt-LT"/>
                    </w:rPr>
                    <w:t>II</w:t>
                  </w:r>
                </w:sdtContent>
              </w:sdt>
              <w:r>
                <w:rPr>
                  <w:b/>
                  <w:sz w:val="22"/>
                  <w:szCs w:val="24"/>
                  <w:lang w:eastAsia="lt-LT"/>
                </w:rPr>
                <w:t xml:space="preserve">. </w:t>
              </w:r>
              <w:sdt>
                <w:sdtPr>
                  <w:alias w:val="Pavadinimas"/>
                  <w:tag w:val="title_be0fffcc82924e81be97e592db92bdef"/>
                  <w:lock w:val="sdtLocked"/>
                  <w:richText/>
                </w:sdtPr>
                <w:sdtContent>
                  <w:r>
                    <w:rPr>
                      <w:b/>
                      <w:sz w:val="22"/>
                      <w:szCs w:val="24"/>
                      <w:lang w:eastAsia="lt-LT"/>
                    </w:rPr>
                    <w:t>INFORMACIJA APIE ĮRENGINĮ IR JAME VYKDOMĄ ŪKINĘ VEIKLĄ</w:t>
                  </w:r>
                </w:sdtContent>
              </w:sdt>
            </w:p>
            <w:p>
              <w:pPr>
                <w:shd w:val="clear" w:color="000000" w:fill="auto"/>
                <w:suppressAutoHyphens/>
                <w:ind w:firstLine="567"/>
                <w:jc w:val="both"/>
                <w:textAlignment w:val="baseline"/>
                <w:rPr>
                  <w:b/>
                  <w:sz w:val="22"/>
                  <w:szCs w:val="24"/>
                  <w:lang w:eastAsia="lt-LT"/>
                </w:rPr>
              </w:pPr>
            </w:p>
            <w:sdt>
              <w:sdtPr>
                <w:alias w:val="4 pr. 7 p."/>
                <w:tag w:val="part_ab7b8e0fd93a41baacdc9c710df58cb9"/>
                <w:lock w:val="sdtLocked"/>
                <w:richText/>
              </w:sdtPr>
              <w:sdtContent>
                <w:p>
                  <w:pPr>
                    <w:shd w:val="clear" w:color="000000" w:fill="auto"/>
                    <w:suppressAutoHyphens/>
                    <w:ind w:firstLine="567"/>
                    <w:jc w:val="both"/>
                    <w:textAlignment w:val="baseline"/>
                    <w:rPr>
                      <w:b/>
                      <w:i/>
                      <w:sz w:val="22"/>
                      <w:szCs w:val="24"/>
                      <w:lang w:eastAsia="lt-LT"/>
                    </w:rPr>
                  </w:pPr>
                  <w:sdt>
                    <w:sdtPr>
                      <w:alias w:val="Numeris"/>
                      <w:tag w:val="nr_ab7b8e0fd93a41baacdc9c710df58cb9"/>
                      <w:lock w:val="sdtLocked"/>
                      <w:richText/>
                    </w:sdtPr>
                    <w:sdtContent>
                      <w:r>
                        <w:rPr>
                          <w:sz w:val="22"/>
                          <w:szCs w:val="24"/>
                          <w:lang w:eastAsia="lt-LT"/>
                        </w:rPr>
                        <w:t>7</w:t>
                      </w:r>
                    </w:sdtContent>
                  </w:sdt>
                  <w:r>
                    <w:rPr>
                      <w:sz w:val="22"/>
                      <w:szCs w:val="24"/>
                      <w:lang w:eastAsia="lt-LT"/>
                    </w:rPr>
                    <w:t xml:space="preserve">. Įrenginys (-iai) ir jame (juose) vykdomos veiklos rūšys. </w:t>
                  </w:r>
                </w:p>
                <w:p>
                  <w:pPr>
                    <w:shd w:val="clear" w:color="000000" w:fill="auto"/>
                    <w:suppressAutoHyphens/>
                    <w:ind w:firstLine="567"/>
                    <w:jc w:val="both"/>
                    <w:textAlignment w:val="baseline"/>
                    <w:rPr>
                      <w:sz w:val="22"/>
                      <w:szCs w:val="24"/>
                      <w:lang w:eastAsia="lt-LT"/>
                    </w:rPr>
                  </w:pPr>
                </w:p>
              </w:sdtContent>
            </w:sdt>
            <w:sdt>
              <w:sdtPr>
                <w:alias w:val="lentele"/>
                <w:tag w:val="part_b720cf24cd864c80a67b163d153c5a14"/>
                <w:lock w:val="sdtLocked"/>
                <w:richText/>
              </w:sdtPr>
              <w:sdtContent>
                <w:p>
                  <w:pPr>
                    <w:shd w:val="clear" w:color="000000" w:fill="auto"/>
                    <w:suppressAutoHyphens/>
                    <w:ind w:firstLine="567"/>
                    <w:jc w:val="both"/>
                    <w:textAlignment w:val="baseline"/>
                    <w:rPr>
                      <w:sz w:val="22"/>
                      <w:szCs w:val="24"/>
                      <w:lang w:eastAsia="lt-LT"/>
                    </w:rPr>
                  </w:pPr>
                  <w:r>
                    <w:rPr>
                      <w:sz w:val="22"/>
                      <w:szCs w:val="24"/>
                      <w:lang w:eastAsia="lt-LT"/>
                    </w:rPr>
                    <w:t xml:space="preserve">1 lentelė. </w:t>
                  </w:r>
                  <w:sdt>
                    <w:sdtPr>
                      <w:alias w:val="Pavadinimas"/>
                      <w:tag w:val="title_b720cf24cd864c80a67b163d153c5a14"/>
                      <w:lock w:val="sdtLocked"/>
                      <w:richText/>
                    </w:sdtPr>
                    <w:sdtContent>
                      <w:r>
                        <w:rPr>
                          <w:sz w:val="22"/>
                          <w:szCs w:val="24"/>
                          <w:lang w:eastAsia="lt-LT"/>
                        </w:rPr>
                        <w:t>Įrenginyje planuojama vykdyti ir (ar) vykdoma ūkinė veikla</w:t>
                      </w:r>
                    </w:sdtContent>
                  </w:sdt>
                </w:p>
                <w:p>
                  <w:pPr>
                    <w:shd w:val="clear" w:color="000000" w:fill="auto"/>
                    <w:suppressAutoHyphens/>
                    <w:ind w:firstLine="567"/>
                    <w:jc w:val="both"/>
                    <w:textAlignment w:val="baseline"/>
                    <w:rPr>
                      <w:sz w:val="22"/>
                      <w:szCs w:val="24"/>
                      <w:lang w:eastAsia="lt-LT"/>
                    </w:rPr>
                  </w:pPr>
                </w:p>
                <w:tbl>
                  <w:tblPr>
                    <w:tblW w:w="134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190"/>
                    <w:gridCol w:w="7238"/>
                  </w:tblGrid>
                  <w:tr>
                    <w:tc>
                      <w:tcPr>
                        <w:tcW w:w="6190"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lang w:eastAsia="lt-LT"/>
                          </w:rPr>
                        </w:pPr>
                        <w:r>
                          <w:rPr>
                            <w:sz w:val="18"/>
                            <w:lang w:eastAsia="lt-LT"/>
                          </w:rPr>
                          <w:t>Įrenginio pavadinimas</w:t>
                        </w:r>
                      </w:p>
                    </w:tc>
                    <w:tc>
                      <w:tcPr>
                        <w:tcW w:w="7238"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lang w:eastAsia="lt-LT"/>
                          </w:rPr>
                        </w:pPr>
                        <w:r>
                          <w:rPr>
                            <w:sz w:val="18"/>
                            <w:lang w:eastAsia="lt-LT"/>
                          </w:rPr>
                          <w:t xml:space="preserve">Įrenginyje planuojamos vykdyti veiklos rūšies pavadinimas pagal Taisyklių 1 priedą </w:t>
                        </w:r>
                      </w:p>
                      <w:p>
                        <w:pPr>
                          <w:shd w:val="clear" w:color="000000" w:fill="auto"/>
                          <w:suppressAutoHyphens/>
                          <w:jc w:val="center"/>
                          <w:textAlignment w:val="baseline"/>
                          <w:rPr>
                            <w:sz w:val="18"/>
                            <w:lang w:eastAsia="lt-LT"/>
                          </w:rPr>
                        </w:pPr>
                        <w:r>
                          <w:rPr>
                            <w:sz w:val="18"/>
                            <w:lang w:eastAsia="lt-LT"/>
                          </w:rPr>
                          <w:t>ir kita tiesiogiai susijusi veikla</w:t>
                        </w:r>
                      </w:p>
                    </w:tc>
                  </w:tr>
                  <w:tr>
                    <w:tc>
                      <w:tcPr>
                        <w:tcW w:w="6190"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lang w:eastAsia="lt-LT"/>
                          </w:rPr>
                        </w:pPr>
                        <w:r>
                          <w:rPr>
                            <w:sz w:val="18"/>
                            <w:lang w:eastAsia="lt-LT"/>
                          </w:rPr>
                          <w:t>1</w:t>
                        </w:r>
                      </w:p>
                    </w:tc>
                    <w:tc>
                      <w:tcPr>
                        <w:tcW w:w="7238"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lang w:eastAsia="lt-LT"/>
                          </w:rPr>
                        </w:pPr>
                        <w:r>
                          <w:rPr>
                            <w:sz w:val="18"/>
                            <w:lang w:eastAsia="lt-LT"/>
                          </w:rPr>
                          <w:t>2</w:t>
                        </w:r>
                      </w:p>
                    </w:tc>
                  </w:tr>
                  <w:tr>
                    <w:tc>
                      <w:tcPr>
                        <w:tcW w:w="6190" w:type="dxa"/>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c>
                      <w:tcPr>
                        <w:tcW w:w="7238" w:type="dxa"/>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r>
                  <w:tr>
                    <w:tc>
                      <w:tcPr>
                        <w:tcW w:w="6190" w:type="dxa"/>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c>
                      <w:tcPr>
                        <w:tcW w:w="7238" w:type="dxa"/>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r>
                  <w:tr>
                    <w:tc>
                      <w:tcPr>
                        <w:tcW w:w="6190" w:type="dxa"/>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c>
                      <w:tcPr>
                        <w:tcW w:w="7238" w:type="dxa"/>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r>
                </w:tbl>
                <w:p>
                  <w:pPr>
                    <w:shd w:val="clear" w:color="000000" w:fill="auto"/>
                    <w:ind w:firstLine="567"/>
                    <w:jc w:val="both"/>
                    <w:rPr>
                      <w:sz w:val="22"/>
                      <w:szCs w:val="24"/>
                      <w:lang w:eastAsia="lt-LT"/>
                    </w:rPr>
                  </w:pPr>
                </w:p>
              </w:sdtContent>
            </w:sdt>
            <w:sdt>
              <w:sdtPr>
                <w:alias w:val="4 pr. 8 p."/>
                <w:tag w:val="part_74405b42177c430a82dfb7557f38f33e"/>
                <w:lock w:val="sdtLocked"/>
                <w:richText/>
              </w:sdtPr>
              <w:sdtContent>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 w:val="16"/>
                      <w:szCs w:val="24"/>
                      <w:lang w:eastAsia="lt-LT"/>
                    </w:rPr>
                  </w:pPr>
                  <w:sdt>
                    <w:sdtPr>
                      <w:alias w:val="Numeris"/>
                      <w:tag w:val="nr_74405b42177c430a82dfb7557f38f33e"/>
                      <w:lock w:val="sdtLocked"/>
                      <w:richText/>
                    </w:sdtPr>
                    <w:sdtContent>
                      <w:r>
                        <w:rPr>
                          <w:sz w:val="22"/>
                          <w:szCs w:val="24"/>
                          <w:lang w:eastAsia="lt-LT"/>
                        </w:rPr>
                        <w:t>8</w:t>
                      </w:r>
                    </w:sdtContent>
                  </w:sdt>
                  <w:r>
                    <w:rPr>
                      <w:sz w:val="22"/>
                      <w:szCs w:val="24"/>
                      <w:lang w:eastAsia="lt-LT"/>
                    </w:rPr>
                    <w:t>. Įrenginio ar įrenginių gamybos (projektinis) pajėgumas arba vardinė (nominali) šiluminė galia.</w:t>
                  </w:r>
                  <w:r>
                    <w:rPr>
                      <w:sz w:val="22"/>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4 pr. 9 p."/>
                <w:tag w:val="part_ad38b61b3676421db63009b2f90146da"/>
                <w:lock w:val="sdtLocked"/>
                <w:richText/>
              </w:sdtPr>
              <w:sdtContent>
                <w:p>
                  <w:pPr>
                    <w:shd w:val="clear" w:color="000000" w:fill="auto"/>
                    <w:suppressAutoHyphens/>
                    <w:ind w:firstLine="567"/>
                    <w:jc w:val="both"/>
                    <w:textAlignment w:val="baseline"/>
                    <w:rPr>
                      <w:sz w:val="22"/>
                      <w:szCs w:val="24"/>
                      <w:lang w:eastAsia="lt-LT"/>
                    </w:rPr>
                  </w:pPr>
                  <w:sdt>
                    <w:sdtPr>
                      <w:alias w:val="Numeris"/>
                      <w:tag w:val="nr_ad38b61b3676421db63009b2f90146da"/>
                      <w:lock w:val="sdtLocked"/>
                      <w:richText/>
                    </w:sdtPr>
                    <w:sdtContent>
                      <w:r>
                        <w:rPr>
                          <w:sz w:val="22"/>
                          <w:szCs w:val="24"/>
                          <w:lang w:eastAsia="lt-LT"/>
                        </w:rPr>
                        <w:t>9</w:t>
                      </w:r>
                    </w:sdtContent>
                  </w:sdt>
                  <w:r>
                    <w:rPr>
                      <w:sz w:val="22"/>
                      <w:szCs w:val="24"/>
                      <w:lang w:eastAsia="lt-LT"/>
                    </w:rPr>
                    <w:t>. Kuro ir energijos vartojimas įrenginyje (-iuose), kuro saugojimas. Energijos gamyba.</w:t>
                  </w:r>
                </w:p>
                <w:p>
                  <w:pPr>
                    <w:shd w:val="clear" w:color="000000" w:fill="auto"/>
                    <w:suppressAutoHyphens/>
                    <w:ind w:firstLine="567"/>
                    <w:jc w:val="both"/>
                    <w:textAlignment w:val="baseline"/>
                    <w:rPr>
                      <w:sz w:val="22"/>
                      <w:szCs w:val="24"/>
                      <w:lang w:eastAsia="lt-LT"/>
                    </w:rPr>
                  </w:pPr>
                </w:p>
              </w:sdtContent>
            </w:sdt>
            <w:sdt>
              <w:sdtPr>
                <w:alias w:val="lentele"/>
                <w:tag w:val="part_3636af3254284c02a11c3aa85a044bad"/>
                <w:lock w:val="sdtLocked"/>
                <w:richText/>
              </w:sdtPr>
              <w:sdtContent>
                <w:p>
                  <w:pPr>
                    <w:shd w:val="clear" w:color="000000" w:fill="auto"/>
                    <w:suppressAutoHyphens/>
                    <w:ind w:firstLine="567"/>
                    <w:jc w:val="both"/>
                    <w:textAlignment w:val="baseline"/>
                    <w:rPr>
                      <w:sz w:val="22"/>
                      <w:szCs w:val="24"/>
                      <w:lang w:eastAsia="lt-LT"/>
                    </w:rPr>
                  </w:pPr>
                  <w:r>
                    <w:rPr>
                      <w:sz w:val="22"/>
                      <w:szCs w:val="24"/>
                      <w:lang w:eastAsia="lt-LT"/>
                    </w:rPr>
                    <w:t xml:space="preserve">2 lentelė. </w:t>
                  </w:r>
                  <w:sdt>
                    <w:sdtPr>
                      <w:alias w:val="Pavadinimas"/>
                      <w:tag w:val="title_3636af3254284c02a11c3aa85a044bad"/>
                      <w:lock w:val="sdtLocked"/>
                      <w:richText/>
                    </w:sdtPr>
                    <w:sdtContent>
                      <w:r>
                        <w:rPr>
                          <w:sz w:val="22"/>
                          <w:szCs w:val="24"/>
                          <w:lang w:eastAsia="lt-LT"/>
                        </w:rPr>
                        <w:t>Kuro ir energijos vartojimas, kuro saugojimas</w:t>
                      </w:r>
                    </w:sdtContent>
                  </w:sdt>
                </w:p>
                <w:p>
                  <w:pPr>
                    <w:shd w:val="clear" w:color="000000" w:fill="auto"/>
                    <w:suppressAutoHyphens/>
                    <w:ind w:firstLine="567"/>
                    <w:jc w:val="both"/>
                    <w:textAlignment w:val="baseline"/>
                    <w:rPr>
                      <w:sz w:val="22"/>
                      <w:szCs w:val="24"/>
                      <w:lang w:eastAsia="lt-LT"/>
                    </w:rPr>
                  </w:pPr>
                </w:p>
                <w:tbl>
                  <w:tblPr>
                    <w:tblW w:w="13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44"/>
                    <w:gridCol w:w="2404"/>
                    <w:gridCol w:w="2557"/>
                    <w:gridCol w:w="4546"/>
                  </w:tblGrid>
                  <w:tr>
                    <w:trPr>
                      <w:cantSplit/>
                    </w:trPr>
                    <w:tc>
                      <w:tcPr>
                        <w:tcW w:w="3944"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Energetiniai ir technologiniai ištekliai</w:t>
                        </w:r>
                      </w:p>
                    </w:tc>
                    <w:tc>
                      <w:tcPr>
                        <w:tcW w:w="2404"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Transportavimo būdas</w:t>
                        </w:r>
                      </w:p>
                    </w:tc>
                    <w:tc>
                      <w:tcPr>
                        <w:tcW w:w="2557"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Planuojamas sunaudojimas,</w:t>
                        </w:r>
                      </w:p>
                      <w:p>
                        <w:pPr>
                          <w:shd w:val="clear" w:color="000000" w:fill="auto"/>
                          <w:suppressAutoHyphens/>
                          <w:jc w:val="center"/>
                          <w:textAlignment w:val="baseline"/>
                          <w:rPr>
                            <w:sz w:val="18"/>
                            <w:szCs w:val="24"/>
                            <w:lang w:eastAsia="lt-LT"/>
                          </w:rPr>
                        </w:pPr>
                        <w:r>
                          <w:rPr>
                            <w:sz w:val="18"/>
                            <w:szCs w:val="24"/>
                            <w:lang w:eastAsia="lt-LT"/>
                          </w:rPr>
                          <w:t>matavimo vnt. (t, m</w:t>
                        </w:r>
                        <w:r>
                          <w:rPr>
                            <w:sz w:val="18"/>
                            <w:szCs w:val="24"/>
                            <w:vertAlign w:val="superscript"/>
                            <w:lang w:eastAsia="lt-LT"/>
                          </w:rPr>
                          <w:t>3</w:t>
                        </w:r>
                        <w:r>
                          <w:rPr>
                            <w:sz w:val="18"/>
                            <w:szCs w:val="24"/>
                            <w:lang w:eastAsia="lt-LT"/>
                          </w:rPr>
                          <w:t>, KWh ir kt.)</w:t>
                        </w:r>
                      </w:p>
                    </w:tc>
                    <w:tc>
                      <w:tcPr>
                        <w:tcW w:w="4546"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r>
                          <w:rPr>
                            <w:sz w:val="18"/>
                            <w:szCs w:val="24"/>
                            <w:lang w:eastAsia="lt-LT"/>
                          </w:rPr>
                          <w:t>Kuro saugojimo būdas (požeminės talpos, cisternos, statiniai, poveikio aplinkai riziką mažinantys betonu dengti kuro saugyklų plotai ir pan.)</w:t>
                        </w:r>
                      </w:p>
                    </w:tc>
                  </w:tr>
                  <w:tr>
                    <w:trPr>
                      <w:cantSplit/>
                    </w:trPr>
                    <w:tc>
                      <w:tcPr>
                        <w:tcW w:w="3944" w:type="dxa"/>
                        <w:tcBorders>
                          <w:top w:val="single" w:sz="4" w:space="0" w:color="auto"/>
                          <w:left w:val="nil"/>
                          <w:bottom w:val="single" w:sz="4" w:space="0" w:color="auto"/>
                          <w:right w:val="nil"/>
                        </w:tcBorders>
                        <w:vAlign w:val="center"/>
                      </w:tcPr>
                      <w:p>
                        <w:pPr>
                          <w:shd w:val="clear" w:color="000000" w:fill="auto"/>
                          <w:suppressAutoHyphens/>
                          <w:jc w:val="center"/>
                          <w:textAlignment w:val="baseline"/>
                          <w:rPr>
                            <w:sz w:val="18"/>
                            <w:szCs w:val="24"/>
                            <w:lang w:eastAsia="lt-LT"/>
                          </w:rPr>
                        </w:pPr>
                      </w:p>
                    </w:tc>
                    <w:tc>
                      <w:tcPr>
                        <w:tcW w:w="2404" w:type="dxa"/>
                        <w:tcBorders>
                          <w:top w:val="single" w:sz="4" w:space="0" w:color="auto"/>
                          <w:left w:val="nil"/>
                          <w:bottom w:val="single" w:sz="4" w:space="0" w:color="auto"/>
                          <w:right w:val="nil"/>
                        </w:tcBorders>
                        <w:vAlign w:val="center"/>
                      </w:tcPr>
                      <w:p>
                        <w:pPr>
                          <w:shd w:val="clear" w:color="000000" w:fill="auto"/>
                          <w:suppressAutoHyphens/>
                          <w:jc w:val="center"/>
                          <w:textAlignment w:val="baseline"/>
                          <w:rPr>
                            <w:sz w:val="18"/>
                            <w:szCs w:val="24"/>
                            <w:lang w:eastAsia="lt-LT"/>
                          </w:rPr>
                        </w:pPr>
                      </w:p>
                    </w:tc>
                    <w:tc>
                      <w:tcPr>
                        <w:tcW w:w="2557" w:type="dxa"/>
                        <w:tcBorders>
                          <w:top w:val="single" w:sz="4" w:space="0" w:color="auto"/>
                          <w:left w:val="nil"/>
                          <w:bottom w:val="single" w:sz="4" w:space="0" w:color="auto"/>
                          <w:right w:val="nil"/>
                        </w:tcBorders>
                        <w:vAlign w:val="center"/>
                      </w:tcPr>
                      <w:p>
                        <w:pPr>
                          <w:shd w:val="clear" w:color="000000" w:fill="auto"/>
                          <w:suppressAutoHyphens/>
                          <w:jc w:val="center"/>
                          <w:textAlignment w:val="baseline"/>
                          <w:rPr>
                            <w:sz w:val="18"/>
                            <w:szCs w:val="24"/>
                            <w:lang w:eastAsia="lt-LT"/>
                          </w:rPr>
                        </w:pPr>
                      </w:p>
                    </w:tc>
                    <w:tc>
                      <w:tcPr>
                        <w:tcW w:w="4546" w:type="dxa"/>
                        <w:tcBorders>
                          <w:top w:val="single" w:sz="4" w:space="0" w:color="auto"/>
                          <w:left w:val="nil"/>
                          <w:bottom w:val="single" w:sz="4" w:space="0" w:color="auto"/>
                          <w:right w:val="nil"/>
                        </w:tcBorders>
                      </w:tcPr>
                      <w:p>
                        <w:pPr>
                          <w:shd w:val="clear" w:color="000000" w:fill="auto"/>
                          <w:suppressAutoHyphens/>
                          <w:jc w:val="center"/>
                          <w:textAlignment w:val="baseline"/>
                          <w:rPr>
                            <w:sz w:val="18"/>
                            <w:szCs w:val="24"/>
                            <w:lang w:eastAsia="lt-LT"/>
                          </w:rPr>
                        </w:pPr>
                      </w:p>
                    </w:tc>
                  </w:tr>
                  <w:tr>
                    <w:trPr>
                      <w:cantSplit/>
                      <w:tblHeader/>
                    </w:trPr>
                    <w:tc>
                      <w:tcPr>
                        <w:tcW w:w="3944"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1</w:t>
                        </w:r>
                      </w:p>
                    </w:tc>
                    <w:tc>
                      <w:tcPr>
                        <w:tcW w:w="2404"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r>
                          <w:rPr>
                            <w:sz w:val="18"/>
                            <w:szCs w:val="24"/>
                            <w:lang w:eastAsia="lt-LT"/>
                          </w:rPr>
                          <w:t>2</w:t>
                        </w:r>
                      </w:p>
                    </w:tc>
                    <w:tc>
                      <w:tcPr>
                        <w:tcW w:w="2557"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3</w:t>
                        </w:r>
                      </w:p>
                    </w:tc>
                    <w:tc>
                      <w:tcPr>
                        <w:tcW w:w="4546"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r>
                          <w:rPr>
                            <w:sz w:val="18"/>
                            <w:szCs w:val="24"/>
                            <w:lang w:eastAsia="lt-LT"/>
                          </w:rPr>
                          <w:t>4</w:t>
                        </w:r>
                      </w:p>
                    </w:tc>
                  </w:tr>
                  <w:tr>
                    <w:trPr>
                      <w:cantSplit/>
                    </w:trPr>
                    <w:tc>
                      <w:tcPr>
                        <w:tcW w:w="3944"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textAlignment w:val="baseline"/>
                          <w:rPr>
                            <w:sz w:val="18"/>
                            <w:szCs w:val="24"/>
                            <w:lang w:eastAsia="lt-LT"/>
                          </w:rPr>
                        </w:pPr>
                        <w:r>
                          <w:rPr>
                            <w:sz w:val="18"/>
                            <w:szCs w:val="24"/>
                            <w:lang w:eastAsia="lt-LT"/>
                          </w:rPr>
                          <w:t>a) elektros energija</w:t>
                        </w:r>
                      </w:p>
                    </w:tc>
                    <w:tc>
                      <w:tcPr>
                        <w:tcW w:w="2404"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c>
                      <w:tcPr>
                        <w:tcW w:w="2557"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4546"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r>
                          <w:rPr>
                            <w:sz w:val="18"/>
                            <w:szCs w:val="24"/>
                            <w:lang w:eastAsia="lt-LT"/>
                          </w:rPr>
                          <w:t>X</w:t>
                        </w:r>
                      </w:p>
                    </w:tc>
                  </w:tr>
                  <w:tr>
                    <w:trPr>
                      <w:cantSplit/>
                    </w:trPr>
                    <w:tc>
                      <w:tcPr>
                        <w:tcW w:w="3944"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textAlignment w:val="baseline"/>
                          <w:rPr>
                            <w:sz w:val="18"/>
                            <w:szCs w:val="24"/>
                            <w:lang w:eastAsia="lt-LT"/>
                          </w:rPr>
                        </w:pPr>
                        <w:r>
                          <w:rPr>
                            <w:sz w:val="18"/>
                            <w:szCs w:val="24"/>
                            <w:lang w:eastAsia="lt-LT"/>
                          </w:rPr>
                          <w:t>b) šiluminė energija</w:t>
                        </w:r>
                      </w:p>
                    </w:tc>
                    <w:tc>
                      <w:tcPr>
                        <w:tcW w:w="2404"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c>
                      <w:tcPr>
                        <w:tcW w:w="2557"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4546"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r>
                          <w:rPr>
                            <w:sz w:val="18"/>
                            <w:szCs w:val="24"/>
                            <w:lang w:eastAsia="lt-LT"/>
                          </w:rPr>
                          <w:t>X</w:t>
                        </w:r>
                      </w:p>
                    </w:tc>
                  </w:tr>
                  <w:tr>
                    <w:trPr>
                      <w:cantSplit/>
                    </w:trPr>
                    <w:tc>
                      <w:tcPr>
                        <w:tcW w:w="3944"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textAlignment w:val="baseline"/>
                          <w:rPr>
                            <w:sz w:val="18"/>
                            <w:szCs w:val="24"/>
                            <w:lang w:eastAsia="lt-LT"/>
                          </w:rPr>
                        </w:pPr>
                        <w:r>
                          <w:rPr>
                            <w:sz w:val="18"/>
                            <w:szCs w:val="24"/>
                            <w:lang w:eastAsia="lt-LT"/>
                          </w:rPr>
                          <w:t>c) gamtinės dujos</w:t>
                        </w:r>
                      </w:p>
                    </w:tc>
                    <w:tc>
                      <w:tcPr>
                        <w:tcW w:w="2404"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c>
                      <w:tcPr>
                        <w:tcW w:w="2557"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4546"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r>
                  <w:tr>
                    <w:trPr>
                      <w:cantSplit/>
                    </w:trPr>
                    <w:tc>
                      <w:tcPr>
                        <w:tcW w:w="3944"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textAlignment w:val="baseline"/>
                          <w:rPr>
                            <w:sz w:val="18"/>
                            <w:szCs w:val="24"/>
                            <w:lang w:eastAsia="lt-LT"/>
                          </w:rPr>
                        </w:pPr>
                        <w:r>
                          <w:rPr>
                            <w:sz w:val="18"/>
                            <w:szCs w:val="24"/>
                            <w:lang w:eastAsia="lt-LT"/>
                          </w:rPr>
                          <w:t>d) suskystintos dujos</w:t>
                        </w:r>
                      </w:p>
                    </w:tc>
                    <w:tc>
                      <w:tcPr>
                        <w:tcW w:w="2404"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c>
                      <w:tcPr>
                        <w:tcW w:w="2557"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4546"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r>
                  <w:tr>
                    <w:trPr>
                      <w:cantSplit/>
                    </w:trPr>
                    <w:tc>
                      <w:tcPr>
                        <w:tcW w:w="3944"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textAlignment w:val="baseline"/>
                          <w:rPr>
                            <w:sz w:val="18"/>
                            <w:szCs w:val="24"/>
                            <w:lang w:eastAsia="lt-LT"/>
                          </w:rPr>
                        </w:pPr>
                        <w:r>
                          <w:rPr>
                            <w:sz w:val="18"/>
                            <w:szCs w:val="24"/>
                            <w:lang w:eastAsia="lt-LT"/>
                          </w:rPr>
                          <w:t>e) mazutas</w:t>
                        </w:r>
                      </w:p>
                    </w:tc>
                    <w:tc>
                      <w:tcPr>
                        <w:tcW w:w="2404"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c>
                      <w:tcPr>
                        <w:tcW w:w="2557"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4546"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r>
                  <w:tr>
                    <w:trPr>
                      <w:cantSplit/>
                    </w:trPr>
                    <w:tc>
                      <w:tcPr>
                        <w:tcW w:w="3944"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textAlignment w:val="baseline"/>
                          <w:rPr>
                            <w:sz w:val="18"/>
                            <w:szCs w:val="24"/>
                            <w:lang w:eastAsia="lt-LT"/>
                          </w:rPr>
                        </w:pPr>
                        <w:r>
                          <w:rPr>
                            <w:sz w:val="18"/>
                            <w:szCs w:val="24"/>
                            <w:lang w:eastAsia="lt-LT"/>
                          </w:rPr>
                          <w:t>f) krosninis kuras</w:t>
                        </w:r>
                      </w:p>
                    </w:tc>
                    <w:tc>
                      <w:tcPr>
                        <w:tcW w:w="2404"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c>
                      <w:tcPr>
                        <w:tcW w:w="2557"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4546"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r>
                  <w:tr>
                    <w:trPr>
                      <w:cantSplit/>
                    </w:trPr>
                    <w:tc>
                      <w:tcPr>
                        <w:tcW w:w="3944"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textAlignment w:val="baseline"/>
                          <w:rPr>
                            <w:sz w:val="18"/>
                            <w:szCs w:val="24"/>
                            <w:lang w:eastAsia="lt-LT"/>
                          </w:rPr>
                        </w:pPr>
                        <w:r>
                          <w:rPr>
                            <w:sz w:val="18"/>
                            <w:szCs w:val="24"/>
                            <w:lang w:eastAsia="lt-LT"/>
                          </w:rPr>
                          <w:t>g) dyzelinas</w:t>
                        </w:r>
                      </w:p>
                    </w:tc>
                    <w:tc>
                      <w:tcPr>
                        <w:tcW w:w="2404"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c>
                      <w:tcPr>
                        <w:tcW w:w="2557"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4546"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r>
                  <w:tr>
                    <w:trPr>
                      <w:cantSplit/>
                    </w:trPr>
                    <w:tc>
                      <w:tcPr>
                        <w:tcW w:w="3944"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textAlignment w:val="baseline"/>
                          <w:rPr>
                            <w:sz w:val="18"/>
                            <w:szCs w:val="24"/>
                            <w:lang w:eastAsia="lt-LT"/>
                          </w:rPr>
                        </w:pPr>
                        <w:r>
                          <w:rPr>
                            <w:sz w:val="18"/>
                            <w:szCs w:val="24"/>
                            <w:lang w:eastAsia="lt-LT"/>
                          </w:rPr>
                          <w:t>h) akmens anglis</w:t>
                        </w:r>
                      </w:p>
                    </w:tc>
                    <w:tc>
                      <w:tcPr>
                        <w:tcW w:w="2404"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c>
                      <w:tcPr>
                        <w:tcW w:w="2557"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4546"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r>
                  <w:tr>
                    <w:trPr>
                      <w:cantSplit/>
                    </w:trPr>
                    <w:tc>
                      <w:tcPr>
                        <w:tcW w:w="3944"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textAlignment w:val="baseline"/>
                          <w:rPr>
                            <w:sz w:val="18"/>
                            <w:szCs w:val="24"/>
                            <w:lang w:eastAsia="lt-LT"/>
                          </w:rPr>
                        </w:pPr>
                        <w:r>
                          <w:rPr>
                            <w:sz w:val="18"/>
                            <w:szCs w:val="24"/>
                            <w:lang w:eastAsia="lt-LT"/>
                          </w:rPr>
                          <w:t>i) benzinas</w:t>
                        </w:r>
                      </w:p>
                    </w:tc>
                    <w:tc>
                      <w:tcPr>
                        <w:tcW w:w="2404"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c>
                      <w:tcPr>
                        <w:tcW w:w="2557"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4546"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r>
                  <w:tr>
                    <w:trPr>
                      <w:cantSplit/>
                    </w:trPr>
                    <w:tc>
                      <w:tcPr>
                        <w:tcW w:w="3944"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textAlignment w:val="baseline"/>
                          <w:rPr>
                            <w:sz w:val="18"/>
                            <w:szCs w:val="24"/>
                            <w:lang w:eastAsia="lt-LT"/>
                          </w:rPr>
                        </w:pPr>
                        <w:r>
                          <w:rPr>
                            <w:sz w:val="18"/>
                            <w:szCs w:val="24"/>
                            <w:lang w:eastAsia="lt-LT"/>
                          </w:rPr>
                          <w:t>j) biokuras:</w:t>
                        </w:r>
                      </w:p>
                    </w:tc>
                    <w:tc>
                      <w:tcPr>
                        <w:tcW w:w="2404"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c>
                      <w:tcPr>
                        <w:tcW w:w="2557"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4546"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r>
                  <w:tr>
                    <w:trPr>
                      <w:cantSplit/>
                    </w:trPr>
                    <w:tc>
                      <w:tcPr>
                        <w:tcW w:w="3944"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textAlignment w:val="baseline"/>
                          <w:rPr>
                            <w:sz w:val="18"/>
                            <w:szCs w:val="24"/>
                            <w:lang w:eastAsia="lt-LT"/>
                          </w:rPr>
                        </w:pPr>
                        <w:r>
                          <w:rPr>
                            <w:sz w:val="18"/>
                            <w:szCs w:val="24"/>
                            <w:lang w:eastAsia="lt-LT"/>
                          </w:rPr>
                          <w:t>1)</w:t>
                        </w:r>
                      </w:p>
                    </w:tc>
                    <w:tc>
                      <w:tcPr>
                        <w:tcW w:w="2404"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c>
                      <w:tcPr>
                        <w:tcW w:w="2557"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4546"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r>
                  <w:tr>
                    <w:trPr>
                      <w:cantSplit/>
                    </w:trPr>
                    <w:tc>
                      <w:tcPr>
                        <w:tcW w:w="3944"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textAlignment w:val="baseline"/>
                          <w:rPr>
                            <w:sz w:val="18"/>
                            <w:szCs w:val="24"/>
                            <w:lang w:eastAsia="lt-LT"/>
                          </w:rPr>
                        </w:pPr>
                        <w:r>
                          <w:rPr>
                            <w:sz w:val="18"/>
                            <w:szCs w:val="24"/>
                            <w:lang w:eastAsia="lt-LT"/>
                          </w:rPr>
                          <w:t>2)</w:t>
                        </w:r>
                      </w:p>
                    </w:tc>
                    <w:tc>
                      <w:tcPr>
                        <w:tcW w:w="2404"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c>
                      <w:tcPr>
                        <w:tcW w:w="2557"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4546"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r>
                  <w:tr>
                    <w:trPr>
                      <w:cantSplit/>
                    </w:trPr>
                    <w:tc>
                      <w:tcPr>
                        <w:tcW w:w="3944"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textAlignment w:val="baseline"/>
                          <w:rPr>
                            <w:sz w:val="18"/>
                            <w:szCs w:val="24"/>
                            <w:lang w:eastAsia="lt-LT"/>
                          </w:rPr>
                        </w:pPr>
                        <w:r>
                          <w:rPr>
                            <w:sz w:val="18"/>
                            <w:szCs w:val="24"/>
                            <w:lang w:eastAsia="lt-LT"/>
                          </w:rPr>
                          <w:t>k) ir kiti</w:t>
                        </w:r>
                      </w:p>
                    </w:tc>
                    <w:tc>
                      <w:tcPr>
                        <w:tcW w:w="2404"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c>
                      <w:tcPr>
                        <w:tcW w:w="2557"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4546"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r>
                </w:tbl>
                <w:p>
                  <w:pPr>
                    <w:shd w:val="clear" w:color="000000" w:fill="auto"/>
                    <w:suppressAutoHyphens/>
                    <w:ind w:firstLine="567"/>
                    <w:jc w:val="both"/>
                    <w:textAlignment w:val="baseline"/>
                    <w:rPr>
                      <w:b/>
                      <w:sz w:val="18"/>
                      <w:szCs w:val="24"/>
                      <w:lang w:eastAsia="lt-LT"/>
                    </w:rPr>
                  </w:pPr>
                </w:p>
              </w:sdtContent>
            </w:sdt>
            <w:sdt>
              <w:sdtPr>
                <w:alias w:val="lentele"/>
                <w:tag w:val="part_cad74632aade4ea4a32780d300569247"/>
                <w:lock w:val="sdtLocked"/>
                <w:richText/>
              </w:sdtPr>
              <w:sdtContent>
                <w:p>
                  <w:pPr>
                    <w:shd w:val="clear" w:color="000000" w:fill="auto"/>
                    <w:suppressAutoHyphens/>
                    <w:ind w:firstLine="567"/>
                    <w:jc w:val="both"/>
                    <w:textAlignment w:val="baseline"/>
                    <w:rPr>
                      <w:sz w:val="22"/>
                      <w:szCs w:val="24"/>
                      <w:lang w:eastAsia="lt-LT"/>
                    </w:rPr>
                  </w:pPr>
                  <w:r>
                    <w:rPr>
                      <w:sz w:val="22"/>
                      <w:szCs w:val="24"/>
                      <w:lang w:eastAsia="lt-LT"/>
                    </w:rPr>
                    <w:t xml:space="preserve">3 lentelė. </w:t>
                  </w:r>
                  <w:sdt>
                    <w:sdtPr>
                      <w:alias w:val="Pavadinimas"/>
                      <w:tag w:val="title_cad74632aade4ea4a32780d300569247"/>
                      <w:lock w:val="sdtLocked"/>
                      <w:richText/>
                    </w:sdtPr>
                    <w:sdtContent>
                      <w:r>
                        <w:rPr>
                          <w:sz w:val="22"/>
                          <w:szCs w:val="24"/>
                          <w:lang w:eastAsia="lt-LT"/>
                        </w:rPr>
                        <w:t>Energijos gamyba</w:t>
                      </w:r>
                    </w:sdtContent>
                  </w:sdt>
                  <w:r>
                    <w:rPr>
                      <w:sz w:val="22"/>
                      <w:szCs w:val="24"/>
                      <w:lang w:eastAsia="lt-LT"/>
                    </w:rPr>
                    <w:t xml:space="preserve"> </w:t>
                  </w:r>
                </w:p>
                <w:p>
                  <w:pPr>
                    <w:shd w:val="clear" w:color="000000" w:fill="auto"/>
                    <w:suppressAutoHyphens/>
                    <w:ind w:firstLine="567"/>
                    <w:jc w:val="both"/>
                    <w:textAlignment w:val="baseline"/>
                    <w:rPr>
                      <w:b/>
                      <w:sz w:val="22"/>
                      <w:szCs w:val="24"/>
                      <w:lang w:eastAsia="lt-LT"/>
                    </w:rPr>
                  </w:pPr>
                </w:p>
                <w:tbl>
                  <w:tblPr>
                    <w:tblW w:w="134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34"/>
                    <w:gridCol w:w="4403"/>
                    <w:gridCol w:w="5791"/>
                  </w:tblGrid>
                  <w:tr>
                    <w:tc>
                      <w:tcPr>
                        <w:tcW w:w="3234"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Energijos rūšis</w:t>
                        </w:r>
                      </w:p>
                    </w:tc>
                    <w:tc>
                      <w:tcPr>
                        <w:tcW w:w="4403" w:type="dxa"/>
                        <w:tcBorders>
                          <w:top w:val="single" w:sz="4" w:space="0" w:color="auto"/>
                          <w:left w:val="single" w:sz="4" w:space="0" w:color="auto"/>
                          <w:bottom w:val="single" w:sz="4" w:space="0" w:color="auto"/>
                          <w:right w:val="single" w:sz="4" w:space="0" w:color="auto"/>
                        </w:tcBorders>
                        <w:vAlign w:val="center"/>
                      </w:tcPr>
                      <w:p>
                        <w:pPr>
                          <w:widowControl w:val="0"/>
                          <w:suppressLineNumbers/>
                          <w:shd w:val="clear" w:color="000000" w:fill="auto"/>
                          <w:suppressAutoHyphens/>
                          <w:jc w:val="center"/>
                          <w:rPr>
                            <w:sz w:val="18"/>
                            <w:szCs w:val="24"/>
                            <w:lang w:eastAsia="lt-LT"/>
                          </w:rPr>
                        </w:pPr>
                        <w:r>
                          <w:rPr>
                            <w:sz w:val="18"/>
                            <w:szCs w:val="24"/>
                            <w:lang w:eastAsia="lt-LT"/>
                          </w:rPr>
                          <w:t>Įrenginio pajėgumas</w:t>
                        </w:r>
                      </w:p>
                    </w:tc>
                    <w:tc>
                      <w:tcPr>
                        <w:tcW w:w="5791" w:type="dxa"/>
                        <w:tcBorders>
                          <w:top w:val="single" w:sz="4" w:space="0" w:color="auto"/>
                          <w:left w:val="single" w:sz="4" w:space="0" w:color="auto"/>
                          <w:bottom w:val="single" w:sz="4" w:space="0" w:color="auto"/>
                          <w:right w:val="single" w:sz="4" w:space="0" w:color="auto"/>
                        </w:tcBorders>
                        <w:vAlign w:val="center"/>
                      </w:tcPr>
                      <w:p>
                        <w:pPr>
                          <w:widowControl w:val="0"/>
                          <w:suppressLineNumbers/>
                          <w:shd w:val="clear" w:color="000000" w:fill="auto"/>
                          <w:suppressAutoHyphens/>
                          <w:jc w:val="center"/>
                          <w:rPr>
                            <w:sz w:val="18"/>
                            <w:szCs w:val="24"/>
                            <w:lang w:eastAsia="lt-LT"/>
                          </w:rPr>
                        </w:pPr>
                        <w:r>
                          <w:rPr>
                            <w:sz w:val="18"/>
                            <w:szCs w:val="24"/>
                            <w:lang w:eastAsia="lt-LT"/>
                          </w:rPr>
                          <w:t>Planuojama pagaminti</w:t>
                        </w:r>
                      </w:p>
                    </w:tc>
                  </w:tr>
                  <w:tr>
                    <w:tc>
                      <w:tcPr>
                        <w:tcW w:w="3234"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1</w:t>
                        </w:r>
                      </w:p>
                    </w:tc>
                    <w:tc>
                      <w:tcPr>
                        <w:tcW w:w="4403"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2</w:t>
                        </w:r>
                      </w:p>
                    </w:tc>
                    <w:tc>
                      <w:tcPr>
                        <w:tcW w:w="5791"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3</w:t>
                        </w:r>
                      </w:p>
                    </w:tc>
                  </w:tr>
                  <w:tr>
                    <w:tc>
                      <w:tcPr>
                        <w:tcW w:w="3234" w:type="dxa"/>
                        <w:tcBorders>
                          <w:top w:val="single" w:sz="4" w:space="0" w:color="auto"/>
                          <w:left w:val="single" w:sz="4" w:space="0" w:color="auto"/>
                          <w:bottom w:val="single" w:sz="4" w:space="0" w:color="auto"/>
                          <w:right w:val="single" w:sz="4" w:space="0" w:color="auto"/>
                        </w:tcBorders>
                        <w:vAlign w:val="center"/>
                      </w:tcPr>
                      <w:p>
                        <w:pPr>
                          <w:widowControl w:val="0"/>
                          <w:suppressLineNumbers/>
                          <w:shd w:val="clear" w:color="000000" w:fill="auto"/>
                          <w:suppressAutoHyphens/>
                          <w:jc w:val="center"/>
                          <w:rPr>
                            <w:sz w:val="18"/>
                            <w:szCs w:val="24"/>
                            <w:lang w:eastAsia="lt-LT"/>
                          </w:rPr>
                        </w:pPr>
                        <w:r>
                          <w:rPr>
                            <w:sz w:val="18"/>
                            <w:szCs w:val="24"/>
                            <w:lang w:eastAsia="lt-LT"/>
                          </w:rPr>
                          <w:t>Elektros energija, kWh</w:t>
                        </w:r>
                      </w:p>
                    </w:tc>
                    <w:tc>
                      <w:tcPr>
                        <w:tcW w:w="4403"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5791"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r>
                  <w:tr>
                    <w:tc>
                      <w:tcPr>
                        <w:tcW w:w="3234" w:type="dxa"/>
                        <w:tcBorders>
                          <w:top w:val="single" w:sz="4" w:space="0" w:color="auto"/>
                          <w:left w:val="single" w:sz="4" w:space="0" w:color="auto"/>
                          <w:bottom w:val="single" w:sz="4" w:space="0" w:color="auto"/>
                          <w:right w:val="single" w:sz="4" w:space="0" w:color="auto"/>
                        </w:tcBorders>
                        <w:vAlign w:val="center"/>
                      </w:tcPr>
                      <w:p>
                        <w:pPr>
                          <w:widowControl w:val="0"/>
                          <w:suppressLineNumbers/>
                          <w:shd w:val="clear" w:color="000000" w:fill="auto"/>
                          <w:suppressAutoHyphens/>
                          <w:jc w:val="center"/>
                          <w:rPr>
                            <w:sz w:val="18"/>
                            <w:szCs w:val="24"/>
                            <w:lang w:eastAsia="lt-LT"/>
                          </w:rPr>
                        </w:pPr>
                        <w:r>
                          <w:rPr>
                            <w:sz w:val="18"/>
                            <w:szCs w:val="24"/>
                            <w:lang w:eastAsia="lt-LT"/>
                          </w:rPr>
                          <w:t>Šiluminė energija, kWh</w:t>
                        </w:r>
                      </w:p>
                    </w:tc>
                    <w:tc>
                      <w:tcPr>
                        <w:tcW w:w="4403"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5791"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r>
                </w:tbl>
                <w:p>
                  <w:pPr>
                    <w:shd w:val="clear" w:color="000000" w:fill="auto"/>
                    <w:suppressAutoHyphens/>
                    <w:ind w:firstLine="567"/>
                    <w:jc w:val="both"/>
                    <w:textAlignment w:val="baseline"/>
                    <w:rPr>
                      <w:sz w:val="22"/>
                      <w:szCs w:val="24"/>
                      <w:lang w:eastAsia="lt-LT"/>
                    </w:rPr>
                  </w:pPr>
                </w:p>
              </w:sdtContent>
            </w:sdt>
          </w:sdtContent>
        </w:sdt>
        <w:sdt>
          <w:sdtPr>
            <w:alias w:val="skyrius"/>
            <w:tag w:val="part_6ab3b5090fa242cd90d3998a6c71e3e5"/>
            <w:lock w:val="sdtLocked"/>
            <w:richText/>
          </w:sdtPr>
          <w:sdtContent>
            <w:p>
              <w:pPr>
                <w:shd w:val="clear" w:color="000000" w:fill="auto"/>
                <w:suppressAutoHyphens/>
                <w:jc w:val="center"/>
                <w:textAlignment w:val="baseline"/>
                <w:rPr>
                  <w:b/>
                  <w:sz w:val="22"/>
                  <w:szCs w:val="24"/>
                  <w:lang w:eastAsia="lt-LT"/>
                </w:rPr>
              </w:pPr>
              <w:sdt>
                <w:sdtPr>
                  <w:alias w:val="Numeris"/>
                  <w:tag w:val="nr_6ab3b5090fa242cd90d3998a6c71e3e5"/>
                  <w:lock w:val="sdtLocked"/>
                  <w:richText/>
                </w:sdtPr>
                <w:sdtContent>
                  <w:r>
                    <w:rPr>
                      <w:b/>
                      <w:sz w:val="22"/>
                      <w:szCs w:val="24"/>
                      <w:lang w:eastAsia="lt-LT"/>
                    </w:rPr>
                    <w:t>III</w:t>
                  </w:r>
                </w:sdtContent>
              </w:sdt>
              <w:r>
                <w:rPr>
                  <w:b/>
                  <w:sz w:val="22"/>
                  <w:szCs w:val="24"/>
                  <w:lang w:eastAsia="lt-LT"/>
                </w:rPr>
                <w:t xml:space="preserve">. </w:t>
              </w:r>
              <w:sdt>
                <w:sdtPr>
                  <w:alias w:val="Pavadinimas"/>
                  <w:tag w:val="title_6ab3b5090fa242cd90d3998a6c71e3e5"/>
                  <w:lock w:val="sdtLocked"/>
                  <w:richText/>
                </w:sdtPr>
                <w:sdtContent>
                  <w:r>
                    <w:rPr>
                      <w:b/>
                      <w:sz w:val="22"/>
                      <w:szCs w:val="24"/>
                      <w:lang w:eastAsia="lt-LT"/>
                    </w:rPr>
                    <w:t>GAMYBOS PROCESAI</w:t>
                  </w:r>
                </w:sdtContent>
              </w:sdt>
            </w:p>
            <w:p>
              <w:pPr>
                <w:shd w:val="clear" w:color="000000" w:fill="auto"/>
                <w:suppressAutoHyphens/>
                <w:ind w:firstLine="567"/>
                <w:jc w:val="both"/>
                <w:textAlignment w:val="baseline"/>
                <w:rPr>
                  <w:sz w:val="22"/>
                  <w:szCs w:val="24"/>
                  <w:lang w:eastAsia="lt-LT"/>
                </w:rPr>
              </w:pPr>
            </w:p>
            <w:sdt>
              <w:sdtPr>
                <w:alias w:val="4 pr. 10 p."/>
                <w:tag w:val="part_5dc424264c97417494f22f73d6b130e4"/>
                <w:lock w:val="sdtLocked"/>
                <w:richText/>
              </w:sdtPr>
              <w:sdtContent>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 w:val="22"/>
                      <w:szCs w:val="22"/>
                      <w:lang w:eastAsia="lt-LT"/>
                    </w:rPr>
                  </w:pPr>
                  <w:sdt>
                    <w:sdtPr>
                      <w:alias w:val="Numeris"/>
                      <w:tag w:val="nr_5dc424264c97417494f22f73d6b130e4"/>
                      <w:lock w:val="sdtLocked"/>
                      <w:richText/>
                    </w:sdtPr>
                    <w:sdtContent>
                      <w:r>
                        <w:rPr>
                          <w:sz w:val="22"/>
                          <w:szCs w:val="22"/>
                          <w:lang w:eastAsia="lt-LT"/>
                        </w:rPr>
                        <w:t>10</w:t>
                      </w:r>
                    </w:sdtContent>
                  </w:sdt>
                  <w:r>
                    <w:rPr>
                      <w:sz w:val="22"/>
                      <w:szCs w:val="22"/>
                      <w:lang w:eastAsia="lt-LT"/>
                    </w:rPr>
                    <w:t>. Detalus įrenginyje vykdomos ir (ar) planuojamos vykdyti ūkinės veiklos rūšių aprašymas ir įrenginių, kuriuose vykdoma atitinkamų rūšių veikla, išdėstymas teritorijoje. Informacija apie įrenginių priskyrimą prie potencialiai pavojingų įrenginių.</w:t>
                  </w:r>
                  <w:r>
                    <w:rPr>
                      <w:sz w:val="22"/>
                      <w:szCs w:val="22"/>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4 pr. 11 p."/>
                <w:tag w:val="part_a917718548ac4b79881e9df391b0f38c"/>
                <w:lock w:val="sdtLocked"/>
                <w:richText/>
              </w:sdtPr>
              <w:sdtContent>
                <w:p>
                  <w:pPr>
                    <w:widowControl w:val="0"/>
                    <w:shd w:val="clear" w:color="000000" w:fill="auto"/>
                    <w:ind w:firstLine="567"/>
                    <w:jc w:val="both"/>
                    <w:rPr>
                      <w:iCs/>
                      <w:sz w:val="22"/>
                      <w:szCs w:val="24"/>
                      <w:lang w:eastAsia="lt-LT"/>
                    </w:rPr>
                  </w:pPr>
                  <w:sdt>
                    <w:sdtPr>
                      <w:alias w:val="Numeris"/>
                      <w:tag w:val="nr_a917718548ac4b79881e9df391b0f38c"/>
                      <w:lock w:val="sdtLocked"/>
                      <w:richText/>
                    </w:sdtPr>
                    <w:sdtContent>
                      <w:r>
                        <w:rPr>
                          <w:iCs/>
                          <w:sz w:val="22"/>
                          <w:szCs w:val="24"/>
                          <w:lang w:eastAsia="lt-LT"/>
                        </w:rPr>
                        <w:t>11</w:t>
                      </w:r>
                    </w:sdtContent>
                  </w:sdt>
                  <w:r>
                    <w:rPr>
                      <w:iCs/>
                      <w:sz w:val="22"/>
                      <w:szCs w:val="24"/>
                      <w:lang w:eastAsia="lt-LT"/>
                    </w:rPr>
                    <w:t xml:space="preserve">. Planuojama naudoti technologija ir kiti gamybos būdai, skirti teršalų išmetimo iš įrenginio (-ių) prevencijai arba, jeigu tai neįmanoma, išmetamų teršalų kiekiui mažinti. </w:t>
                  </w:r>
                </w:p>
              </w:sdtContent>
            </w:sdt>
            <w:sdt>
              <w:sdtPr>
                <w:alias w:val="4 pr. 12 p."/>
                <w:tag w:val="part_50756724d18d468ab2305667ec9ec316"/>
                <w:lock w:val="sdtLocked"/>
                <w:richText/>
              </w:sdtPr>
              <w:sdtContent>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iCs/>
                      <w:sz w:val="22"/>
                      <w:szCs w:val="22"/>
                      <w:lang w:eastAsia="lt-LT"/>
                    </w:rPr>
                  </w:pPr>
                  <w:sdt>
                    <w:sdtPr>
                      <w:alias w:val="Numeris"/>
                      <w:tag w:val="nr_50756724d18d468ab2305667ec9ec316"/>
                      <w:lock w:val="sdtLocked"/>
                      <w:richText/>
                    </w:sdtPr>
                    <w:sdtContent>
                      <w:r>
                        <w:rPr>
                          <w:iCs/>
                          <w:sz w:val="22"/>
                          <w:szCs w:val="22"/>
                          <w:lang w:eastAsia="lt-LT"/>
                        </w:rPr>
                        <w:t>12</w:t>
                      </w:r>
                    </w:sdtContent>
                  </w:sdt>
                  <w:r>
                    <w:rPr>
                      <w:iCs/>
                      <w:sz w:val="22"/>
                      <w:szCs w:val="22"/>
                      <w:lang w:eastAsia="lt-LT"/>
                    </w:rPr>
                    <w:t>. Pagrindinių alternatyvų pareiškėjo siūlomai technologijai, gamybos būdams ir priemonėms aprašymas, išmetamųjų teršalų poveikis aplinkai arba nuoroda į PAV dokumentus, kuriuose ši informacija pateikta.</w:t>
                  </w:r>
                  <w:r>
                    <w:rPr>
                      <w:sz w:val="22"/>
                      <w:szCs w:val="22"/>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4 pr. 13 p."/>
                <w:tag w:val="part_f0e9be2e2dc34d6f8e57d2809e5eb290"/>
                <w:lock w:val="sdtLocked"/>
                <w:richText/>
              </w:sdtPr>
              <w:sdtContent>
                <w:p>
                  <w:pPr>
                    <w:shd w:val="clear" w:color="000000" w:fill="auto"/>
                    <w:suppressAutoHyphens/>
                    <w:ind w:firstLine="567"/>
                    <w:jc w:val="both"/>
                    <w:textAlignment w:val="baseline"/>
                    <w:rPr>
                      <w:sz w:val="22"/>
                      <w:szCs w:val="24"/>
                      <w:lang w:eastAsia="lt-LT"/>
                    </w:rPr>
                  </w:pPr>
                  <w:sdt>
                    <w:sdtPr>
                      <w:alias w:val="Numeris"/>
                      <w:tag w:val="nr_f0e9be2e2dc34d6f8e57d2809e5eb290"/>
                      <w:lock w:val="sdtLocked"/>
                      <w:richText/>
                    </w:sdtPr>
                    <w:sdtContent>
                      <w:r>
                        <w:rPr>
                          <w:sz w:val="22"/>
                          <w:szCs w:val="22"/>
                          <w:lang w:eastAsia="lt-LT"/>
                        </w:rPr>
                        <w:t>13</w:t>
                      </w:r>
                    </w:sdtContent>
                  </w:sdt>
                  <w:r>
                    <w:rPr>
                      <w:sz w:val="22"/>
                      <w:szCs w:val="22"/>
                      <w:lang w:eastAsia="lt-LT"/>
                    </w:rPr>
                    <w:t>. Kiekvieno įrenginio naudojamų technologijų atitikimo technologijoms, aprašytoms Europos Sąjungos geriausiai prieinamų gamybos būdų</w:t>
                  </w:r>
                  <w:r>
                    <w:rPr>
                      <w:sz w:val="22"/>
                      <w:szCs w:val="24"/>
                      <w:lang w:eastAsia="lt-LT"/>
                    </w:rPr>
                    <w:t xml:space="preserve"> (GPGB) informaciniuose dokumentuose ar išvadose, palyginamasis įvertinimas. </w:t>
                  </w:r>
                </w:p>
                <w:p>
                  <w:pPr>
                    <w:shd w:val="clear" w:color="000000" w:fill="auto"/>
                    <w:suppressAutoHyphens/>
                    <w:ind w:firstLine="567"/>
                    <w:jc w:val="both"/>
                    <w:textAlignment w:val="baseline"/>
                    <w:rPr>
                      <w:sz w:val="22"/>
                      <w:szCs w:val="24"/>
                      <w:lang w:eastAsia="lt-LT"/>
                    </w:rPr>
                  </w:pPr>
                </w:p>
              </w:sdtContent>
            </w:sdt>
            <w:sdt>
              <w:sdtPr>
                <w:alias w:val="lentele"/>
                <w:tag w:val="part_4ce6007f5e46418785bfaa508ccc5a10"/>
                <w:lock w:val="sdtLocked"/>
                <w:richText/>
              </w:sdtPr>
              <w:sdtContent>
                <w:p>
                  <w:pPr>
                    <w:shd w:val="clear" w:color="000000" w:fill="auto"/>
                    <w:suppressAutoHyphens/>
                    <w:ind w:firstLine="567"/>
                    <w:jc w:val="both"/>
                    <w:textAlignment w:val="baseline"/>
                    <w:rPr>
                      <w:sz w:val="22"/>
                      <w:szCs w:val="24"/>
                      <w:lang w:eastAsia="lt-LT"/>
                    </w:rPr>
                  </w:pPr>
                  <w:r>
                    <w:rPr>
                      <w:sz w:val="22"/>
                      <w:szCs w:val="24"/>
                      <w:lang w:eastAsia="lt-LT"/>
                    </w:rPr>
                    <w:t xml:space="preserve">4 lentelė. </w:t>
                  </w:r>
                  <w:sdt>
                    <w:sdtPr>
                      <w:alias w:val="Pavadinimas"/>
                      <w:tag w:val="title_4ce6007f5e46418785bfaa508ccc5a10"/>
                      <w:lock w:val="sdtLocked"/>
                      <w:richText/>
                    </w:sdtPr>
                    <w:sdtContent>
                      <w:r>
                        <w:rPr>
                          <w:sz w:val="22"/>
                          <w:szCs w:val="24"/>
                          <w:lang w:eastAsia="lt-LT"/>
                        </w:rPr>
                        <w:t>Įrenginio atitikimo GPGB palyginamasis įvertinimas</w:t>
                      </w:r>
                    </w:sdtContent>
                  </w:sdt>
                </w:p>
                <w:p>
                  <w:pPr>
                    <w:shd w:val="clear" w:color="000000" w:fill="auto"/>
                    <w:suppressAutoHyphens/>
                    <w:ind w:firstLine="567"/>
                    <w:jc w:val="both"/>
                    <w:textAlignment w:val="baseline"/>
                    <w:rPr>
                      <w:sz w:val="18"/>
                      <w:szCs w:val="24"/>
                      <w:lang w:eastAsia="lt-LT"/>
                    </w:rPr>
                  </w:pPr>
                </w:p>
                <w:tbl>
                  <w:tblPr>
                    <w:tblW w:w="134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0"/>
                    <w:gridCol w:w="2303"/>
                    <w:gridCol w:w="2691"/>
                    <w:gridCol w:w="2392"/>
                    <w:gridCol w:w="1931"/>
                    <w:gridCol w:w="2150"/>
                    <w:gridCol w:w="1151"/>
                  </w:tblGrid>
                  <w:tr>
                    <w:tc>
                      <w:tcPr>
                        <w:tcW w:w="810"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Eil. Nr.</w:t>
                        </w:r>
                      </w:p>
                    </w:tc>
                    <w:tc>
                      <w:tcPr>
                        <w:tcW w:w="2303"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vertAlign w:val="subscript"/>
                            <w:lang w:eastAsia="lt-LT"/>
                          </w:rPr>
                        </w:pPr>
                        <w:r>
                          <w:rPr>
                            <w:sz w:val="18"/>
                            <w:szCs w:val="24"/>
                            <w:lang w:eastAsia="lt-LT"/>
                          </w:rPr>
                          <w:t>Aplinkos komponentai, kuriems daromas poveikis</w:t>
                        </w:r>
                      </w:p>
                    </w:tc>
                    <w:tc>
                      <w:tcPr>
                        <w:tcW w:w="2691"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Nuoroda į ES GPGB informacinius dokumentus, anotacijas</w:t>
                        </w:r>
                      </w:p>
                    </w:tc>
                    <w:tc>
                      <w:tcPr>
                        <w:tcW w:w="2392"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GPGB technologija</w:t>
                        </w:r>
                      </w:p>
                    </w:tc>
                    <w:tc>
                      <w:tcPr>
                        <w:tcW w:w="1931"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Su GPGB taikymu susijusios</w:t>
                        </w:r>
                      </w:p>
                      <w:p>
                        <w:pPr>
                          <w:shd w:val="clear" w:color="000000" w:fill="auto"/>
                          <w:suppressAutoHyphens/>
                          <w:jc w:val="center"/>
                          <w:textAlignment w:val="baseline"/>
                          <w:rPr>
                            <w:sz w:val="18"/>
                            <w:szCs w:val="24"/>
                            <w:lang w:eastAsia="lt-LT"/>
                          </w:rPr>
                        </w:pPr>
                        <w:r>
                          <w:rPr>
                            <w:sz w:val="18"/>
                            <w:szCs w:val="24"/>
                            <w:lang w:eastAsia="lt-LT"/>
                          </w:rPr>
                          <w:t>vertės, vnt.</w:t>
                        </w:r>
                      </w:p>
                    </w:tc>
                    <w:tc>
                      <w:tcPr>
                        <w:tcW w:w="2150"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Atitikimas</w:t>
                        </w:r>
                      </w:p>
                    </w:tc>
                    <w:tc>
                      <w:tcPr>
                        <w:tcW w:w="1151"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Pastabos</w:t>
                        </w:r>
                      </w:p>
                    </w:tc>
                  </w:tr>
                  <w:tr>
                    <w:tc>
                      <w:tcPr>
                        <w:tcW w:w="810"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1</w:t>
                        </w:r>
                      </w:p>
                    </w:tc>
                    <w:tc>
                      <w:tcPr>
                        <w:tcW w:w="2303"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2</w:t>
                        </w:r>
                      </w:p>
                    </w:tc>
                    <w:tc>
                      <w:tcPr>
                        <w:tcW w:w="2691"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3</w:t>
                        </w:r>
                      </w:p>
                    </w:tc>
                    <w:tc>
                      <w:tcPr>
                        <w:tcW w:w="2392"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4</w:t>
                        </w:r>
                      </w:p>
                    </w:tc>
                    <w:tc>
                      <w:tcPr>
                        <w:tcW w:w="1931"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5</w:t>
                        </w:r>
                      </w:p>
                    </w:tc>
                    <w:tc>
                      <w:tcPr>
                        <w:tcW w:w="2150"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6</w:t>
                        </w:r>
                      </w:p>
                    </w:tc>
                    <w:tc>
                      <w:tcPr>
                        <w:tcW w:w="1151"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7</w:t>
                        </w:r>
                      </w:p>
                    </w:tc>
                  </w:tr>
                  <w:tr>
                    <w:tc>
                      <w:tcPr>
                        <w:tcW w:w="810"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2303"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2691"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2392"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1931"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2150"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1151"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r>
                  <w:tr>
                    <w:tc>
                      <w:tcPr>
                        <w:tcW w:w="810"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2303"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2691"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2392"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1931"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2150"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1151"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r>
                  <w:tr>
                    <w:tc>
                      <w:tcPr>
                        <w:tcW w:w="810"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2303"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2691"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2392"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1931"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2150"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1151"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r>
                </w:tbl>
                <w:p>
                  <w:pPr>
                    <w:shd w:val="clear" w:color="000000" w:fill="auto"/>
                    <w:suppressAutoHyphens/>
                    <w:ind w:firstLine="567"/>
                    <w:jc w:val="both"/>
                    <w:textAlignment w:val="baseline"/>
                    <w:rPr>
                      <w:sz w:val="22"/>
                      <w:szCs w:val="24"/>
                      <w:highlight w:val="yellow"/>
                      <w:lang w:eastAsia="lt-LT"/>
                    </w:rPr>
                  </w:pPr>
                </w:p>
              </w:sdtContent>
            </w:sdt>
            <w:sdt>
              <w:sdtPr>
                <w:alias w:val="4 pr. 14 p."/>
                <w:tag w:val="part_ba992b60bcdb4616be5c46881de5c251"/>
                <w:lock w:val="sdtLocked"/>
                <w:richText/>
              </w:sdtPr>
              <w:sdtContent>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Cs w:val="24"/>
                      <w:lang w:eastAsia="lt-LT"/>
                    </w:rPr>
                  </w:pPr>
                  <w:sdt>
                    <w:sdtPr>
                      <w:alias w:val="Numeris"/>
                      <w:tag w:val="nr_ba992b60bcdb4616be5c46881de5c251"/>
                      <w:lock w:val="sdtLocked"/>
                      <w:richText/>
                    </w:sdtPr>
                    <w:sdtContent>
                      <w:r>
                        <w:rPr>
                          <w:sz w:val="22"/>
                          <w:szCs w:val="24"/>
                        </w:rPr>
                        <w:t>14</w:t>
                      </w:r>
                    </w:sdtContent>
                  </w:sdt>
                  <w:r>
                    <w:rPr>
                      <w:sz w:val="22"/>
                      <w:szCs w:val="24"/>
                    </w:rPr>
                    <w:t>. Informacija apie avarijų prevencijos priemones (arba nuoroda į Saugos ataskaitą ar ekstremaliųjų situacijų valdymo planą, jei jie pateikiami paraiškoje).</w:t>
                  </w:r>
                  <w:r>
                    <w:rPr>
                      <w:sz w:val="22"/>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sdtContent>
            </w:sdt>
          </w:sdtContent>
        </w:sdt>
        <w:sdt>
          <w:sdtPr>
            <w:alias w:val="skyrius"/>
            <w:tag w:val="part_c3621c8aa5ee494c8e34f285b3375cb4"/>
            <w:lock w:val="sdtLocked"/>
            <w:richText/>
          </w:sdtPr>
          <w:sdtContent>
            <w:p>
              <w:pPr>
                <w:shd w:val="clear" w:color="000000" w:fill="auto"/>
                <w:jc w:val="center"/>
                <w:rPr>
                  <w:b/>
                  <w:sz w:val="22"/>
                  <w:szCs w:val="24"/>
                  <w:lang w:eastAsia="lt-LT"/>
                </w:rPr>
              </w:pPr>
              <w:sdt>
                <w:sdtPr>
                  <w:alias w:val="Numeris"/>
                  <w:tag w:val="nr_c3621c8aa5ee494c8e34f285b3375cb4"/>
                  <w:lock w:val="sdtLocked"/>
                  <w:richText/>
                </w:sdtPr>
                <w:sdtContent>
                  <w:r>
                    <w:rPr>
                      <w:b/>
                      <w:sz w:val="22"/>
                      <w:szCs w:val="24"/>
                      <w:lang w:eastAsia="lt-LT"/>
                    </w:rPr>
                    <w:t>IV</w:t>
                  </w:r>
                </w:sdtContent>
              </w:sdt>
              <w:r>
                <w:rPr>
                  <w:b/>
                  <w:sz w:val="22"/>
                  <w:szCs w:val="24"/>
                  <w:lang w:eastAsia="lt-LT"/>
                </w:rPr>
                <w:t xml:space="preserve">. </w:t>
              </w:r>
              <w:sdt>
                <w:sdtPr>
                  <w:alias w:val="Pavadinimas"/>
                  <w:tag w:val="title_c3621c8aa5ee494c8e34f285b3375cb4"/>
                  <w:lock w:val="sdtLocked"/>
                  <w:richText/>
                </w:sdtPr>
                <w:sdtContent>
                  <w:r>
                    <w:rPr>
                      <w:b/>
                      <w:sz w:val="22"/>
                      <w:szCs w:val="24"/>
                      <w:lang w:eastAsia="lt-LT"/>
                    </w:rPr>
                    <w:t>ŽALIAVŲ IR MEDŽIAGŲ NAUDOJIMAS, SAUGOJIMAS</w:t>
                  </w:r>
                </w:sdtContent>
              </w:sdt>
            </w:p>
            <w:p>
              <w:pPr>
                <w:shd w:val="clear" w:color="000000" w:fill="auto"/>
                <w:jc w:val="both"/>
                <w:rPr>
                  <w:strike/>
                  <w:sz w:val="22"/>
                  <w:szCs w:val="24"/>
                  <w:lang w:eastAsia="lt-LT"/>
                </w:rPr>
              </w:pPr>
            </w:p>
            <w:sdt>
              <w:sdtPr>
                <w:alias w:val="4 pr. 15 p."/>
                <w:tag w:val="part_2493453514024cf5af52625a93dc1ed5"/>
                <w:lock w:val="sdtLocked"/>
                <w:richText/>
              </w:sdtPr>
              <w:sdtContent>
                <w:p>
                  <w:pPr>
                    <w:shd w:val="clear" w:color="000000" w:fill="auto"/>
                    <w:ind w:firstLine="567"/>
                    <w:jc w:val="both"/>
                    <w:rPr>
                      <w:sz w:val="22"/>
                      <w:szCs w:val="24"/>
                      <w:lang w:eastAsia="lt-LT"/>
                    </w:rPr>
                  </w:pPr>
                  <w:sdt>
                    <w:sdtPr>
                      <w:alias w:val="Numeris"/>
                      <w:tag w:val="nr_2493453514024cf5af52625a93dc1ed5"/>
                      <w:lock w:val="sdtLocked"/>
                      <w:richText/>
                    </w:sdtPr>
                    <w:sdtContent>
                      <w:r>
                        <w:rPr>
                          <w:sz w:val="22"/>
                          <w:szCs w:val="24"/>
                          <w:lang w:eastAsia="lt-LT"/>
                        </w:rPr>
                        <w:t>15</w:t>
                      </w:r>
                    </w:sdtContent>
                  </w:sdt>
                  <w:r>
                    <w:rPr>
                      <w:sz w:val="22"/>
                      <w:szCs w:val="24"/>
                      <w:lang w:eastAsia="lt-LT"/>
                    </w:rPr>
                    <w:t>. Žaliavų ir medžiagų naudojimas, žaliavų ir medžiagų saugojimas.</w:t>
                  </w:r>
                </w:p>
                <w:p>
                  <w:pPr>
                    <w:widowControl w:val="0"/>
                    <w:shd w:val="clear" w:color="000000" w:fill="auto"/>
                    <w:ind w:firstLine="567"/>
                    <w:jc w:val="both"/>
                    <w:rPr>
                      <w:sz w:val="22"/>
                      <w:szCs w:val="24"/>
                      <w:lang w:eastAsia="lt-LT"/>
                    </w:rPr>
                  </w:pPr>
                </w:p>
              </w:sdtContent>
            </w:sdt>
            <w:sdt>
              <w:sdtPr>
                <w:alias w:val="lentele"/>
                <w:tag w:val="part_d6b0eff43591422fb19bef5b396d8813"/>
                <w:lock w:val="sdtLocked"/>
                <w:richText/>
              </w:sdtPr>
              <w:sdtContent>
                <w:p>
                  <w:pPr>
                    <w:widowControl w:val="0"/>
                    <w:shd w:val="clear" w:color="000000" w:fill="auto"/>
                    <w:ind w:firstLine="567"/>
                    <w:jc w:val="both"/>
                    <w:rPr>
                      <w:sz w:val="22"/>
                      <w:szCs w:val="24"/>
                      <w:lang w:eastAsia="lt-LT"/>
                    </w:rPr>
                  </w:pPr>
                  <w:r>
                    <w:rPr>
                      <w:sz w:val="22"/>
                      <w:szCs w:val="24"/>
                      <w:lang w:eastAsia="lt-LT"/>
                    </w:rPr>
                    <w:t xml:space="preserve">5 lentelė. </w:t>
                  </w:r>
                  <w:sdt>
                    <w:sdtPr>
                      <w:alias w:val="Pavadinimas"/>
                      <w:tag w:val="title_d6b0eff43591422fb19bef5b396d8813"/>
                      <w:lock w:val="sdtLocked"/>
                      <w:richText/>
                    </w:sdtPr>
                    <w:sdtContent>
                      <w:r>
                        <w:rPr>
                          <w:sz w:val="22"/>
                          <w:szCs w:val="24"/>
                          <w:lang w:eastAsia="lt-LT"/>
                        </w:rPr>
                        <w:t>Naudojamos ir (ar) saugomos žaliavos ir papildomos (pagalbinės) medžiagos</w:t>
                      </w:r>
                    </w:sdtContent>
                  </w:sdt>
                </w:p>
                <w:p>
                  <w:pPr>
                    <w:widowControl w:val="0"/>
                    <w:shd w:val="clear" w:color="000000" w:fill="auto"/>
                    <w:ind w:firstLine="567"/>
                    <w:jc w:val="both"/>
                    <w:rPr>
                      <w:sz w:val="22"/>
                      <w:szCs w:val="24"/>
                      <w:lang w:eastAsia="lt-LT"/>
                    </w:rPr>
                  </w:pPr>
                </w:p>
                <w:tbl>
                  <w:tblPr>
                    <w:tblW w:w="13428" w:type="dxa"/>
                    <w:tblLayout w:type="fixed"/>
                    <w:tblLook w:val="0000" w:firstRow="0" w:lastRow="0" w:firstColumn="0" w:lastColumn="0" w:noHBand="0" w:noVBand="0"/>
                  </w:tblPr>
                  <w:tblGrid>
                    <w:gridCol w:w="791"/>
                    <w:gridCol w:w="3295"/>
                    <w:gridCol w:w="2557"/>
                    <w:gridCol w:w="2699"/>
                    <w:gridCol w:w="1989"/>
                    <w:gridCol w:w="2097"/>
                  </w:tblGrid>
                  <w:tr>
                    <w:trPr>
                      <w:cantSplit/>
                      <w:trHeight w:val="700"/>
                    </w:trPr>
                    <w:tc>
                      <w:tcPr>
                        <w:tcW w:w="791"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Eil. Nr.</w:t>
                        </w:r>
                      </w:p>
                    </w:tc>
                    <w:tc>
                      <w:tcPr>
                        <w:tcW w:w="3295"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lang w:eastAsia="lt-LT"/>
                          </w:rPr>
                          <w:t>Žaliavos arba medžiagos pavadinimas (išskyrus kurą, tirpiklių turinčias medžiagas ir mišinius)</w:t>
                        </w:r>
                      </w:p>
                    </w:tc>
                    <w:tc>
                      <w:tcPr>
                        <w:tcW w:w="2557"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 xml:space="preserve">Planuojamas naudoti kiekis, </w:t>
                        </w:r>
                        <w:r>
                          <w:rPr>
                            <w:sz w:val="22"/>
                            <w:szCs w:val="24"/>
                            <w:lang w:eastAsia="lt-LT"/>
                          </w:rPr>
                          <w:t xml:space="preserve"> </w:t>
                        </w:r>
                        <w:r>
                          <w:rPr>
                            <w:sz w:val="18"/>
                            <w:szCs w:val="24"/>
                            <w:lang w:eastAsia="lt-LT"/>
                          </w:rPr>
                          <w:t>matavimo vnt. (t, m</w:t>
                        </w:r>
                        <w:r>
                          <w:rPr>
                            <w:sz w:val="18"/>
                            <w:szCs w:val="24"/>
                            <w:vertAlign w:val="superscript"/>
                            <w:lang w:eastAsia="lt-LT"/>
                          </w:rPr>
                          <w:t>3</w:t>
                        </w:r>
                        <w:r>
                          <w:rPr>
                            <w:sz w:val="18"/>
                            <w:szCs w:val="24"/>
                            <w:lang w:eastAsia="lt-LT"/>
                          </w:rPr>
                          <w:t xml:space="preserve"> ar kt. per metus)</w:t>
                        </w:r>
                      </w:p>
                    </w:tc>
                    <w:tc>
                      <w:tcPr>
                        <w:tcW w:w="2699" w:type="dxa"/>
                        <w:tcBorders>
                          <w:top w:val="single" w:sz="4" w:space="0" w:color="auto"/>
                          <w:left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Transportavimo būdas</w:t>
                        </w:r>
                      </w:p>
                    </w:tc>
                    <w:tc>
                      <w:tcPr>
                        <w:tcW w:w="1989" w:type="dxa"/>
                        <w:tcBorders>
                          <w:top w:val="single" w:sz="4" w:space="0" w:color="auto"/>
                          <w:left w:val="single" w:sz="4" w:space="0" w:color="auto"/>
                          <w:right w:val="single" w:sz="4" w:space="0" w:color="auto"/>
                        </w:tcBorders>
                        <w:vAlign w:val="center"/>
                      </w:tcPr>
                      <w:p>
                        <w:pPr>
                          <w:shd w:val="clear" w:color="000000" w:fill="auto"/>
                          <w:jc w:val="center"/>
                          <w:rPr>
                            <w:sz w:val="18"/>
                            <w:szCs w:val="24"/>
                            <w:lang w:eastAsia="lt-LT"/>
                          </w:rPr>
                        </w:pPr>
                        <w:r>
                          <w:rPr>
                            <w:sz w:val="18"/>
                            <w:lang w:eastAsia="lt-LT"/>
                          </w:rPr>
                          <w:t>Kiekis, vienu metu saugomas vietoje, matavimo vnt. (t, m</w:t>
                        </w:r>
                        <w:r>
                          <w:rPr>
                            <w:sz w:val="18"/>
                            <w:vertAlign w:val="superscript"/>
                            <w:lang w:eastAsia="lt-LT"/>
                          </w:rPr>
                          <w:t>3</w:t>
                        </w:r>
                        <w:r>
                          <w:rPr>
                            <w:sz w:val="18"/>
                            <w:lang w:eastAsia="lt-LT"/>
                          </w:rPr>
                          <w:t xml:space="preserve"> ar kt. per metus)</w:t>
                        </w:r>
                      </w:p>
                    </w:tc>
                    <w:tc>
                      <w:tcPr>
                        <w:tcW w:w="2097"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lang w:eastAsia="lt-LT"/>
                          </w:rPr>
                          <w:t>Saugojimo būdas</w:t>
                        </w:r>
                      </w:p>
                    </w:tc>
                  </w:tr>
                  <w:tr>
                    <w:tc>
                      <w:tcPr>
                        <w:tcW w:w="791"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1</w:t>
                        </w:r>
                      </w:p>
                    </w:tc>
                    <w:tc>
                      <w:tcPr>
                        <w:tcW w:w="3295"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2</w:t>
                        </w:r>
                      </w:p>
                    </w:tc>
                    <w:tc>
                      <w:tcPr>
                        <w:tcW w:w="2557"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3</w:t>
                        </w:r>
                      </w:p>
                    </w:tc>
                    <w:tc>
                      <w:tcPr>
                        <w:tcW w:w="2699"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r>
                          <w:rPr>
                            <w:sz w:val="18"/>
                            <w:szCs w:val="24"/>
                            <w:lang w:eastAsia="lt-LT"/>
                          </w:rPr>
                          <w:t>4</w:t>
                        </w:r>
                      </w:p>
                    </w:tc>
                    <w:tc>
                      <w:tcPr>
                        <w:tcW w:w="1989"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r>
                          <w:rPr>
                            <w:sz w:val="18"/>
                            <w:szCs w:val="24"/>
                            <w:lang w:eastAsia="lt-LT"/>
                          </w:rPr>
                          <w:t>5</w:t>
                        </w:r>
                      </w:p>
                    </w:tc>
                    <w:tc>
                      <w:tcPr>
                        <w:tcW w:w="2097"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r>
                          <w:rPr>
                            <w:sz w:val="18"/>
                            <w:szCs w:val="24"/>
                            <w:lang w:eastAsia="lt-LT"/>
                          </w:rPr>
                          <w:t>6</w:t>
                        </w:r>
                      </w:p>
                    </w:tc>
                  </w:tr>
                  <w:tr>
                    <w:tc>
                      <w:tcPr>
                        <w:tcW w:w="791"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3295"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2557"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2699"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c>
                      <w:tcPr>
                        <w:tcW w:w="1989"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c>
                      <w:tcPr>
                        <w:tcW w:w="2097"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r>
                  <w:tr>
                    <w:tc>
                      <w:tcPr>
                        <w:tcW w:w="791"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3295"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2557"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2699"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c>
                      <w:tcPr>
                        <w:tcW w:w="1989"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c>
                      <w:tcPr>
                        <w:tcW w:w="2097"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r>
                  <w:tr>
                    <w:tc>
                      <w:tcPr>
                        <w:tcW w:w="791"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3295"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2557"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c>
                      <w:tcPr>
                        <w:tcW w:w="2699"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c>
                      <w:tcPr>
                        <w:tcW w:w="1989"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szCs w:val="24"/>
                            <w:lang w:eastAsia="lt-LT"/>
                          </w:rPr>
                        </w:pPr>
                      </w:p>
                    </w:tc>
                    <w:tc>
                      <w:tcPr>
                        <w:tcW w:w="2097"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szCs w:val="24"/>
                            <w:lang w:eastAsia="lt-LT"/>
                          </w:rPr>
                        </w:pPr>
                      </w:p>
                    </w:tc>
                  </w:tr>
                </w:tbl>
                <w:p>
                  <w:pPr>
                    <w:shd w:val="clear" w:color="000000" w:fill="auto"/>
                    <w:suppressAutoHyphens/>
                    <w:ind w:firstLine="567"/>
                    <w:jc w:val="both"/>
                    <w:textAlignment w:val="baseline"/>
                    <w:rPr>
                      <w:sz w:val="18"/>
                      <w:szCs w:val="24"/>
                      <w:lang w:eastAsia="lt-LT"/>
                    </w:rPr>
                  </w:pPr>
                </w:p>
              </w:sdtContent>
            </w:sdt>
            <w:sdt>
              <w:sdtPr>
                <w:alias w:val="lentele"/>
                <w:tag w:val="part_16e7337adaf34400ba55eb182b46b55b"/>
                <w:lock w:val="sdtLocked"/>
                <w:richText/>
              </w:sdtPr>
              <w:sdtContent>
                <w:p>
                  <w:pPr>
                    <w:shd w:val="clear" w:color="000000" w:fill="auto"/>
                    <w:tabs>
                      <w:tab w:val="left" w:pos="0"/>
                      <w:tab w:val="left" w:pos="426"/>
                      <w:tab w:val="left" w:pos="1985"/>
                      <w:tab w:val="left" w:pos="2835"/>
                      <w:tab w:val="left" w:pos="3828"/>
                      <w:tab w:val="left" w:pos="5245"/>
                      <w:tab w:val="left" w:pos="6946"/>
                    </w:tabs>
                    <w:ind w:firstLine="567"/>
                    <w:jc w:val="both"/>
                    <w:rPr>
                      <w:sz w:val="22"/>
                      <w:szCs w:val="24"/>
                      <w:lang w:eastAsia="lt-LT"/>
                    </w:rPr>
                  </w:pPr>
                  <w:r>
                    <w:rPr>
                      <w:sz w:val="22"/>
                      <w:szCs w:val="24"/>
                      <w:lang w:eastAsia="lt-LT"/>
                    </w:rPr>
                    <w:t xml:space="preserve">6 lentelė. </w:t>
                  </w:r>
                  <w:sdt>
                    <w:sdtPr>
                      <w:alias w:val="Pavadinimas"/>
                      <w:tag w:val="title_16e7337adaf34400ba55eb182b46b55b"/>
                      <w:lock w:val="sdtLocked"/>
                      <w:richText/>
                    </w:sdtPr>
                    <w:sdtContent>
                      <w:r>
                        <w:rPr>
                          <w:sz w:val="22"/>
                          <w:szCs w:val="24"/>
                          <w:lang w:eastAsia="lt-LT"/>
                        </w:rPr>
                        <w:t>Tirpiklių turinčių medžiagų ir mišinių naudojimas ir saugojimas</w:t>
                      </w:r>
                    </w:sdtContent>
                  </w:sdt>
                </w:p>
                <w:p>
                  <w:pPr>
                    <w:shd w:val="clear" w:color="000000" w:fill="auto"/>
                    <w:tabs>
                      <w:tab w:val="left" w:pos="0"/>
                      <w:tab w:val="left" w:pos="426"/>
                      <w:tab w:val="left" w:pos="1985"/>
                      <w:tab w:val="left" w:pos="2835"/>
                      <w:tab w:val="left" w:pos="3828"/>
                      <w:tab w:val="left" w:pos="5245"/>
                      <w:tab w:val="left" w:pos="6946"/>
                    </w:tabs>
                    <w:ind w:firstLine="567"/>
                    <w:rPr>
                      <w:sz w:val="18"/>
                      <w:lang w:eastAsia="lt-LT"/>
                    </w:rPr>
                  </w:pPr>
                </w:p>
                <w:tbl>
                  <w:tblPr>
                    <w:tblW w:w="134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91"/>
                    <w:gridCol w:w="1659"/>
                    <w:gridCol w:w="1503"/>
                    <w:gridCol w:w="1279"/>
                    <w:gridCol w:w="994"/>
                    <w:gridCol w:w="836"/>
                    <w:gridCol w:w="1722"/>
                    <w:gridCol w:w="1184"/>
                    <w:gridCol w:w="852"/>
                    <w:gridCol w:w="853"/>
                    <w:gridCol w:w="1055"/>
                  </w:tblGrid>
                  <w:tr>
                    <w:trPr>
                      <w:trHeight w:val="685"/>
                    </w:trPr>
                    <w:tc>
                      <w:tcPr>
                        <w:tcW w:w="1491"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lang w:eastAsia="lt-LT"/>
                          </w:rPr>
                        </w:pPr>
                        <w:r>
                          <w:rPr>
                            <w:sz w:val="18"/>
                            <w:lang w:eastAsia="lt-LT"/>
                          </w:rPr>
                          <w:t>Veikla, kurioje naudojamos tirpiklių turinčios medžiagos ir mišiniai</w:t>
                        </w:r>
                      </w:p>
                    </w:tc>
                    <w:tc>
                      <w:tcPr>
                        <w:tcW w:w="1659"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lang w:eastAsia="lt-LT"/>
                          </w:rPr>
                        </w:pPr>
                        <w:r>
                          <w:rPr>
                            <w:sz w:val="18"/>
                            <w:lang w:eastAsia="lt-LT"/>
                          </w:rPr>
                          <w:t>Tirpiklių turinčios medžiagos ir mišiniai</w:t>
                        </w:r>
                      </w:p>
                    </w:tc>
                    <w:tc>
                      <w:tcPr>
                        <w:tcW w:w="4612" w:type="dxa"/>
                        <w:gridSpan w:val="4"/>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lang w:eastAsia="lt-LT"/>
                          </w:rPr>
                        </w:pPr>
                        <w:r>
                          <w:rPr>
                            <w:sz w:val="18"/>
                            <w:lang w:eastAsia="lt-LT"/>
                          </w:rPr>
                          <w:t>Tirpiklių turinčias medžiagas ir mišinius sudarantys komponentai</w:t>
                        </w:r>
                      </w:p>
                    </w:tc>
                    <w:tc>
                      <w:tcPr>
                        <w:tcW w:w="1722"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i/>
                            <w:sz w:val="18"/>
                            <w:lang w:eastAsia="lt-LT"/>
                          </w:rPr>
                        </w:pPr>
                        <w:r>
                          <w:rPr>
                            <w:sz w:val="18"/>
                            <w:lang w:eastAsia="lt-LT"/>
                          </w:rPr>
                          <w:t>Planuojamos (maksimalios) tirpiklio sąnaudos, t/metus</w:t>
                        </w:r>
                      </w:p>
                    </w:tc>
                    <w:tc>
                      <w:tcPr>
                        <w:tcW w:w="1184"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lang w:eastAsia="lt-LT"/>
                          </w:rPr>
                        </w:pPr>
                        <w:r>
                          <w:rPr>
                            <w:sz w:val="18"/>
                            <w:lang w:eastAsia="lt-LT"/>
                          </w:rPr>
                          <w:t>Tirpiklio suvartojimo riba, t/metus</w:t>
                        </w:r>
                      </w:p>
                    </w:tc>
                    <w:tc>
                      <w:tcPr>
                        <w:tcW w:w="2760" w:type="dxa"/>
                        <w:gridSpan w:val="3"/>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lang w:eastAsia="lt-LT"/>
                          </w:rPr>
                        </w:pPr>
                        <w:r>
                          <w:rPr>
                            <w:sz w:val="18"/>
                            <w:lang w:eastAsia="lt-LT"/>
                          </w:rPr>
                          <w:t>Planuojamas tirpiklių turinčių medžiagų ir mišinių</w:t>
                        </w:r>
                      </w:p>
                    </w:tc>
                  </w:tr>
                  <w:tr>
                    <w:trPr>
                      <w:trHeight w:val="230"/>
                    </w:trPr>
                    <w:tc>
                      <w:tcPr>
                        <w:tcW w:w="1491" w:type="dxa"/>
                        <w:vMerge/>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lang w:eastAsia="lt-LT"/>
                          </w:rPr>
                        </w:pPr>
                      </w:p>
                    </w:tc>
                    <w:tc>
                      <w:tcPr>
                        <w:tcW w:w="1659" w:type="dxa"/>
                        <w:vMerge/>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lang w:eastAsia="lt-LT"/>
                          </w:rPr>
                        </w:pPr>
                      </w:p>
                    </w:tc>
                    <w:tc>
                      <w:tcPr>
                        <w:tcW w:w="4612" w:type="dxa"/>
                        <w:gridSpan w:val="4"/>
                        <w:vMerge/>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lang w:eastAsia="lt-LT"/>
                          </w:rPr>
                        </w:pPr>
                      </w:p>
                    </w:tc>
                    <w:tc>
                      <w:tcPr>
                        <w:tcW w:w="1722" w:type="dxa"/>
                        <w:vMerge/>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lang w:eastAsia="lt-LT"/>
                          </w:rPr>
                        </w:pPr>
                      </w:p>
                    </w:tc>
                    <w:tc>
                      <w:tcPr>
                        <w:tcW w:w="1184" w:type="dxa"/>
                        <w:vMerge/>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lang w:eastAsia="lt-LT"/>
                          </w:rPr>
                        </w:pPr>
                      </w:p>
                    </w:tc>
                    <w:tc>
                      <w:tcPr>
                        <w:tcW w:w="1705" w:type="dxa"/>
                        <w:gridSpan w:val="2"/>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lang w:eastAsia="lt-LT"/>
                          </w:rPr>
                        </w:pPr>
                        <w:r>
                          <w:rPr>
                            <w:sz w:val="18"/>
                            <w:lang w:eastAsia="lt-LT"/>
                          </w:rPr>
                          <w:t>Kiekis, saugomas vietoje, t</w:t>
                        </w:r>
                      </w:p>
                    </w:tc>
                    <w:tc>
                      <w:tcPr>
                        <w:tcW w:w="1055"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lang w:eastAsia="lt-LT"/>
                          </w:rPr>
                        </w:pPr>
                        <w:r>
                          <w:rPr>
                            <w:sz w:val="18"/>
                            <w:lang w:eastAsia="lt-LT"/>
                          </w:rPr>
                          <w:t>Saugojimo būdas</w:t>
                        </w:r>
                      </w:p>
                    </w:tc>
                  </w:tr>
                  <w:tr>
                    <w:trPr>
                      <w:trHeight w:val="480"/>
                    </w:trPr>
                    <w:tc>
                      <w:tcPr>
                        <w:tcW w:w="1491" w:type="dxa"/>
                        <w:vMerge/>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c>
                      <w:tcPr>
                        <w:tcW w:w="1659" w:type="dxa"/>
                        <w:vMerge/>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c>
                      <w:tcPr>
                        <w:tcW w:w="1503"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lang w:eastAsia="lt-LT"/>
                          </w:rPr>
                        </w:pPr>
                        <w:r>
                          <w:rPr>
                            <w:sz w:val="18"/>
                            <w:lang w:eastAsia="lt-LT"/>
                          </w:rPr>
                          <w:t>Pavadinimas</w:t>
                        </w:r>
                      </w:p>
                    </w:tc>
                    <w:tc>
                      <w:tcPr>
                        <w:tcW w:w="1279"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lang w:eastAsia="lt-LT"/>
                          </w:rPr>
                        </w:pPr>
                        <w:r>
                          <w:rPr>
                            <w:sz w:val="18"/>
                            <w:lang w:eastAsia="lt-LT"/>
                          </w:rPr>
                          <w:t>Rizikos/pavojingumo frazė</w:t>
                        </w:r>
                      </w:p>
                    </w:tc>
                    <w:tc>
                      <w:tcPr>
                        <w:tcW w:w="1830" w:type="dxa"/>
                        <w:gridSpan w:val="2"/>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lang w:val="en-US" w:eastAsia="lt-LT"/>
                          </w:rPr>
                        </w:pPr>
                        <w:r>
                          <w:rPr>
                            <w:sz w:val="18"/>
                            <w:lang w:eastAsia="lt-LT"/>
                          </w:rPr>
                          <w:t>Koncentracija, %</w:t>
                        </w:r>
                      </w:p>
                    </w:tc>
                    <w:tc>
                      <w:tcPr>
                        <w:tcW w:w="1722" w:type="dxa"/>
                        <w:vMerge/>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both"/>
                          <w:textAlignment w:val="baseline"/>
                          <w:rPr>
                            <w:sz w:val="18"/>
                            <w:lang w:eastAsia="lt-LT"/>
                          </w:rPr>
                        </w:pPr>
                      </w:p>
                    </w:tc>
                    <w:tc>
                      <w:tcPr>
                        <w:tcW w:w="1184" w:type="dxa"/>
                        <w:vMerge/>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both"/>
                          <w:textAlignment w:val="baseline"/>
                          <w:rPr>
                            <w:sz w:val="18"/>
                            <w:lang w:eastAsia="lt-LT"/>
                          </w:rPr>
                        </w:pPr>
                      </w:p>
                    </w:tc>
                    <w:tc>
                      <w:tcPr>
                        <w:tcW w:w="1705" w:type="dxa"/>
                        <w:gridSpan w:val="2"/>
                        <w:vMerge/>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c>
                      <w:tcPr>
                        <w:tcW w:w="1055" w:type="dxa"/>
                        <w:vMerge/>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r>
                  <w:tr>
                    <w:trPr>
                      <w:trHeight w:val="202"/>
                    </w:trPr>
                    <w:tc>
                      <w:tcPr>
                        <w:tcW w:w="1491" w:type="dxa"/>
                        <w:vMerge/>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c>
                      <w:tcPr>
                        <w:tcW w:w="1659" w:type="dxa"/>
                        <w:vMerge/>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c>
                      <w:tcPr>
                        <w:tcW w:w="1503" w:type="dxa"/>
                        <w:vMerge/>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lang w:eastAsia="lt-LT"/>
                          </w:rPr>
                        </w:pPr>
                      </w:p>
                    </w:tc>
                    <w:tc>
                      <w:tcPr>
                        <w:tcW w:w="1279" w:type="dxa"/>
                        <w:vMerge/>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lang w:eastAsia="lt-LT"/>
                          </w:rPr>
                        </w:pPr>
                      </w:p>
                    </w:tc>
                    <w:tc>
                      <w:tcPr>
                        <w:tcW w:w="994"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lang w:eastAsia="lt-LT"/>
                          </w:rPr>
                        </w:pPr>
                        <w:r>
                          <w:rPr>
                            <w:sz w:val="18"/>
                            <w:lang w:eastAsia="lt-LT"/>
                          </w:rPr>
                          <w:t>nuo</w:t>
                        </w:r>
                      </w:p>
                    </w:tc>
                    <w:tc>
                      <w:tcPr>
                        <w:tcW w:w="836"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lang w:eastAsia="lt-LT"/>
                          </w:rPr>
                        </w:pPr>
                        <w:r>
                          <w:rPr>
                            <w:sz w:val="18"/>
                            <w:lang w:eastAsia="lt-LT"/>
                          </w:rPr>
                          <w:t>iki</w:t>
                        </w:r>
                      </w:p>
                    </w:tc>
                    <w:tc>
                      <w:tcPr>
                        <w:tcW w:w="1722" w:type="dxa"/>
                        <w:vMerge/>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both"/>
                          <w:textAlignment w:val="baseline"/>
                          <w:rPr>
                            <w:sz w:val="18"/>
                            <w:lang w:eastAsia="lt-LT"/>
                          </w:rPr>
                        </w:pPr>
                      </w:p>
                    </w:tc>
                    <w:tc>
                      <w:tcPr>
                        <w:tcW w:w="1184" w:type="dxa"/>
                        <w:vMerge/>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both"/>
                          <w:textAlignment w:val="baseline"/>
                          <w:rPr>
                            <w:sz w:val="18"/>
                            <w:lang w:eastAsia="lt-LT"/>
                          </w:rPr>
                        </w:pPr>
                      </w:p>
                    </w:tc>
                    <w:tc>
                      <w:tcPr>
                        <w:tcW w:w="1705" w:type="dxa"/>
                        <w:gridSpan w:val="2"/>
                        <w:vMerge/>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c>
                      <w:tcPr>
                        <w:tcW w:w="1055" w:type="dxa"/>
                        <w:vMerge/>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r>
                  <w:tr>
                    <w:tc>
                      <w:tcPr>
                        <w:tcW w:w="1491"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lang w:eastAsia="lt-LT"/>
                          </w:rPr>
                        </w:pPr>
                        <w:r>
                          <w:rPr>
                            <w:sz w:val="18"/>
                            <w:lang w:eastAsia="lt-LT"/>
                          </w:rPr>
                          <w:t>1</w:t>
                        </w:r>
                      </w:p>
                    </w:tc>
                    <w:tc>
                      <w:tcPr>
                        <w:tcW w:w="1659"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lang w:eastAsia="lt-LT"/>
                          </w:rPr>
                        </w:pPr>
                        <w:r>
                          <w:rPr>
                            <w:sz w:val="18"/>
                            <w:lang w:eastAsia="lt-LT"/>
                          </w:rPr>
                          <w:t>2</w:t>
                        </w:r>
                      </w:p>
                    </w:tc>
                    <w:tc>
                      <w:tcPr>
                        <w:tcW w:w="1503"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lang w:eastAsia="lt-LT"/>
                          </w:rPr>
                        </w:pPr>
                        <w:r>
                          <w:rPr>
                            <w:sz w:val="18"/>
                            <w:lang w:eastAsia="lt-LT"/>
                          </w:rPr>
                          <w:t>3</w:t>
                        </w:r>
                      </w:p>
                    </w:tc>
                    <w:tc>
                      <w:tcPr>
                        <w:tcW w:w="1279"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lang w:eastAsia="lt-LT"/>
                          </w:rPr>
                        </w:pPr>
                        <w:r>
                          <w:rPr>
                            <w:sz w:val="18"/>
                            <w:lang w:eastAsia="lt-LT"/>
                          </w:rPr>
                          <w:t>4</w:t>
                        </w:r>
                      </w:p>
                    </w:tc>
                    <w:tc>
                      <w:tcPr>
                        <w:tcW w:w="994"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lang w:eastAsia="lt-LT"/>
                          </w:rPr>
                        </w:pPr>
                        <w:r>
                          <w:rPr>
                            <w:sz w:val="18"/>
                            <w:lang w:eastAsia="lt-LT"/>
                          </w:rPr>
                          <w:t>5</w:t>
                        </w:r>
                      </w:p>
                    </w:tc>
                    <w:tc>
                      <w:tcPr>
                        <w:tcW w:w="836"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lang w:eastAsia="lt-LT"/>
                          </w:rPr>
                        </w:pPr>
                        <w:r>
                          <w:rPr>
                            <w:sz w:val="18"/>
                            <w:lang w:eastAsia="lt-LT"/>
                          </w:rPr>
                          <w:t>6</w:t>
                        </w:r>
                      </w:p>
                    </w:tc>
                    <w:tc>
                      <w:tcPr>
                        <w:tcW w:w="1722"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lang w:eastAsia="lt-LT"/>
                          </w:rPr>
                        </w:pPr>
                        <w:r>
                          <w:rPr>
                            <w:sz w:val="18"/>
                            <w:lang w:eastAsia="lt-LT"/>
                          </w:rPr>
                          <w:t>7</w:t>
                        </w:r>
                      </w:p>
                    </w:tc>
                    <w:tc>
                      <w:tcPr>
                        <w:tcW w:w="1184"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center"/>
                          <w:textAlignment w:val="baseline"/>
                          <w:rPr>
                            <w:sz w:val="18"/>
                            <w:lang w:eastAsia="lt-LT"/>
                          </w:rPr>
                        </w:pPr>
                        <w:r>
                          <w:rPr>
                            <w:sz w:val="18"/>
                            <w:lang w:eastAsia="lt-LT"/>
                          </w:rPr>
                          <w:t>8</w:t>
                        </w:r>
                      </w:p>
                    </w:tc>
                    <w:tc>
                      <w:tcPr>
                        <w:tcW w:w="1705" w:type="dxa"/>
                        <w:gridSpan w:val="2"/>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lang w:eastAsia="lt-LT"/>
                          </w:rPr>
                        </w:pPr>
                        <w:r>
                          <w:rPr>
                            <w:sz w:val="18"/>
                            <w:lang w:eastAsia="lt-LT"/>
                          </w:rPr>
                          <w:t>9</w:t>
                        </w:r>
                      </w:p>
                    </w:tc>
                    <w:tc>
                      <w:tcPr>
                        <w:tcW w:w="1055" w:type="dxa"/>
                        <w:tcBorders>
                          <w:top w:val="single" w:sz="4" w:space="0" w:color="auto"/>
                          <w:left w:val="single" w:sz="4" w:space="0" w:color="auto"/>
                          <w:bottom w:val="single" w:sz="4" w:space="0" w:color="auto"/>
                          <w:right w:val="single" w:sz="4" w:space="0" w:color="auto"/>
                        </w:tcBorders>
                      </w:tcPr>
                      <w:p>
                        <w:pPr>
                          <w:shd w:val="clear" w:color="000000" w:fill="auto"/>
                          <w:suppressAutoHyphens/>
                          <w:jc w:val="center"/>
                          <w:textAlignment w:val="baseline"/>
                          <w:rPr>
                            <w:sz w:val="18"/>
                            <w:lang w:eastAsia="lt-LT"/>
                          </w:rPr>
                        </w:pPr>
                        <w:r>
                          <w:rPr>
                            <w:sz w:val="18"/>
                            <w:lang w:eastAsia="lt-LT"/>
                          </w:rPr>
                          <w:t>10</w:t>
                        </w:r>
                      </w:p>
                    </w:tc>
                  </w:tr>
                  <w:tr>
                    <w:tc>
                      <w:tcPr>
                        <w:tcW w:w="1491" w:type="dxa"/>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c>
                      <w:tcPr>
                        <w:tcW w:w="1659" w:type="dxa"/>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c>
                      <w:tcPr>
                        <w:tcW w:w="1503" w:type="dxa"/>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c>
                      <w:tcPr>
                        <w:tcW w:w="1279" w:type="dxa"/>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c>
                      <w:tcPr>
                        <w:tcW w:w="994" w:type="dxa"/>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c>
                      <w:tcPr>
                        <w:tcW w:w="836" w:type="dxa"/>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c>
                      <w:tcPr>
                        <w:tcW w:w="1722"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both"/>
                          <w:textAlignment w:val="baseline"/>
                          <w:rPr>
                            <w:sz w:val="18"/>
                            <w:lang w:eastAsia="lt-LT"/>
                          </w:rPr>
                        </w:pPr>
                      </w:p>
                    </w:tc>
                    <w:tc>
                      <w:tcPr>
                        <w:tcW w:w="1184"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both"/>
                          <w:textAlignment w:val="baseline"/>
                          <w:rPr>
                            <w:sz w:val="18"/>
                            <w:lang w:eastAsia="lt-LT"/>
                          </w:rPr>
                        </w:pPr>
                      </w:p>
                    </w:tc>
                    <w:tc>
                      <w:tcPr>
                        <w:tcW w:w="1705" w:type="dxa"/>
                        <w:gridSpan w:val="2"/>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c>
                      <w:tcPr>
                        <w:tcW w:w="1055" w:type="dxa"/>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r>
                  <w:tr>
                    <w:tc>
                      <w:tcPr>
                        <w:tcW w:w="1491" w:type="dxa"/>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c>
                      <w:tcPr>
                        <w:tcW w:w="1659" w:type="dxa"/>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c>
                      <w:tcPr>
                        <w:tcW w:w="1503" w:type="dxa"/>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c>
                      <w:tcPr>
                        <w:tcW w:w="1279" w:type="dxa"/>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c>
                      <w:tcPr>
                        <w:tcW w:w="994" w:type="dxa"/>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c>
                      <w:tcPr>
                        <w:tcW w:w="836" w:type="dxa"/>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c>
                      <w:tcPr>
                        <w:tcW w:w="1722"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both"/>
                          <w:textAlignment w:val="baseline"/>
                          <w:rPr>
                            <w:sz w:val="18"/>
                            <w:lang w:eastAsia="lt-LT"/>
                          </w:rPr>
                        </w:pPr>
                      </w:p>
                    </w:tc>
                    <w:tc>
                      <w:tcPr>
                        <w:tcW w:w="1184"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both"/>
                          <w:textAlignment w:val="baseline"/>
                          <w:rPr>
                            <w:sz w:val="18"/>
                            <w:lang w:eastAsia="lt-LT"/>
                          </w:rPr>
                        </w:pPr>
                      </w:p>
                    </w:tc>
                    <w:tc>
                      <w:tcPr>
                        <w:tcW w:w="1705" w:type="dxa"/>
                        <w:gridSpan w:val="2"/>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c>
                      <w:tcPr>
                        <w:tcW w:w="1055" w:type="dxa"/>
                        <w:tcBorders>
                          <w:top w:val="single" w:sz="4" w:space="0" w:color="auto"/>
                          <w:left w:val="single" w:sz="4" w:space="0" w:color="auto"/>
                          <w:bottom w:val="single" w:sz="4" w:space="0" w:color="auto"/>
                          <w:right w:val="single" w:sz="4" w:space="0" w:color="auto"/>
                        </w:tcBorders>
                      </w:tcPr>
                      <w:p>
                        <w:pPr>
                          <w:shd w:val="clear" w:color="000000" w:fill="auto"/>
                          <w:suppressAutoHyphens/>
                          <w:jc w:val="both"/>
                          <w:textAlignment w:val="baseline"/>
                          <w:rPr>
                            <w:sz w:val="18"/>
                            <w:lang w:eastAsia="lt-LT"/>
                          </w:rPr>
                        </w:pPr>
                      </w:p>
                    </w:tc>
                  </w:tr>
                  <w:tr>
                    <w:tc>
                      <w:tcPr>
                        <w:tcW w:w="1491" w:type="dxa"/>
                        <w:tcBorders>
                          <w:top w:val="single" w:sz="4" w:space="0" w:color="auto"/>
                          <w:left w:val="nil"/>
                          <w:bottom w:val="nil"/>
                          <w:right w:val="nil"/>
                        </w:tcBorders>
                      </w:tcPr>
                      <w:p>
                        <w:pPr>
                          <w:shd w:val="clear" w:color="000000" w:fill="auto"/>
                          <w:suppressAutoHyphens/>
                          <w:jc w:val="both"/>
                          <w:textAlignment w:val="baseline"/>
                          <w:rPr>
                            <w:sz w:val="18"/>
                            <w:lang w:eastAsia="lt-LT"/>
                          </w:rPr>
                        </w:pPr>
                      </w:p>
                    </w:tc>
                    <w:tc>
                      <w:tcPr>
                        <w:tcW w:w="1659" w:type="dxa"/>
                        <w:tcBorders>
                          <w:top w:val="single" w:sz="4" w:space="0" w:color="auto"/>
                          <w:left w:val="nil"/>
                          <w:bottom w:val="nil"/>
                          <w:right w:val="nil"/>
                        </w:tcBorders>
                      </w:tcPr>
                      <w:p>
                        <w:pPr>
                          <w:shd w:val="clear" w:color="000000" w:fill="auto"/>
                          <w:suppressAutoHyphens/>
                          <w:jc w:val="both"/>
                          <w:textAlignment w:val="baseline"/>
                          <w:rPr>
                            <w:sz w:val="18"/>
                            <w:lang w:eastAsia="lt-LT"/>
                          </w:rPr>
                        </w:pPr>
                      </w:p>
                    </w:tc>
                    <w:tc>
                      <w:tcPr>
                        <w:tcW w:w="1503" w:type="dxa"/>
                        <w:tcBorders>
                          <w:top w:val="single" w:sz="4" w:space="0" w:color="auto"/>
                          <w:left w:val="nil"/>
                          <w:bottom w:val="nil"/>
                          <w:right w:val="nil"/>
                        </w:tcBorders>
                      </w:tcPr>
                      <w:p>
                        <w:pPr>
                          <w:shd w:val="clear" w:color="000000" w:fill="auto"/>
                          <w:suppressAutoHyphens/>
                          <w:jc w:val="both"/>
                          <w:textAlignment w:val="baseline"/>
                          <w:rPr>
                            <w:sz w:val="18"/>
                            <w:lang w:eastAsia="lt-LT"/>
                          </w:rPr>
                        </w:pPr>
                      </w:p>
                    </w:tc>
                    <w:tc>
                      <w:tcPr>
                        <w:tcW w:w="1279" w:type="dxa"/>
                        <w:tcBorders>
                          <w:top w:val="single" w:sz="4" w:space="0" w:color="auto"/>
                          <w:left w:val="nil"/>
                          <w:bottom w:val="nil"/>
                          <w:right w:val="single" w:sz="4" w:space="0" w:color="auto"/>
                        </w:tcBorders>
                      </w:tcPr>
                      <w:p>
                        <w:pPr>
                          <w:shd w:val="clear" w:color="000000" w:fill="auto"/>
                          <w:suppressAutoHyphens/>
                          <w:jc w:val="both"/>
                          <w:textAlignment w:val="baseline"/>
                          <w:rPr>
                            <w:sz w:val="18"/>
                            <w:lang w:eastAsia="lt-LT"/>
                          </w:rPr>
                        </w:pPr>
                      </w:p>
                    </w:tc>
                    <w:tc>
                      <w:tcPr>
                        <w:tcW w:w="1830" w:type="dxa"/>
                        <w:gridSpan w:val="2"/>
                        <w:tcBorders>
                          <w:top w:val="single" w:sz="4" w:space="0" w:color="auto"/>
                          <w:left w:val="single" w:sz="4" w:space="0" w:color="auto"/>
                          <w:bottom w:val="single" w:sz="4" w:space="0" w:color="auto"/>
                          <w:right w:val="single" w:sz="4" w:space="0" w:color="auto"/>
                        </w:tcBorders>
                        <w:vAlign w:val="center"/>
                      </w:tcPr>
                      <w:p>
                        <w:pPr>
                          <w:shd w:val="clear" w:color="000000" w:fill="auto"/>
                          <w:jc w:val="right"/>
                          <w:rPr>
                            <w:sz w:val="18"/>
                            <w:lang w:eastAsia="lt-LT"/>
                          </w:rPr>
                        </w:pPr>
                        <w:r>
                          <w:rPr>
                            <w:sz w:val="18"/>
                            <w:lang w:eastAsia="lt-LT"/>
                          </w:rPr>
                          <w:t>Iš viso pagal veiklos rūšį:</w:t>
                        </w:r>
                      </w:p>
                    </w:tc>
                    <w:tc>
                      <w:tcPr>
                        <w:tcW w:w="1722"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both"/>
                          <w:textAlignment w:val="baseline"/>
                          <w:rPr>
                            <w:sz w:val="18"/>
                            <w:lang w:eastAsia="lt-LT"/>
                          </w:rPr>
                        </w:pPr>
                      </w:p>
                    </w:tc>
                    <w:tc>
                      <w:tcPr>
                        <w:tcW w:w="1184" w:type="dxa"/>
                        <w:tcBorders>
                          <w:top w:val="single" w:sz="4" w:space="0" w:color="auto"/>
                          <w:left w:val="single" w:sz="4" w:space="0" w:color="auto"/>
                          <w:bottom w:val="single" w:sz="4" w:space="0" w:color="auto"/>
                          <w:right w:val="single" w:sz="4" w:space="0" w:color="auto"/>
                        </w:tcBorders>
                        <w:vAlign w:val="center"/>
                      </w:tcPr>
                      <w:p>
                        <w:pPr>
                          <w:shd w:val="clear" w:color="000000" w:fill="auto"/>
                          <w:suppressAutoHyphens/>
                          <w:jc w:val="both"/>
                          <w:textAlignment w:val="baseline"/>
                          <w:rPr>
                            <w:sz w:val="18"/>
                            <w:lang w:eastAsia="lt-LT"/>
                          </w:rPr>
                        </w:pPr>
                      </w:p>
                    </w:tc>
                    <w:tc>
                      <w:tcPr>
                        <w:tcW w:w="852" w:type="dxa"/>
                        <w:tcBorders>
                          <w:top w:val="single" w:sz="4" w:space="0" w:color="auto"/>
                          <w:left w:val="single" w:sz="4" w:space="0" w:color="auto"/>
                          <w:bottom w:val="nil"/>
                          <w:right w:val="nil"/>
                        </w:tcBorders>
                      </w:tcPr>
                      <w:p>
                        <w:pPr>
                          <w:shd w:val="clear" w:color="000000" w:fill="auto"/>
                          <w:suppressAutoHyphens/>
                          <w:jc w:val="both"/>
                          <w:textAlignment w:val="baseline"/>
                          <w:rPr>
                            <w:sz w:val="18"/>
                            <w:lang w:eastAsia="lt-LT"/>
                          </w:rPr>
                        </w:pPr>
                      </w:p>
                    </w:tc>
                    <w:tc>
                      <w:tcPr>
                        <w:tcW w:w="853" w:type="dxa"/>
                        <w:tcBorders>
                          <w:top w:val="single" w:sz="4" w:space="0" w:color="auto"/>
                          <w:left w:val="nil"/>
                          <w:bottom w:val="nil"/>
                          <w:right w:val="nil"/>
                        </w:tcBorders>
                      </w:tcPr>
                      <w:p>
                        <w:pPr>
                          <w:shd w:val="clear" w:color="000000" w:fill="auto"/>
                          <w:suppressAutoHyphens/>
                          <w:jc w:val="both"/>
                          <w:textAlignment w:val="baseline"/>
                          <w:rPr>
                            <w:sz w:val="18"/>
                            <w:lang w:eastAsia="lt-LT"/>
                          </w:rPr>
                        </w:pPr>
                      </w:p>
                    </w:tc>
                    <w:tc>
                      <w:tcPr>
                        <w:tcW w:w="1055" w:type="dxa"/>
                        <w:tcBorders>
                          <w:top w:val="single" w:sz="4" w:space="0" w:color="auto"/>
                          <w:left w:val="nil"/>
                          <w:bottom w:val="nil"/>
                          <w:right w:val="nil"/>
                        </w:tcBorders>
                      </w:tcPr>
                      <w:p>
                        <w:pPr>
                          <w:shd w:val="clear" w:color="000000" w:fill="auto"/>
                          <w:suppressAutoHyphens/>
                          <w:jc w:val="both"/>
                          <w:textAlignment w:val="baseline"/>
                          <w:rPr>
                            <w:sz w:val="18"/>
                            <w:lang w:eastAsia="lt-LT"/>
                          </w:rPr>
                        </w:pPr>
                      </w:p>
                    </w:tc>
                  </w:tr>
                </w:tbl>
                <w:p>
                  <w:pPr>
                    <w:shd w:val="clear" w:color="000000" w:fill="auto"/>
                    <w:jc w:val="center"/>
                    <w:rPr>
                      <w:b/>
                      <w:sz w:val="22"/>
                      <w:szCs w:val="24"/>
                      <w:lang w:eastAsia="lt-LT"/>
                    </w:rPr>
                  </w:pPr>
                </w:p>
              </w:sdtContent>
            </w:sdt>
          </w:sdtContent>
        </w:sdt>
        <w:sdt>
          <w:sdtPr>
            <w:alias w:val="skyrius"/>
            <w:tag w:val="part_6ea6ae795ccb43e3aa274f1e49761416"/>
            <w:lock w:val="sdtLocked"/>
            <w:richText/>
          </w:sdtPr>
          <w:sdtContent>
            <w:p>
              <w:pPr>
                <w:shd w:val="clear" w:color="000000" w:fill="auto"/>
                <w:jc w:val="center"/>
                <w:rPr>
                  <w:b/>
                  <w:sz w:val="22"/>
                  <w:szCs w:val="24"/>
                  <w:lang w:eastAsia="lt-LT"/>
                </w:rPr>
              </w:pPr>
              <w:sdt>
                <w:sdtPr>
                  <w:alias w:val="Numeris"/>
                  <w:tag w:val="nr_6ea6ae795ccb43e3aa274f1e49761416"/>
                  <w:lock w:val="sdtLocked"/>
                  <w:richText/>
                </w:sdtPr>
                <w:sdtContent>
                  <w:r>
                    <w:rPr>
                      <w:b/>
                      <w:sz w:val="22"/>
                      <w:szCs w:val="24"/>
                      <w:lang w:eastAsia="lt-LT"/>
                    </w:rPr>
                    <w:t>V</w:t>
                  </w:r>
                </w:sdtContent>
              </w:sdt>
              <w:r>
                <w:rPr>
                  <w:b/>
                  <w:sz w:val="22"/>
                  <w:szCs w:val="24"/>
                  <w:lang w:eastAsia="lt-LT"/>
                </w:rPr>
                <w:t xml:space="preserve">. </w:t>
              </w:r>
              <w:sdt>
                <w:sdtPr>
                  <w:alias w:val="Pavadinimas"/>
                  <w:tag w:val="title_6ea6ae795ccb43e3aa274f1e49761416"/>
                  <w:lock w:val="sdtLocked"/>
                  <w:richText/>
                </w:sdtPr>
                <w:sdtContent>
                  <w:r>
                    <w:rPr>
                      <w:b/>
                      <w:sz w:val="22"/>
                      <w:szCs w:val="24"/>
                      <w:lang w:eastAsia="lt-LT"/>
                    </w:rPr>
                    <w:t>VANDENS IŠGAVIMAS</w:t>
                  </w:r>
                </w:sdtContent>
              </w:sdt>
            </w:p>
            <w:p>
              <w:pPr>
                <w:shd w:val="clear" w:color="000000" w:fill="auto"/>
                <w:jc w:val="center"/>
                <w:rPr>
                  <w:b/>
                  <w:sz w:val="22"/>
                  <w:szCs w:val="24"/>
                  <w:lang w:eastAsia="lt-LT"/>
                </w:rPr>
              </w:pPr>
            </w:p>
            <w:sdt>
              <w:sdtPr>
                <w:alias w:val="4 pr. 16 p."/>
                <w:tag w:val="part_dc53f605f23649c2b297b9dd50753cac"/>
                <w:lock w:val="sdtLocked"/>
                <w:richText/>
              </w:sdtPr>
              <w:sdtContent>
                <w:p>
                  <w:pPr>
                    <w:shd w:val="clear" w:color="000000" w:fill="auto"/>
                    <w:ind w:firstLine="567"/>
                    <w:jc w:val="both"/>
                    <w:rPr>
                      <w:sz w:val="22"/>
                      <w:szCs w:val="24"/>
                      <w:lang w:eastAsia="lt-LT"/>
                    </w:rPr>
                  </w:pPr>
                  <w:sdt>
                    <w:sdtPr>
                      <w:alias w:val="Numeris"/>
                      <w:tag w:val="nr_dc53f605f23649c2b297b9dd50753cac"/>
                      <w:lock w:val="sdtLocked"/>
                      <w:richText/>
                    </w:sdtPr>
                    <w:sdtContent>
                      <w:r>
                        <w:rPr>
                          <w:sz w:val="22"/>
                          <w:szCs w:val="24"/>
                          <w:lang w:eastAsia="lt-LT"/>
                        </w:rPr>
                        <w:t>16</w:t>
                      </w:r>
                    </w:sdtContent>
                  </w:sdt>
                  <w:r>
                    <w:rPr>
                      <w:sz w:val="22"/>
                      <w:szCs w:val="24"/>
                      <w:lang w:eastAsia="lt-LT"/>
                    </w:rPr>
                    <w:t>. Informacija apie vandens išgavimo būdą (nuoroda į techninius dokumentus, statybos projektą ar kt.).</w:t>
                  </w:r>
                </w:p>
                <w:p>
                  <w:pPr>
                    <w:shd w:val="clear" w:color="000000" w:fill="auto"/>
                    <w:ind w:firstLine="567"/>
                    <w:jc w:val="both"/>
                    <w:rPr>
                      <w:sz w:val="22"/>
                      <w:szCs w:val="24"/>
                      <w:lang w:eastAsia="lt-LT"/>
                    </w:rPr>
                  </w:pPr>
                </w:p>
              </w:sdtContent>
            </w:sdt>
            <w:sdt>
              <w:sdtPr>
                <w:alias w:val="lentele"/>
                <w:tag w:val="part_875c606378214090b089250df328741a"/>
                <w:lock w:val="sdtLocked"/>
                <w:richText/>
              </w:sdtPr>
              <w:sdtContent>
                <w:p>
                  <w:pPr>
                    <w:shd w:val="clear" w:color="000000" w:fill="auto"/>
                    <w:ind w:firstLine="567"/>
                    <w:jc w:val="both"/>
                    <w:rPr>
                      <w:sz w:val="22"/>
                      <w:szCs w:val="24"/>
                      <w:lang w:eastAsia="lt-LT"/>
                    </w:rPr>
                  </w:pPr>
                  <w:r>
                    <w:rPr>
                      <w:sz w:val="22"/>
                      <w:szCs w:val="24"/>
                      <w:lang w:eastAsia="lt-LT"/>
                    </w:rPr>
                    <w:t xml:space="preserve">7 lentelė. </w:t>
                  </w:r>
                  <w:sdt>
                    <w:sdtPr>
                      <w:alias w:val="Pavadinimas"/>
                      <w:tag w:val="title_875c606378214090b089250df328741a"/>
                      <w:lock w:val="sdtLocked"/>
                      <w:richText/>
                    </w:sdtPr>
                    <w:sdtContent>
                      <w:r>
                        <w:rPr>
                          <w:sz w:val="22"/>
                          <w:szCs w:val="24"/>
                          <w:lang w:eastAsia="lt-LT"/>
                        </w:rPr>
                        <w:t>Duomenys apie paviršinį vandens telkinį, iš kurio numatoma išgauti vandenį, vandens išgavimo vietą ir planuojamą išgauti vandens kiekį</w:t>
                      </w:r>
                    </w:sdtContent>
                  </w:sdt>
                </w:p>
                <w:p>
                  <w:pPr>
                    <w:shd w:val="clear" w:color="000000" w:fill="auto"/>
                    <w:jc w:val="both"/>
                    <w:rPr>
                      <w:sz w:val="18"/>
                      <w:lang w:eastAsia="lt-LT"/>
                    </w:rPr>
                  </w:pPr>
                </w:p>
                <w:tbl>
                  <w:tblPr>
                    <w:tblW w:w="133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91"/>
                    <w:gridCol w:w="4277"/>
                    <w:gridCol w:w="1273"/>
                    <w:gridCol w:w="1273"/>
                    <w:gridCol w:w="1193"/>
                    <w:gridCol w:w="1194"/>
                    <w:gridCol w:w="1273"/>
                    <w:gridCol w:w="1273"/>
                  </w:tblGrid>
                  <w:tr>
                    <w:tc>
                      <w:tcPr>
                        <w:tcW w:w="1591"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c>
                      <w:tcPr>
                        <w:tcW w:w="4277" w:type="dxa"/>
                        <w:tcBorders>
                          <w:top w:val="single" w:sz="4" w:space="0" w:color="auto"/>
                          <w:left w:val="single" w:sz="4" w:space="0" w:color="auto"/>
                          <w:bottom w:val="single" w:sz="4" w:space="0" w:color="auto"/>
                          <w:right w:val="single" w:sz="4" w:space="0" w:color="auto"/>
                        </w:tcBorders>
                      </w:tcPr>
                      <w:p>
                        <w:pPr>
                          <w:shd w:val="clear" w:color="000000" w:fill="auto"/>
                          <w:rPr>
                            <w:sz w:val="18"/>
                            <w:lang w:eastAsia="lt-LT"/>
                          </w:rPr>
                        </w:pPr>
                        <w:r>
                          <w:rPr>
                            <w:sz w:val="18"/>
                            <w:lang w:eastAsia="lt-LT"/>
                          </w:rPr>
                          <w:t>Vandens išgavimo vietos Nr.</w:t>
                        </w:r>
                      </w:p>
                    </w:tc>
                    <w:tc>
                      <w:tcPr>
                        <w:tcW w:w="2546" w:type="dxa"/>
                        <w:gridSpan w:val="2"/>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c>
                      <w:tcPr>
                        <w:tcW w:w="2387" w:type="dxa"/>
                        <w:gridSpan w:val="2"/>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c>
                      <w:tcPr>
                        <w:tcW w:w="2546" w:type="dxa"/>
                        <w:gridSpan w:val="2"/>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r>
                  <w:tr>
                    <w:tc>
                      <w:tcPr>
                        <w:tcW w:w="1591"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r>
                          <w:rPr>
                            <w:sz w:val="18"/>
                            <w:lang w:eastAsia="lt-LT"/>
                          </w:rPr>
                          <w:t>1.</w:t>
                        </w:r>
                      </w:p>
                    </w:tc>
                    <w:tc>
                      <w:tcPr>
                        <w:tcW w:w="4277" w:type="dxa"/>
                        <w:tcBorders>
                          <w:top w:val="single" w:sz="4" w:space="0" w:color="auto"/>
                          <w:left w:val="single" w:sz="4" w:space="0" w:color="auto"/>
                          <w:bottom w:val="single" w:sz="4" w:space="0" w:color="auto"/>
                          <w:right w:val="single" w:sz="4" w:space="0" w:color="auto"/>
                        </w:tcBorders>
                      </w:tcPr>
                      <w:p>
                        <w:pPr>
                          <w:shd w:val="clear" w:color="000000" w:fill="auto"/>
                          <w:rPr>
                            <w:sz w:val="18"/>
                            <w:lang w:eastAsia="lt-LT"/>
                          </w:rPr>
                        </w:pPr>
                        <w:r>
                          <w:rPr>
                            <w:sz w:val="18"/>
                            <w:lang w:eastAsia="lt-LT"/>
                          </w:rPr>
                          <w:t>Vandens telkinio kategorija (upė, ežeras, tvenkinys, kt.)</w:t>
                        </w:r>
                      </w:p>
                    </w:tc>
                    <w:tc>
                      <w:tcPr>
                        <w:tcW w:w="2546" w:type="dxa"/>
                        <w:gridSpan w:val="2"/>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c>
                      <w:tcPr>
                        <w:tcW w:w="2387" w:type="dxa"/>
                        <w:gridSpan w:val="2"/>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c>
                      <w:tcPr>
                        <w:tcW w:w="2546" w:type="dxa"/>
                        <w:gridSpan w:val="2"/>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r>
                  <w:tr>
                    <w:tc>
                      <w:tcPr>
                        <w:tcW w:w="1591"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r>
                          <w:rPr>
                            <w:sz w:val="18"/>
                            <w:lang w:eastAsia="lt-LT"/>
                          </w:rPr>
                          <w:t>2.</w:t>
                        </w:r>
                      </w:p>
                    </w:tc>
                    <w:tc>
                      <w:tcPr>
                        <w:tcW w:w="4277" w:type="dxa"/>
                        <w:tcBorders>
                          <w:top w:val="single" w:sz="4" w:space="0" w:color="auto"/>
                          <w:left w:val="single" w:sz="4" w:space="0" w:color="auto"/>
                          <w:bottom w:val="single" w:sz="4" w:space="0" w:color="auto"/>
                          <w:right w:val="single" w:sz="4" w:space="0" w:color="auto"/>
                        </w:tcBorders>
                      </w:tcPr>
                      <w:p>
                        <w:pPr>
                          <w:shd w:val="clear" w:color="000000" w:fill="auto"/>
                          <w:rPr>
                            <w:sz w:val="18"/>
                            <w:lang w:eastAsia="lt-LT"/>
                          </w:rPr>
                        </w:pPr>
                        <w:r>
                          <w:rPr>
                            <w:sz w:val="18"/>
                            <w:lang w:eastAsia="lt-LT"/>
                          </w:rPr>
                          <w:t>Vandens telkinio pavadinimas</w:t>
                        </w:r>
                      </w:p>
                    </w:tc>
                    <w:tc>
                      <w:tcPr>
                        <w:tcW w:w="2546" w:type="dxa"/>
                        <w:gridSpan w:val="2"/>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c>
                      <w:tcPr>
                        <w:tcW w:w="2387" w:type="dxa"/>
                        <w:gridSpan w:val="2"/>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c>
                      <w:tcPr>
                        <w:tcW w:w="2546" w:type="dxa"/>
                        <w:gridSpan w:val="2"/>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r>
                  <w:tr>
                    <w:tc>
                      <w:tcPr>
                        <w:tcW w:w="1591"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r>
                          <w:rPr>
                            <w:sz w:val="18"/>
                            <w:lang w:eastAsia="lt-LT"/>
                          </w:rPr>
                          <w:t>3.</w:t>
                        </w:r>
                      </w:p>
                    </w:tc>
                    <w:tc>
                      <w:tcPr>
                        <w:tcW w:w="4277" w:type="dxa"/>
                        <w:tcBorders>
                          <w:top w:val="single" w:sz="4" w:space="0" w:color="auto"/>
                          <w:left w:val="single" w:sz="4" w:space="0" w:color="auto"/>
                          <w:bottom w:val="single" w:sz="4" w:space="0" w:color="auto"/>
                          <w:right w:val="single" w:sz="4" w:space="0" w:color="auto"/>
                        </w:tcBorders>
                      </w:tcPr>
                      <w:p>
                        <w:pPr>
                          <w:shd w:val="clear" w:color="000000" w:fill="auto"/>
                          <w:rPr>
                            <w:sz w:val="18"/>
                            <w:lang w:eastAsia="lt-LT"/>
                          </w:rPr>
                        </w:pPr>
                        <w:r>
                          <w:rPr>
                            <w:sz w:val="18"/>
                            <w:lang w:eastAsia="lt-LT"/>
                          </w:rPr>
                          <w:t>Vandens telkinio identifikavimo kodas</w:t>
                        </w:r>
                      </w:p>
                    </w:tc>
                    <w:tc>
                      <w:tcPr>
                        <w:tcW w:w="2546" w:type="dxa"/>
                        <w:gridSpan w:val="2"/>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c>
                      <w:tcPr>
                        <w:tcW w:w="2387" w:type="dxa"/>
                        <w:gridSpan w:val="2"/>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c>
                      <w:tcPr>
                        <w:tcW w:w="2546" w:type="dxa"/>
                        <w:gridSpan w:val="2"/>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r>
                  <w:tr>
                    <w:tc>
                      <w:tcPr>
                        <w:tcW w:w="1591"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r>
                          <w:rPr>
                            <w:sz w:val="18"/>
                            <w:lang w:eastAsia="lt-LT"/>
                          </w:rPr>
                          <w:t>4.</w:t>
                        </w:r>
                      </w:p>
                    </w:tc>
                    <w:tc>
                      <w:tcPr>
                        <w:tcW w:w="4277" w:type="dxa"/>
                        <w:tcBorders>
                          <w:top w:val="single" w:sz="4" w:space="0" w:color="auto"/>
                          <w:left w:val="single" w:sz="4" w:space="0" w:color="auto"/>
                          <w:bottom w:val="single" w:sz="4" w:space="0" w:color="auto"/>
                          <w:right w:val="single" w:sz="4" w:space="0" w:color="auto"/>
                        </w:tcBorders>
                      </w:tcPr>
                      <w:p>
                        <w:pPr>
                          <w:shd w:val="clear" w:color="000000" w:fill="auto"/>
                          <w:rPr>
                            <w:sz w:val="18"/>
                            <w:lang w:eastAsia="lt-LT"/>
                          </w:rPr>
                        </w:pPr>
                        <w:r>
                          <w:rPr>
                            <w:sz w:val="18"/>
                            <w:lang w:eastAsia="lt-LT"/>
                          </w:rPr>
                          <w:t>80% tikimybės sausiausio mėnesio vidutinis upės debitas (m</w:t>
                        </w:r>
                        <w:r>
                          <w:rPr>
                            <w:sz w:val="18"/>
                            <w:vertAlign w:val="superscript"/>
                            <w:lang w:eastAsia="lt-LT"/>
                          </w:rPr>
                          <w:t>3</w:t>
                        </w:r>
                        <w:r>
                          <w:rPr>
                            <w:sz w:val="18"/>
                            <w:lang w:eastAsia="lt-LT"/>
                          </w:rPr>
                          <w:t>/s)</w:t>
                        </w:r>
                      </w:p>
                    </w:tc>
                    <w:tc>
                      <w:tcPr>
                        <w:tcW w:w="2546" w:type="dxa"/>
                        <w:gridSpan w:val="2"/>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c>
                      <w:tcPr>
                        <w:tcW w:w="2387" w:type="dxa"/>
                        <w:gridSpan w:val="2"/>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c>
                      <w:tcPr>
                        <w:tcW w:w="2546" w:type="dxa"/>
                        <w:gridSpan w:val="2"/>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r>
                  <w:tr>
                    <w:tc>
                      <w:tcPr>
                        <w:tcW w:w="1591"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r>
                          <w:rPr>
                            <w:sz w:val="18"/>
                            <w:lang w:eastAsia="lt-LT"/>
                          </w:rPr>
                          <w:t>5.</w:t>
                        </w:r>
                      </w:p>
                    </w:tc>
                    <w:tc>
                      <w:tcPr>
                        <w:tcW w:w="4277" w:type="dxa"/>
                        <w:tcBorders>
                          <w:top w:val="single" w:sz="4" w:space="0" w:color="auto"/>
                          <w:left w:val="single" w:sz="4" w:space="0" w:color="auto"/>
                          <w:bottom w:val="single" w:sz="4" w:space="0" w:color="auto"/>
                          <w:right w:val="single" w:sz="4" w:space="0" w:color="auto"/>
                        </w:tcBorders>
                      </w:tcPr>
                      <w:p>
                        <w:pPr>
                          <w:shd w:val="clear" w:color="000000" w:fill="auto"/>
                          <w:rPr>
                            <w:sz w:val="18"/>
                            <w:lang w:eastAsia="lt-LT"/>
                          </w:rPr>
                        </w:pPr>
                        <w:r>
                          <w:rPr>
                            <w:sz w:val="18"/>
                            <w:lang w:eastAsia="lt-LT"/>
                          </w:rPr>
                          <w:t>Ežero, tvenkinio tūris (m</w:t>
                        </w:r>
                        <w:r>
                          <w:rPr>
                            <w:sz w:val="18"/>
                            <w:vertAlign w:val="superscript"/>
                            <w:lang w:eastAsia="lt-LT"/>
                          </w:rPr>
                          <w:t>3</w:t>
                        </w:r>
                        <w:r>
                          <w:rPr>
                            <w:sz w:val="18"/>
                            <w:lang w:eastAsia="lt-LT"/>
                          </w:rPr>
                          <w:t>)</w:t>
                        </w:r>
                      </w:p>
                    </w:tc>
                    <w:tc>
                      <w:tcPr>
                        <w:tcW w:w="2546" w:type="dxa"/>
                        <w:gridSpan w:val="2"/>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c>
                      <w:tcPr>
                        <w:tcW w:w="2387" w:type="dxa"/>
                        <w:gridSpan w:val="2"/>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c>
                      <w:tcPr>
                        <w:tcW w:w="2546" w:type="dxa"/>
                        <w:gridSpan w:val="2"/>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r>
                  <w:tr>
                    <w:tc>
                      <w:tcPr>
                        <w:tcW w:w="1591"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r>
                          <w:rPr>
                            <w:sz w:val="18"/>
                            <w:lang w:eastAsia="lt-LT"/>
                          </w:rPr>
                          <w:t>6.</w:t>
                        </w:r>
                      </w:p>
                    </w:tc>
                    <w:tc>
                      <w:tcPr>
                        <w:tcW w:w="4277" w:type="dxa"/>
                        <w:tcBorders>
                          <w:top w:val="single" w:sz="4" w:space="0" w:color="auto"/>
                          <w:left w:val="single" w:sz="4" w:space="0" w:color="auto"/>
                          <w:bottom w:val="single" w:sz="4" w:space="0" w:color="auto"/>
                          <w:right w:val="single" w:sz="4" w:space="0" w:color="auto"/>
                        </w:tcBorders>
                      </w:tcPr>
                      <w:p>
                        <w:pPr>
                          <w:shd w:val="clear" w:color="000000" w:fill="auto"/>
                          <w:rPr>
                            <w:sz w:val="18"/>
                            <w:lang w:eastAsia="lt-LT"/>
                          </w:rPr>
                        </w:pPr>
                        <w:r>
                          <w:rPr>
                            <w:sz w:val="18"/>
                            <w:lang w:eastAsia="lt-LT"/>
                          </w:rPr>
                          <w:t>Vandens išgavimo vietos koordinatės</w:t>
                        </w:r>
                      </w:p>
                    </w:tc>
                    <w:tc>
                      <w:tcPr>
                        <w:tcW w:w="2546" w:type="dxa"/>
                        <w:gridSpan w:val="2"/>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c>
                      <w:tcPr>
                        <w:tcW w:w="2387" w:type="dxa"/>
                        <w:gridSpan w:val="2"/>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c>
                      <w:tcPr>
                        <w:tcW w:w="2546" w:type="dxa"/>
                        <w:gridSpan w:val="2"/>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r>
                  <w:tr>
                    <w:tc>
                      <w:tcPr>
                        <w:tcW w:w="1591" w:type="dxa"/>
                        <w:vMerge w:val="restart"/>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r>
                          <w:rPr>
                            <w:sz w:val="18"/>
                            <w:lang w:eastAsia="lt-LT"/>
                          </w:rPr>
                          <w:t>7.</w:t>
                        </w:r>
                      </w:p>
                    </w:tc>
                    <w:tc>
                      <w:tcPr>
                        <w:tcW w:w="4277" w:type="dxa"/>
                        <w:vMerge w:val="restart"/>
                        <w:tcBorders>
                          <w:top w:val="single" w:sz="4" w:space="0" w:color="auto"/>
                          <w:left w:val="single" w:sz="4" w:space="0" w:color="auto"/>
                          <w:bottom w:val="single" w:sz="4" w:space="0" w:color="auto"/>
                          <w:right w:val="single" w:sz="4" w:space="0" w:color="auto"/>
                        </w:tcBorders>
                      </w:tcPr>
                      <w:p>
                        <w:pPr>
                          <w:shd w:val="clear" w:color="000000" w:fill="auto"/>
                          <w:rPr>
                            <w:sz w:val="18"/>
                            <w:lang w:eastAsia="lt-LT"/>
                          </w:rPr>
                        </w:pPr>
                        <w:r>
                          <w:rPr>
                            <w:sz w:val="18"/>
                            <w:lang w:eastAsia="lt-LT"/>
                          </w:rPr>
                          <w:t>Didžiausias planuojamas išgauti vandens kiekis</w:t>
                        </w:r>
                      </w:p>
                    </w:tc>
                    <w:tc>
                      <w:tcPr>
                        <w:tcW w:w="1273"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r>
                          <w:rPr>
                            <w:sz w:val="18"/>
                            <w:lang w:eastAsia="lt-LT"/>
                          </w:rPr>
                          <w:t>m</w:t>
                        </w:r>
                        <w:r>
                          <w:rPr>
                            <w:sz w:val="18"/>
                            <w:vertAlign w:val="superscript"/>
                            <w:lang w:eastAsia="lt-LT"/>
                          </w:rPr>
                          <w:t>3</w:t>
                        </w:r>
                        <w:r>
                          <w:rPr>
                            <w:sz w:val="18"/>
                            <w:lang w:eastAsia="lt-LT"/>
                          </w:rPr>
                          <w:t>/m.</w:t>
                        </w:r>
                      </w:p>
                    </w:tc>
                    <w:tc>
                      <w:tcPr>
                        <w:tcW w:w="1273"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r>
                          <w:rPr>
                            <w:sz w:val="18"/>
                            <w:lang w:eastAsia="lt-LT"/>
                          </w:rPr>
                          <w:t>m</w:t>
                        </w:r>
                        <w:r>
                          <w:rPr>
                            <w:sz w:val="18"/>
                            <w:vertAlign w:val="superscript"/>
                            <w:lang w:eastAsia="lt-LT"/>
                          </w:rPr>
                          <w:t>3</w:t>
                        </w:r>
                        <w:r>
                          <w:rPr>
                            <w:sz w:val="18"/>
                            <w:lang w:eastAsia="lt-LT"/>
                          </w:rPr>
                          <w:t>/p.</w:t>
                        </w:r>
                      </w:p>
                    </w:tc>
                    <w:tc>
                      <w:tcPr>
                        <w:tcW w:w="1193"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r>
                          <w:rPr>
                            <w:sz w:val="18"/>
                            <w:lang w:eastAsia="lt-LT"/>
                          </w:rPr>
                          <w:t>m</w:t>
                        </w:r>
                        <w:r>
                          <w:rPr>
                            <w:sz w:val="18"/>
                            <w:vertAlign w:val="superscript"/>
                            <w:lang w:eastAsia="lt-LT"/>
                          </w:rPr>
                          <w:t>3</w:t>
                        </w:r>
                        <w:r>
                          <w:rPr>
                            <w:sz w:val="18"/>
                            <w:lang w:eastAsia="lt-LT"/>
                          </w:rPr>
                          <w:t>/m.</w:t>
                        </w:r>
                      </w:p>
                    </w:tc>
                    <w:tc>
                      <w:tcPr>
                        <w:tcW w:w="1194"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r>
                          <w:rPr>
                            <w:sz w:val="18"/>
                            <w:lang w:eastAsia="lt-LT"/>
                          </w:rPr>
                          <w:t>m</w:t>
                        </w:r>
                        <w:r>
                          <w:rPr>
                            <w:sz w:val="18"/>
                            <w:vertAlign w:val="superscript"/>
                            <w:lang w:eastAsia="lt-LT"/>
                          </w:rPr>
                          <w:t>3</w:t>
                        </w:r>
                        <w:r>
                          <w:rPr>
                            <w:sz w:val="18"/>
                            <w:lang w:eastAsia="lt-LT"/>
                          </w:rPr>
                          <w:t>/p.</w:t>
                        </w:r>
                      </w:p>
                    </w:tc>
                    <w:tc>
                      <w:tcPr>
                        <w:tcW w:w="1273"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r>
                          <w:rPr>
                            <w:sz w:val="18"/>
                            <w:lang w:eastAsia="lt-LT"/>
                          </w:rPr>
                          <w:t>m</w:t>
                        </w:r>
                        <w:r>
                          <w:rPr>
                            <w:sz w:val="18"/>
                            <w:vertAlign w:val="superscript"/>
                            <w:lang w:eastAsia="lt-LT"/>
                          </w:rPr>
                          <w:t>3</w:t>
                        </w:r>
                        <w:r>
                          <w:rPr>
                            <w:sz w:val="18"/>
                            <w:lang w:eastAsia="lt-LT"/>
                          </w:rPr>
                          <w:t>/m.</w:t>
                        </w:r>
                      </w:p>
                    </w:tc>
                    <w:tc>
                      <w:tcPr>
                        <w:tcW w:w="1273"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r>
                          <w:rPr>
                            <w:sz w:val="18"/>
                            <w:lang w:eastAsia="lt-LT"/>
                          </w:rPr>
                          <w:t>m</w:t>
                        </w:r>
                        <w:r>
                          <w:rPr>
                            <w:sz w:val="18"/>
                            <w:vertAlign w:val="superscript"/>
                            <w:lang w:eastAsia="lt-LT"/>
                          </w:rPr>
                          <w:t>3</w:t>
                        </w:r>
                        <w:r>
                          <w:rPr>
                            <w:sz w:val="18"/>
                            <w:lang w:eastAsia="lt-LT"/>
                          </w:rPr>
                          <w:t>/p.</w:t>
                        </w:r>
                      </w:p>
                    </w:tc>
                  </w:tr>
                  <w:tr>
                    <w:tc>
                      <w:tcPr>
                        <w:tcW w:w="1591" w:type="dxa"/>
                        <w:vMerge/>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c>
                      <w:tcPr>
                        <w:tcW w:w="4277" w:type="dxa"/>
                        <w:vMerge/>
                        <w:tcBorders>
                          <w:top w:val="single" w:sz="4" w:space="0" w:color="auto"/>
                          <w:left w:val="single" w:sz="4" w:space="0" w:color="auto"/>
                          <w:bottom w:val="single" w:sz="4" w:space="0" w:color="auto"/>
                          <w:right w:val="single" w:sz="4" w:space="0" w:color="auto"/>
                        </w:tcBorders>
                      </w:tcPr>
                      <w:p>
                        <w:pPr>
                          <w:shd w:val="clear" w:color="000000" w:fill="auto"/>
                          <w:jc w:val="both"/>
                          <w:rPr>
                            <w:sz w:val="18"/>
                            <w:lang w:eastAsia="lt-LT"/>
                          </w:rPr>
                        </w:pPr>
                      </w:p>
                    </w:tc>
                    <w:tc>
                      <w:tcPr>
                        <w:tcW w:w="1273"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c>
                      <w:tcPr>
                        <w:tcW w:w="1273"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c>
                      <w:tcPr>
                        <w:tcW w:w="1193"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c>
                      <w:tcPr>
                        <w:tcW w:w="1194"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c>
                      <w:tcPr>
                        <w:tcW w:w="1273"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c>
                      <w:tcPr>
                        <w:tcW w:w="1273"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r>
                </w:tbl>
                <w:p>
                  <w:pPr>
                    <w:shd w:val="clear" w:color="000000" w:fill="auto"/>
                    <w:jc w:val="center"/>
                    <w:rPr>
                      <w:b/>
                      <w:sz w:val="22"/>
                      <w:szCs w:val="24"/>
                      <w:lang w:eastAsia="lt-LT"/>
                    </w:rPr>
                  </w:pPr>
                </w:p>
              </w:sdtContent>
            </w:sdt>
            <w:sdt>
              <w:sdtPr>
                <w:alias w:val="lentele"/>
                <w:tag w:val="part_472720dd213347c89c0c87a5eb20f0f6"/>
                <w:lock w:val="sdtLocked"/>
                <w:richText/>
              </w:sdtPr>
              <w:sdtContent>
                <w:p>
                  <w:pPr>
                    <w:shd w:val="clear" w:color="000000" w:fill="auto"/>
                    <w:ind w:firstLine="567"/>
                    <w:jc w:val="both"/>
                    <w:rPr>
                      <w:sz w:val="22"/>
                      <w:szCs w:val="24"/>
                      <w:lang w:eastAsia="lt-LT"/>
                    </w:rPr>
                  </w:pPr>
                  <w:sdt>
                    <w:sdtPr>
                      <w:alias w:val="Numeris"/>
                      <w:tag w:val="nr_472720dd213347c89c0c87a5eb20f0f6"/>
                      <w:lock w:val="sdtLocked"/>
                      <w:richText/>
                    </w:sdtPr>
                    <w:sdtContent>
                      <w:r>
                        <w:rPr>
                          <w:sz w:val="22"/>
                          <w:szCs w:val="24"/>
                          <w:lang w:eastAsia="lt-LT"/>
                        </w:rPr>
                        <w:t>8</w:t>
                      </w:r>
                    </w:sdtContent>
                  </w:sdt>
                  <w:r>
                    <w:rPr>
                      <w:sz w:val="22"/>
                      <w:szCs w:val="24"/>
                      <w:lang w:eastAsia="lt-LT"/>
                    </w:rPr>
                    <w:t xml:space="preserve"> lentelė. Duomenys apie planuojamas naudoti požeminio vandens vandenvietes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0"/>
                    <w:gridCol w:w="2277"/>
                    <w:gridCol w:w="2277"/>
                    <w:gridCol w:w="2900"/>
                    <w:gridCol w:w="3106"/>
                    <w:gridCol w:w="2394"/>
                  </w:tblGrid>
                  <w:tr>
                    <w:tc>
                      <w:tcPr>
                        <w:tcW w:w="488" w:type="pct"/>
                        <w:vMerge w:val="restart"/>
                      </w:tcPr>
                      <w:p>
                        <w:pPr>
                          <w:shd w:val="clear" w:color="000000" w:fill="auto"/>
                          <w:jc w:val="center"/>
                          <w:rPr>
                            <w:sz w:val="22"/>
                            <w:szCs w:val="24"/>
                            <w:lang w:eastAsia="lt-LT"/>
                          </w:rPr>
                        </w:pPr>
                        <w:r>
                          <w:rPr>
                            <w:sz w:val="22"/>
                            <w:szCs w:val="24"/>
                            <w:lang w:eastAsia="lt-LT"/>
                          </w:rPr>
                          <w:t>Eil. Nr.</w:t>
                        </w:r>
                      </w:p>
                    </w:tc>
                    <w:tc>
                      <w:tcPr>
                        <w:tcW w:w="4512" w:type="pct"/>
                        <w:gridSpan w:val="5"/>
                      </w:tcPr>
                      <w:p>
                        <w:pPr>
                          <w:shd w:val="clear" w:color="000000" w:fill="auto"/>
                          <w:jc w:val="center"/>
                          <w:rPr>
                            <w:sz w:val="22"/>
                            <w:szCs w:val="24"/>
                            <w:lang w:eastAsia="lt-LT"/>
                          </w:rPr>
                        </w:pPr>
                        <w:r>
                          <w:rPr>
                            <w:sz w:val="22"/>
                            <w:szCs w:val="24"/>
                            <w:lang w:eastAsia="lt-LT"/>
                          </w:rPr>
                          <w:t>Gėlo požeminio vandens vandenvietė (telkinys)</w:t>
                        </w:r>
                      </w:p>
                    </w:tc>
                  </w:tr>
                  <w:tr>
                    <w:tc>
                      <w:tcPr>
                        <w:tcW w:w="488" w:type="pct"/>
                        <w:vMerge/>
                      </w:tcPr>
                      <w:p>
                        <w:pPr>
                          <w:shd w:val="clear" w:color="000000" w:fill="auto"/>
                          <w:jc w:val="center"/>
                          <w:rPr>
                            <w:sz w:val="22"/>
                            <w:szCs w:val="24"/>
                            <w:lang w:eastAsia="lt-LT"/>
                          </w:rPr>
                        </w:pPr>
                      </w:p>
                    </w:tc>
                    <w:tc>
                      <w:tcPr>
                        <w:tcW w:w="793" w:type="pct"/>
                      </w:tcPr>
                      <w:p>
                        <w:pPr>
                          <w:shd w:val="clear" w:color="000000" w:fill="auto"/>
                          <w:jc w:val="center"/>
                          <w:rPr>
                            <w:sz w:val="22"/>
                            <w:szCs w:val="24"/>
                            <w:lang w:eastAsia="lt-LT"/>
                          </w:rPr>
                        </w:pPr>
                        <w:r>
                          <w:rPr>
                            <w:sz w:val="22"/>
                            <w:szCs w:val="24"/>
                            <w:lang w:eastAsia="lt-LT"/>
                          </w:rPr>
                          <w:t>Pavadinimas Žemės gelmių registre</w:t>
                        </w:r>
                      </w:p>
                    </w:tc>
                    <w:tc>
                      <w:tcPr>
                        <w:tcW w:w="793" w:type="pct"/>
                      </w:tcPr>
                      <w:p>
                        <w:pPr>
                          <w:shd w:val="clear" w:color="000000" w:fill="auto"/>
                          <w:jc w:val="center"/>
                          <w:rPr>
                            <w:sz w:val="22"/>
                            <w:szCs w:val="24"/>
                            <w:lang w:eastAsia="lt-LT"/>
                          </w:rPr>
                        </w:pPr>
                        <w:r>
                          <w:rPr>
                            <w:sz w:val="22"/>
                            <w:szCs w:val="24"/>
                            <w:lang w:eastAsia="lt-LT"/>
                          </w:rPr>
                          <w:t>Adresas</w:t>
                        </w:r>
                      </w:p>
                    </w:tc>
                    <w:tc>
                      <w:tcPr>
                        <w:tcW w:w="1010" w:type="pct"/>
                      </w:tcPr>
                      <w:p>
                        <w:pPr>
                          <w:shd w:val="clear" w:color="000000" w:fill="auto"/>
                          <w:jc w:val="center"/>
                          <w:rPr>
                            <w:sz w:val="22"/>
                            <w:szCs w:val="24"/>
                            <w:lang w:eastAsia="lt-LT"/>
                          </w:rPr>
                        </w:pPr>
                        <w:r>
                          <w:rPr>
                            <w:sz w:val="22"/>
                            <w:szCs w:val="24"/>
                            <w:lang w:eastAsia="lt-LT"/>
                          </w:rPr>
                          <w:t>Kodas Žemės gelmių registre</w:t>
                        </w:r>
                      </w:p>
                    </w:tc>
                    <w:tc>
                      <w:tcPr>
                        <w:tcW w:w="1082" w:type="pct"/>
                      </w:tcPr>
                      <w:p>
                        <w:pPr>
                          <w:shd w:val="clear" w:color="000000" w:fill="auto"/>
                          <w:jc w:val="center"/>
                          <w:rPr>
                            <w:sz w:val="22"/>
                            <w:szCs w:val="24"/>
                            <w:lang w:eastAsia="lt-LT"/>
                          </w:rPr>
                        </w:pPr>
                        <w:r>
                          <w:rPr>
                            <w:sz w:val="22"/>
                            <w:szCs w:val="24"/>
                            <w:lang w:eastAsia="lt-LT"/>
                          </w:rPr>
                          <w:t>Aprobuotų išteklių kiekis, m</w:t>
                        </w:r>
                        <w:r>
                          <w:rPr>
                            <w:sz w:val="22"/>
                            <w:szCs w:val="24"/>
                            <w:vertAlign w:val="superscript"/>
                            <w:lang w:eastAsia="lt-LT"/>
                          </w:rPr>
                          <w:t>3</w:t>
                        </w:r>
                        <w:r>
                          <w:rPr>
                            <w:sz w:val="22"/>
                            <w:szCs w:val="24"/>
                            <w:lang w:eastAsia="lt-LT"/>
                          </w:rPr>
                          <w:t>/d</w:t>
                        </w:r>
                      </w:p>
                      <w:p>
                        <w:pPr>
                          <w:shd w:val="clear" w:color="000000" w:fill="auto"/>
                          <w:jc w:val="center"/>
                          <w:rPr>
                            <w:sz w:val="22"/>
                            <w:szCs w:val="24"/>
                            <w:lang w:eastAsia="lt-LT"/>
                          </w:rPr>
                        </w:pPr>
                      </w:p>
                    </w:tc>
                    <w:tc>
                      <w:tcPr>
                        <w:tcW w:w="834" w:type="pct"/>
                      </w:tcPr>
                      <w:p>
                        <w:pPr>
                          <w:shd w:val="clear" w:color="000000" w:fill="auto"/>
                          <w:jc w:val="center"/>
                          <w:rPr>
                            <w:sz w:val="22"/>
                            <w:szCs w:val="24"/>
                            <w:lang w:eastAsia="lt-LT"/>
                          </w:rPr>
                        </w:pPr>
                        <w:r>
                          <w:rPr>
                            <w:sz w:val="22"/>
                            <w:szCs w:val="24"/>
                            <w:lang w:eastAsia="lt-LT"/>
                          </w:rPr>
                          <w:t>Išteklių aprobavimo dokumento data ir Nr.</w:t>
                        </w:r>
                      </w:p>
                    </w:tc>
                  </w:tr>
                  <w:tr>
                    <w:tc>
                      <w:tcPr>
                        <w:tcW w:w="488" w:type="pct"/>
                      </w:tcPr>
                      <w:p>
                        <w:pPr>
                          <w:shd w:val="clear" w:color="000000" w:fill="auto"/>
                          <w:jc w:val="center"/>
                          <w:rPr>
                            <w:sz w:val="22"/>
                            <w:szCs w:val="24"/>
                            <w:lang w:eastAsia="lt-LT"/>
                          </w:rPr>
                        </w:pPr>
                        <w:r>
                          <w:rPr>
                            <w:sz w:val="22"/>
                            <w:szCs w:val="24"/>
                            <w:lang w:eastAsia="lt-LT"/>
                          </w:rPr>
                          <w:t>1</w:t>
                        </w:r>
                      </w:p>
                    </w:tc>
                    <w:tc>
                      <w:tcPr>
                        <w:tcW w:w="793" w:type="pct"/>
                      </w:tcPr>
                      <w:p>
                        <w:pPr>
                          <w:shd w:val="clear" w:color="000000" w:fill="auto"/>
                          <w:jc w:val="center"/>
                          <w:rPr>
                            <w:sz w:val="22"/>
                            <w:szCs w:val="24"/>
                            <w:lang w:eastAsia="lt-LT"/>
                          </w:rPr>
                        </w:pPr>
                        <w:r>
                          <w:rPr>
                            <w:sz w:val="22"/>
                            <w:szCs w:val="24"/>
                            <w:lang w:eastAsia="lt-LT"/>
                          </w:rPr>
                          <w:t>2</w:t>
                        </w:r>
                      </w:p>
                    </w:tc>
                    <w:tc>
                      <w:tcPr>
                        <w:tcW w:w="793" w:type="pct"/>
                      </w:tcPr>
                      <w:p>
                        <w:pPr>
                          <w:shd w:val="clear" w:color="000000" w:fill="auto"/>
                          <w:jc w:val="center"/>
                          <w:rPr>
                            <w:sz w:val="22"/>
                            <w:szCs w:val="24"/>
                            <w:lang w:eastAsia="lt-LT"/>
                          </w:rPr>
                        </w:pPr>
                        <w:r>
                          <w:rPr>
                            <w:sz w:val="22"/>
                            <w:szCs w:val="24"/>
                            <w:lang w:eastAsia="lt-LT"/>
                          </w:rPr>
                          <w:t>3</w:t>
                        </w:r>
                      </w:p>
                    </w:tc>
                    <w:tc>
                      <w:tcPr>
                        <w:tcW w:w="1010" w:type="pct"/>
                      </w:tcPr>
                      <w:p>
                        <w:pPr>
                          <w:shd w:val="clear" w:color="000000" w:fill="auto"/>
                          <w:jc w:val="center"/>
                          <w:rPr>
                            <w:sz w:val="22"/>
                            <w:szCs w:val="24"/>
                            <w:lang w:eastAsia="lt-LT"/>
                          </w:rPr>
                        </w:pPr>
                        <w:r>
                          <w:rPr>
                            <w:sz w:val="22"/>
                            <w:szCs w:val="24"/>
                            <w:lang w:eastAsia="lt-LT"/>
                          </w:rPr>
                          <w:t>4</w:t>
                        </w:r>
                      </w:p>
                    </w:tc>
                    <w:tc>
                      <w:tcPr>
                        <w:tcW w:w="1082" w:type="pct"/>
                      </w:tcPr>
                      <w:p>
                        <w:pPr>
                          <w:shd w:val="clear" w:color="000000" w:fill="auto"/>
                          <w:jc w:val="center"/>
                          <w:rPr>
                            <w:sz w:val="22"/>
                            <w:szCs w:val="24"/>
                            <w:lang w:eastAsia="lt-LT"/>
                          </w:rPr>
                        </w:pPr>
                        <w:r>
                          <w:rPr>
                            <w:sz w:val="22"/>
                            <w:szCs w:val="24"/>
                            <w:lang w:eastAsia="lt-LT"/>
                          </w:rPr>
                          <w:t xml:space="preserve">5 </w:t>
                        </w:r>
                      </w:p>
                    </w:tc>
                    <w:tc>
                      <w:tcPr>
                        <w:tcW w:w="834" w:type="pct"/>
                      </w:tcPr>
                      <w:p>
                        <w:pPr>
                          <w:shd w:val="clear" w:color="000000" w:fill="auto"/>
                          <w:jc w:val="center"/>
                          <w:rPr>
                            <w:sz w:val="22"/>
                            <w:szCs w:val="24"/>
                            <w:lang w:eastAsia="lt-LT"/>
                          </w:rPr>
                        </w:pPr>
                        <w:r>
                          <w:rPr>
                            <w:sz w:val="22"/>
                            <w:szCs w:val="24"/>
                            <w:lang w:eastAsia="lt-LT"/>
                          </w:rPr>
                          <w:t>6</w:t>
                        </w:r>
                      </w:p>
                    </w:tc>
                  </w:tr>
                  <w:tr>
                    <w:tc>
                      <w:tcPr>
                        <w:tcW w:w="488" w:type="pct"/>
                      </w:tcPr>
                      <w:p>
                        <w:pPr>
                          <w:shd w:val="clear" w:color="000000" w:fill="auto"/>
                          <w:jc w:val="both"/>
                          <w:rPr>
                            <w:sz w:val="22"/>
                            <w:szCs w:val="24"/>
                            <w:lang w:eastAsia="lt-LT"/>
                          </w:rPr>
                        </w:pPr>
                      </w:p>
                    </w:tc>
                    <w:tc>
                      <w:tcPr>
                        <w:tcW w:w="793" w:type="pct"/>
                      </w:tcPr>
                      <w:p>
                        <w:pPr>
                          <w:shd w:val="clear" w:color="000000" w:fill="auto"/>
                          <w:jc w:val="both"/>
                          <w:rPr>
                            <w:sz w:val="22"/>
                            <w:szCs w:val="24"/>
                            <w:lang w:eastAsia="lt-LT"/>
                          </w:rPr>
                        </w:pPr>
                      </w:p>
                    </w:tc>
                    <w:tc>
                      <w:tcPr>
                        <w:tcW w:w="793" w:type="pct"/>
                      </w:tcPr>
                      <w:p>
                        <w:pPr>
                          <w:shd w:val="clear" w:color="000000" w:fill="auto"/>
                          <w:jc w:val="both"/>
                          <w:rPr>
                            <w:sz w:val="22"/>
                            <w:szCs w:val="24"/>
                            <w:lang w:eastAsia="lt-LT"/>
                          </w:rPr>
                        </w:pPr>
                      </w:p>
                    </w:tc>
                    <w:tc>
                      <w:tcPr>
                        <w:tcW w:w="1010" w:type="pct"/>
                      </w:tcPr>
                      <w:p>
                        <w:pPr>
                          <w:shd w:val="clear" w:color="000000" w:fill="auto"/>
                          <w:jc w:val="both"/>
                          <w:rPr>
                            <w:sz w:val="22"/>
                            <w:szCs w:val="24"/>
                            <w:lang w:eastAsia="lt-LT"/>
                          </w:rPr>
                        </w:pPr>
                      </w:p>
                    </w:tc>
                    <w:tc>
                      <w:tcPr>
                        <w:tcW w:w="1082" w:type="pct"/>
                      </w:tcPr>
                      <w:p>
                        <w:pPr>
                          <w:shd w:val="clear" w:color="000000" w:fill="auto"/>
                          <w:jc w:val="both"/>
                          <w:rPr>
                            <w:sz w:val="22"/>
                            <w:szCs w:val="24"/>
                            <w:lang w:eastAsia="lt-LT"/>
                          </w:rPr>
                        </w:pPr>
                      </w:p>
                    </w:tc>
                    <w:tc>
                      <w:tcPr>
                        <w:tcW w:w="834" w:type="pct"/>
                      </w:tcPr>
                      <w:p>
                        <w:pPr>
                          <w:shd w:val="clear" w:color="000000" w:fill="auto"/>
                          <w:jc w:val="both"/>
                          <w:rPr>
                            <w:sz w:val="22"/>
                            <w:szCs w:val="24"/>
                            <w:lang w:eastAsia="lt-LT"/>
                          </w:rPr>
                        </w:pPr>
                      </w:p>
                    </w:tc>
                  </w:tr>
                  <w:tr>
                    <w:tc>
                      <w:tcPr>
                        <w:tcW w:w="488" w:type="pct"/>
                      </w:tcPr>
                      <w:p>
                        <w:pPr>
                          <w:shd w:val="clear" w:color="000000" w:fill="auto"/>
                          <w:jc w:val="both"/>
                          <w:rPr>
                            <w:sz w:val="22"/>
                            <w:szCs w:val="24"/>
                            <w:lang w:eastAsia="lt-LT"/>
                          </w:rPr>
                        </w:pPr>
                      </w:p>
                    </w:tc>
                    <w:tc>
                      <w:tcPr>
                        <w:tcW w:w="793" w:type="pct"/>
                      </w:tcPr>
                      <w:p>
                        <w:pPr>
                          <w:shd w:val="clear" w:color="000000" w:fill="auto"/>
                          <w:jc w:val="both"/>
                          <w:rPr>
                            <w:sz w:val="22"/>
                            <w:szCs w:val="24"/>
                            <w:lang w:eastAsia="lt-LT"/>
                          </w:rPr>
                        </w:pPr>
                      </w:p>
                    </w:tc>
                    <w:tc>
                      <w:tcPr>
                        <w:tcW w:w="793" w:type="pct"/>
                      </w:tcPr>
                      <w:p>
                        <w:pPr>
                          <w:shd w:val="clear" w:color="000000" w:fill="auto"/>
                          <w:jc w:val="both"/>
                          <w:rPr>
                            <w:sz w:val="22"/>
                            <w:szCs w:val="24"/>
                            <w:lang w:eastAsia="lt-LT"/>
                          </w:rPr>
                        </w:pPr>
                      </w:p>
                    </w:tc>
                    <w:tc>
                      <w:tcPr>
                        <w:tcW w:w="1010" w:type="pct"/>
                      </w:tcPr>
                      <w:p>
                        <w:pPr>
                          <w:shd w:val="clear" w:color="000000" w:fill="auto"/>
                          <w:jc w:val="both"/>
                          <w:rPr>
                            <w:sz w:val="22"/>
                            <w:szCs w:val="24"/>
                            <w:lang w:eastAsia="lt-LT"/>
                          </w:rPr>
                        </w:pPr>
                      </w:p>
                    </w:tc>
                    <w:tc>
                      <w:tcPr>
                        <w:tcW w:w="1082" w:type="pct"/>
                      </w:tcPr>
                      <w:p>
                        <w:pPr>
                          <w:shd w:val="clear" w:color="000000" w:fill="auto"/>
                          <w:jc w:val="both"/>
                          <w:rPr>
                            <w:sz w:val="22"/>
                            <w:szCs w:val="24"/>
                            <w:lang w:eastAsia="lt-LT"/>
                          </w:rPr>
                        </w:pPr>
                      </w:p>
                    </w:tc>
                    <w:tc>
                      <w:tcPr>
                        <w:tcW w:w="834" w:type="pct"/>
                      </w:tcPr>
                      <w:p>
                        <w:pPr>
                          <w:shd w:val="clear" w:color="000000" w:fill="auto"/>
                          <w:jc w:val="both"/>
                          <w:rPr>
                            <w:sz w:val="22"/>
                            <w:szCs w:val="24"/>
                            <w:lang w:eastAsia="lt-LT"/>
                          </w:rPr>
                        </w:pPr>
                      </w:p>
                    </w:tc>
                  </w:tr>
                  <w:tr>
                    <w:tc>
                      <w:tcPr>
                        <w:tcW w:w="488" w:type="pct"/>
                      </w:tcPr>
                      <w:p>
                        <w:pPr>
                          <w:shd w:val="clear" w:color="000000" w:fill="auto"/>
                          <w:jc w:val="both"/>
                          <w:rPr>
                            <w:sz w:val="22"/>
                            <w:szCs w:val="24"/>
                            <w:lang w:eastAsia="lt-LT"/>
                          </w:rPr>
                        </w:pPr>
                      </w:p>
                    </w:tc>
                    <w:tc>
                      <w:tcPr>
                        <w:tcW w:w="793" w:type="pct"/>
                      </w:tcPr>
                      <w:p>
                        <w:pPr>
                          <w:shd w:val="clear" w:color="000000" w:fill="auto"/>
                          <w:jc w:val="both"/>
                          <w:rPr>
                            <w:sz w:val="22"/>
                            <w:szCs w:val="24"/>
                            <w:lang w:eastAsia="lt-LT"/>
                          </w:rPr>
                        </w:pPr>
                      </w:p>
                    </w:tc>
                    <w:tc>
                      <w:tcPr>
                        <w:tcW w:w="793" w:type="pct"/>
                      </w:tcPr>
                      <w:p>
                        <w:pPr>
                          <w:shd w:val="clear" w:color="000000" w:fill="auto"/>
                          <w:jc w:val="both"/>
                          <w:rPr>
                            <w:sz w:val="22"/>
                            <w:szCs w:val="24"/>
                            <w:lang w:eastAsia="lt-LT"/>
                          </w:rPr>
                        </w:pPr>
                      </w:p>
                    </w:tc>
                    <w:tc>
                      <w:tcPr>
                        <w:tcW w:w="1010" w:type="pct"/>
                      </w:tcPr>
                      <w:p>
                        <w:pPr>
                          <w:shd w:val="clear" w:color="000000" w:fill="auto"/>
                          <w:jc w:val="both"/>
                          <w:rPr>
                            <w:sz w:val="22"/>
                            <w:szCs w:val="24"/>
                            <w:lang w:eastAsia="lt-LT"/>
                          </w:rPr>
                        </w:pPr>
                      </w:p>
                    </w:tc>
                    <w:tc>
                      <w:tcPr>
                        <w:tcW w:w="1082" w:type="pct"/>
                      </w:tcPr>
                      <w:p>
                        <w:pPr>
                          <w:shd w:val="clear" w:color="000000" w:fill="auto"/>
                          <w:jc w:val="both"/>
                          <w:rPr>
                            <w:sz w:val="22"/>
                            <w:szCs w:val="24"/>
                            <w:lang w:eastAsia="lt-LT"/>
                          </w:rPr>
                        </w:pPr>
                      </w:p>
                    </w:tc>
                    <w:tc>
                      <w:tcPr>
                        <w:tcW w:w="834" w:type="pct"/>
                      </w:tcPr>
                      <w:p>
                        <w:pPr>
                          <w:shd w:val="clear" w:color="000000" w:fill="auto"/>
                          <w:jc w:val="right"/>
                          <w:rPr>
                            <w:sz w:val="22"/>
                            <w:szCs w:val="24"/>
                            <w:lang w:eastAsia="lt-LT"/>
                          </w:rPr>
                        </w:pPr>
                      </w:p>
                    </w:tc>
                  </w:tr>
                </w:tbl>
                <w:p>
                  <w:pPr>
                    <w:shd w:val="clear" w:color="000000" w:fill="auto"/>
                    <w:rPr>
                      <w:b/>
                      <w:sz w:val="20"/>
                      <w:szCs w:val="24"/>
                      <w:lang w:eastAsia="lt-LT"/>
                    </w:rPr>
                  </w:pPr>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Content>
        </w:sdt>
        <w:sdt>
          <w:sdtPr>
            <w:alias w:val="skyrius"/>
            <w:tag w:val="part_16524e7fe5df440e9df81036c7961ac1"/>
            <w:lock w:val="sdtLocked"/>
            <w:richText/>
          </w:sdtPr>
          <w:sdtContent>
            <w:p>
              <w:pPr>
                <w:shd w:val="clear" w:color="000000" w:fill="auto"/>
                <w:jc w:val="center"/>
                <w:rPr>
                  <w:b/>
                  <w:sz w:val="22"/>
                  <w:szCs w:val="24"/>
                  <w:lang w:eastAsia="lt-LT"/>
                </w:rPr>
              </w:pPr>
              <w:sdt>
                <w:sdtPr>
                  <w:alias w:val="Numeris"/>
                  <w:tag w:val="nr_16524e7fe5df440e9df81036c7961ac1"/>
                  <w:lock w:val="sdtLocked"/>
                  <w:richText/>
                </w:sdtPr>
                <w:sdtContent>
                  <w:r>
                    <w:rPr>
                      <w:b/>
                      <w:sz w:val="22"/>
                      <w:szCs w:val="24"/>
                      <w:lang w:eastAsia="lt-LT"/>
                    </w:rPr>
                    <w:t>VI</w:t>
                  </w:r>
                </w:sdtContent>
              </w:sdt>
              <w:r>
                <w:rPr>
                  <w:b/>
                  <w:sz w:val="22"/>
                  <w:szCs w:val="24"/>
                  <w:lang w:eastAsia="lt-LT"/>
                </w:rPr>
                <w:t xml:space="preserve">. </w:t>
              </w:r>
              <w:sdt>
                <w:sdtPr>
                  <w:alias w:val="Pavadinimas"/>
                  <w:tag w:val="title_16524e7fe5df440e9df81036c7961ac1"/>
                  <w:lock w:val="sdtLocked"/>
                  <w:richText/>
                </w:sdtPr>
                <w:sdtContent>
                  <w:r>
                    <w:rPr>
                      <w:b/>
                      <w:sz w:val="22"/>
                      <w:szCs w:val="24"/>
                      <w:lang w:eastAsia="lt-LT"/>
                    </w:rPr>
                    <w:t xml:space="preserve">TARŠA Į APLINKOS ORĄ </w:t>
                  </w:r>
                </w:sdtContent>
              </w:sdt>
            </w:p>
            <w:p>
              <w:pPr>
                <w:shd w:val="clear" w:color="000000" w:fill="auto"/>
                <w:jc w:val="center"/>
                <w:rPr>
                  <w:b/>
                  <w:sz w:val="22"/>
                  <w:szCs w:val="24"/>
                  <w:lang w:eastAsia="lt-LT"/>
                </w:rPr>
              </w:pPr>
            </w:p>
            <w:sdt>
              <w:sdtPr>
                <w:alias w:val="4 pr. 17 p."/>
                <w:tag w:val="part_a96667d61bfd4fff93db388c0b14f739"/>
                <w:lock w:val="sdtLocked"/>
                <w:richText/>
              </w:sdtPr>
              <w:sdtContent>
                <w:p>
                  <w:pPr>
                    <w:shd w:val="clear" w:color="000000" w:fill="auto"/>
                    <w:ind w:firstLine="567"/>
                    <w:jc w:val="both"/>
                    <w:rPr>
                      <w:sz w:val="22"/>
                      <w:szCs w:val="24"/>
                      <w:lang w:eastAsia="lt-LT"/>
                    </w:rPr>
                  </w:pPr>
                  <w:sdt>
                    <w:sdtPr>
                      <w:alias w:val="Numeris"/>
                      <w:tag w:val="nr_a96667d61bfd4fff93db388c0b14f739"/>
                      <w:lock w:val="sdtLocked"/>
                      <w:richText/>
                    </w:sdtPr>
                    <w:sdtContent>
                      <w:r>
                        <w:rPr>
                          <w:sz w:val="22"/>
                          <w:szCs w:val="24"/>
                          <w:lang w:eastAsia="lt-LT"/>
                        </w:rPr>
                        <w:t>17</w:t>
                      </w:r>
                    </w:sdtContent>
                  </w:sdt>
                  <w:r>
                    <w:rPr>
                      <w:sz w:val="22"/>
                      <w:szCs w:val="24"/>
                      <w:lang w:eastAsia="lt-LT"/>
                    </w:rPr>
                    <w:t>. Į aplinkos orą numatomi išmesti teršalai</w:t>
                  </w:r>
                </w:p>
                <w:p>
                  <w:pPr>
                    <w:shd w:val="clear" w:color="000000" w:fill="auto"/>
                    <w:ind w:firstLine="567"/>
                    <w:jc w:val="both"/>
                    <w:rPr>
                      <w:sz w:val="22"/>
                      <w:szCs w:val="24"/>
                      <w:lang w:eastAsia="lt-LT"/>
                    </w:rPr>
                  </w:pPr>
                </w:p>
              </w:sdtContent>
            </w:sdt>
            <w:sdt>
              <w:sdtPr>
                <w:alias w:val="lentele"/>
                <w:tag w:val="part_bdc0e55284804cb79656d61fc80e86bf"/>
                <w:lock w:val="sdtLocked"/>
                <w:richText/>
              </w:sdtPr>
              <w:sdtContent>
                <w:p>
                  <w:pPr>
                    <w:shd w:val="clear" w:color="000000" w:fill="auto"/>
                    <w:ind w:firstLine="567"/>
                    <w:jc w:val="both"/>
                    <w:rPr>
                      <w:i/>
                      <w:sz w:val="22"/>
                      <w:szCs w:val="24"/>
                      <w:lang w:eastAsia="lt-LT"/>
                    </w:rPr>
                  </w:pPr>
                  <w:r>
                    <w:rPr>
                      <w:sz w:val="22"/>
                      <w:szCs w:val="24"/>
                      <w:lang w:eastAsia="lt-LT"/>
                    </w:rPr>
                    <w:t xml:space="preserve">9 lentelė. </w:t>
                  </w:r>
                  <w:sdt>
                    <w:sdtPr>
                      <w:alias w:val="Pavadinimas"/>
                      <w:tag w:val="title_bdc0e55284804cb79656d61fc80e86bf"/>
                      <w:lock w:val="sdtLocked"/>
                      <w:richText/>
                    </w:sdtPr>
                    <w:sdtContent>
                      <w:r>
                        <w:rPr>
                          <w:sz w:val="22"/>
                          <w:szCs w:val="24"/>
                          <w:lang w:eastAsia="lt-LT"/>
                        </w:rPr>
                        <w:t>Į aplinkos orą numatomi išmesti teršalai ir jų kiekis</w:t>
                      </w:r>
                    </w:sdtContent>
                  </w:sdt>
                </w:p>
                <w:p>
                  <w:pPr>
                    <w:shd w:val="clear" w:color="000000" w:fill="auto"/>
                    <w:ind w:firstLine="567"/>
                    <w:jc w:val="both"/>
                    <w:rPr>
                      <w:sz w:val="22"/>
                      <w:szCs w:val="24"/>
                      <w:lang w:eastAsia="lt-LT"/>
                    </w:rPr>
                  </w:pPr>
                </w:p>
                <w:tbl>
                  <w:tblPr>
                    <w:tblW w:w="13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6"/>
                    <w:gridCol w:w="2699"/>
                    <w:gridCol w:w="4983"/>
                  </w:tblGrid>
                  <w:tr>
                    <w:trPr>
                      <w:trHeight w:val="404"/>
                    </w:trPr>
                    <w:tc>
                      <w:tcPr>
                        <w:tcW w:w="550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Teršalo pavadinimas</w:t>
                        </w:r>
                      </w:p>
                    </w:tc>
                    <w:tc>
                      <w:tcPr>
                        <w:tcW w:w="269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vertAlign w:val="superscript"/>
                            <w:lang w:eastAsia="lt-LT"/>
                          </w:rPr>
                        </w:pPr>
                        <w:r>
                          <w:rPr>
                            <w:sz w:val="18"/>
                            <w:lang w:eastAsia="lt-LT"/>
                          </w:rPr>
                          <w:t>Teršalo kodas</w:t>
                        </w:r>
                      </w:p>
                    </w:tc>
                    <w:tc>
                      <w:tcPr>
                        <w:tcW w:w="498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Numatoma (prašoma leisti) išmesti, t/m.</w:t>
                        </w:r>
                      </w:p>
                    </w:tc>
                  </w:tr>
                  <w:tr>
                    <w:tc>
                      <w:tcPr>
                        <w:tcW w:w="5506"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r>
                          <w:rPr>
                            <w:sz w:val="18"/>
                            <w:lang w:eastAsia="lt-LT"/>
                          </w:rPr>
                          <w:t>1</w:t>
                        </w:r>
                      </w:p>
                    </w:tc>
                    <w:tc>
                      <w:tcPr>
                        <w:tcW w:w="2699"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r>
                          <w:rPr>
                            <w:sz w:val="18"/>
                            <w:lang w:eastAsia="lt-LT"/>
                          </w:rPr>
                          <w:t>2</w:t>
                        </w:r>
                      </w:p>
                    </w:tc>
                    <w:tc>
                      <w:tcPr>
                        <w:tcW w:w="4983"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r>
                          <w:rPr>
                            <w:sz w:val="18"/>
                            <w:lang w:eastAsia="lt-LT"/>
                          </w:rPr>
                          <w:t>3</w:t>
                        </w:r>
                      </w:p>
                    </w:tc>
                  </w:tr>
                  <w:tr>
                    <w:tc>
                      <w:tcPr>
                        <w:tcW w:w="5506" w:type="dxa"/>
                        <w:tcBorders>
                          <w:top w:val="single" w:sz="4" w:space="0" w:color="auto"/>
                          <w:left w:val="single" w:sz="4" w:space="0" w:color="auto"/>
                          <w:bottom w:val="single" w:sz="4" w:space="0" w:color="auto"/>
                          <w:right w:val="single" w:sz="4" w:space="0" w:color="auto"/>
                        </w:tcBorders>
                      </w:tcPr>
                      <w:p>
                        <w:pPr>
                          <w:shd w:val="clear" w:color="000000" w:fill="auto"/>
                          <w:rPr>
                            <w:sz w:val="18"/>
                            <w:lang w:eastAsia="lt-LT"/>
                          </w:rPr>
                        </w:pPr>
                        <w:r>
                          <w:rPr>
                            <w:sz w:val="18"/>
                            <w:lang w:eastAsia="lt-LT"/>
                          </w:rPr>
                          <w:t>Azoto oksidai</w:t>
                        </w:r>
                      </w:p>
                    </w:tc>
                    <w:tc>
                      <w:tcPr>
                        <w:tcW w:w="2699"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c>
                      <w:tcPr>
                        <w:tcW w:w="4983"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r>
                  <w:tr>
                    <w:tc>
                      <w:tcPr>
                        <w:tcW w:w="5506" w:type="dxa"/>
                        <w:tcBorders>
                          <w:top w:val="single" w:sz="4" w:space="0" w:color="auto"/>
                          <w:left w:val="single" w:sz="4" w:space="0" w:color="auto"/>
                          <w:bottom w:val="single" w:sz="4" w:space="0" w:color="auto"/>
                          <w:right w:val="single" w:sz="4" w:space="0" w:color="auto"/>
                        </w:tcBorders>
                      </w:tcPr>
                      <w:p>
                        <w:pPr>
                          <w:shd w:val="clear" w:color="000000" w:fill="auto"/>
                          <w:rPr>
                            <w:sz w:val="18"/>
                            <w:lang w:eastAsia="lt-LT"/>
                          </w:rPr>
                        </w:pPr>
                        <w:r>
                          <w:rPr>
                            <w:sz w:val="18"/>
                            <w:lang w:eastAsia="lt-LT"/>
                          </w:rPr>
                          <w:t>Kietosios dalelės</w:t>
                        </w:r>
                      </w:p>
                    </w:tc>
                    <w:tc>
                      <w:tcPr>
                        <w:tcW w:w="2699"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c>
                      <w:tcPr>
                        <w:tcW w:w="4983"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r>
                  <w:tr>
                    <w:tc>
                      <w:tcPr>
                        <w:tcW w:w="5506" w:type="dxa"/>
                        <w:tcBorders>
                          <w:top w:val="single" w:sz="4" w:space="0" w:color="auto"/>
                          <w:left w:val="single" w:sz="4" w:space="0" w:color="auto"/>
                          <w:bottom w:val="single" w:sz="4" w:space="0" w:color="auto"/>
                          <w:right w:val="single" w:sz="4" w:space="0" w:color="auto"/>
                        </w:tcBorders>
                      </w:tcPr>
                      <w:p>
                        <w:pPr>
                          <w:shd w:val="clear" w:color="000000" w:fill="auto"/>
                          <w:rPr>
                            <w:sz w:val="18"/>
                            <w:lang w:eastAsia="lt-LT"/>
                          </w:rPr>
                        </w:pPr>
                        <w:r>
                          <w:rPr>
                            <w:sz w:val="18"/>
                            <w:lang w:eastAsia="lt-LT"/>
                          </w:rPr>
                          <w:t>Sieros dioksidas</w:t>
                        </w:r>
                      </w:p>
                    </w:tc>
                    <w:tc>
                      <w:tcPr>
                        <w:tcW w:w="2699"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c>
                      <w:tcPr>
                        <w:tcW w:w="4983"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r>
                  <w:tr>
                    <w:tc>
                      <w:tcPr>
                        <w:tcW w:w="5506" w:type="dxa"/>
                        <w:tcBorders>
                          <w:top w:val="single" w:sz="4" w:space="0" w:color="auto"/>
                          <w:left w:val="single" w:sz="4" w:space="0" w:color="auto"/>
                          <w:bottom w:val="single" w:sz="4" w:space="0" w:color="auto"/>
                          <w:right w:val="single" w:sz="4" w:space="0" w:color="auto"/>
                        </w:tcBorders>
                      </w:tcPr>
                      <w:p>
                        <w:pPr>
                          <w:shd w:val="clear" w:color="000000" w:fill="auto"/>
                          <w:rPr>
                            <w:sz w:val="18"/>
                            <w:highlight w:val="yellow"/>
                            <w:lang w:eastAsia="lt-LT"/>
                          </w:rPr>
                        </w:pPr>
                        <w:r>
                          <w:rPr>
                            <w:sz w:val="18"/>
                            <w:lang w:eastAsia="lt-LT"/>
                          </w:rPr>
                          <w:t xml:space="preserve">Amoniakas </w:t>
                        </w:r>
                      </w:p>
                    </w:tc>
                    <w:tc>
                      <w:tcPr>
                        <w:tcW w:w="2699"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highlight w:val="yellow"/>
                            <w:lang w:eastAsia="lt-LT"/>
                          </w:rPr>
                        </w:pPr>
                      </w:p>
                    </w:tc>
                    <w:tc>
                      <w:tcPr>
                        <w:tcW w:w="4983"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r>
                  <w:tr>
                    <w:tc>
                      <w:tcPr>
                        <w:tcW w:w="5506" w:type="dxa"/>
                        <w:tcBorders>
                          <w:top w:val="single" w:sz="4" w:space="0" w:color="auto"/>
                          <w:left w:val="single" w:sz="4" w:space="0" w:color="auto"/>
                          <w:bottom w:val="single" w:sz="4" w:space="0" w:color="auto"/>
                          <w:right w:val="single" w:sz="4" w:space="0" w:color="auto"/>
                        </w:tcBorders>
                      </w:tcPr>
                      <w:p>
                        <w:pPr>
                          <w:shd w:val="clear" w:color="000000" w:fill="auto"/>
                          <w:rPr>
                            <w:sz w:val="18"/>
                            <w:lang w:eastAsia="lt-LT"/>
                          </w:rPr>
                        </w:pPr>
                        <w:r>
                          <w:rPr>
                            <w:sz w:val="18"/>
                          </w:rPr>
                          <w:t xml:space="preserve">Lakieji organiniai junginiai </w:t>
                        </w:r>
                        <w:r>
                          <w:rPr>
                            <w:sz w:val="18"/>
                            <w:lang w:eastAsia="lt-LT"/>
                          </w:rPr>
                          <w:t>(abėcėlės tvarka)</w:t>
                        </w:r>
                        <w:r>
                          <w:rPr>
                            <w:sz w:val="18"/>
                          </w:rPr>
                          <w:t>:</w:t>
                        </w:r>
                      </w:p>
                    </w:tc>
                    <w:tc>
                      <w:tcPr>
                        <w:tcW w:w="2699"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highlight w:val="yellow"/>
                            <w:lang w:eastAsia="lt-LT"/>
                          </w:rPr>
                        </w:pPr>
                        <w:r>
                          <w:rPr>
                            <w:sz w:val="18"/>
                            <w:lang w:eastAsia="lt-LT"/>
                          </w:rPr>
                          <w:t>XXXXXXXX</w:t>
                        </w:r>
                      </w:p>
                    </w:tc>
                    <w:tc>
                      <w:tcPr>
                        <w:tcW w:w="4983"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r>
                  <w:tr>
                    <w:tc>
                      <w:tcPr>
                        <w:tcW w:w="5506" w:type="dxa"/>
                        <w:tcBorders>
                          <w:top w:val="single" w:sz="4" w:space="0" w:color="auto"/>
                          <w:left w:val="single" w:sz="4" w:space="0" w:color="auto"/>
                          <w:bottom w:val="single" w:sz="4" w:space="0" w:color="auto"/>
                          <w:right w:val="single" w:sz="4" w:space="0" w:color="auto"/>
                        </w:tcBorders>
                      </w:tcPr>
                      <w:p>
                        <w:pPr>
                          <w:shd w:val="clear" w:color="000000" w:fill="auto"/>
                          <w:rPr>
                            <w:sz w:val="18"/>
                            <w:lang w:eastAsia="lt-LT"/>
                          </w:rPr>
                        </w:pPr>
                      </w:p>
                    </w:tc>
                    <w:tc>
                      <w:tcPr>
                        <w:tcW w:w="2699"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highlight w:val="yellow"/>
                            <w:lang w:eastAsia="lt-LT"/>
                          </w:rPr>
                        </w:pPr>
                      </w:p>
                    </w:tc>
                    <w:tc>
                      <w:tcPr>
                        <w:tcW w:w="4983"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r>
                  <w:tr>
                    <w:tc>
                      <w:tcPr>
                        <w:tcW w:w="5506" w:type="dxa"/>
                        <w:tcBorders>
                          <w:top w:val="single" w:sz="4" w:space="0" w:color="auto"/>
                          <w:left w:val="single" w:sz="4" w:space="0" w:color="auto"/>
                          <w:bottom w:val="single" w:sz="4" w:space="0" w:color="auto"/>
                          <w:right w:val="single" w:sz="4" w:space="0" w:color="auto"/>
                        </w:tcBorders>
                      </w:tcPr>
                      <w:p>
                        <w:pPr>
                          <w:shd w:val="clear" w:color="000000" w:fill="auto"/>
                          <w:rPr>
                            <w:sz w:val="18"/>
                            <w:lang w:eastAsia="lt-LT"/>
                          </w:rPr>
                        </w:pPr>
                      </w:p>
                    </w:tc>
                    <w:tc>
                      <w:tcPr>
                        <w:tcW w:w="2699"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highlight w:val="yellow"/>
                            <w:lang w:eastAsia="lt-LT"/>
                          </w:rPr>
                        </w:pPr>
                      </w:p>
                    </w:tc>
                    <w:tc>
                      <w:tcPr>
                        <w:tcW w:w="4983"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r>
                  <w:tr>
                    <w:tc>
                      <w:tcPr>
                        <w:tcW w:w="5506" w:type="dxa"/>
                        <w:tcBorders>
                          <w:top w:val="single" w:sz="4" w:space="0" w:color="auto"/>
                          <w:left w:val="single" w:sz="4" w:space="0" w:color="auto"/>
                          <w:bottom w:val="single" w:sz="4" w:space="0" w:color="auto"/>
                          <w:right w:val="single" w:sz="4" w:space="0" w:color="auto"/>
                        </w:tcBorders>
                      </w:tcPr>
                      <w:p>
                        <w:pPr>
                          <w:shd w:val="clear" w:color="000000" w:fill="auto"/>
                          <w:rPr>
                            <w:sz w:val="18"/>
                            <w:lang w:eastAsia="lt-LT"/>
                          </w:rPr>
                        </w:pPr>
                        <w:r>
                          <w:rPr>
                            <w:sz w:val="18"/>
                            <w:lang w:eastAsia="lt-LT"/>
                          </w:rPr>
                          <w:t>Kiti teršalai (abėcėlės tvarka):</w:t>
                        </w:r>
                      </w:p>
                    </w:tc>
                    <w:tc>
                      <w:tcPr>
                        <w:tcW w:w="2699"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r>
                          <w:rPr>
                            <w:sz w:val="18"/>
                            <w:lang w:eastAsia="lt-LT"/>
                          </w:rPr>
                          <w:t>XXXXXXXX</w:t>
                        </w:r>
                      </w:p>
                    </w:tc>
                    <w:tc>
                      <w:tcPr>
                        <w:tcW w:w="4983"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r>
                          <w:rPr>
                            <w:sz w:val="18"/>
                            <w:lang w:eastAsia="lt-LT"/>
                          </w:rPr>
                          <w:t>XXXXXXXXX</w:t>
                        </w:r>
                      </w:p>
                    </w:tc>
                  </w:tr>
                  <w:tr>
                    <w:tc>
                      <w:tcPr>
                        <w:tcW w:w="5506" w:type="dxa"/>
                        <w:tcBorders>
                          <w:top w:val="single" w:sz="4" w:space="0" w:color="auto"/>
                          <w:left w:val="single" w:sz="4" w:space="0" w:color="auto"/>
                          <w:bottom w:val="single" w:sz="4" w:space="0" w:color="auto"/>
                          <w:right w:val="single" w:sz="4" w:space="0" w:color="auto"/>
                        </w:tcBorders>
                      </w:tcPr>
                      <w:p>
                        <w:pPr>
                          <w:shd w:val="clear" w:color="000000" w:fill="auto"/>
                          <w:rPr>
                            <w:sz w:val="18"/>
                            <w:lang w:eastAsia="lt-LT"/>
                          </w:rPr>
                        </w:pPr>
                      </w:p>
                    </w:tc>
                    <w:tc>
                      <w:tcPr>
                        <w:tcW w:w="2699"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c>
                      <w:tcPr>
                        <w:tcW w:w="4983"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r>
                  <w:tr>
                    <w:tc>
                      <w:tcPr>
                        <w:tcW w:w="5506" w:type="dxa"/>
                        <w:tcBorders>
                          <w:top w:val="single" w:sz="4" w:space="0" w:color="auto"/>
                          <w:left w:val="single" w:sz="4" w:space="0" w:color="auto"/>
                          <w:bottom w:val="single" w:sz="4" w:space="0" w:color="auto"/>
                          <w:right w:val="single" w:sz="4" w:space="0" w:color="auto"/>
                        </w:tcBorders>
                      </w:tcPr>
                      <w:p>
                        <w:pPr>
                          <w:shd w:val="clear" w:color="000000" w:fill="auto"/>
                          <w:rPr>
                            <w:sz w:val="18"/>
                            <w:lang w:eastAsia="lt-LT"/>
                          </w:rPr>
                        </w:pPr>
                      </w:p>
                    </w:tc>
                    <w:tc>
                      <w:tcPr>
                        <w:tcW w:w="2699"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c>
                      <w:tcPr>
                        <w:tcW w:w="4983"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r>
                  <w:tr>
                    <w:tc>
                      <w:tcPr>
                        <w:tcW w:w="5506" w:type="dxa"/>
                        <w:tcBorders>
                          <w:top w:val="single" w:sz="4" w:space="0" w:color="auto"/>
                          <w:left w:val="nil"/>
                          <w:bottom w:val="nil"/>
                          <w:right w:val="single" w:sz="4" w:space="0" w:color="auto"/>
                        </w:tcBorders>
                      </w:tcPr>
                      <w:p>
                        <w:pPr>
                          <w:shd w:val="clear" w:color="000000" w:fill="auto"/>
                          <w:rPr>
                            <w:sz w:val="18"/>
                            <w:lang w:eastAsia="lt-LT"/>
                          </w:rPr>
                        </w:pPr>
                      </w:p>
                    </w:tc>
                    <w:tc>
                      <w:tcPr>
                        <w:tcW w:w="2699" w:type="dxa"/>
                        <w:tcBorders>
                          <w:top w:val="single" w:sz="4" w:space="0" w:color="auto"/>
                          <w:left w:val="single" w:sz="4" w:space="0" w:color="auto"/>
                          <w:bottom w:val="single" w:sz="4" w:space="0" w:color="auto"/>
                          <w:right w:val="single" w:sz="4" w:space="0" w:color="auto"/>
                        </w:tcBorders>
                      </w:tcPr>
                      <w:p>
                        <w:pPr>
                          <w:shd w:val="clear" w:color="000000" w:fill="auto"/>
                          <w:jc w:val="right"/>
                          <w:rPr>
                            <w:sz w:val="18"/>
                            <w:lang w:eastAsia="lt-LT"/>
                          </w:rPr>
                        </w:pPr>
                        <w:r>
                          <w:rPr>
                            <w:sz w:val="18"/>
                            <w:lang w:eastAsia="lt-LT"/>
                          </w:rPr>
                          <w:t>Iš viso:</w:t>
                        </w:r>
                      </w:p>
                    </w:tc>
                    <w:tc>
                      <w:tcPr>
                        <w:tcW w:w="4983" w:type="dxa"/>
                        <w:tcBorders>
                          <w:top w:val="single" w:sz="4" w:space="0" w:color="auto"/>
                          <w:left w:val="single" w:sz="4" w:space="0" w:color="auto"/>
                          <w:bottom w:val="single" w:sz="4" w:space="0" w:color="auto"/>
                          <w:right w:val="single" w:sz="4" w:space="0" w:color="auto"/>
                        </w:tcBorders>
                      </w:tcPr>
                      <w:p>
                        <w:pPr>
                          <w:shd w:val="clear" w:color="000000" w:fill="auto"/>
                          <w:jc w:val="center"/>
                          <w:rPr>
                            <w:sz w:val="18"/>
                            <w:lang w:eastAsia="lt-LT"/>
                          </w:rPr>
                        </w:pPr>
                      </w:p>
                    </w:tc>
                  </w:tr>
                </w:tbl>
                <w:p>
                  <w:pPr>
                    <w:shd w:val="clear" w:color="000000" w:fill="auto"/>
                    <w:ind w:firstLine="567"/>
                    <w:jc w:val="both"/>
                    <w:rPr>
                      <w:sz w:val="22"/>
                      <w:szCs w:val="24"/>
                      <w:lang w:eastAsia="lt-LT"/>
                    </w:rPr>
                  </w:pPr>
                </w:p>
                <w:p>
                  <w:pPr>
                    <w:shd w:val="clear" w:color="000000" w:fill="auto"/>
                    <w:ind w:firstLine="567"/>
                    <w:jc w:val="both"/>
                    <w:rPr>
                      <w:sz w:val="22"/>
                      <w:szCs w:val="24"/>
                      <w:lang w:eastAsia="lt-LT"/>
                    </w:rPr>
                  </w:pPr>
                </w:p>
              </w:sdtContent>
            </w:sdt>
            <w:sdt>
              <w:sdtPr>
                <w:alias w:val="lentele"/>
                <w:tag w:val="part_77d211ad91ce4318bff692d12e6f7db2"/>
                <w:lock w:val="sdtLocked"/>
                <w:richText/>
              </w:sdtPr>
              <w:sdtContent>
                <w:p>
                  <w:pPr>
                    <w:shd w:val="clear" w:color="000000" w:fill="auto"/>
                    <w:ind w:firstLine="567"/>
                    <w:jc w:val="both"/>
                    <w:rPr>
                      <w:sz w:val="22"/>
                      <w:szCs w:val="24"/>
                      <w:vertAlign w:val="superscript"/>
                      <w:lang w:eastAsia="lt-LT"/>
                    </w:rPr>
                  </w:pPr>
                  <w:r>
                    <w:rPr>
                      <w:sz w:val="22"/>
                      <w:szCs w:val="24"/>
                      <w:lang w:eastAsia="lt-LT"/>
                    </w:rPr>
                    <w:t xml:space="preserve">10 lentelė. </w:t>
                  </w:r>
                  <w:sdt>
                    <w:sdtPr>
                      <w:alias w:val="Pavadinimas"/>
                      <w:tag w:val="title_77d211ad91ce4318bff692d12e6f7db2"/>
                      <w:lock w:val="sdtLocked"/>
                      <w:richText/>
                    </w:sdtPr>
                    <w:sdtContent>
                      <w:r>
                        <w:rPr>
                          <w:sz w:val="22"/>
                          <w:szCs w:val="24"/>
                          <w:lang w:eastAsia="lt-LT"/>
                        </w:rPr>
                        <w:t>Stacionarių aplinkos oro taršos šaltinių fiziniai duomenys</w:t>
                      </w:r>
                    </w:sdtContent>
                  </w:sdt>
                </w:p>
                <w:p>
                  <w:pPr>
                    <w:shd w:val="clear" w:color="000000" w:fill="auto"/>
                    <w:ind w:firstLine="567"/>
                    <w:jc w:val="both"/>
                    <w:rPr>
                      <w:sz w:val="22"/>
                      <w:szCs w:val="24"/>
                      <w:lang w:eastAsia="lt-LT"/>
                    </w:rPr>
                  </w:pPr>
                </w:p>
                <w:p>
                  <w:pPr>
                    <w:shd w:val="clear" w:color="000000" w:fill="auto"/>
                    <w:tabs>
                      <w:tab w:val="left" w:leader="underscore" w:pos="8901"/>
                    </w:tabs>
                    <w:rPr>
                      <w:szCs w:val="24"/>
                      <w:lang w:eastAsia="lt-LT"/>
                    </w:rPr>
                  </w:pPr>
                  <w:r>
                    <w:rPr>
                      <w:szCs w:val="24"/>
                      <w:lang w:eastAsia="lt-LT"/>
                    </w:rPr>
                    <w:t xml:space="preserve">Įrenginio pavadinimas </w:t>
                    <w:tab/>
                  </w:r>
                </w:p>
                <w:p>
                  <w:pPr>
                    <w:shd w:val="clear" w:color="000000" w:fill="auto"/>
                    <w:jc w:val="both"/>
                    <w:rPr>
                      <w:sz w:val="22"/>
                      <w:szCs w:val="24"/>
                      <w:u w:val="single"/>
                      <w:lang w:eastAsia="lt-LT"/>
                    </w:rPr>
                  </w:pPr>
                </w:p>
                <w:tbl>
                  <w:tblPr>
                    <w:tblW w:w="136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14"/>
                    <w:gridCol w:w="2131"/>
                    <w:gridCol w:w="1083"/>
                    <w:gridCol w:w="1967"/>
                    <w:gridCol w:w="1732"/>
                    <w:gridCol w:w="1515"/>
                    <w:gridCol w:w="1596"/>
                    <w:gridCol w:w="1855"/>
                  </w:tblGrid>
                  <w:tr>
                    <w:trPr>
                      <w:cantSplit/>
                      <w:trHeight w:val="714"/>
                    </w:trPr>
                    <w:tc>
                      <w:tcPr>
                        <w:tcW w:w="6995" w:type="dxa"/>
                        <w:gridSpan w:val="4"/>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Taršos šaltiniai</w:t>
                        </w:r>
                      </w:p>
                    </w:tc>
                    <w:tc>
                      <w:tcPr>
                        <w:tcW w:w="4843" w:type="dxa"/>
                        <w:gridSpan w:val="3"/>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Išmetamųjų dujų rodikliai</w:t>
                        </w:r>
                      </w:p>
                      <w:p>
                        <w:pPr>
                          <w:shd w:val="clear" w:color="000000" w:fill="auto"/>
                          <w:jc w:val="center"/>
                          <w:rPr>
                            <w:sz w:val="18"/>
                            <w:lang w:eastAsia="lt-LT"/>
                          </w:rPr>
                        </w:pPr>
                        <w:r>
                          <w:rPr>
                            <w:sz w:val="18"/>
                            <w:lang w:eastAsia="lt-LT"/>
                          </w:rPr>
                          <w:t>pavyzdžio paėmimo (matavimo) vietoje</w:t>
                        </w:r>
                      </w:p>
                    </w:tc>
                    <w:tc>
                      <w:tcPr>
                        <w:tcW w:w="1855"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Teršalų išmetimo (stacionariųjų taršos šaltinių veikimo) trukmė,</w:t>
                        </w:r>
                      </w:p>
                      <w:p>
                        <w:pPr>
                          <w:shd w:val="clear" w:color="000000" w:fill="auto"/>
                          <w:jc w:val="center"/>
                          <w:rPr>
                            <w:sz w:val="18"/>
                            <w:lang w:eastAsia="lt-LT"/>
                          </w:rPr>
                        </w:pPr>
                        <w:r>
                          <w:rPr>
                            <w:sz w:val="18"/>
                            <w:lang w:eastAsia="lt-LT"/>
                          </w:rPr>
                          <w:t>val./m.</w:t>
                        </w:r>
                      </w:p>
                    </w:tc>
                  </w:tr>
                  <w:tr>
                    <w:trPr>
                      <w:cantSplit/>
                    </w:trPr>
                    <w:tc>
                      <w:tcPr>
                        <w:tcW w:w="1814"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u w:val="single"/>
                            <w:vertAlign w:val="superscript"/>
                            <w:lang w:eastAsia="lt-LT"/>
                          </w:rPr>
                        </w:pPr>
                        <w:r>
                          <w:rPr>
                            <w:sz w:val="18"/>
                            <w:lang w:eastAsia="lt-LT"/>
                          </w:rPr>
                          <w:t>Nr.</w:t>
                        </w:r>
                      </w:p>
                    </w:tc>
                    <w:tc>
                      <w:tcPr>
                        <w:tcW w:w="213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vertAlign w:val="superscript"/>
                            <w:lang w:eastAsia="lt-LT"/>
                          </w:rPr>
                        </w:pPr>
                        <w:r>
                          <w:rPr>
                            <w:sz w:val="18"/>
                            <w:lang w:eastAsia="lt-LT"/>
                          </w:rPr>
                          <w:t>koordinatės</w:t>
                        </w:r>
                      </w:p>
                    </w:tc>
                    <w:tc>
                      <w:tcPr>
                        <w:tcW w:w="108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aukštis,</w:t>
                        </w:r>
                      </w:p>
                      <w:p>
                        <w:pPr>
                          <w:shd w:val="clear" w:color="000000" w:fill="auto"/>
                          <w:jc w:val="center"/>
                          <w:rPr>
                            <w:sz w:val="18"/>
                            <w:lang w:eastAsia="lt-LT"/>
                          </w:rPr>
                        </w:pPr>
                        <w:r>
                          <w:rPr>
                            <w:sz w:val="18"/>
                            <w:lang w:eastAsia="lt-LT"/>
                          </w:rPr>
                          <w:t>m</w:t>
                        </w:r>
                      </w:p>
                    </w:tc>
                    <w:tc>
                      <w:tcPr>
                        <w:tcW w:w="1967"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išėjimo angos matmenys, m</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srauto greitis,</w:t>
                        </w:r>
                      </w:p>
                      <w:p>
                        <w:pPr>
                          <w:shd w:val="clear" w:color="000000" w:fill="auto"/>
                          <w:jc w:val="center"/>
                          <w:rPr>
                            <w:sz w:val="18"/>
                            <w:lang w:eastAsia="lt-LT"/>
                          </w:rPr>
                        </w:pPr>
                        <w:r>
                          <w:rPr>
                            <w:sz w:val="18"/>
                            <w:lang w:eastAsia="lt-LT"/>
                          </w:rPr>
                          <w:t>m/s</w:t>
                        </w:r>
                      </w:p>
                    </w:tc>
                    <w:tc>
                      <w:tcPr>
                        <w:tcW w:w="1515"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temperatūra,</w:t>
                        </w:r>
                      </w:p>
                      <w:p>
                        <w:pPr>
                          <w:shd w:val="clear" w:color="000000" w:fill="auto"/>
                          <w:jc w:val="center"/>
                          <w:rPr>
                            <w:sz w:val="18"/>
                            <w:lang w:eastAsia="lt-LT"/>
                          </w:rPr>
                        </w:pPr>
                        <w:r>
                          <w:rPr>
                            <w:sz w:val="18"/>
                            <w:lang w:eastAsia="lt-LT"/>
                          </w:rPr>
                          <w:t>° C</w:t>
                        </w:r>
                      </w:p>
                    </w:tc>
                    <w:tc>
                      <w:tcPr>
                        <w:tcW w:w="159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tūrio debitas,</w:t>
                        </w:r>
                      </w:p>
                      <w:p>
                        <w:pPr>
                          <w:shd w:val="clear" w:color="000000" w:fill="auto"/>
                          <w:jc w:val="center"/>
                          <w:rPr>
                            <w:sz w:val="18"/>
                            <w:lang w:eastAsia="lt-LT"/>
                          </w:rPr>
                        </w:pPr>
                        <w:r>
                          <w:rPr>
                            <w:sz w:val="18"/>
                            <w:lang w:eastAsia="lt-LT"/>
                          </w:rPr>
                          <w:t>Nm</w:t>
                        </w:r>
                        <w:r>
                          <w:rPr>
                            <w:sz w:val="18"/>
                            <w:vertAlign w:val="superscript"/>
                            <w:lang w:eastAsia="lt-LT"/>
                          </w:rPr>
                          <w:t>3</w:t>
                        </w:r>
                        <w:r>
                          <w:rPr>
                            <w:sz w:val="18"/>
                            <w:lang w:eastAsia="lt-LT"/>
                          </w:rPr>
                          <w:t>/s</w:t>
                        </w:r>
                      </w:p>
                    </w:tc>
                    <w:tc>
                      <w:tcPr>
                        <w:tcW w:w="1855"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r>
                  <w:tr>
                    <w:trPr>
                      <w:cantSplit/>
                    </w:trPr>
                    <w:tc>
                      <w:tcPr>
                        <w:tcW w:w="1814"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1</w:t>
                        </w:r>
                      </w:p>
                    </w:tc>
                    <w:tc>
                      <w:tcPr>
                        <w:tcW w:w="213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2</w:t>
                        </w:r>
                      </w:p>
                    </w:tc>
                    <w:tc>
                      <w:tcPr>
                        <w:tcW w:w="108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3</w:t>
                        </w:r>
                      </w:p>
                    </w:tc>
                    <w:tc>
                      <w:tcPr>
                        <w:tcW w:w="1967"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4</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5</w:t>
                        </w:r>
                      </w:p>
                    </w:tc>
                    <w:tc>
                      <w:tcPr>
                        <w:tcW w:w="1515"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6</w:t>
                        </w:r>
                      </w:p>
                    </w:tc>
                    <w:tc>
                      <w:tcPr>
                        <w:tcW w:w="159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7</w:t>
                        </w:r>
                      </w:p>
                    </w:tc>
                    <w:tc>
                      <w:tcPr>
                        <w:tcW w:w="1855"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8</w:t>
                        </w:r>
                      </w:p>
                    </w:tc>
                  </w:tr>
                  <w:tr>
                    <w:trPr>
                      <w:cantSplit/>
                    </w:trPr>
                    <w:tc>
                      <w:tcPr>
                        <w:tcW w:w="1814"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213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108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1967"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1515"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159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1855"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r>
                  <w:tr>
                    <w:trPr>
                      <w:cantSplit/>
                    </w:trPr>
                    <w:tc>
                      <w:tcPr>
                        <w:tcW w:w="1814"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213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108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1967"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1515"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159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1855"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r>
                </w:tbl>
                <w:p>
                  <w:pPr>
                    <w:shd w:val="clear" w:color="000000" w:fill="auto"/>
                    <w:ind w:firstLine="567"/>
                    <w:jc w:val="both"/>
                    <w:rPr>
                      <w:sz w:val="22"/>
                      <w:szCs w:val="24"/>
                      <w:lang w:eastAsia="lt-LT"/>
                    </w:rPr>
                  </w:pPr>
                </w:p>
              </w:sdtContent>
            </w:sdt>
            <w:sdt>
              <w:sdtPr>
                <w:alias w:val="lentele"/>
                <w:tag w:val="part_a2cc19fba43544ebb5cebf39b78df9b1"/>
                <w:lock w:val="sdtLocked"/>
                <w:richText/>
              </w:sdtPr>
              <w:sdtContent>
                <w:p>
                  <w:pPr>
                    <w:shd w:val="clear" w:color="000000" w:fill="auto"/>
                    <w:ind w:firstLine="567"/>
                    <w:jc w:val="both"/>
                    <w:rPr>
                      <w:sz w:val="22"/>
                      <w:szCs w:val="24"/>
                      <w:lang w:eastAsia="lt-LT"/>
                    </w:rPr>
                  </w:pPr>
                  <w:r>
                    <w:rPr>
                      <w:sz w:val="22"/>
                      <w:szCs w:val="24"/>
                      <w:lang w:eastAsia="lt-LT"/>
                    </w:rPr>
                    <w:t xml:space="preserve">11 lentelė. </w:t>
                  </w:r>
                  <w:sdt>
                    <w:sdtPr>
                      <w:alias w:val="Pavadinimas"/>
                      <w:tag w:val="title_a2cc19fba43544ebb5cebf39b78df9b1"/>
                      <w:lock w:val="sdtLocked"/>
                      <w:richText/>
                    </w:sdtPr>
                    <w:sdtContent>
                      <w:r>
                        <w:rPr>
                          <w:sz w:val="22"/>
                          <w:szCs w:val="24"/>
                          <w:lang w:eastAsia="lt-LT"/>
                        </w:rPr>
                        <w:t>Tarša į aplinkos orą</w:t>
                      </w:r>
                    </w:sdtContent>
                  </w:sdt>
                </w:p>
                <w:p>
                  <w:pPr>
                    <w:shd w:val="clear" w:color="000000" w:fill="auto"/>
                    <w:ind w:firstLine="567"/>
                    <w:jc w:val="both"/>
                    <w:rPr>
                      <w:sz w:val="22"/>
                      <w:szCs w:val="24"/>
                      <w:lang w:eastAsia="lt-LT"/>
                    </w:rPr>
                  </w:pPr>
                </w:p>
                <w:p>
                  <w:pPr>
                    <w:shd w:val="clear" w:color="000000" w:fill="auto"/>
                    <w:tabs>
                      <w:tab w:val="left" w:leader="underscore" w:pos="8901"/>
                    </w:tabs>
                    <w:rPr>
                      <w:szCs w:val="24"/>
                      <w:lang w:eastAsia="lt-LT"/>
                    </w:rPr>
                  </w:pPr>
                  <w:r>
                    <w:rPr>
                      <w:szCs w:val="24"/>
                      <w:lang w:eastAsia="lt-LT"/>
                    </w:rPr>
                    <w:t xml:space="preserve">Įrenginio pavadinimas </w:t>
                    <w:tab/>
                  </w:r>
                </w:p>
                <w:p>
                  <w:pPr>
                    <w:shd w:val="clear" w:color="000000" w:fill="auto"/>
                    <w:jc w:val="both"/>
                    <w:rPr>
                      <w:sz w:val="22"/>
                      <w:szCs w:val="24"/>
                      <w:lang w:eastAsia="lt-LT"/>
                    </w:rPr>
                  </w:pPr>
                </w:p>
                <w:tbl>
                  <w:tblPr>
                    <w:tblW w:w="13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1"/>
                    <w:gridCol w:w="1149"/>
                    <w:gridCol w:w="362"/>
                    <w:gridCol w:w="3146"/>
                    <w:gridCol w:w="1562"/>
                    <w:gridCol w:w="1420"/>
                    <w:gridCol w:w="1563"/>
                    <w:gridCol w:w="2905"/>
                  </w:tblGrid>
                  <w:tr>
                    <w:trPr>
                      <w:cantSplit/>
                      <w:trHeight w:val="470"/>
                    </w:trPr>
                    <w:tc>
                      <w:tcPr>
                        <w:tcW w:w="1561"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ind w:firstLine="20"/>
                          <w:jc w:val="center"/>
                          <w:rPr>
                            <w:bCs/>
                            <w:sz w:val="18"/>
                          </w:rPr>
                        </w:pPr>
                        <w:r>
                          <w:rPr>
                            <w:sz w:val="18"/>
                            <w:lang w:eastAsia="lt-LT"/>
                          </w:rPr>
                          <w:t>Cecho ar kt. pavadinimas arba Nr.</w:t>
                        </w:r>
                      </w:p>
                    </w:tc>
                    <w:tc>
                      <w:tcPr>
                        <w:tcW w:w="1511" w:type="dxa"/>
                        <w:gridSpan w:val="2"/>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Cs/>
                            <w:sz w:val="18"/>
                          </w:rPr>
                        </w:pPr>
                        <w:r>
                          <w:rPr>
                            <w:sz w:val="18"/>
                            <w:lang w:eastAsia="lt-LT"/>
                          </w:rPr>
                          <w:t>Taršos šaltiniai</w:t>
                        </w:r>
                      </w:p>
                    </w:tc>
                    <w:tc>
                      <w:tcPr>
                        <w:tcW w:w="4708" w:type="dxa"/>
                        <w:gridSpan w:val="2"/>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Cs/>
                            <w:sz w:val="18"/>
                          </w:rPr>
                        </w:pPr>
                        <w:r>
                          <w:rPr>
                            <w:sz w:val="18"/>
                            <w:lang w:eastAsia="lt-LT"/>
                          </w:rPr>
                          <w:t>Teršalai</w:t>
                        </w:r>
                      </w:p>
                    </w:tc>
                    <w:tc>
                      <w:tcPr>
                        <w:tcW w:w="5888" w:type="dxa"/>
                        <w:gridSpan w:val="3"/>
                        <w:tcBorders>
                          <w:top w:val="single" w:sz="4" w:space="0" w:color="auto"/>
                          <w:left w:val="single" w:sz="4" w:space="0" w:color="auto"/>
                          <w:bottom w:val="single" w:sz="4" w:space="0" w:color="auto"/>
                          <w:right w:val="single" w:sz="4" w:space="0" w:color="auto"/>
                        </w:tcBorders>
                        <w:vAlign w:val="center"/>
                      </w:tcPr>
                      <w:p>
                        <w:pPr>
                          <w:shd w:val="clear" w:color="000000" w:fill="auto"/>
                          <w:ind w:hanging="108"/>
                          <w:jc w:val="center"/>
                          <w:rPr>
                            <w:bCs/>
                            <w:sz w:val="18"/>
                          </w:rPr>
                        </w:pPr>
                        <w:r>
                          <w:rPr>
                            <w:sz w:val="18"/>
                            <w:lang w:eastAsia="lt-LT"/>
                          </w:rPr>
                          <w:t>Numatoma (prašoma leisti) tarša</w:t>
                        </w:r>
                      </w:p>
                    </w:tc>
                  </w:tr>
                  <w:tr>
                    <w:trPr>
                      <w:cantSplit/>
                    </w:trPr>
                    <w:tc>
                      <w:tcPr>
                        <w:tcW w:w="1561" w:type="dxa"/>
                        <w:vMerge/>
                        <w:tcBorders>
                          <w:top w:val="single" w:sz="4" w:space="0" w:color="auto"/>
                          <w:left w:val="single" w:sz="4" w:space="0" w:color="auto"/>
                          <w:bottom w:val="single" w:sz="4" w:space="0" w:color="auto"/>
                          <w:right w:val="single" w:sz="4" w:space="0" w:color="auto"/>
                        </w:tcBorders>
                        <w:vAlign w:val="center"/>
                      </w:tcPr>
                      <w:p>
                        <w:pPr>
                          <w:shd w:val="clear" w:color="000000" w:fill="auto"/>
                          <w:ind w:firstLine="567"/>
                          <w:jc w:val="center"/>
                          <w:rPr>
                            <w:sz w:val="18"/>
                            <w:lang w:eastAsia="lt-LT"/>
                          </w:rPr>
                        </w:pPr>
                      </w:p>
                    </w:tc>
                    <w:tc>
                      <w:tcPr>
                        <w:tcW w:w="1511" w:type="dxa"/>
                        <w:gridSpan w:val="2"/>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r>
                          <w:rPr>
                            <w:sz w:val="18"/>
                            <w:lang w:eastAsia="lt-LT"/>
                          </w:rPr>
                          <w:t>Nr.</w:t>
                        </w:r>
                      </w:p>
                    </w:tc>
                    <w:tc>
                      <w:tcPr>
                        <w:tcW w:w="3146"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r>
                          <w:rPr>
                            <w:sz w:val="18"/>
                            <w:lang w:eastAsia="lt-LT"/>
                          </w:rPr>
                          <w:t>pavadinimas</w:t>
                        </w:r>
                      </w:p>
                    </w:tc>
                    <w:tc>
                      <w:tcPr>
                        <w:tcW w:w="1562"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r>
                          <w:rPr>
                            <w:sz w:val="18"/>
                            <w:lang w:eastAsia="lt-LT"/>
                          </w:rPr>
                          <w:t>kodas</w:t>
                        </w:r>
                      </w:p>
                    </w:tc>
                    <w:tc>
                      <w:tcPr>
                        <w:tcW w:w="2983" w:type="dxa"/>
                        <w:gridSpan w:val="2"/>
                        <w:tcBorders>
                          <w:top w:val="single" w:sz="4" w:space="0" w:color="auto"/>
                          <w:left w:val="single" w:sz="4" w:space="0" w:color="auto"/>
                          <w:bottom w:val="single" w:sz="4" w:space="0" w:color="auto"/>
                          <w:right w:val="single" w:sz="4" w:space="0" w:color="auto"/>
                        </w:tcBorders>
                        <w:vAlign w:val="center"/>
                      </w:tcPr>
                      <w:p>
                        <w:pPr>
                          <w:shd w:val="clear" w:color="000000" w:fill="auto"/>
                          <w:ind w:hanging="108"/>
                          <w:jc w:val="center"/>
                          <w:rPr>
                            <w:sz w:val="18"/>
                            <w:lang w:eastAsia="lt-LT"/>
                          </w:rPr>
                        </w:pPr>
                        <w:r>
                          <w:rPr>
                            <w:sz w:val="18"/>
                            <w:lang w:eastAsia="lt-LT"/>
                          </w:rPr>
                          <w:t>vienkartinis</w:t>
                        </w:r>
                      </w:p>
                      <w:p>
                        <w:pPr>
                          <w:shd w:val="clear" w:color="000000" w:fill="auto"/>
                          <w:ind w:hanging="108"/>
                          <w:jc w:val="center"/>
                          <w:rPr>
                            <w:sz w:val="18"/>
                            <w:lang w:eastAsia="lt-LT"/>
                          </w:rPr>
                        </w:pPr>
                        <w:r>
                          <w:rPr>
                            <w:sz w:val="18"/>
                            <w:lang w:eastAsia="lt-LT"/>
                          </w:rPr>
                          <w:t>dydis</w:t>
                        </w:r>
                      </w:p>
                    </w:tc>
                    <w:tc>
                      <w:tcPr>
                        <w:tcW w:w="2905"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ind w:hanging="108"/>
                          <w:jc w:val="center"/>
                          <w:rPr>
                            <w:sz w:val="18"/>
                            <w:lang w:eastAsia="lt-LT"/>
                          </w:rPr>
                        </w:pPr>
                        <w:r>
                          <w:rPr>
                            <w:sz w:val="18"/>
                            <w:lang w:eastAsia="lt-LT"/>
                          </w:rPr>
                          <w:t>metinė,</w:t>
                        </w:r>
                      </w:p>
                      <w:p>
                        <w:pPr>
                          <w:shd w:val="clear" w:color="000000" w:fill="auto"/>
                          <w:ind w:hanging="108"/>
                          <w:jc w:val="center"/>
                          <w:rPr>
                            <w:sz w:val="18"/>
                            <w:lang w:eastAsia="lt-LT"/>
                          </w:rPr>
                        </w:pPr>
                        <w:r>
                          <w:rPr>
                            <w:sz w:val="18"/>
                            <w:lang w:eastAsia="lt-LT"/>
                          </w:rPr>
                          <w:t>t/m.</w:t>
                        </w:r>
                      </w:p>
                    </w:tc>
                  </w:tr>
                  <w:tr>
                    <w:trPr>
                      <w:cantSplit/>
                    </w:trPr>
                    <w:tc>
                      <w:tcPr>
                        <w:tcW w:w="1561" w:type="dxa"/>
                        <w:vMerge/>
                        <w:tcBorders>
                          <w:top w:val="single" w:sz="4" w:space="0" w:color="auto"/>
                          <w:left w:val="single" w:sz="4" w:space="0" w:color="auto"/>
                          <w:bottom w:val="single" w:sz="4" w:space="0" w:color="auto"/>
                          <w:right w:val="single" w:sz="4" w:space="0" w:color="auto"/>
                        </w:tcBorders>
                        <w:vAlign w:val="center"/>
                      </w:tcPr>
                      <w:p>
                        <w:pPr>
                          <w:shd w:val="clear" w:color="000000" w:fill="auto"/>
                          <w:ind w:firstLine="567"/>
                          <w:jc w:val="center"/>
                          <w:rPr>
                            <w:sz w:val="18"/>
                            <w:lang w:eastAsia="lt-LT"/>
                          </w:rPr>
                        </w:pPr>
                      </w:p>
                    </w:tc>
                    <w:tc>
                      <w:tcPr>
                        <w:tcW w:w="1511" w:type="dxa"/>
                        <w:gridSpan w:val="2"/>
                        <w:vMerge/>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p>
                    </w:tc>
                    <w:tc>
                      <w:tcPr>
                        <w:tcW w:w="3146" w:type="dxa"/>
                        <w:vMerge/>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p>
                    </w:tc>
                    <w:tc>
                      <w:tcPr>
                        <w:tcW w:w="1562" w:type="dxa"/>
                        <w:vMerge/>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p>
                    </w:tc>
                    <w:tc>
                      <w:tcPr>
                        <w:tcW w:w="1420" w:type="dxa"/>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r>
                          <w:rPr>
                            <w:sz w:val="18"/>
                            <w:lang w:eastAsia="lt-LT"/>
                          </w:rPr>
                          <w:t>vnt.</w:t>
                        </w:r>
                      </w:p>
                    </w:tc>
                    <w:tc>
                      <w:tcPr>
                        <w:tcW w:w="1563" w:type="dxa"/>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r>
                          <w:rPr>
                            <w:sz w:val="18"/>
                            <w:lang w:eastAsia="lt-LT"/>
                          </w:rPr>
                          <w:t>maks.</w:t>
                        </w:r>
                      </w:p>
                    </w:tc>
                    <w:tc>
                      <w:tcPr>
                        <w:tcW w:w="2905" w:type="dxa"/>
                        <w:vMerge/>
                        <w:tcBorders>
                          <w:top w:val="single" w:sz="4" w:space="0" w:color="auto"/>
                          <w:left w:val="single" w:sz="4" w:space="0" w:color="auto"/>
                          <w:bottom w:val="single" w:sz="4" w:space="0" w:color="auto"/>
                          <w:right w:val="single" w:sz="4" w:space="0" w:color="auto"/>
                        </w:tcBorders>
                        <w:vAlign w:val="center"/>
                      </w:tcPr>
                      <w:p>
                        <w:pPr>
                          <w:shd w:val="clear" w:color="000000" w:fill="auto"/>
                          <w:ind w:firstLine="567"/>
                          <w:jc w:val="center"/>
                          <w:rPr>
                            <w:sz w:val="18"/>
                            <w:lang w:eastAsia="lt-LT"/>
                          </w:rPr>
                        </w:pPr>
                      </w:p>
                    </w:tc>
                  </w:tr>
                  <w:tr>
                    <w:tc>
                      <w:tcPr>
                        <w:tcW w:w="156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1</w:t>
                        </w:r>
                      </w:p>
                    </w:tc>
                    <w:tc>
                      <w:tcPr>
                        <w:tcW w:w="1511" w:type="dxa"/>
                        <w:gridSpan w:val="2"/>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r>
                          <w:rPr>
                            <w:sz w:val="18"/>
                            <w:lang w:eastAsia="lt-LT"/>
                          </w:rPr>
                          <w:t>2</w:t>
                        </w:r>
                      </w:p>
                    </w:tc>
                    <w:tc>
                      <w:tcPr>
                        <w:tcW w:w="3146" w:type="dxa"/>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r>
                          <w:rPr>
                            <w:sz w:val="18"/>
                            <w:lang w:eastAsia="lt-LT"/>
                          </w:rPr>
                          <w:t>3</w:t>
                        </w:r>
                      </w:p>
                    </w:tc>
                    <w:tc>
                      <w:tcPr>
                        <w:tcW w:w="1562" w:type="dxa"/>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r>
                          <w:rPr>
                            <w:sz w:val="18"/>
                            <w:lang w:eastAsia="lt-LT"/>
                          </w:rPr>
                          <w:t>4</w:t>
                        </w:r>
                      </w:p>
                    </w:tc>
                    <w:tc>
                      <w:tcPr>
                        <w:tcW w:w="1420" w:type="dxa"/>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r>
                          <w:rPr>
                            <w:sz w:val="18"/>
                            <w:lang w:eastAsia="lt-LT"/>
                          </w:rPr>
                          <w:t>5</w:t>
                        </w:r>
                      </w:p>
                    </w:tc>
                    <w:tc>
                      <w:tcPr>
                        <w:tcW w:w="1563" w:type="dxa"/>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r>
                          <w:rPr>
                            <w:sz w:val="18"/>
                            <w:lang w:eastAsia="lt-LT"/>
                          </w:rPr>
                          <w:t>6</w:t>
                        </w:r>
                      </w:p>
                    </w:tc>
                    <w:tc>
                      <w:tcPr>
                        <w:tcW w:w="2905" w:type="dxa"/>
                        <w:tcBorders>
                          <w:top w:val="single" w:sz="4" w:space="0" w:color="auto"/>
                          <w:left w:val="single" w:sz="4" w:space="0" w:color="auto"/>
                          <w:bottom w:val="single" w:sz="4" w:space="0" w:color="auto"/>
                          <w:right w:val="single" w:sz="4" w:space="0" w:color="auto"/>
                        </w:tcBorders>
                        <w:vAlign w:val="center"/>
                      </w:tcPr>
                      <w:p>
                        <w:pPr>
                          <w:shd w:val="clear" w:color="000000" w:fill="auto"/>
                          <w:ind w:firstLine="567"/>
                          <w:jc w:val="center"/>
                          <w:rPr>
                            <w:sz w:val="18"/>
                            <w:lang w:eastAsia="lt-LT"/>
                          </w:rPr>
                        </w:pPr>
                        <w:r>
                          <w:rPr>
                            <w:sz w:val="18"/>
                            <w:lang w:eastAsia="lt-LT"/>
                          </w:rPr>
                          <w:t>7</w:t>
                        </w:r>
                      </w:p>
                    </w:tc>
                  </w:tr>
                  <w:tr>
                    <w:tc>
                      <w:tcPr>
                        <w:tcW w:w="156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1511" w:type="dxa"/>
                        <w:gridSpan w:val="2"/>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p>
                    </w:tc>
                    <w:tc>
                      <w:tcPr>
                        <w:tcW w:w="3146" w:type="dxa"/>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p>
                    </w:tc>
                    <w:tc>
                      <w:tcPr>
                        <w:tcW w:w="1562" w:type="dxa"/>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p>
                    </w:tc>
                    <w:tc>
                      <w:tcPr>
                        <w:tcW w:w="1420" w:type="dxa"/>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p>
                    </w:tc>
                    <w:tc>
                      <w:tcPr>
                        <w:tcW w:w="1563" w:type="dxa"/>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p>
                    </w:tc>
                    <w:tc>
                      <w:tcPr>
                        <w:tcW w:w="2905" w:type="dxa"/>
                        <w:tcBorders>
                          <w:top w:val="single" w:sz="4" w:space="0" w:color="auto"/>
                          <w:left w:val="single" w:sz="4" w:space="0" w:color="auto"/>
                          <w:bottom w:val="single" w:sz="4" w:space="0" w:color="auto"/>
                          <w:right w:val="single" w:sz="4" w:space="0" w:color="auto"/>
                        </w:tcBorders>
                        <w:vAlign w:val="center"/>
                      </w:tcPr>
                      <w:p>
                        <w:pPr>
                          <w:shd w:val="clear" w:color="000000" w:fill="auto"/>
                          <w:ind w:firstLine="567"/>
                          <w:jc w:val="center"/>
                          <w:rPr>
                            <w:sz w:val="18"/>
                            <w:lang w:eastAsia="lt-LT"/>
                          </w:rPr>
                        </w:pPr>
                      </w:p>
                    </w:tc>
                  </w:tr>
                  <w:tr>
                    <w:tc>
                      <w:tcPr>
                        <w:tcW w:w="156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1511" w:type="dxa"/>
                        <w:gridSpan w:val="2"/>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p>
                    </w:tc>
                    <w:tc>
                      <w:tcPr>
                        <w:tcW w:w="3146" w:type="dxa"/>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p>
                    </w:tc>
                    <w:tc>
                      <w:tcPr>
                        <w:tcW w:w="1562" w:type="dxa"/>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p>
                    </w:tc>
                    <w:tc>
                      <w:tcPr>
                        <w:tcW w:w="1420" w:type="dxa"/>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p>
                    </w:tc>
                    <w:tc>
                      <w:tcPr>
                        <w:tcW w:w="1563" w:type="dxa"/>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p>
                    </w:tc>
                    <w:tc>
                      <w:tcPr>
                        <w:tcW w:w="2905" w:type="dxa"/>
                        <w:tcBorders>
                          <w:top w:val="single" w:sz="4" w:space="0" w:color="auto"/>
                          <w:left w:val="single" w:sz="4" w:space="0" w:color="auto"/>
                          <w:bottom w:val="single" w:sz="4" w:space="0" w:color="auto"/>
                          <w:right w:val="single" w:sz="4" w:space="0" w:color="auto"/>
                        </w:tcBorders>
                        <w:vAlign w:val="center"/>
                      </w:tcPr>
                      <w:p>
                        <w:pPr>
                          <w:shd w:val="clear" w:color="000000" w:fill="auto"/>
                          <w:ind w:firstLine="567"/>
                          <w:jc w:val="center"/>
                          <w:rPr>
                            <w:sz w:val="18"/>
                            <w:lang w:eastAsia="lt-LT"/>
                          </w:rPr>
                        </w:pPr>
                      </w:p>
                    </w:tc>
                  </w:tr>
                  <w:tr>
                    <w:tc>
                      <w:tcPr>
                        <w:tcW w:w="156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1511" w:type="dxa"/>
                        <w:gridSpan w:val="2"/>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p>
                    </w:tc>
                    <w:tc>
                      <w:tcPr>
                        <w:tcW w:w="3146" w:type="dxa"/>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p>
                    </w:tc>
                    <w:tc>
                      <w:tcPr>
                        <w:tcW w:w="1562" w:type="dxa"/>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p>
                    </w:tc>
                    <w:tc>
                      <w:tcPr>
                        <w:tcW w:w="1420" w:type="dxa"/>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p>
                    </w:tc>
                    <w:tc>
                      <w:tcPr>
                        <w:tcW w:w="1563" w:type="dxa"/>
                        <w:tcBorders>
                          <w:top w:val="single" w:sz="4" w:space="0" w:color="auto"/>
                          <w:left w:val="single" w:sz="4" w:space="0" w:color="auto"/>
                          <w:bottom w:val="single" w:sz="4" w:space="0" w:color="auto"/>
                          <w:right w:val="single" w:sz="4" w:space="0" w:color="auto"/>
                        </w:tcBorders>
                        <w:vAlign w:val="center"/>
                      </w:tcPr>
                      <w:p>
                        <w:pPr>
                          <w:shd w:val="clear" w:color="000000" w:fill="auto"/>
                          <w:ind w:firstLine="23"/>
                          <w:jc w:val="center"/>
                          <w:rPr>
                            <w:sz w:val="18"/>
                            <w:lang w:eastAsia="lt-LT"/>
                          </w:rPr>
                        </w:pPr>
                      </w:p>
                    </w:tc>
                    <w:tc>
                      <w:tcPr>
                        <w:tcW w:w="2905" w:type="dxa"/>
                        <w:tcBorders>
                          <w:top w:val="single" w:sz="4" w:space="0" w:color="auto"/>
                          <w:left w:val="single" w:sz="4" w:space="0" w:color="auto"/>
                          <w:bottom w:val="single" w:sz="4" w:space="0" w:color="auto"/>
                          <w:right w:val="single" w:sz="4" w:space="0" w:color="auto"/>
                        </w:tcBorders>
                        <w:vAlign w:val="center"/>
                      </w:tcPr>
                      <w:p>
                        <w:pPr>
                          <w:shd w:val="clear" w:color="000000" w:fill="auto"/>
                          <w:ind w:firstLine="567"/>
                          <w:jc w:val="center"/>
                          <w:rPr>
                            <w:sz w:val="18"/>
                            <w:lang w:eastAsia="lt-LT"/>
                          </w:rPr>
                        </w:pPr>
                      </w:p>
                    </w:tc>
                  </w:tr>
                  <w:tr>
                    <w:tc>
                      <w:tcPr>
                        <w:tcW w:w="1561" w:type="dxa"/>
                        <w:tcBorders>
                          <w:top w:val="nil"/>
                          <w:left w:val="nil"/>
                          <w:bottom w:val="nil"/>
                          <w:right w:val="nil"/>
                        </w:tcBorders>
                        <w:vAlign w:val="center"/>
                      </w:tcPr>
                      <w:p>
                        <w:pPr>
                          <w:shd w:val="clear" w:color="000000" w:fill="auto"/>
                          <w:ind w:firstLine="567"/>
                          <w:jc w:val="center"/>
                          <w:rPr>
                            <w:sz w:val="18"/>
                            <w:lang w:eastAsia="lt-LT"/>
                          </w:rPr>
                        </w:pPr>
                      </w:p>
                    </w:tc>
                    <w:tc>
                      <w:tcPr>
                        <w:tcW w:w="1149" w:type="dxa"/>
                        <w:tcBorders>
                          <w:top w:val="nil"/>
                          <w:left w:val="nil"/>
                          <w:bottom w:val="nil"/>
                          <w:right w:val="nil"/>
                        </w:tcBorders>
                        <w:vAlign w:val="center"/>
                      </w:tcPr>
                      <w:p>
                        <w:pPr>
                          <w:shd w:val="clear" w:color="000000" w:fill="auto"/>
                          <w:ind w:firstLine="567"/>
                          <w:jc w:val="center"/>
                          <w:rPr>
                            <w:sz w:val="18"/>
                            <w:lang w:eastAsia="lt-LT"/>
                          </w:rPr>
                        </w:pPr>
                      </w:p>
                    </w:tc>
                    <w:tc>
                      <w:tcPr>
                        <w:tcW w:w="362" w:type="dxa"/>
                        <w:tcBorders>
                          <w:top w:val="nil"/>
                          <w:left w:val="nil"/>
                          <w:bottom w:val="nil"/>
                          <w:right w:val="nil"/>
                        </w:tcBorders>
                        <w:vAlign w:val="center"/>
                      </w:tcPr>
                      <w:p>
                        <w:pPr>
                          <w:shd w:val="clear" w:color="000000" w:fill="auto"/>
                          <w:ind w:firstLine="567"/>
                          <w:jc w:val="center"/>
                          <w:rPr>
                            <w:sz w:val="18"/>
                            <w:lang w:eastAsia="lt-LT"/>
                          </w:rPr>
                        </w:pPr>
                      </w:p>
                    </w:tc>
                    <w:tc>
                      <w:tcPr>
                        <w:tcW w:w="3146" w:type="dxa"/>
                        <w:tcBorders>
                          <w:top w:val="nil"/>
                          <w:left w:val="nil"/>
                          <w:bottom w:val="nil"/>
                          <w:right w:val="nil"/>
                        </w:tcBorders>
                        <w:vAlign w:val="center"/>
                      </w:tcPr>
                      <w:p>
                        <w:pPr>
                          <w:shd w:val="clear" w:color="000000" w:fill="auto"/>
                          <w:ind w:firstLine="567"/>
                          <w:jc w:val="center"/>
                          <w:rPr>
                            <w:sz w:val="18"/>
                            <w:lang w:eastAsia="lt-LT"/>
                          </w:rPr>
                        </w:pPr>
                      </w:p>
                    </w:tc>
                    <w:tc>
                      <w:tcPr>
                        <w:tcW w:w="1562" w:type="dxa"/>
                        <w:tcBorders>
                          <w:top w:val="nil"/>
                          <w:left w:val="nil"/>
                          <w:bottom w:val="nil"/>
                          <w:right w:val="nil"/>
                        </w:tcBorders>
                        <w:vAlign w:val="center"/>
                      </w:tcPr>
                      <w:p>
                        <w:pPr>
                          <w:shd w:val="clear" w:color="000000" w:fill="auto"/>
                          <w:ind w:firstLine="567"/>
                          <w:jc w:val="center"/>
                          <w:rPr>
                            <w:sz w:val="18"/>
                            <w:lang w:eastAsia="lt-LT"/>
                          </w:rPr>
                        </w:pPr>
                      </w:p>
                    </w:tc>
                    <w:tc>
                      <w:tcPr>
                        <w:tcW w:w="2983" w:type="dxa"/>
                        <w:gridSpan w:val="2"/>
                        <w:tcBorders>
                          <w:top w:val="single" w:sz="4" w:space="0" w:color="auto"/>
                          <w:left w:val="single" w:sz="4" w:space="0" w:color="auto"/>
                          <w:bottom w:val="single" w:sz="4" w:space="0" w:color="auto"/>
                          <w:right w:val="single" w:sz="4" w:space="0" w:color="auto"/>
                        </w:tcBorders>
                        <w:vAlign w:val="center"/>
                      </w:tcPr>
                      <w:p>
                        <w:pPr>
                          <w:shd w:val="clear" w:color="000000" w:fill="auto"/>
                          <w:ind w:firstLine="567"/>
                          <w:jc w:val="right"/>
                          <w:rPr>
                            <w:sz w:val="18"/>
                            <w:lang w:eastAsia="lt-LT"/>
                          </w:rPr>
                        </w:pPr>
                        <w:r>
                          <w:rPr>
                            <w:sz w:val="18"/>
                            <w:lang w:eastAsia="lt-LT"/>
                          </w:rPr>
                          <w:t>Iš viso įrenginiui:</w:t>
                        </w:r>
                      </w:p>
                    </w:tc>
                    <w:tc>
                      <w:tcPr>
                        <w:tcW w:w="2905" w:type="dxa"/>
                        <w:tcBorders>
                          <w:top w:val="single" w:sz="4" w:space="0" w:color="auto"/>
                          <w:left w:val="single" w:sz="4" w:space="0" w:color="auto"/>
                          <w:bottom w:val="single" w:sz="4" w:space="0" w:color="auto"/>
                          <w:right w:val="single" w:sz="4" w:space="0" w:color="auto"/>
                        </w:tcBorders>
                        <w:vAlign w:val="center"/>
                      </w:tcPr>
                      <w:p>
                        <w:pPr>
                          <w:shd w:val="clear" w:color="000000" w:fill="auto"/>
                          <w:ind w:firstLine="567"/>
                          <w:jc w:val="center"/>
                          <w:rPr>
                            <w:sz w:val="18"/>
                            <w:lang w:eastAsia="lt-LT"/>
                          </w:rPr>
                        </w:pPr>
                      </w:p>
                    </w:tc>
                  </w:tr>
                </w:tbl>
                <w:p>
                  <w:pPr>
                    <w:shd w:val="clear" w:color="000000" w:fill="auto"/>
                    <w:ind w:firstLine="567"/>
                    <w:jc w:val="both"/>
                    <w:rPr>
                      <w:sz w:val="22"/>
                      <w:szCs w:val="24"/>
                      <w:lang w:eastAsia="lt-LT"/>
                    </w:rPr>
                  </w:pPr>
                </w:p>
              </w:sdtContent>
            </w:sdt>
            <w:sdt>
              <w:sdtPr>
                <w:alias w:val="lentele"/>
                <w:tag w:val="part_d1bfc600c2684a6c91eb0cac18580cec"/>
                <w:lock w:val="sdtLocked"/>
                <w:richText/>
              </w:sdtPr>
              <w:sdtContent>
                <w:p>
                  <w:pPr>
                    <w:shd w:val="clear" w:color="000000" w:fill="auto"/>
                    <w:ind w:firstLine="567"/>
                    <w:jc w:val="both"/>
                    <w:rPr>
                      <w:sz w:val="22"/>
                      <w:szCs w:val="24"/>
                      <w:lang w:eastAsia="lt-LT"/>
                    </w:rPr>
                  </w:pPr>
                  <w:r>
                    <w:rPr>
                      <w:sz w:val="22"/>
                      <w:szCs w:val="24"/>
                      <w:lang w:eastAsia="lt-LT"/>
                    </w:rPr>
                    <w:t xml:space="preserve">12 lentelė. </w:t>
                  </w:r>
                  <w:sdt>
                    <w:sdtPr>
                      <w:alias w:val="Pavadinimas"/>
                      <w:tag w:val="title_d1bfc600c2684a6c91eb0cac18580cec"/>
                      <w:lock w:val="sdtLocked"/>
                      <w:richText/>
                    </w:sdtPr>
                    <w:sdtContent>
                      <w:r>
                        <w:rPr>
                          <w:sz w:val="22"/>
                          <w:szCs w:val="24"/>
                          <w:lang w:eastAsia="lt-LT"/>
                        </w:rPr>
                        <w:t>Aplinkos oro teršalų valymo įrenginiai ir taršos prevencijos priemonės</w:t>
                      </w:r>
                    </w:sdtContent>
                  </w:sdt>
                </w:p>
                <w:p>
                  <w:pPr>
                    <w:shd w:val="clear" w:color="000000" w:fill="auto"/>
                    <w:ind w:firstLine="567"/>
                    <w:jc w:val="both"/>
                    <w:rPr>
                      <w:sz w:val="22"/>
                      <w:szCs w:val="24"/>
                      <w:lang w:eastAsia="lt-LT"/>
                    </w:rPr>
                  </w:pPr>
                </w:p>
                <w:p>
                  <w:pPr>
                    <w:shd w:val="clear" w:color="000000" w:fill="auto"/>
                    <w:tabs>
                      <w:tab w:val="left" w:leader="underscore" w:pos="8901"/>
                    </w:tabs>
                    <w:rPr>
                      <w:szCs w:val="24"/>
                      <w:lang w:eastAsia="lt-LT"/>
                    </w:rPr>
                  </w:pPr>
                  <w:r>
                    <w:rPr>
                      <w:szCs w:val="24"/>
                      <w:lang w:eastAsia="lt-LT"/>
                    </w:rPr>
                    <w:t xml:space="preserve">Įrenginio pavadinimas </w:t>
                    <w:tab/>
                  </w:r>
                </w:p>
                <w:p>
                  <w:pPr>
                    <w:shd w:val="clear" w:color="000000" w:fill="auto"/>
                    <w:jc w:val="both"/>
                    <w:rPr>
                      <w:sz w:val="22"/>
                      <w:szCs w:val="24"/>
                      <w:lang w:eastAsia="lt-LT"/>
                    </w:rPr>
                  </w:pPr>
                </w:p>
                <w:tbl>
                  <w:tblPr>
                    <w:tblW w:w="13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24"/>
                    <w:gridCol w:w="4784"/>
                    <w:gridCol w:w="1136"/>
                    <w:gridCol w:w="3977"/>
                    <w:gridCol w:w="1136"/>
                  </w:tblGrid>
                  <w:tr>
                    <w:trPr>
                      <w:cantSplit/>
                    </w:trPr>
                    <w:tc>
                      <w:tcPr>
                        <w:tcW w:w="2524"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Taršos šaltinio, į kurį patenka pro valymo įrenginį praėjęs dujų srautas, Nr.</w:t>
                        </w:r>
                      </w:p>
                    </w:tc>
                    <w:tc>
                      <w:tcPr>
                        <w:tcW w:w="5920" w:type="dxa"/>
                        <w:gridSpan w:val="2"/>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 xml:space="preserve">Valymo įrenginiai </w:t>
                        </w:r>
                      </w:p>
                    </w:tc>
                    <w:tc>
                      <w:tcPr>
                        <w:tcW w:w="5113" w:type="dxa"/>
                        <w:gridSpan w:val="2"/>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Valymo įrenginyje valomi (nukenksminami) teršalai</w:t>
                        </w:r>
                      </w:p>
                    </w:tc>
                  </w:tr>
                  <w:tr>
                    <w:trPr>
                      <w:cantSplit/>
                    </w:trPr>
                    <w:tc>
                      <w:tcPr>
                        <w:tcW w:w="2524"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4784"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Pavadinimas ir paskirties apibūdinimas</w:t>
                        </w:r>
                      </w:p>
                    </w:tc>
                    <w:tc>
                      <w:tcPr>
                        <w:tcW w:w="113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kodas</w:t>
                        </w:r>
                      </w:p>
                    </w:tc>
                    <w:tc>
                      <w:tcPr>
                        <w:tcW w:w="3977"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pavadinimas</w:t>
                        </w:r>
                      </w:p>
                    </w:tc>
                    <w:tc>
                      <w:tcPr>
                        <w:tcW w:w="113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kodas</w:t>
                        </w:r>
                      </w:p>
                    </w:tc>
                  </w:tr>
                  <w:tr>
                    <w:tc>
                      <w:tcPr>
                        <w:tcW w:w="2524"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1</w:t>
                        </w:r>
                      </w:p>
                    </w:tc>
                    <w:tc>
                      <w:tcPr>
                        <w:tcW w:w="4784"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2</w:t>
                        </w:r>
                      </w:p>
                    </w:tc>
                    <w:tc>
                      <w:tcPr>
                        <w:tcW w:w="113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3</w:t>
                        </w:r>
                      </w:p>
                    </w:tc>
                    <w:tc>
                      <w:tcPr>
                        <w:tcW w:w="3977"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4</w:t>
                        </w:r>
                      </w:p>
                    </w:tc>
                    <w:tc>
                      <w:tcPr>
                        <w:tcW w:w="113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5</w:t>
                        </w:r>
                      </w:p>
                    </w:tc>
                  </w:tr>
                  <w:tr>
                    <w:tc>
                      <w:tcPr>
                        <w:tcW w:w="2524"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4784"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113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3977"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113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r>
                  <w:tr>
                    <w:tc>
                      <w:tcPr>
                        <w:tcW w:w="2524"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4784"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113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3977"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113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r>
                  <w:tr>
                    <w:tc>
                      <w:tcPr>
                        <w:tcW w:w="13557" w:type="dxa"/>
                        <w:gridSpan w:val="5"/>
                        <w:tcBorders>
                          <w:top w:val="single" w:sz="4" w:space="0" w:color="auto"/>
                          <w:left w:val="single" w:sz="4" w:space="0" w:color="auto"/>
                          <w:bottom w:val="single" w:sz="4" w:space="0" w:color="auto"/>
                          <w:right w:val="single" w:sz="4" w:space="0" w:color="auto"/>
                        </w:tcBorders>
                      </w:tcPr>
                      <w:p>
                        <w:pPr>
                          <w:shd w:val="clear" w:color="000000" w:fill="auto"/>
                          <w:ind w:firstLine="567"/>
                          <w:rPr>
                            <w:sz w:val="18"/>
                            <w:lang w:eastAsia="lt-LT"/>
                          </w:rPr>
                        </w:pPr>
                        <w:r>
                          <w:rPr>
                            <w:sz w:val="18"/>
                            <w:lang w:eastAsia="lt-LT"/>
                          </w:rPr>
                          <w:t>Taršos prevencijos priemonės:</w:t>
                        </w:r>
                      </w:p>
                      <w:p>
                        <w:pPr>
                          <w:shd w:val="clear" w:color="000000" w:fill="auto"/>
                          <w:ind w:firstLine="567"/>
                          <w:jc w:val="both"/>
                          <w:rPr>
                            <w:sz w:val="18"/>
                            <w:lang w:eastAsia="lt-LT"/>
                          </w:rPr>
                        </w:pPr>
                      </w:p>
                    </w:tc>
                  </w:tr>
                </w:tbl>
                <w:p>
                  <w:pPr>
                    <w:shd w:val="clear" w:color="000000" w:fill="auto"/>
                    <w:ind w:firstLine="567"/>
                    <w:jc w:val="both"/>
                    <w:rPr>
                      <w:sz w:val="22"/>
                      <w:szCs w:val="24"/>
                      <w:lang w:eastAsia="lt-LT"/>
                    </w:rPr>
                  </w:pPr>
                </w:p>
              </w:sdtContent>
            </w:sdt>
            <w:sdt>
              <w:sdtPr>
                <w:alias w:val="lentele"/>
                <w:tag w:val="part_1ff3f9adb41c466d904b7302a3b8662d"/>
                <w:lock w:val="sdtLocked"/>
                <w:richText/>
              </w:sdtPr>
              <w:sdtContent>
                <w:p>
                  <w:pPr>
                    <w:shd w:val="clear" w:color="000000" w:fill="auto"/>
                    <w:ind w:firstLine="567"/>
                    <w:jc w:val="both"/>
                    <w:rPr>
                      <w:sz w:val="22"/>
                      <w:szCs w:val="24"/>
                      <w:lang w:eastAsia="lt-LT"/>
                    </w:rPr>
                  </w:pPr>
                  <w:r>
                    <w:rPr>
                      <w:sz w:val="22"/>
                      <w:szCs w:val="24"/>
                      <w:lang w:eastAsia="lt-LT"/>
                    </w:rPr>
                    <w:t xml:space="preserve">13 lentelė. </w:t>
                  </w:r>
                  <w:sdt>
                    <w:sdtPr>
                      <w:alias w:val="Pavadinimas"/>
                      <w:tag w:val="title_1ff3f9adb41c466d904b7302a3b8662d"/>
                      <w:lock w:val="sdtLocked"/>
                      <w:richText/>
                    </w:sdtPr>
                    <w:sdtContent>
                      <w:r>
                        <w:rPr>
                          <w:sz w:val="22"/>
                          <w:szCs w:val="24"/>
                          <w:lang w:eastAsia="lt-LT"/>
                        </w:rPr>
                        <w:t>Tarša į aplinkos orą esant neįprastoms (neatitiktinėms) veiklos sąlygoms</w:t>
                      </w:r>
                    </w:sdtContent>
                  </w:sdt>
                </w:p>
                <w:p>
                  <w:pPr>
                    <w:shd w:val="clear" w:color="000000" w:fill="auto"/>
                    <w:ind w:firstLine="567"/>
                    <w:jc w:val="both"/>
                    <w:rPr>
                      <w:sz w:val="22"/>
                      <w:szCs w:val="24"/>
                      <w:lang w:eastAsia="lt-LT"/>
                    </w:rPr>
                  </w:pPr>
                </w:p>
                <w:p>
                  <w:pPr>
                    <w:shd w:val="clear" w:color="000000" w:fill="auto"/>
                    <w:tabs>
                      <w:tab w:val="left" w:leader="underscore" w:pos="8901"/>
                    </w:tabs>
                    <w:rPr>
                      <w:szCs w:val="24"/>
                      <w:lang w:eastAsia="lt-LT"/>
                    </w:rPr>
                  </w:pPr>
                  <w:r>
                    <w:rPr>
                      <w:szCs w:val="24"/>
                      <w:lang w:eastAsia="lt-LT"/>
                    </w:rPr>
                    <w:t xml:space="preserve">Įrenginio pavadinimas </w:t>
                    <w:tab/>
                  </w:r>
                </w:p>
                <w:p>
                  <w:pPr>
                    <w:shd w:val="clear" w:color="000000" w:fill="auto"/>
                    <w:jc w:val="both"/>
                    <w:rPr>
                      <w:sz w:val="22"/>
                      <w:szCs w:val="24"/>
                      <w:lang w:eastAsia="lt-LT"/>
                    </w:rPr>
                  </w:pPr>
                </w:p>
                <w:tbl>
                  <w:tblPr>
                    <w:tblW w:w="13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9"/>
                    <w:gridCol w:w="2841"/>
                    <w:gridCol w:w="2578"/>
                    <w:gridCol w:w="1705"/>
                    <w:gridCol w:w="853"/>
                    <w:gridCol w:w="1562"/>
                    <w:gridCol w:w="2415"/>
                  </w:tblGrid>
                  <w:tr>
                    <w:trPr>
                      <w:cantSplit/>
                      <w:trHeight w:val="369"/>
                    </w:trPr>
                    <w:tc>
                      <w:tcPr>
                        <w:tcW w:w="1529"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Taršos</w:t>
                        </w:r>
                      </w:p>
                      <w:p>
                        <w:pPr>
                          <w:shd w:val="clear" w:color="000000" w:fill="auto"/>
                          <w:jc w:val="center"/>
                          <w:rPr>
                            <w:sz w:val="18"/>
                            <w:lang w:eastAsia="lt-LT"/>
                          </w:rPr>
                        </w:pPr>
                        <w:r>
                          <w:rPr>
                            <w:sz w:val="18"/>
                            <w:lang w:eastAsia="lt-LT"/>
                          </w:rPr>
                          <w:t>šaltinio, iš kurio išmetami teršalai esant šioms sąlygoms, Nr.</w:t>
                        </w:r>
                      </w:p>
                    </w:tc>
                    <w:tc>
                      <w:tcPr>
                        <w:tcW w:w="2841"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Sąlygos, dėl kurių gali įvykti neįprasti (neatitiktiniai) teršalų išmetimai</w:t>
                        </w:r>
                      </w:p>
                    </w:tc>
                    <w:tc>
                      <w:tcPr>
                        <w:tcW w:w="6698" w:type="dxa"/>
                        <w:gridSpan w:val="4"/>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 xml:space="preserve">Neįprastų (neatitiktinių) teršalų išmetimų duomenų detalės </w:t>
                        </w:r>
                      </w:p>
                    </w:tc>
                    <w:tc>
                      <w:tcPr>
                        <w:tcW w:w="2415"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Pastabos, detaliau apibūdinančios neįprastų (neatitiktinių) teršalų išmetimų pasikartojimą, trukmę ir kt. sąlygas</w:t>
                        </w:r>
                      </w:p>
                    </w:tc>
                  </w:tr>
                  <w:tr>
                    <w:trPr>
                      <w:cantSplit/>
                      <w:trHeight w:val="628"/>
                    </w:trPr>
                    <w:tc>
                      <w:tcPr>
                        <w:tcW w:w="1529"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2841"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2578"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išmetimų trukmė,</w:t>
                        </w:r>
                      </w:p>
                      <w:p>
                        <w:pPr>
                          <w:shd w:val="clear" w:color="000000" w:fill="auto"/>
                          <w:jc w:val="center"/>
                          <w:rPr>
                            <w:sz w:val="18"/>
                            <w:lang w:eastAsia="lt-LT"/>
                          </w:rPr>
                        </w:pPr>
                        <w:r>
                          <w:rPr>
                            <w:sz w:val="18"/>
                            <w:lang w:eastAsia="lt-LT"/>
                          </w:rPr>
                          <w:t>val., min.</w:t>
                        </w:r>
                      </w:p>
                      <w:p>
                        <w:pPr>
                          <w:shd w:val="clear" w:color="000000" w:fill="auto"/>
                          <w:jc w:val="center"/>
                          <w:rPr>
                            <w:sz w:val="18"/>
                            <w:lang w:eastAsia="lt-LT"/>
                          </w:rPr>
                        </w:pPr>
                        <w:r>
                          <w:rPr>
                            <w:sz w:val="18"/>
                            <w:lang w:eastAsia="lt-LT"/>
                          </w:rPr>
                          <w:t>(kas reikalinga, pabraukti)</w:t>
                        </w:r>
                      </w:p>
                    </w:tc>
                    <w:tc>
                      <w:tcPr>
                        <w:tcW w:w="2558" w:type="dxa"/>
                        <w:gridSpan w:val="2"/>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teršalas</w:t>
                        </w:r>
                      </w:p>
                    </w:tc>
                    <w:tc>
                      <w:tcPr>
                        <w:tcW w:w="1562"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teršalų koncentracija išmetamosiose dujose, mg/Nm</w:t>
                        </w:r>
                        <w:r>
                          <w:rPr>
                            <w:sz w:val="18"/>
                            <w:vertAlign w:val="superscript"/>
                            <w:lang w:eastAsia="lt-LT"/>
                          </w:rPr>
                          <w:t>3</w:t>
                        </w:r>
                      </w:p>
                    </w:tc>
                    <w:tc>
                      <w:tcPr>
                        <w:tcW w:w="2415"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r>
                  <w:tr>
                    <w:trPr>
                      <w:cantSplit/>
                    </w:trPr>
                    <w:tc>
                      <w:tcPr>
                        <w:tcW w:w="1529"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2841"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2578"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1705"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pavadinimas</w:t>
                        </w:r>
                      </w:p>
                    </w:tc>
                    <w:tc>
                      <w:tcPr>
                        <w:tcW w:w="85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kodas</w:t>
                        </w:r>
                      </w:p>
                    </w:tc>
                    <w:tc>
                      <w:tcPr>
                        <w:tcW w:w="1562"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2415"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r>
                  <w:tr>
                    <w:tc>
                      <w:tcPr>
                        <w:tcW w:w="15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1</w:t>
                        </w:r>
                      </w:p>
                    </w:tc>
                    <w:tc>
                      <w:tcPr>
                        <w:tcW w:w="284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2</w:t>
                        </w:r>
                      </w:p>
                    </w:tc>
                    <w:tc>
                      <w:tcPr>
                        <w:tcW w:w="2578"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3</w:t>
                        </w:r>
                      </w:p>
                    </w:tc>
                    <w:tc>
                      <w:tcPr>
                        <w:tcW w:w="1705"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4</w:t>
                        </w:r>
                      </w:p>
                    </w:tc>
                    <w:tc>
                      <w:tcPr>
                        <w:tcW w:w="85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5</w:t>
                        </w:r>
                      </w:p>
                    </w:tc>
                    <w:tc>
                      <w:tcPr>
                        <w:tcW w:w="156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6</w:t>
                        </w:r>
                      </w:p>
                    </w:tc>
                    <w:tc>
                      <w:tcPr>
                        <w:tcW w:w="2415"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r>
                          <w:rPr>
                            <w:sz w:val="18"/>
                            <w:lang w:eastAsia="lt-LT"/>
                          </w:rPr>
                          <w:t>7</w:t>
                        </w:r>
                      </w:p>
                    </w:tc>
                  </w:tr>
                  <w:tr>
                    <w:tc>
                      <w:tcPr>
                        <w:tcW w:w="15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284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2578"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1705"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85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156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2415"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r>
                  <w:tr>
                    <w:tc>
                      <w:tcPr>
                        <w:tcW w:w="15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284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2578"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1705"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85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156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2415"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r>
                  <w:tr>
                    <w:tc>
                      <w:tcPr>
                        <w:tcW w:w="15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284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2578"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1705"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85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156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c>
                      <w:tcPr>
                        <w:tcW w:w="2415"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lang w:eastAsia="lt-LT"/>
                          </w:rPr>
                        </w:pPr>
                      </w:p>
                    </w:tc>
                  </w:tr>
                </w:tbl>
                <w:p>
                  <w:pPr>
                    <w:shd w:val="clear" w:color="000000" w:fill="auto"/>
                    <w:jc w:val="center"/>
                    <w:rPr>
                      <w:sz w:val="22"/>
                      <w:szCs w:val="24"/>
                      <w:lang w:eastAsia="lt-LT"/>
                    </w:rPr>
                  </w:pPr>
                </w:p>
              </w:sdtContent>
            </w:sdt>
          </w:sdtContent>
        </w:sdt>
        <w:sdt>
          <w:sdtPr>
            <w:alias w:val="skyrius"/>
            <w:tag w:val="part_0db2c15b44254f29a4c65e8314760e43"/>
            <w:lock w:val="sdtLocked"/>
            <w:richText/>
          </w:sdtPr>
          <w:sdtContent>
            <w:p>
              <w:pPr>
                <w:shd w:val="clear" w:color="000000" w:fill="auto"/>
                <w:jc w:val="center"/>
                <w:rPr>
                  <w:b/>
                  <w:sz w:val="22"/>
                  <w:szCs w:val="24"/>
                  <w:lang w:eastAsia="lt-LT"/>
                </w:rPr>
              </w:pPr>
              <w:sdt>
                <w:sdtPr>
                  <w:alias w:val="Numeris"/>
                  <w:tag w:val="nr_0db2c15b44254f29a4c65e8314760e43"/>
                  <w:lock w:val="sdtLocked"/>
                  <w:richText/>
                </w:sdtPr>
                <w:sdtContent>
                  <w:r>
                    <w:rPr>
                      <w:b/>
                      <w:sz w:val="22"/>
                      <w:szCs w:val="24"/>
                      <w:lang w:eastAsia="lt-LT"/>
                    </w:rPr>
                    <w:t>VII</w:t>
                  </w:r>
                </w:sdtContent>
              </w:sdt>
              <w:r>
                <w:rPr>
                  <w:sz w:val="22"/>
                  <w:szCs w:val="24"/>
                  <w:lang w:eastAsia="lt-LT"/>
                </w:rPr>
                <w:t xml:space="preserve">. </w:t>
              </w:r>
              <w:sdt>
                <w:sdtPr>
                  <w:alias w:val="Pavadinimas"/>
                  <w:tag w:val="title_0db2c15b44254f29a4c65e8314760e43"/>
                  <w:lock w:val="sdtLocked"/>
                  <w:richText/>
                </w:sdtPr>
                <w:sdtContent>
                  <w:r>
                    <w:rPr>
                      <w:b/>
                      <w:sz w:val="22"/>
                      <w:szCs w:val="24"/>
                      <w:lang w:eastAsia="lt-LT"/>
                    </w:rPr>
                    <w:t>ŠILTNAMIO EFEKTĄ SUKELIANČIOS DUJOS</w:t>
                  </w:r>
                </w:sdtContent>
              </w:sdt>
            </w:p>
            <w:p>
              <w:pPr>
                <w:shd w:val="clear" w:color="000000" w:fill="auto"/>
                <w:jc w:val="center"/>
                <w:rPr>
                  <w:sz w:val="22"/>
                  <w:szCs w:val="24"/>
                  <w:lang w:eastAsia="lt-LT"/>
                </w:rPr>
              </w:pPr>
            </w:p>
            <w:sdt>
              <w:sdtPr>
                <w:alias w:val="4 pr. 18 p."/>
                <w:tag w:val="part_fb38a7f9da47476396117297f5ecab76"/>
                <w:lock w:val="sdtLocked"/>
                <w:richText/>
              </w:sdtPr>
              <w:sdtContent>
                <w:p>
                  <w:pPr>
                    <w:shd w:val="clear" w:color="000000" w:fill="auto"/>
                    <w:ind w:firstLine="567"/>
                    <w:jc w:val="both"/>
                    <w:rPr>
                      <w:sz w:val="22"/>
                      <w:szCs w:val="24"/>
                      <w:lang w:eastAsia="lt-LT"/>
                    </w:rPr>
                  </w:pPr>
                  <w:sdt>
                    <w:sdtPr>
                      <w:alias w:val="Numeris"/>
                      <w:tag w:val="nr_fb38a7f9da47476396117297f5ecab76"/>
                      <w:lock w:val="sdtLocked"/>
                      <w:richText/>
                    </w:sdtPr>
                    <w:sdtContent>
                      <w:r>
                        <w:rPr>
                          <w:sz w:val="22"/>
                          <w:szCs w:val="24"/>
                          <w:lang w:eastAsia="lt-LT"/>
                        </w:rPr>
                        <w:t>18</w:t>
                      </w:r>
                    </w:sdtContent>
                  </w:sdt>
                  <w:r>
                    <w:rPr>
                      <w:sz w:val="22"/>
                      <w:szCs w:val="24"/>
                      <w:lang w:eastAsia="lt-LT"/>
                    </w:rPr>
                    <w:t>. Šiltnamio efektą sukeliančios dujos.</w:t>
                  </w:r>
                </w:p>
                <w:p>
                  <w:pPr>
                    <w:shd w:val="clear" w:color="000000" w:fill="auto"/>
                    <w:ind w:firstLine="567"/>
                    <w:jc w:val="center"/>
                    <w:rPr>
                      <w:sz w:val="22"/>
                      <w:szCs w:val="24"/>
                      <w:lang w:eastAsia="lt-LT"/>
                    </w:rPr>
                  </w:pPr>
                </w:p>
              </w:sdtContent>
            </w:sdt>
            <w:sdt>
              <w:sdtPr>
                <w:alias w:val="lentele"/>
                <w:tag w:val="part_812ce3c9386549259935ab1f28437573"/>
                <w:lock w:val="sdtLocked"/>
                <w:richText/>
              </w:sdtPr>
              <w:sdtContent>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 w:val="22"/>
                      <w:szCs w:val="24"/>
                      <w:lang w:eastAsia="lt-LT"/>
                    </w:rPr>
                  </w:pPr>
                  <w:sdt>
                    <w:sdtPr>
                      <w:alias w:val="Numeris"/>
                      <w:tag w:val="nr_812ce3c9386549259935ab1f28437573"/>
                      <w:lock w:val="sdtLocked"/>
                      <w:richText/>
                    </w:sdtPr>
                    <w:sdtContent>
                      <w:r>
                        <w:rPr>
                          <w:sz w:val="22"/>
                          <w:szCs w:val="24"/>
                          <w:lang w:eastAsia="lt-LT"/>
                        </w:rPr>
                        <w:t>14</w:t>
                      </w:r>
                    </w:sdtContent>
                  </w:sdt>
                  <w:r>
                    <w:rPr>
                      <w:sz w:val="22"/>
                      <w:szCs w:val="24"/>
                      <w:lang w:eastAsia="lt-LT"/>
                    </w:rPr>
                    <w:t xml:space="preserve"> lentelė. Veiklos rūšys ir šaltiniai, iš kurių į atmosferą išmetamos ŠESD, nurodytos Lietuvos Respublikos klimato kaitos valdymo finansinių instrumentų įstatymo 1 priede</w:t>
                  </w:r>
                </w:p>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 w:val="22"/>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16"/>
                    <w:gridCol w:w="5667"/>
                    <w:gridCol w:w="7071"/>
                  </w:tblGrid>
                  <w:tr>
                    <w:tc>
                      <w:tcPr>
                        <w:tcW w:w="563" w:type="pct"/>
                        <w:tcBorders>
                          <w:top w:val="single" w:sz="4" w:space="0" w:color="auto"/>
                          <w:left w:val="single" w:sz="4" w:space="0" w:color="auto"/>
                          <w:bottom w:val="single" w:sz="4" w:space="0" w:color="auto"/>
                          <w:right w:val="single" w:sz="4" w:space="0" w:color="auto"/>
                        </w:tcBorders>
                      </w:tcPr>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2"/>
                            <w:szCs w:val="24"/>
                            <w:lang w:eastAsia="lt-LT"/>
                          </w:rPr>
                        </w:pPr>
                        <w:r>
                          <w:rPr>
                            <w:sz w:val="22"/>
                            <w:szCs w:val="24"/>
                            <w:lang w:val="en-US" w:eastAsia="lt-LT"/>
                          </w:rPr>
                          <w:t>Eil. Nr.</w:t>
                        </w:r>
                      </w:p>
                    </w:tc>
                    <w:tc>
                      <w:tcPr>
                        <w:tcW w:w="1974" w:type="pct"/>
                        <w:tcBorders>
                          <w:top w:val="single" w:sz="4" w:space="0" w:color="auto"/>
                          <w:left w:val="single" w:sz="4" w:space="0" w:color="auto"/>
                          <w:bottom w:val="single" w:sz="4" w:space="0" w:color="auto"/>
                          <w:right w:val="single" w:sz="4" w:space="0" w:color="auto"/>
                        </w:tcBorders>
                      </w:tcPr>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2"/>
                            <w:szCs w:val="24"/>
                            <w:lang w:eastAsia="lt-LT"/>
                          </w:rPr>
                        </w:pPr>
                        <w:r>
                          <w:rPr>
                            <w:sz w:val="22"/>
                            <w:szCs w:val="24"/>
                            <w:lang w:eastAsia="lt-LT"/>
                          </w:rPr>
                          <w:t>Veiklos rūšys pagal Lietuvos Respublikos klimato kaitos valdymo finansinių instrumentų įstatymo 1 priedą ir išmetimo šaltiniai</w:t>
                        </w:r>
                      </w:p>
                    </w:tc>
                    <w:tc>
                      <w:tcPr>
                        <w:tcW w:w="2463" w:type="pct"/>
                        <w:tcBorders>
                          <w:top w:val="single" w:sz="4" w:space="0" w:color="auto"/>
                          <w:left w:val="single" w:sz="4" w:space="0" w:color="auto"/>
                          <w:bottom w:val="single" w:sz="4" w:space="0" w:color="auto"/>
                          <w:right w:val="single" w:sz="4" w:space="0" w:color="auto"/>
                        </w:tcBorders>
                      </w:tcPr>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2"/>
                            <w:szCs w:val="24"/>
                            <w:vertAlign w:val="superscript"/>
                            <w:lang w:val="en-US" w:eastAsia="lt-LT"/>
                          </w:rPr>
                        </w:pPr>
                        <w:r>
                          <w:rPr>
                            <w:sz w:val="22"/>
                            <w:szCs w:val="24"/>
                            <w:lang w:eastAsia="lt-LT"/>
                          </w:rPr>
                          <w:t>ŠESD</w:t>
                        </w:r>
                        <w:r>
                          <w:rPr>
                            <w:sz w:val="22"/>
                            <w:szCs w:val="24"/>
                            <w:lang w:val="en-US" w:eastAsia="lt-LT"/>
                          </w:rPr>
                          <w:t xml:space="preserve"> pavadinimas</w:t>
                        </w:r>
                      </w:p>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2"/>
                            <w:szCs w:val="24"/>
                            <w:lang w:eastAsia="lt-LT"/>
                          </w:rPr>
                        </w:pPr>
                        <w:r>
                          <w:rPr>
                            <w:sz w:val="22"/>
                            <w:szCs w:val="24"/>
                            <w:lang w:eastAsia="lt-LT"/>
                          </w:rPr>
                          <w:t>(</w:t>
                        </w:r>
                        <w:r>
                          <w:rPr>
                            <w:bCs/>
                            <w:sz w:val="22"/>
                            <w:szCs w:val="24"/>
                            <w:lang w:eastAsia="lt-LT"/>
                          </w:rPr>
                          <w:t>anglies dioksidas (CO2),</w:t>
                        </w:r>
                        <w:r>
                          <w:rPr>
                            <w:b/>
                            <w:bCs/>
                            <w:sz w:val="22"/>
                            <w:szCs w:val="24"/>
                            <w:lang w:eastAsia="lt-LT"/>
                          </w:rPr>
                          <w:t xml:space="preserve"> </w:t>
                        </w:r>
                        <w:r>
                          <w:rPr>
                            <w:sz w:val="22"/>
                            <w:szCs w:val="24"/>
                            <w:lang w:eastAsia="lt-LT"/>
                          </w:rPr>
                          <w:t>azoto suboksidas (N</w:t>
                        </w:r>
                        <w:r>
                          <w:rPr>
                            <w:sz w:val="22"/>
                            <w:szCs w:val="24"/>
                            <w:vertAlign w:val="subscript"/>
                            <w:lang w:eastAsia="lt-LT"/>
                          </w:rPr>
                          <w:t>2</w:t>
                        </w:r>
                        <w:r>
                          <w:rPr>
                            <w:sz w:val="22"/>
                            <w:szCs w:val="24"/>
                            <w:lang w:eastAsia="lt-LT"/>
                          </w:rPr>
                          <w:t>O), perfluorangliavandeniliai (PFC))</w:t>
                        </w:r>
                      </w:p>
                    </w:tc>
                  </w:tr>
                  <w:tr>
                    <w:tc>
                      <w:tcPr>
                        <w:tcW w:w="563" w:type="pct"/>
                        <w:tcBorders>
                          <w:top w:val="single" w:sz="4" w:space="0" w:color="auto"/>
                          <w:left w:val="single" w:sz="4" w:space="0" w:color="auto"/>
                          <w:bottom w:val="single" w:sz="4" w:space="0" w:color="auto"/>
                          <w:right w:val="single" w:sz="4" w:space="0" w:color="auto"/>
                        </w:tcBorders>
                      </w:tcPr>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2"/>
                            <w:szCs w:val="24"/>
                            <w:lang w:eastAsia="lt-LT"/>
                          </w:rPr>
                        </w:pPr>
                        <w:r>
                          <w:rPr>
                            <w:sz w:val="22"/>
                            <w:szCs w:val="24"/>
                            <w:lang w:eastAsia="lt-LT"/>
                          </w:rPr>
                          <w:t>1</w:t>
                        </w:r>
                      </w:p>
                    </w:tc>
                    <w:tc>
                      <w:tcPr>
                        <w:tcW w:w="1974" w:type="pct"/>
                        <w:tcBorders>
                          <w:top w:val="single" w:sz="4" w:space="0" w:color="auto"/>
                          <w:left w:val="single" w:sz="4" w:space="0" w:color="auto"/>
                          <w:bottom w:val="single" w:sz="4" w:space="0" w:color="auto"/>
                          <w:right w:val="single" w:sz="4" w:space="0" w:color="auto"/>
                        </w:tcBorders>
                      </w:tcPr>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2"/>
                            <w:szCs w:val="24"/>
                            <w:lang w:eastAsia="lt-LT"/>
                          </w:rPr>
                        </w:pPr>
                        <w:r>
                          <w:rPr>
                            <w:sz w:val="22"/>
                            <w:szCs w:val="24"/>
                            <w:lang w:eastAsia="lt-LT"/>
                          </w:rPr>
                          <w:t>2</w:t>
                        </w:r>
                      </w:p>
                    </w:tc>
                    <w:tc>
                      <w:tcPr>
                        <w:tcW w:w="2463" w:type="pct"/>
                        <w:tcBorders>
                          <w:top w:val="single" w:sz="4" w:space="0" w:color="auto"/>
                          <w:left w:val="single" w:sz="4" w:space="0" w:color="auto"/>
                          <w:bottom w:val="single" w:sz="4" w:space="0" w:color="auto"/>
                          <w:right w:val="single" w:sz="4" w:space="0" w:color="auto"/>
                        </w:tcBorders>
                      </w:tcPr>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sz w:val="22"/>
                            <w:szCs w:val="24"/>
                            <w:lang w:eastAsia="lt-LT"/>
                          </w:rPr>
                        </w:pPr>
                        <w:r>
                          <w:rPr>
                            <w:sz w:val="22"/>
                            <w:szCs w:val="24"/>
                            <w:lang w:eastAsia="lt-LT"/>
                          </w:rPr>
                          <w:t>3</w:t>
                        </w:r>
                      </w:p>
                    </w:tc>
                  </w:tr>
                  <w:tr>
                    <w:tc>
                      <w:tcPr>
                        <w:tcW w:w="563" w:type="pct"/>
                        <w:tcBorders>
                          <w:top w:val="single" w:sz="4" w:space="0" w:color="auto"/>
                          <w:left w:val="single" w:sz="4" w:space="0" w:color="auto"/>
                          <w:bottom w:val="single" w:sz="4" w:space="0" w:color="auto"/>
                          <w:right w:val="single" w:sz="4" w:space="0" w:color="auto"/>
                        </w:tcBorders>
                      </w:tcPr>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 w:val="22"/>
                            <w:szCs w:val="24"/>
                            <w:lang w:eastAsia="lt-LT"/>
                          </w:rPr>
                        </w:pPr>
                      </w:p>
                    </w:tc>
                    <w:tc>
                      <w:tcPr>
                        <w:tcW w:w="1974" w:type="pct"/>
                        <w:tcBorders>
                          <w:top w:val="single" w:sz="4" w:space="0" w:color="auto"/>
                          <w:left w:val="single" w:sz="4" w:space="0" w:color="auto"/>
                          <w:bottom w:val="single" w:sz="4" w:space="0" w:color="auto"/>
                          <w:right w:val="single" w:sz="4" w:space="0" w:color="auto"/>
                        </w:tcBorders>
                      </w:tcPr>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 w:val="22"/>
                            <w:szCs w:val="24"/>
                            <w:lang w:eastAsia="lt-LT"/>
                          </w:rPr>
                        </w:pPr>
                      </w:p>
                    </w:tc>
                    <w:tc>
                      <w:tcPr>
                        <w:tcW w:w="2463" w:type="pct"/>
                        <w:tcBorders>
                          <w:top w:val="single" w:sz="4" w:space="0" w:color="auto"/>
                          <w:left w:val="single" w:sz="4" w:space="0" w:color="auto"/>
                          <w:bottom w:val="single" w:sz="4" w:space="0" w:color="auto"/>
                          <w:right w:val="single" w:sz="4" w:space="0" w:color="auto"/>
                        </w:tcBorders>
                      </w:tcPr>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 w:val="22"/>
                            <w:szCs w:val="24"/>
                            <w:lang w:eastAsia="lt-LT"/>
                          </w:rPr>
                        </w:pPr>
                      </w:p>
                    </w:tc>
                  </w:tr>
                  <w:tr>
                    <w:tc>
                      <w:tcPr>
                        <w:tcW w:w="563" w:type="pct"/>
                        <w:tcBorders>
                          <w:top w:val="single" w:sz="4" w:space="0" w:color="auto"/>
                          <w:left w:val="single" w:sz="4" w:space="0" w:color="auto"/>
                          <w:bottom w:val="single" w:sz="4" w:space="0" w:color="auto"/>
                          <w:right w:val="single" w:sz="4" w:space="0" w:color="auto"/>
                        </w:tcBorders>
                      </w:tcPr>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 w:val="22"/>
                            <w:szCs w:val="24"/>
                            <w:lang w:eastAsia="lt-LT"/>
                          </w:rPr>
                        </w:pPr>
                      </w:p>
                    </w:tc>
                    <w:tc>
                      <w:tcPr>
                        <w:tcW w:w="1974" w:type="pct"/>
                        <w:tcBorders>
                          <w:top w:val="single" w:sz="4" w:space="0" w:color="auto"/>
                          <w:left w:val="single" w:sz="4" w:space="0" w:color="auto"/>
                          <w:bottom w:val="single" w:sz="4" w:space="0" w:color="auto"/>
                          <w:right w:val="single" w:sz="4" w:space="0" w:color="auto"/>
                        </w:tcBorders>
                      </w:tcPr>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 w:val="22"/>
                            <w:szCs w:val="24"/>
                            <w:lang w:eastAsia="lt-LT"/>
                          </w:rPr>
                        </w:pPr>
                      </w:p>
                    </w:tc>
                    <w:tc>
                      <w:tcPr>
                        <w:tcW w:w="2463" w:type="pct"/>
                        <w:tcBorders>
                          <w:top w:val="single" w:sz="4" w:space="0" w:color="auto"/>
                          <w:left w:val="single" w:sz="4" w:space="0" w:color="auto"/>
                          <w:bottom w:val="single" w:sz="4" w:space="0" w:color="auto"/>
                          <w:right w:val="single" w:sz="4" w:space="0" w:color="auto"/>
                        </w:tcBorders>
                      </w:tcPr>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 w:val="22"/>
                            <w:szCs w:val="24"/>
                            <w:lang w:eastAsia="lt-LT"/>
                          </w:rPr>
                        </w:pPr>
                      </w:p>
                    </w:tc>
                  </w:tr>
                  <w:tr>
                    <w:tc>
                      <w:tcPr>
                        <w:tcW w:w="563" w:type="pct"/>
                        <w:tcBorders>
                          <w:top w:val="single" w:sz="4" w:space="0" w:color="auto"/>
                          <w:left w:val="single" w:sz="4" w:space="0" w:color="auto"/>
                          <w:bottom w:val="single" w:sz="4" w:space="0" w:color="auto"/>
                          <w:right w:val="single" w:sz="4" w:space="0" w:color="auto"/>
                        </w:tcBorders>
                      </w:tcPr>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 w:val="22"/>
                            <w:szCs w:val="24"/>
                            <w:lang w:eastAsia="lt-LT"/>
                          </w:rPr>
                        </w:pPr>
                      </w:p>
                    </w:tc>
                    <w:tc>
                      <w:tcPr>
                        <w:tcW w:w="1974" w:type="pct"/>
                        <w:tcBorders>
                          <w:top w:val="single" w:sz="4" w:space="0" w:color="auto"/>
                          <w:left w:val="single" w:sz="4" w:space="0" w:color="auto"/>
                          <w:bottom w:val="single" w:sz="4" w:space="0" w:color="auto"/>
                          <w:right w:val="single" w:sz="4" w:space="0" w:color="auto"/>
                        </w:tcBorders>
                      </w:tcPr>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 w:val="22"/>
                            <w:szCs w:val="24"/>
                            <w:lang w:eastAsia="lt-LT"/>
                          </w:rPr>
                        </w:pPr>
                      </w:p>
                    </w:tc>
                    <w:tc>
                      <w:tcPr>
                        <w:tcW w:w="2463" w:type="pct"/>
                        <w:tcBorders>
                          <w:top w:val="single" w:sz="4" w:space="0" w:color="auto"/>
                          <w:left w:val="single" w:sz="4" w:space="0" w:color="auto"/>
                          <w:bottom w:val="single" w:sz="4" w:space="0" w:color="auto"/>
                          <w:right w:val="single" w:sz="4" w:space="0" w:color="auto"/>
                        </w:tcBorders>
                      </w:tcPr>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right"/>
                          <w:textAlignment w:val="baseline"/>
                          <w:rPr>
                            <w:sz w:val="22"/>
                            <w:szCs w:val="24"/>
                            <w:lang w:eastAsia="lt-LT"/>
                          </w:rPr>
                        </w:pPr>
                      </w:p>
                    </w:tc>
                  </w:tr>
                </w:tbl>
                <w:p>
                  <w:pPr>
                    <w:shd w:val="clear" w:color="000000" w:fill="auto"/>
                    <w:rPr>
                      <w:bCs/>
                      <w:color w:val="000000"/>
                      <w:szCs w:val="24"/>
                      <w:lang w:eastAsia="lt-LT"/>
                    </w:rPr>
                  </w:pPr>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Content>
        </w:sdt>
        <w:sdt>
          <w:sdtPr>
            <w:alias w:val="skyrius"/>
            <w:tag w:val="part_06706b28d8eb41ad90fbce546a5f4b91"/>
            <w:lock w:val="sdtLocked"/>
            <w:richText/>
          </w:sdtPr>
          <w:sdtContent>
            <w:p>
              <w:pPr>
                <w:shd w:val="clear" w:color="000000" w:fill="auto"/>
                <w:jc w:val="center"/>
                <w:rPr>
                  <w:b/>
                  <w:sz w:val="22"/>
                  <w:szCs w:val="24"/>
                  <w:lang w:eastAsia="lt-LT"/>
                </w:rPr>
              </w:pPr>
              <w:sdt>
                <w:sdtPr>
                  <w:alias w:val="Numeris"/>
                  <w:tag w:val="nr_06706b28d8eb41ad90fbce546a5f4b91"/>
                  <w:lock w:val="sdtLocked"/>
                  <w:richText/>
                </w:sdtPr>
                <w:sdtContent>
                  <w:r>
                    <w:rPr>
                      <w:b/>
                      <w:sz w:val="22"/>
                      <w:szCs w:val="24"/>
                      <w:lang w:eastAsia="lt-LT"/>
                    </w:rPr>
                    <w:t>VIII</w:t>
                  </w:r>
                </w:sdtContent>
              </w:sdt>
              <w:r>
                <w:rPr>
                  <w:b/>
                  <w:sz w:val="22"/>
                  <w:szCs w:val="24"/>
                  <w:lang w:eastAsia="lt-LT"/>
                </w:rPr>
                <w:t xml:space="preserve">. </w:t>
              </w:r>
              <w:sdt>
                <w:sdtPr>
                  <w:alias w:val="Pavadinimas"/>
                  <w:tag w:val="title_06706b28d8eb41ad90fbce546a5f4b91"/>
                  <w:lock w:val="sdtLocked"/>
                  <w:richText/>
                </w:sdtPr>
                <w:sdtContent>
                  <w:r>
                    <w:rPr>
                      <w:b/>
                      <w:sz w:val="22"/>
                      <w:szCs w:val="24"/>
                      <w:lang w:eastAsia="lt-LT"/>
                    </w:rPr>
                    <w:t>TERŠALŲ IŠLEIDIMAS SU NUOTEKOMIS</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
              <w:sdtPr>
                <w:alias w:val="4 pr. 19 p."/>
                <w:tag w:val="part_bedd78721636425d82195571e5f231cd"/>
                <w:lock w:val="sdtLocked"/>
                <w:richText/>
              </w:sdtPr>
              <w:sdtContent>
                <w:p>
                  <w:pPr>
                    <w:ind w:firstLine="567"/>
                    <w:jc w:val="both"/>
                    <w:rPr>
                      <w:sz w:val="14"/>
                      <w:szCs w:val="24"/>
                      <w:lang w:eastAsia="lt-LT"/>
                    </w:rPr>
                  </w:pPr>
                  <w:sdt>
                    <w:sdtPr>
                      <w:alias w:val="Numeris"/>
                      <w:tag w:val="nr_bedd78721636425d82195571e5f231cd"/>
                      <w:lock w:val="sdtLocked"/>
                      <w:richText/>
                    </w:sdtPr>
                    <w:sdtContent>
                      <w:r>
                        <w:rPr>
                          <w:sz w:val="22"/>
                          <w:szCs w:val="24"/>
                          <w:lang w:eastAsia="lt-LT"/>
                        </w:rPr>
                        <w:t>19</w:t>
                      </w:r>
                    </w:sdtContent>
                  </w:sdt>
                  <w:r>
                    <w:rPr>
                      <w:sz w:val="22"/>
                      <w:szCs w:val="24"/>
                      <w:lang w:eastAsia="lt-LT"/>
                    </w:rPr>
                    <w:t>. Teršalų išleidimas su nuotekomis.</w:t>
                  </w:r>
                  <w:r>
                    <w:rPr>
                      <w:sz w:val="22"/>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lentele"/>
                <w:tag w:val="part_ee3a4a7aff27429890778360a4aff5da"/>
                <w:lock w:val="sdtLocked"/>
                <w:richText/>
              </w:sdtPr>
              <w:sdtContent>
                <w:p>
                  <w:pPr>
                    <w:widowControl w:val="0"/>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 w:val="22"/>
                      <w:szCs w:val="22"/>
                      <w:lang w:eastAsia="lt-LT"/>
                    </w:rPr>
                  </w:pPr>
                  <w:sdt>
                    <w:sdtPr>
                      <w:alias w:val="Numeris"/>
                      <w:tag w:val="nr_ee3a4a7aff27429890778360a4aff5da"/>
                      <w:lock w:val="sdtLocked"/>
                      <w:richText/>
                    </w:sdtPr>
                    <w:sdtContent>
                      <w:r>
                        <w:rPr>
                          <w:sz w:val="22"/>
                          <w:szCs w:val="22"/>
                          <w:lang w:eastAsia="lt-LT"/>
                        </w:rPr>
                        <w:t>15</w:t>
                      </w:r>
                    </w:sdtContent>
                  </w:sdt>
                  <w:r>
                    <w:rPr>
                      <w:sz w:val="22"/>
                      <w:szCs w:val="22"/>
                      <w:lang w:eastAsia="lt-LT"/>
                    </w:rPr>
                    <w:t xml:space="preserve"> lentelė. Informacija apie paviršinį vandens telkinį (priimtuvą), į kurį planuojama išleisti nuotekas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9"/>
                    <w:gridCol w:w="1610"/>
                    <w:gridCol w:w="2213"/>
                    <w:gridCol w:w="1809"/>
                    <w:gridCol w:w="1410"/>
                    <w:gridCol w:w="1005"/>
                    <w:gridCol w:w="1209"/>
                    <w:gridCol w:w="1559"/>
                    <w:gridCol w:w="1289"/>
                    <w:gridCol w:w="1441"/>
                  </w:tblGrid>
                  <w:tr>
                    <w:trPr>
                      <w:cantSplit/>
                      <w:trHeight w:val="20"/>
                    </w:trPr>
                    <w:tc>
                      <w:tcPr>
                        <w:tcW w:w="282" w:type="pct"/>
                        <w:vMerge w:val="restart"/>
                        <w:vAlign w:val="center"/>
                      </w:tcPr>
                      <w:p>
                        <w:pPr>
                          <w:shd w:val="clear" w:color="000000" w:fill="auto"/>
                          <w:jc w:val="center"/>
                          <w:rPr>
                            <w:sz w:val="22"/>
                            <w:szCs w:val="22"/>
                            <w:vertAlign w:val="superscript"/>
                            <w:lang w:eastAsia="lt-LT"/>
                          </w:rPr>
                        </w:pPr>
                        <w:r>
                          <w:rPr>
                            <w:sz w:val="22"/>
                            <w:szCs w:val="22"/>
                            <w:lang w:eastAsia="lt-LT"/>
                          </w:rPr>
                          <w:t>Eil. Nr.</w:t>
                        </w:r>
                      </w:p>
                    </w:tc>
                    <w:tc>
                      <w:tcPr>
                        <w:tcW w:w="561" w:type="pct"/>
                        <w:vMerge w:val="restart"/>
                        <w:vAlign w:val="center"/>
                      </w:tcPr>
                      <w:p>
                        <w:pPr>
                          <w:shd w:val="clear" w:color="000000" w:fill="auto"/>
                          <w:jc w:val="center"/>
                          <w:rPr>
                            <w:sz w:val="22"/>
                            <w:szCs w:val="22"/>
                            <w:vertAlign w:val="superscript"/>
                            <w:lang w:eastAsia="lt-LT"/>
                          </w:rPr>
                        </w:pPr>
                        <w:r>
                          <w:rPr>
                            <w:sz w:val="22"/>
                            <w:szCs w:val="22"/>
                            <w:lang w:eastAsia="lt-LT"/>
                          </w:rPr>
                          <w:t>Vandens telkinio pavadini-mas, kategori-ja</w:t>
                        </w:r>
                        <w:r>
                          <w:rPr>
                            <w:sz w:val="22"/>
                            <w:szCs w:val="22"/>
                            <w:vertAlign w:val="superscript"/>
                            <w:lang w:eastAsia="lt-LT"/>
                          </w:rPr>
                          <w:t xml:space="preserve"> </w:t>
                        </w:r>
                        <w:r>
                          <w:rPr>
                            <w:sz w:val="22"/>
                            <w:szCs w:val="22"/>
                            <w:lang w:eastAsia="lt-LT"/>
                          </w:rPr>
                          <w:t>ir kodas</w:t>
                        </w:r>
                      </w:p>
                    </w:tc>
                    <w:tc>
                      <w:tcPr>
                        <w:tcW w:w="771" w:type="pct"/>
                        <w:vMerge w:val="restart"/>
                        <w:vAlign w:val="center"/>
                      </w:tcPr>
                      <w:p>
                        <w:pPr>
                          <w:shd w:val="clear" w:color="000000" w:fill="auto"/>
                          <w:jc w:val="center"/>
                          <w:rPr>
                            <w:sz w:val="22"/>
                            <w:szCs w:val="22"/>
                            <w:vertAlign w:val="superscript"/>
                            <w:lang w:eastAsia="lt-LT"/>
                          </w:rPr>
                        </w:pPr>
                        <w:r>
                          <w:rPr>
                            <w:sz w:val="22"/>
                            <w:szCs w:val="22"/>
                            <w:lang w:eastAsia="lt-LT"/>
                          </w:rPr>
                          <w:t>80% tikimybės sausiausio mėnesio vidutinis debitas, m</w:t>
                        </w:r>
                        <w:r>
                          <w:rPr>
                            <w:sz w:val="22"/>
                            <w:szCs w:val="22"/>
                            <w:vertAlign w:val="superscript"/>
                            <w:lang w:eastAsia="lt-LT"/>
                          </w:rPr>
                          <w:t>3</w:t>
                        </w:r>
                        <w:r>
                          <w:rPr>
                            <w:sz w:val="22"/>
                            <w:szCs w:val="22"/>
                            <w:lang w:eastAsia="lt-LT"/>
                          </w:rPr>
                          <w:t>/s (upėms)</w:t>
                        </w:r>
                      </w:p>
                    </w:tc>
                    <w:tc>
                      <w:tcPr>
                        <w:tcW w:w="630" w:type="pct"/>
                        <w:vMerge w:val="restart"/>
                        <w:vAlign w:val="center"/>
                      </w:tcPr>
                      <w:p>
                        <w:pPr>
                          <w:shd w:val="clear" w:color="000000" w:fill="auto"/>
                          <w:jc w:val="center"/>
                          <w:rPr>
                            <w:sz w:val="22"/>
                            <w:szCs w:val="22"/>
                            <w:lang w:eastAsia="lt-LT"/>
                          </w:rPr>
                        </w:pPr>
                        <w:r>
                          <w:rPr>
                            <w:sz w:val="22"/>
                            <w:szCs w:val="22"/>
                            <w:lang w:eastAsia="lt-LT"/>
                          </w:rPr>
                          <w:t>Vandens telkinio plotas, ha</w:t>
                        </w:r>
                      </w:p>
                      <w:p>
                        <w:pPr>
                          <w:shd w:val="clear" w:color="000000" w:fill="auto"/>
                          <w:jc w:val="center"/>
                          <w:rPr>
                            <w:sz w:val="22"/>
                            <w:szCs w:val="22"/>
                            <w:lang w:eastAsia="lt-LT"/>
                          </w:rPr>
                        </w:pPr>
                        <w:r>
                          <w:rPr>
                            <w:sz w:val="22"/>
                            <w:szCs w:val="22"/>
                            <w:lang w:eastAsia="lt-LT"/>
                          </w:rPr>
                          <w:t>(stovinčio vandens telki-niams)</w:t>
                        </w:r>
                      </w:p>
                      <w:p>
                        <w:pPr>
                          <w:shd w:val="clear" w:color="000000" w:fill="auto"/>
                          <w:jc w:val="center"/>
                          <w:rPr>
                            <w:sz w:val="22"/>
                            <w:szCs w:val="22"/>
                            <w:lang w:eastAsia="lt-LT"/>
                          </w:rPr>
                        </w:pPr>
                      </w:p>
                    </w:tc>
                    <w:tc>
                      <w:tcPr>
                        <w:tcW w:w="2756" w:type="pct"/>
                        <w:gridSpan w:val="6"/>
                        <w:vAlign w:val="center"/>
                      </w:tcPr>
                      <w:p>
                        <w:pPr>
                          <w:shd w:val="clear" w:color="000000" w:fill="auto"/>
                          <w:jc w:val="center"/>
                          <w:rPr>
                            <w:sz w:val="22"/>
                            <w:szCs w:val="22"/>
                            <w:lang w:eastAsia="lt-LT"/>
                          </w:rPr>
                        </w:pPr>
                        <w:r>
                          <w:rPr>
                            <w:sz w:val="22"/>
                            <w:szCs w:val="22"/>
                            <w:lang w:eastAsia="lt-LT"/>
                          </w:rPr>
                          <w:t>Vandens telkinio būklė</w:t>
                        </w:r>
                      </w:p>
                    </w:tc>
                  </w:tr>
                  <w:tr>
                    <w:trPr>
                      <w:cantSplit/>
                      <w:trHeight w:val="20"/>
                    </w:trPr>
                    <w:tc>
                      <w:tcPr>
                        <w:tcW w:w="282" w:type="pct"/>
                        <w:vMerge/>
                        <w:vAlign w:val="center"/>
                      </w:tcPr>
                      <w:p>
                        <w:pPr>
                          <w:shd w:val="clear" w:color="000000" w:fill="auto"/>
                          <w:jc w:val="center"/>
                          <w:rPr>
                            <w:sz w:val="22"/>
                            <w:szCs w:val="22"/>
                            <w:lang w:eastAsia="lt-LT"/>
                          </w:rPr>
                        </w:pPr>
                      </w:p>
                    </w:tc>
                    <w:tc>
                      <w:tcPr>
                        <w:tcW w:w="561" w:type="pct"/>
                        <w:vMerge/>
                        <w:vAlign w:val="center"/>
                      </w:tcPr>
                      <w:p>
                        <w:pPr>
                          <w:shd w:val="clear" w:color="000000" w:fill="auto"/>
                          <w:jc w:val="center"/>
                          <w:rPr>
                            <w:sz w:val="22"/>
                            <w:szCs w:val="22"/>
                            <w:lang w:eastAsia="lt-LT"/>
                          </w:rPr>
                        </w:pPr>
                      </w:p>
                    </w:tc>
                    <w:tc>
                      <w:tcPr>
                        <w:tcW w:w="771" w:type="pct"/>
                        <w:vMerge/>
                        <w:vAlign w:val="center"/>
                      </w:tcPr>
                      <w:p>
                        <w:pPr>
                          <w:shd w:val="clear" w:color="000000" w:fill="auto"/>
                          <w:jc w:val="center"/>
                          <w:rPr>
                            <w:sz w:val="22"/>
                            <w:szCs w:val="22"/>
                            <w:lang w:eastAsia="lt-LT"/>
                          </w:rPr>
                        </w:pPr>
                      </w:p>
                    </w:tc>
                    <w:tc>
                      <w:tcPr>
                        <w:tcW w:w="630" w:type="pct"/>
                        <w:vMerge/>
                        <w:vAlign w:val="center"/>
                      </w:tcPr>
                      <w:p>
                        <w:pPr>
                          <w:shd w:val="clear" w:color="000000" w:fill="auto"/>
                          <w:jc w:val="center"/>
                          <w:rPr>
                            <w:sz w:val="22"/>
                            <w:szCs w:val="22"/>
                            <w:lang w:eastAsia="lt-LT"/>
                          </w:rPr>
                        </w:pPr>
                      </w:p>
                    </w:tc>
                    <w:tc>
                      <w:tcPr>
                        <w:tcW w:w="491" w:type="pct"/>
                        <w:vMerge w:val="restart"/>
                        <w:vAlign w:val="center"/>
                      </w:tcPr>
                      <w:p>
                        <w:pPr>
                          <w:widowControl w:val="0"/>
                          <w:shd w:val="clear" w:color="000000" w:fill="auto"/>
                          <w:suppressAutoHyphens/>
                          <w:jc w:val="center"/>
                          <w:rPr>
                            <w:rFonts w:eastAsia="Lucida Sans Unicode"/>
                            <w:sz w:val="22"/>
                            <w:szCs w:val="22"/>
                            <w:vertAlign w:val="superscript"/>
                            <w:lang w:eastAsia="lt-LT"/>
                          </w:rPr>
                        </w:pPr>
                        <w:r>
                          <w:rPr>
                            <w:rFonts w:eastAsia="Lucida Sans Unicode"/>
                            <w:sz w:val="22"/>
                            <w:szCs w:val="22"/>
                            <w:lang w:eastAsia="lt-LT"/>
                          </w:rPr>
                          <w:t>Rodik-lis</w:t>
                        </w:r>
                      </w:p>
                    </w:tc>
                    <w:tc>
                      <w:tcPr>
                        <w:tcW w:w="771" w:type="pct"/>
                        <w:gridSpan w:val="2"/>
                        <w:vAlign w:val="center"/>
                      </w:tcPr>
                      <w:p>
                        <w:pPr>
                          <w:widowControl w:val="0"/>
                          <w:shd w:val="clear" w:color="000000" w:fill="auto"/>
                          <w:suppressAutoHyphens/>
                          <w:jc w:val="center"/>
                          <w:rPr>
                            <w:sz w:val="22"/>
                            <w:szCs w:val="22"/>
                            <w:vertAlign w:val="superscript"/>
                            <w:lang w:eastAsia="lt-LT"/>
                          </w:rPr>
                        </w:pPr>
                        <w:r>
                          <w:rPr>
                            <w:sz w:val="22"/>
                            <w:szCs w:val="22"/>
                            <w:lang w:eastAsia="lt-LT"/>
                          </w:rPr>
                          <w:t>Esama (foninė) būklė</w:t>
                        </w:r>
                      </w:p>
                    </w:tc>
                    <w:tc>
                      <w:tcPr>
                        <w:tcW w:w="1494" w:type="pct"/>
                        <w:gridSpan w:val="3"/>
                        <w:vAlign w:val="center"/>
                      </w:tcPr>
                      <w:p>
                        <w:pPr>
                          <w:widowControl w:val="0"/>
                          <w:shd w:val="clear" w:color="000000" w:fill="auto"/>
                          <w:suppressAutoHyphens/>
                          <w:jc w:val="center"/>
                          <w:rPr>
                            <w:sz w:val="22"/>
                            <w:szCs w:val="22"/>
                            <w:vertAlign w:val="superscript"/>
                            <w:lang w:eastAsia="lt-LT"/>
                          </w:rPr>
                        </w:pPr>
                        <w:r>
                          <w:rPr>
                            <w:sz w:val="22"/>
                            <w:szCs w:val="22"/>
                            <w:lang w:eastAsia="lt-LT"/>
                          </w:rPr>
                          <w:t>Leistina vandens telkinio apkrova</w:t>
                        </w:r>
                      </w:p>
                    </w:tc>
                  </w:tr>
                  <w:tr>
                    <w:trPr>
                      <w:cantSplit/>
                      <w:trHeight w:val="540"/>
                    </w:trPr>
                    <w:tc>
                      <w:tcPr>
                        <w:tcW w:w="282" w:type="pct"/>
                        <w:vMerge/>
                        <w:vAlign w:val="center"/>
                      </w:tcPr>
                      <w:p>
                        <w:pPr>
                          <w:shd w:val="clear" w:color="000000" w:fill="auto"/>
                          <w:jc w:val="center"/>
                          <w:rPr>
                            <w:sz w:val="22"/>
                            <w:szCs w:val="22"/>
                            <w:lang w:eastAsia="lt-LT"/>
                          </w:rPr>
                        </w:pPr>
                      </w:p>
                    </w:tc>
                    <w:tc>
                      <w:tcPr>
                        <w:tcW w:w="561" w:type="pct"/>
                        <w:vMerge/>
                        <w:vAlign w:val="center"/>
                      </w:tcPr>
                      <w:p>
                        <w:pPr>
                          <w:shd w:val="clear" w:color="000000" w:fill="auto"/>
                          <w:jc w:val="center"/>
                          <w:rPr>
                            <w:sz w:val="22"/>
                            <w:szCs w:val="22"/>
                            <w:lang w:eastAsia="lt-LT"/>
                          </w:rPr>
                        </w:pPr>
                      </w:p>
                    </w:tc>
                    <w:tc>
                      <w:tcPr>
                        <w:tcW w:w="771" w:type="pct"/>
                        <w:vMerge/>
                        <w:vAlign w:val="center"/>
                      </w:tcPr>
                      <w:p>
                        <w:pPr>
                          <w:shd w:val="clear" w:color="000000" w:fill="auto"/>
                          <w:jc w:val="center"/>
                          <w:rPr>
                            <w:sz w:val="22"/>
                            <w:szCs w:val="22"/>
                            <w:lang w:eastAsia="lt-LT"/>
                          </w:rPr>
                        </w:pPr>
                      </w:p>
                    </w:tc>
                    <w:tc>
                      <w:tcPr>
                        <w:tcW w:w="630" w:type="pct"/>
                        <w:vMerge/>
                        <w:vAlign w:val="center"/>
                      </w:tcPr>
                      <w:p>
                        <w:pPr>
                          <w:shd w:val="clear" w:color="000000" w:fill="auto"/>
                          <w:jc w:val="center"/>
                          <w:rPr>
                            <w:sz w:val="22"/>
                            <w:szCs w:val="22"/>
                            <w:lang w:eastAsia="lt-LT"/>
                          </w:rPr>
                        </w:pPr>
                      </w:p>
                    </w:tc>
                    <w:tc>
                      <w:tcPr>
                        <w:tcW w:w="491" w:type="pct"/>
                        <w:vMerge/>
                        <w:vAlign w:val="center"/>
                      </w:tcPr>
                      <w:p>
                        <w:pPr>
                          <w:shd w:val="clear" w:color="000000" w:fill="auto"/>
                          <w:jc w:val="center"/>
                          <w:rPr>
                            <w:sz w:val="22"/>
                            <w:szCs w:val="22"/>
                            <w:lang w:eastAsia="lt-LT"/>
                          </w:rPr>
                        </w:pPr>
                      </w:p>
                    </w:tc>
                    <w:tc>
                      <w:tcPr>
                        <w:tcW w:w="350" w:type="pct"/>
                        <w:vMerge w:val="restart"/>
                        <w:vAlign w:val="center"/>
                      </w:tcPr>
                      <w:p>
                        <w:pPr>
                          <w:widowControl w:val="0"/>
                          <w:shd w:val="clear" w:color="000000" w:fill="auto"/>
                          <w:suppressAutoHyphens/>
                          <w:jc w:val="center"/>
                          <w:rPr>
                            <w:sz w:val="22"/>
                            <w:szCs w:val="22"/>
                            <w:lang w:eastAsia="lt-LT"/>
                          </w:rPr>
                        </w:pPr>
                        <w:r>
                          <w:rPr>
                            <w:sz w:val="22"/>
                            <w:szCs w:val="22"/>
                            <w:lang w:eastAsia="lt-LT"/>
                          </w:rPr>
                          <w:t>mato vnt.</w:t>
                        </w:r>
                      </w:p>
                    </w:tc>
                    <w:tc>
                      <w:tcPr>
                        <w:tcW w:w="421" w:type="pct"/>
                        <w:vMerge w:val="restart"/>
                        <w:vAlign w:val="center"/>
                      </w:tcPr>
                      <w:p>
                        <w:pPr>
                          <w:widowControl w:val="0"/>
                          <w:shd w:val="clear" w:color="000000" w:fill="auto"/>
                          <w:suppressAutoHyphens/>
                          <w:jc w:val="center"/>
                          <w:rPr>
                            <w:sz w:val="22"/>
                            <w:szCs w:val="22"/>
                            <w:lang w:eastAsia="lt-LT"/>
                          </w:rPr>
                        </w:pPr>
                        <w:r>
                          <w:rPr>
                            <w:sz w:val="22"/>
                            <w:szCs w:val="22"/>
                            <w:lang w:eastAsia="lt-LT"/>
                          </w:rPr>
                          <w:t>reikš-mė</w:t>
                        </w:r>
                      </w:p>
                    </w:tc>
                    <w:tc>
                      <w:tcPr>
                        <w:tcW w:w="543" w:type="pct"/>
                        <w:vMerge w:val="restart"/>
                        <w:vAlign w:val="center"/>
                      </w:tcPr>
                      <w:p>
                        <w:pPr>
                          <w:widowControl w:val="0"/>
                          <w:shd w:val="clear" w:color="000000" w:fill="auto"/>
                          <w:suppressAutoHyphens/>
                          <w:jc w:val="center"/>
                          <w:rPr>
                            <w:sz w:val="22"/>
                            <w:szCs w:val="22"/>
                            <w:lang w:eastAsia="lt-LT"/>
                          </w:rPr>
                        </w:pPr>
                        <w:r>
                          <w:rPr>
                            <w:sz w:val="22"/>
                            <w:szCs w:val="22"/>
                            <w:lang w:eastAsia="lt-LT"/>
                          </w:rPr>
                          <w:t>Hidrau-linė, m</w:t>
                        </w:r>
                        <w:r>
                          <w:rPr>
                            <w:sz w:val="22"/>
                            <w:szCs w:val="22"/>
                            <w:vertAlign w:val="superscript"/>
                            <w:lang w:eastAsia="lt-LT"/>
                          </w:rPr>
                          <w:t>3</w:t>
                        </w:r>
                        <w:r>
                          <w:rPr>
                            <w:sz w:val="22"/>
                            <w:szCs w:val="22"/>
                            <w:lang w:eastAsia="lt-LT"/>
                          </w:rPr>
                          <w:t>/d.</w:t>
                        </w:r>
                      </w:p>
                    </w:tc>
                    <w:tc>
                      <w:tcPr>
                        <w:tcW w:w="951" w:type="pct"/>
                        <w:gridSpan w:val="2"/>
                        <w:vAlign w:val="center"/>
                      </w:tcPr>
                      <w:p>
                        <w:pPr>
                          <w:widowControl w:val="0"/>
                          <w:shd w:val="clear" w:color="000000" w:fill="auto"/>
                          <w:suppressAutoHyphens/>
                          <w:jc w:val="center"/>
                          <w:rPr>
                            <w:sz w:val="22"/>
                            <w:szCs w:val="22"/>
                            <w:lang w:eastAsia="lt-LT"/>
                          </w:rPr>
                        </w:pPr>
                        <w:r>
                          <w:rPr>
                            <w:sz w:val="22"/>
                            <w:szCs w:val="22"/>
                            <w:lang w:eastAsia="lt-LT"/>
                          </w:rPr>
                          <w:t>teršalais</w:t>
                        </w:r>
                      </w:p>
                    </w:tc>
                  </w:tr>
                  <w:tr>
                    <w:trPr>
                      <w:cantSplit/>
                      <w:trHeight w:val="540"/>
                    </w:trPr>
                    <w:tc>
                      <w:tcPr>
                        <w:tcW w:w="282" w:type="pct"/>
                        <w:vMerge/>
                        <w:vAlign w:val="center"/>
                      </w:tcPr>
                      <w:p>
                        <w:pPr>
                          <w:shd w:val="clear" w:color="000000" w:fill="auto"/>
                          <w:jc w:val="center"/>
                          <w:rPr>
                            <w:sz w:val="22"/>
                            <w:szCs w:val="22"/>
                            <w:lang w:eastAsia="lt-LT"/>
                          </w:rPr>
                        </w:pPr>
                      </w:p>
                    </w:tc>
                    <w:tc>
                      <w:tcPr>
                        <w:tcW w:w="561" w:type="pct"/>
                        <w:vMerge/>
                        <w:vAlign w:val="center"/>
                      </w:tcPr>
                      <w:p>
                        <w:pPr>
                          <w:shd w:val="clear" w:color="000000" w:fill="auto"/>
                          <w:jc w:val="center"/>
                          <w:rPr>
                            <w:sz w:val="22"/>
                            <w:szCs w:val="22"/>
                            <w:lang w:eastAsia="lt-LT"/>
                          </w:rPr>
                        </w:pPr>
                      </w:p>
                    </w:tc>
                    <w:tc>
                      <w:tcPr>
                        <w:tcW w:w="771" w:type="pct"/>
                        <w:vMerge/>
                        <w:vAlign w:val="center"/>
                      </w:tcPr>
                      <w:p>
                        <w:pPr>
                          <w:shd w:val="clear" w:color="000000" w:fill="auto"/>
                          <w:jc w:val="center"/>
                          <w:rPr>
                            <w:sz w:val="22"/>
                            <w:szCs w:val="22"/>
                            <w:lang w:eastAsia="lt-LT"/>
                          </w:rPr>
                        </w:pPr>
                      </w:p>
                    </w:tc>
                    <w:tc>
                      <w:tcPr>
                        <w:tcW w:w="630" w:type="pct"/>
                        <w:vMerge/>
                        <w:vAlign w:val="center"/>
                      </w:tcPr>
                      <w:p>
                        <w:pPr>
                          <w:shd w:val="clear" w:color="000000" w:fill="auto"/>
                          <w:jc w:val="center"/>
                          <w:rPr>
                            <w:sz w:val="22"/>
                            <w:szCs w:val="22"/>
                            <w:lang w:eastAsia="lt-LT"/>
                          </w:rPr>
                        </w:pPr>
                      </w:p>
                    </w:tc>
                    <w:tc>
                      <w:tcPr>
                        <w:tcW w:w="491" w:type="pct"/>
                        <w:vMerge/>
                        <w:vAlign w:val="center"/>
                      </w:tcPr>
                      <w:p>
                        <w:pPr>
                          <w:shd w:val="clear" w:color="000000" w:fill="auto"/>
                          <w:jc w:val="center"/>
                          <w:rPr>
                            <w:sz w:val="22"/>
                            <w:szCs w:val="22"/>
                            <w:lang w:eastAsia="lt-LT"/>
                          </w:rPr>
                        </w:pPr>
                      </w:p>
                    </w:tc>
                    <w:tc>
                      <w:tcPr>
                        <w:tcW w:w="350" w:type="pct"/>
                        <w:vMerge/>
                        <w:vAlign w:val="center"/>
                      </w:tcPr>
                      <w:p>
                        <w:pPr>
                          <w:widowControl w:val="0"/>
                          <w:shd w:val="clear" w:color="000000" w:fill="auto"/>
                          <w:suppressAutoHyphens/>
                          <w:jc w:val="center"/>
                          <w:rPr>
                            <w:sz w:val="22"/>
                            <w:szCs w:val="22"/>
                            <w:lang w:eastAsia="lt-LT"/>
                          </w:rPr>
                        </w:pPr>
                      </w:p>
                    </w:tc>
                    <w:tc>
                      <w:tcPr>
                        <w:tcW w:w="421" w:type="pct"/>
                        <w:vMerge/>
                        <w:vAlign w:val="center"/>
                      </w:tcPr>
                      <w:p>
                        <w:pPr>
                          <w:widowControl w:val="0"/>
                          <w:shd w:val="clear" w:color="000000" w:fill="auto"/>
                          <w:suppressAutoHyphens/>
                          <w:jc w:val="center"/>
                          <w:rPr>
                            <w:sz w:val="22"/>
                            <w:szCs w:val="22"/>
                            <w:lang w:eastAsia="lt-LT"/>
                          </w:rPr>
                        </w:pPr>
                      </w:p>
                    </w:tc>
                    <w:tc>
                      <w:tcPr>
                        <w:tcW w:w="543" w:type="pct"/>
                        <w:vMerge/>
                        <w:vAlign w:val="center"/>
                      </w:tcPr>
                      <w:p>
                        <w:pPr>
                          <w:widowControl w:val="0"/>
                          <w:shd w:val="clear" w:color="000000" w:fill="auto"/>
                          <w:suppressAutoHyphens/>
                          <w:jc w:val="center"/>
                          <w:rPr>
                            <w:sz w:val="22"/>
                            <w:szCs w:val="22"/>
                            <w:lang w:eastAsia="lt-LT"/>
                          </w:rPr>
                        </w:pPr>
                      </w:p>
                    </w:tc>
                    <w:tc>
                      <w:tcPr>
                        <w:tcW w:w="449" w:type="pct"/>
                        <w:vAlign w:val="center"/>
                      </w:tcPr>
                      <w:p>
                        <w:pPr>
                          <w:widowControl w:val="0"/>
                          <w:shd w:val="clear" w:color="000000" w:fill="auto"/>
                          <w:suppressAutoHyphens/>
                          <w:jc w:val="center"/>
                          <w:rPr>
                            <w:sz w:val="22"/>
                            <w:szCs w:val="22"/>
                            <w:lang w:eastAsia="lt-LT"/>
                          </w:rPr>
                        </w:pPr>
                        <w:r>
                          <w:rPr>
                            <w:sz w:val="22"/>
                            <w:szCs w:val="22"/>
                            <w:lang w:eastAsia="lt-LT"/>
                          </w:rPr>
                          <w:t>mato vnt.</w:t>
                        </w:r>
                      </w:p>
                    </w:tc>
                    <w:tc>
                      <w:tcPr>
                        <w:tcW w:w="502" w:type="pct"/>
                        <w:vAlign w:val="center"/>
                      </w:tcPr>
                      <w:p>
                        <w:pPr>
                          <w:widowControl w:val="0"/>
                          <w:shd w:val="clear" w:color="000000" w:fill="auto"/>
                          <w:suppressAutoHyphens/>
                          <w:jc w:val="center"/>
                          <w:rPr>
                            <w:sz w:val="22"/>
                            <w:szCs w:val="22"/>
                            <w:lang w:eastAsia="lt-LT"/>
                          </w:rPr>
                        </w:pPr>
                        <w:r>
                          <w:rPr>
                            <w:sz w:val="22"/>
                            <w:szCs w:val="22"/>
                            <w:lang w:eastAsia="lt-LT"/>
                          </w:rPr>
                          <w:t>reikšmė</w:t>
                        </w:r>
                      </w:p>
                    </w:tc>
                  </w:tr>
                  <w:tr>
                    <w:trPr>
                      <w:cantSplit/>
                      <w:trHeight w:val="20"/>
                    </w:trPr>
                    <w:tc>
                      <w:tcPr>
                        <w:tcW w:w="282" w:type="pct"/>
                        <w:vAlign w:val="center"/>
                      </w:tcPr>
                      <w:p>
                        <w:pPr>
                          <w:shd w:val="clear" w:color="000000" w:fill="auto"/>
                          <w:jc w:val="center"/>
                          <w:rPr>
                            <w:sz w:val="22"/>
                            <w:szCs w:val="22"/>
                            <w:lang w:eastAsia="lt-LT"/>
                          </w:rPr>
                        </w:pPr>
                        <w:r>
                          <w:rPr>
                            <w:sz w:val="22"/>
                            <w:szCs w:val="22"/>
                            <w:lang w:eastAsia="lt-LT"/>
                          </w:rPr>
                          <w:t>1</w:t>
                        </w:r>
                      </w:p>
                    </w:tc>
                    <w:tc>
                      <w:tcPr>
                        <w:tcW w:w="561" w:type="pct"/>
                        <w:vAlign w:val="center"/>
                      </w:tcPr>
                      <w:p>
                        <w:pPr>
                          <w:shd w:val="clear" w:color="000000" w:fill="auto"/>
                          <w:jc w:val="center"/>
                          <w:rPr>
                            <w:sz w:val="22"/>
                            <w:szCs w:val="22"/>
                            <w:lang w:eastAsia="lt-LT"/>
                          </w:rPr>
                        </w:pPr>
                        <w:r>
                          <w:rPr>
                            <w:sz w:val="22"/>
                            <w:szCs w:val="22"/>
                            <w:lang w:eastAsia="lt-LT"/>
                          </w:rPr>
                          <w:t>2</w:t>
                        </w:r>
                      </w:p>
                    </w:tc>
                    <w:tc>
                      <w:tcPr>
                        <w:tcW w:w="771" w:type="pct"/>
                        <w:vAlign w:val="center"/>
                      </w:tcPr>
                      <w:p>
                        <w:pPr>
                          <w:shd w:val="clear" w:color="000000" w:fill="auto"/>
                          <w:jc w:val="center"/>
                          <w:rPr>
                            <w:sz w:val="22"/>
                            <w:szCs w:val="22"/>
                            <w:lang w:eastAsia="lt-LT"/>
                          </w:rPr>
                        </w:pPr>
                        <w:r>
                          <w:rPr>
                            <w:sz w:val="22"/>
                            <w:szCs w:val="22"/>
                            <w:lang w:eastAsia="lt-LT"/>
                          </w:rPr>
                          <w:t>3</w:t>
                        </w:r>
                      </w:p>
                    </w:tc>
                    <w:tc>
                      <w:tcPr>
                        <w:tcW w:w="630" w:type="pct"/>
                        <w:vAlign w:val="center"/>
                      </w:tcPr>
                      <w:p>
                        <w:pPr>
                          <w:shd w:val="clear" w:color="000000" w:fill="auto"/>
                          <w:jc w:val="center"/>
                          <w:rPr>
                            <w:sz w:val="22"/>
                            <w:szCs w:val="22"/>
                            <w:lang w:eastAsia="lt-LT"/>
                          </w:rPr>
                        </w:pPr>
                        <w:r>
                          <w:rPr>
                            <w:sz w:val="22"/>
                            <w:szCs w:val="22"/>
                            <w:lang w:eastAsia="lt-LT"/>
                          </w:rPr>
                          <w:t>4</w:t>
                        </w:r>
                      </w:p>
                    </w:tc>
                    <w:tc>
                      <w:tcPr>
                        <w:tcW w:w="491" w:type="pct"/>
                        <w:vAlign w:val="center"/>
                      </w:tcPr>
                      <w:p>
                        <w:pPr>
                          <w:shd w:val="clear" w:color="000000" w:fill="auto"/>
                          <w:jc w:val="center"/>
                          <w:rPr>
                            <w:sz w:val="22"/>
                            <w:szCs w:val="22"/>
                            <w:lang w:eastAsia="lt-LT"/>
                          </w:rPr>
                        </w:pPr>
                        <w:r>
                          <w:rPr>
                            <w:sz w:val="22"/>
                            <w:szCs w:val="22"/>
                            <w:lang w:eastAsia="lt-LT"/>
                          </w:rPr>
                          <w:t>5</w:t>
                        </w:r>
                      </w:p>
                    </w:tc>
                    <w:tc>
                      <w:tcPr>
                        <w:tcW w:w="350" w:type="pct"/>
                        <w:vAlign w:val="center"/>
                      </w:tcPr>
                      <w:p>
                        <w:pPr>
                          <w:shd w:val="clear" w:color="000000" w:fill="auto"/>
                          <w:jc w:val="center"/>
                          <w:rPr>
                            <w:sz w:val="22"/>
                            <w:szCs w:val="22"/>
                            <w:lang w:eastAsia="lt-LT"/>
                          </w:rPr>
                        </w:pPr>
                        <w:r>
                          <w:rPr>
                            <w:sz w:val="22"/>
                            <w:szCs w:val="22"/>
                            <w:lang w:eastAsia="lt-LT"/>
                          </w:rPr>
                          <w:t>6</w:t>
                        </w:r>
                      </w:p>
                    </w:tc>
                    <w:tc>
                      <w:tcPr>
                        <w:tcW w:w="421" w:type="pct"/>
                        <w:vAlign w:val="center"/>
                      </w:tcPr>
                      <w:p>
                        <w:pPr>
                          <w:shd w:val="clear" w:color="000000" w:fill="auto"/>
                          <w:jc w:val="center"/>
                          <w:rPr>
                            <w:sz w:val="22"/>
                            <w:szCs w:val="22"/>
                            <w:lang w:eastAsia="lt-LT"/>
                          </w:rPr>
                        </w:pPr>
                        <w:r>
                          <w:rPr>
                            <w:sz w:val="22"/>
                            <w:szCs w:val="22"/>
                            <w:lang w:eastAsia="lt-LT"/>
                          </w:rPr>
                          <w:t>7</w:t>
                        </w:r>
                      </w:p>
                    </w:tc>
                    <w:tc>
                      <w:tcPr>
                        <w:tcW w:w="543" w:type="pct"/>
                        <w:vAlign w:val="center"/>
                      </w:tcPr>
                      <w:p>
                        <w:pPr>
                          <w:shd w:val="clear" w:color="000000" w:fill="auto"/>
                          <w:jc w:val="center"/>
                          <w:rPr>
                            <w:sz w:val="22"/>
                            <w:szCs w:val="22"/>
                            <w:lang w:eastAsia="lt-LT"/>
                          </w:rPr>
                        </w:pPr>
                        <w:r>
                          <w:rPr>
                            <w:sz w:val="22"/>
                            <w:szCs w:val="22"/>
                            <w:lang w:eastAsia="lt-LT"/>
                          </w:rPr>
                          <w:t>8</w:t>
                        </w:r>
                      </w:p>
                    </w:tc>
                    <w:tc>
                      <w:tcPr>
                        <w:tcW w:w="449" w:type="pct"/>
                        <w:vAlign w:val="center"/>
                      </w:tcPr>
                      <w:p>
                        <w:pPr>
                          <w:shd w:val="clear" w:color="000000" w:fill="auto"/>
                          <w:jc w:val="center"/>
                          <w:rPr>
                            <w:sz w:val="22"/>
                            <w:szCs w:val="22"/>
                            <w:lang w:eastAsia="lt-LT"/>
                          </w:rPr>
                        </w:pPr>
                        <w:r>
                          <w:rPr>
                            <w:sz w:val="22"/>
                            <w:szCs w:val="22"/>
                            <w:lang w:eastAsia="lt-LT"/>
                          </w:rPr>
                          <w:t>9</w:t>
                        </w:r>
                      </w:p>
                    </w:tc>
                    <w:tc>
                      <w:tcPr>
                        <w:tcW w:w="502" w:type="pct"/>
                        <w:vAlign w:val="center"/>
                      </w:tcPr>
                      <w:p>
                        <w:pPr>
                          <w:shd w:val="clear" w:color="000000" w:fill="auto"/>
                          <w:jc w:val="center"/>
                          <w:rPr>
                            <w:sz w:val="22"/>
                            <w:szCs w:val="22"/>
                            <w:lang w:eastAsia="lt-LT"/>
                          </w:rPr>
                        </w:pPr>
                        <w:r>
                          <w:rPr>
                            <w:sz w:val="22"/>
                            <w:szCs w:val="22"/>
                            <w:lang w:eastAsia="lt-LT"/>
                          </w:rPr>
                          <w:t>10</w:t>
                        </w:r>
                      </w:p>
                    </w:tc>
                  </w:tr>
                  <w:tr>
                    <w:trPr>
                      <w:cantSplit/>
                      <w:trHeight w:hRule="exact" w:val="275"/>
                    </w:trPr>
                    <w:tc>
                      <w:tcPr>
                        <w:tcW w:w="282" w:type="pct"/>
                        <w:vMerge w:val="restart"/>
                        <w:vAlign w:val="center"/>
                      </w:tcPr>
                      <w:p>
                        <w:pPr>
                          <w:shd w:val="clear" w:color="000000" w:fill="auto"/>
                          <w:jc w:val="center"/>
                          <w:rPr>
                            <w:sz w:val="22"/>
                            <w:szCs w:val="22"/>
                            <w:lang w:eastAsia="lt-LT"/>
                          </w:rPr>
                        </w:pPr>
                      </w:p>
                    </w:tc>
                    <w:tc>
                      <w:tcPr>
                        <w:tcW w:w="561" w:type="pct"/>
                        <w:vMerge w:val="restart"/>
                        <w:vAlign w:val="center"/>
                      </w:tcPr>
                      <w:p>
                        <w:pPr>
                          <w:shd w:val="clear" w:color="000000" w:fill="auto"/>
                          <w:jc w:val="center"/>
                          <w:rPr>
                            <w:sz w:val="22"/>
                            <w:szCs w:val="22"/>
                            <w:lang w:eastAsia="lt-LT"/>
                          </w:rPr>
                        </w:pPr>
                      </w:p>
                    </w:tc>
                    <w:tc>
                      <w:tcPr>
                        <w:tcW w:w="771" w:type="pct"/>
                        <w:vMerge w:val="restart"/>
                        <w:vAlign w:val="center"/>
                      </w:tcPr>
                      <w:p>
                        <w:pPr>
                          <w:shd w:val="clear" w:color="000000" w:fill="auto"/>
                          <w:jc w:val="center"/>
                          <w:rPr>
                            <w:sz w:val="22"/>
                            <w:szCs w:val="22"/>
                            <w:lang w:eastAsia="lt-LT"/>
                          </w:rPr>
                        </w:pPr>
                      </w:p>
                    </w:tc>
                    <w:tc>
                      <w:tcPr>
                        <w:tcW w:w="630" w:type="pct"/>
                        <w:vMerge w:val="restart"/>
                        <w:vAlign w:val="center"/>
                      </w:tcPr>
                      <w:p>
                        <w:pPr>
                          <w:shd w:val="clear" w:color="000000" w:fill="auto"/>
                          <w:jc w:val="center"/>
                          <w:rPr>
                            <w:sz w:val="22"/>
                            <w:szCs w:val="22"/>
                            <w:lang w:eastAsia="lt-LT"/>
                          </w:rPr>
                        </w:pPr>
                      </w:p>
                    </w:tc>
                    <w:tc>
                      <w:tcPr>
                        <w:tcW w:w="491" w:type="pct"/>
                        <w:vAlign w:val="center"/>
                      </w:tcPr>
                      <w:p>
                        <w:pPr>
                          <w:shd w:val="clear" w:color="000000" w:fill="auto"/>
                          <w:jc w:val="center"/>
                          <w:rPr>
                            <w:sz w:val="22"/>
                            <w:szCs w:val="22"/>
                            <w:lang w:eastAsia="lt-LT"/>
                          </w:rPr>
                        </w:pPr>
                      </w:p>
                    </w:tc>
                    <w:tc>
                      <w:tcPr>
                        <w:tcW w:w="350" w:type="pct"/>
                        <w:vAlign w:val="center"/>
                      </w:tcPr>
                      <w:p>
                        <w:pPr>
                          <w:shd w:val="clear" w:color="000000" w:fill="auto"/>
                          <w:jc w:val="center"/>
                          <w:rPr>
                            <w:sz w:val="22"/>
                            <w:szCs w:val="22"/>
                            <w:lang w:eastAsia="lt-LT"/>
                          </w:rPr>
                        </w:pPr>
                      </w:p>
                    </w:tc>
                    <w:tc>
                      <w:tcPr>
                        <w:tcW w:w="421" w:type="pct"/>
                        <w:vAlign w:val="center"/>
                      </w:tcPr>
                      <w:p>
                        <w:pPr>
                          <w:shd w:val="clear" w:color="000000" w:fill="auto"/>
                          <w:jc w:val="center"/>
                          <w:rPr>
                            <w:sz w:val="22"/>
                            <w:szCs w:val="22"/>
                            <w:lang w:eastAsia="lt-LT"/>
                          </w:rPr>
                        </w:pPr>
                      </w:p>
                    </w:tc>
                    <w:tc>
                      <w:tcPr>
                        <w:tcW w:w="543" w:type="pct"/>
                        <w:vAlign w:val="center"/>
                      </w:tcPr>
                      <w:p>
                        <w:pPr>
                          <w:shd w:val="clear" w:color="000000" w:fill="auto"/>
                          <w:jc w:val="center"/>
                          <w:rPr>
                            <w:sz w:val="22"/>
                            <w:szCs w:val="22"/>
                            <w:lang w:eastAsia="lt-LT"/>
                          </w:rPr>
                        </w:pPr>
                      </w:p>
                    </w:tc>
                    <w:tc>
                      <w:tcPr>
                        <w:tcW w:w="449" w:type="pct"/>
                      </w:tcPr>
                      <w:p>
                        <w:pPr>
                          <w:shd w:val="clear" w:color="000000" w:fill="auto"/>
                          <w:jc w:val="center"/>
                          <w:rPr>
                            <w:sz w:val="22"/>
                            <w:szCs w:val="22"/>
                            <w:lang w:eastAsia="lt-LT"/>
                          </w:rPr>
                        </w:pPr>
                      </w:p>
                    </w:tc>
                    <w:tc>
                      <w:tcPr>
                        <w:tcW w:w="502" w:type="pct"/>
                      </w:tcPr>
                      <w:p>
                        <w:pPr>
                          <w:shd w:val="clear" w:color="000000" w:fill="auto"/>
                          <w:jc w:val="center"/>
                          <w:rPr>
                            <w:sz w:val="22"/>
                            <w:szCs w:val="22"/>
                            <w:lang w:eastAsia="lt-LT"/>
                          </w:rPr>
                        </w:pPr>
                      </w:p>
                    </w:tc>
                  </w:tr>
                  <w:tr>
                    <w:trPr>
                      <w:cantSplit/>
                      <w:trHeight w:hRule="exact" w:val="275"/>
                    </w:trPr>
                    <w:tc>
                      <w:tcPr>
                        <w:tcW w:w="282" w:type="pct"/>
                        <w:vMerge/>
                        <w:vAlign w:val="center"/>
                      </w:tcPr>
                      <w:p>
                        <w:pPr>
                          <w:shd w:val="clear" w:color="000000" w:fill="auto"/>
                          <w:jc w:val="center"/>
                          <w:rPr>
                            <w:sz w:val="22"/>
                            <w:szCs w:val="22"/>
                            <w:lang w:eastAsia="lt-LT"/>
                          </w:rPr>
                        </w:pPr>
                      </w:p>
                    </w:tc>
                    <w:tc>
                      <w:tcPr>
                        <w:tcW w:w="561" w:type="pct"/>
                        <w:vMerge/>
                        <w:vAlign w:val="center"/>
                      </w:tcPr>
                      <w:p>
                        <w:pPr>
                          <w:shd w:val="clear" w:color="000000" w:fill="auto"/>
                          <w:jc w:val="center"/>
                          <w:rPr>
                            <w:sz w:val="22"/>
                            <w:szCs w:val="22"/>
                            <w:lang w:eastAsia="lt-LT"/>
                          </w:rPr>
                        </w:pPr>
                      </w:p>
                    </w:tc>
                    <w:tc>
                      <w:tcPr>
                        <w:tcW w:w="771" w:type="pct"/>
                        <w:vMerge/>
                        <w:vAlign w:val="center"/>
                      </w:tcPr>
                      <w:p>
                        <w:pPr>
                          <w:shd w:val="clear" w:color="000000" w:fill="auto"/>
                          <w:jc w:val="center"/>
                          <w:rPr>
                            <w:sz w:val="22"/>
                            <w:szCs w:val="22"/>
                            <w:lang w:eastAsia="lt-LT"/>
                          </w:rPr>
                        </w:pPr>
                      </w:p>
                    </w:tc>
                    <w:tc>
                      <w:tcPr>
                        <w:tcW w:w="630" w:type="pct"/>
                        <w:vMerge/>
                        <w:vAlign w:val="center"/>
                      </w:tcPr>
                      <w:p>
                        <w:pPr>
                          <w:shd w:val="clear" w:color="000000" w:fill="auto"/>
                          <w:jc w:val="center"/>
                          <w:rPr>
                            <w:sz w:val="22"/>
                            <w:szCs w:val="22"/>
                            <w:lang w:eastAsia="lt-LT"/>
                          </w:rPr>
                        </w:pPr>
                      </w:p>
                    </w:tc>
                    <w:tc>
                      <w:tcPr>
                        <w:tcW w:w="491" w:type="pct"/>
                        <w:vAlign w:val="center"/>
                      </w:tcPr>
                      <w:p>
                        <w:pPr>
                          <w:shd w:val="clear" w:color="000000" w:fill="auto"/>
                          <w:jc w:val="center"/>
                          <w:rPr>
                            <w:sz w:val="22"/>
                            <w:szCs w:val="22"/>
                            <w:lang w:eastAsia="lt-LT"/>
                          </w:rPr>
                        </w:pPr>
                      </w:p>
                    </w:tc>
                    <w:tc>
                      <w:tcPr>
                        <w:tcW w:w="350" w:type="pct"/>
                        <w:vAlign w:val="center"/>
                      </w:tcPr>
                      <w:p>
                        <w:pPr>
                          <w:shd w:val="clear" w:color="000000" w:fill="auto"/>
                          <w:jc w:val="center"/>
                          <w:rPr>
                            <w:sz w:val="22"/>
                            <w:szCs w:val="22"/>
                            <w:lang w:eastAsia="lt-LT"/>
                          </w:rPr>
                        </w:pPr>
                      </w:p>
                    </w:tc>
                    <w:tc>
                      <w:tcPr>
                        <w:tcW w:w="421" w:type="pct"/>
                        <w:vAlign w:val="center"/>
                      </w:tcPr>
                      <w:p>
                        <w:pPr>
                          <w:shd w:val="clear" w:color="000000" w:fill="auto"/>
                          <w:jc w:val="center"/>
                          <w:rPr>
                            <w:sz w:val="22"/>
                            <w:szCs w:val="22"/>
                            <w:lang w:eastAsia="lt-LT"/>
                          </w:rPr>
                        </w:pPr>
                      </w:p>
                    </w:tc>
                    <w:tc>
                      <w:tcPr>
                        <w:tcW w:w="543" w:type="pct"/>
                        <w:vAlign w:val="center"/>
                      </w:tcPr>
                      <w:p>
                        <w:pPr>
                          <w:shd w:val="clear" w:color="000000" w:fill="auto"/>
                          <w:jc w:val="center"/>
                          <w:rPr>
                            <w:sz w:val="22"/>
                            <w:szCs w:val="22"/>
                            <w:lang w:eastAsia="lt-LT"/>
                          </w:rPr>
                        </w:pPr>
                      </w:p>
                    </w:tc>
                    <w:tc>
                      <w:tcPr>
                        <w:tcW w:w="449" w:type="pct"/>
                      </w:tcPr>
                      <w:p>
                        <w:pPr>
                          <w:shd w:val="clear" w:color="000000" w:fill="auto"/>
                          <w:jc w:val="center"/>
                          <w:rPr>
                            <w:sz w:val="22"/>
                            <w:szCs w:val="22"/>
                            <w:lang w:eastAsia="lt-LT"/>
                          </w:rPr>
                        </w:pPr>
                      </w:p>
                    </w:tc>
                    <w:tc>
                      <w:tcPr>
                        <w:tcW w:w="502" w:type="pct"/>
                      </w:tcPr>
                      <w:p>
                        <w:pPr>
                          <w:shd w:val="clear" w:color="000000" w:fill="auto"/>
                          <w:jc w:val="center"/>
                          <w:rPr>
                            <w:sz w:val="22"/>
                            <w:szCs w:val="22"/>
                            <w:lang w:eastAsia="lt-LT"/>
                          </w:rPr>
                        </w:pPr>
                      </w:p>
                    </w:tc>
                  </w:tr>
                  <w:tr>
                    <w:trPr>
                      <w:cantSplit/>
                    </w:trPr>
                    <w:tc>
                      <w:tcPr>
                        <w:tcW w:w="282" w:type="pct"/>
                        <w:vMerge/>
                        <w:vAlign w:val="center"/>
                      </w:tcPr>
                      <w:p>
                        <w:pPr>
                          <w:shd w:val="clear" w:color="000000" w:fill="auto"/>
                          <w:jc w:val="center"/>
                          <w:rPr>
                            <w:sz w:val="22"/>
                            <w:szCs w:val="22"/>
                            <w:lang w:eastAsia="lt-LT"/>
                          </w:rPr>
                        </w:pPr>
                      </w:p>
                    </w:tc>
                    <w:tc>
                      <w:tcPr>
                        <w:tcW w:w="561" w:type="pct"/>
                        <w:vMerge/>
                        <w:vAlign w:val="center"/>
                      </w:tcPr>
                      <w:p>
                        <w:pPr>
                          <w:shd w:val="clear" w:color="000000" w:fill="auto"/>
                          <w:jc w:val="center"/>
                          <w:rPr>
                            <w:sz w:val="22"/>
                            <w:szCs w:val="22"/>
                            <w:lang w:eastAsia="lt-LT"/>
                          </w:rPr>
                        </w:pPr>
                      </w:p>
                    </w:tc>
                    <w:tc>
                      <w:tcPr>
                        <w:tcW w:w="771" w:type="pct"/>
                        <w:vMerge/>
                        <w:vAlign w:val="center"/>
                      </w:tcPr>
                      <w:p>
                        <w:pPr>
                          <w:shd w:val="clear" w:color="000000" w:fill="auto"/>
                          <w:jc w:val="center"/>
                          <w:rPr>
                            <w:sz w:val="22"/>
                            <w:szCs w:val="22"/>
                            <w:lang w:eastAsia="lt-LT"/>
                          </w:rPr>
                        </w:pPr>
                      </w:p>
                    </w:tc>
                    <w:tc>
                      <w:tcPr>
                        <w:tcW w:w="630" w:type="pct"/>
                        <w:vMerge/>
                        <w:vAlign w:val="center"/>
                      </w:tcPr>
                      <w:p>
                        <w:pPr>
                          <w:shd w:val="clear" w:color="000000" w:fill="auto"/>
                          <w:jc w:val="center"/>
                          <w:rPr>
                            <w:sz w:val="22"/>
                            <w:szCs w:val="22"/>
                            <w:lang w:eastAsia="lt-LT"/>
                          </w:rPr>
                        </w:pPr>
                      </w:p>
                    </w:tc>
                    <w:tc>
                      <w:tcPr>
                        <w:tcW w:w="491" w:type="pct"/>
                        <w:vAlign w:val="center"/>
                      </w:tcPr>
                      <w:p>
                        <w:pPr>
                          <w:shd w:val="clear" w:color="000000" w:fill="auto"/>
                          <w:jc w:val="center"/>
                          <w:rPr>
                            <w:sz w:val="22"/>
                            <w:szCs w:val="22"/>
                            <w:lang w:eastAsia="lt-LT"/>
                          </w:rPr>
                        </w:pPr>
                      </w:p>
                    </w:tc>
                    <w:tc>
                      <w:tcPr>
                        <w:tcW w:w="350" w:type="pct"/>
                        <w:vAlign w:val="center"/>
                      </w:tcPr>
                      <w:p>
                        <w:pPr>
                          <w:shd w:val="clear" w:color="000000" w:fill="auto"/>
                          <w:jc w:val="center"/>
                          <w:rPr>
                            <w:sz w:val="22"/>
                            <w:szCs w:val="22"/>
                            <w:lang w:eastAsia="lt-LT"/>
                          </w:rPr>
                        </w:pPr>
                      </w:p>
                    </w:tc>
                    <w:tc>
                      <w:tcPr>
                        <w:tcW w:w="421" w:type="pct"/>
                        <w:vAlign w:val="center"/>
                      </w:tcPr>
                      <w:p>
                        <w:pPr>
                          <w:shd w:val="clear" w:color="000000" w:fill="auto"/>
                          <w:jc w:val="center"/>
                          <w:rPr>
                            <w:sz w:val="22"/>
                            <w:szCs w:val="22"/>
                            <w:lang w:eastAsia="lt-LT"/>
                          </w:rPr>
                        </w:pPr>
                      </w:p>
                    </w:tc>
                    <w:tc>
                      <w:tcPr>
                        <w:tcW w:w="543" w:type="pct"/>
                        <w:vAlign w:val="center"/>
                      </w:tcPr>
                      <w:p>
                        <w:pPr>
                          <w:shd w:val="clear" w:color="000000" w:fill="auto"/>
                          <w:jc w:val="center"/>
                          <w:rPr>
                            <w:sz w:val="22"/>
                            <w:szCs w:val="22"/>
                            <w:lang w:eastAsia="lt-LT"/>
                          </w:rPr>
                        </w:pPr>
                      </w:p>
                    </w:tc>
                    <w:tc>
                      <w:tcPr>
                        <w:tcW w:w="449" w:type="pct"/>
                      </w:tcPr>
                      <w:p>
                        <w:pPr>
                          <w:shd w:val="clear" w:color="000000" w:fill="auto"/>
                          <w:jc w:val="center"/>
                          <w:rPr>
                            <w:sz w:val="22"/>
                            <w:szCs w:val="22"/>
                            <w:lang w:eastAsia="lt-LT"/>
                          </w:rPr>
                        </w:pPr>
                      </w:p>
                    </w:tc>
                    <w:tc>
                      <w:tcPr>
                        <w:tcW w:w="502" w:type="pct"/>
                      </w:tcPr>
                      <w:p>
                        <w:pPr>
                          <w:shd w:val="clear" w:color="000000" w:fill="auto"/>
                          <w:jc w:val="center"/>
                          <w:rPr>
                            <w:sz w:val="22"/>
                            <w:szCs w:val="22"/>
                            <w:lang w:eastAsia="lt-LT"/>
                          </w:rPr>
                        </w:pPr>
                      </w:p>
                    </w:tc>
                  </w:tr>
                  <w:tr>
                    <w:trPr>
                      <w:cantSplit/>
                    </w:trPr>
                    <w:tc>
                      <w:tcPr>
                        <w:tcW w:w="282" w:type="pct"/>
                        <w:vMerge w:val="restart"/>
                        <w:vAlign w:val="center"/>
                      </w:tcPr>
                      <w:p>
                        <w:pPr>
                          <w:shd w:val="clear" w:color="000000" w:fill="auto"/>
                          <w:jc w:val="center"/>
                          <w:rPr>
                            <w:sz w:val="22"/>
                            <w:szCs w:val="22"/>
                            <w:lang w:eastAsia="lt-LT"/>
                          </w:rPr>
                        </w:pPr>
                      </w:p>
                    </w:tc>
                    <w:tc>
                      <w:tcPr>
                        <w:tcW w:w="561" w:type="pct"/>
                        <w:vMerge w:val="restart"/>
                        <w:vAlign w:val="center"/>
                      </w:tcPr>
                      <w:p>
                        <w:pPr>
                          <w:shd w:val="clear" w:color="000000" w:fill="auto"/>
                          <w:jc w:val="center"/>
                          <w:rPr>
                            <w:sz w:val="22"/>
                            <w:szCs w:val="22"/>
                            <w:lang w:eastAsia="lt-LT"/>
                          </w:rPr>
                        </w:pPr>
                      </w:p>
                    </w:tc>
                    <w:tc>
                      <w:tcPr>
                        <w:tcW w:w="771" w:type="pct"/>
                        <w:vMerge w:val="restart"/>
                        <w:vAlign w:val="center"/>
                      </w:tcPr>
                      <w:p>
                        <w:pPr>
                          <w:shd w:val="clear" w:color="000000" w:fill="auto"/>
                          <w:jc w:val="center"/>
                          <w:rPr>
                            <w:sz w:val="22"/>
                            <w:szCs w:val="22"/>
                            <w:lang w:eastAsia="lt-LT"/>
                          </w:rPr>
                        </w:pPr>
                      </w:p>
                    </w:tc>
                    <w:tc>
                      <w:tcPr>
                        <w:tcW w:w="630" w:type="pct"/>
                        <w:vMerge w:val="restart"/>
                        <w:vAlign w:val="center"/>
                      </w:tcPr>
                      <w:p>
                        <w:pPr>
                          <w:shd w:val="clear" w:color="000000" w:fill="auto"/>
                          <w:jc w:val="center"/>
                          <w:rPr>
                            <w:sz w:val="22"/>
                            <w:szCs w:val="22"/>
                            <w:lang w:eastAsia="lt-LT"/>
                          </w:rPr>
                        </w:pPr>
                      </w:p>
                    </w:tc>
                    <w:tc>
                      <w:tcPr>
                        <w:tcW w:w="491" w:type="pct"/>
                        <w:vAlign w:val="center"/>
                      </w:tcPr>
                      <w:p>
                        <w:pPr>
                          <w:shd w:val="clear" w:color="000000" w:fill="auto"/>
                          <w:jc w:val="center"/>
                          <w:rPr>
                            <w:sz w:val="22"/>
                            <w:szCs w:val="22"/>
                            <w:lang w:eastAsia="lt-LT"/>
                          </w:rPr>
                        </w:pPr>
                      </w:p>
                    </w:tc>
                    <w:tc>
                      <w:tcPr>
                        <w:tcW w:w="350" w:type="pct"/>
                        <w:vAlign w:val="center"/>
                      </w:tcPr>
                      <w:p>
                        <w:pPr>
                          <w:shd w:val="clear" w:color="000000" w:fill="auto"/>
                          <w:jc w:val="center"/>
                          <w:rPr>
                            <w:sz w:val="22"/>
                            <w:szCs w:val="22"/>
                            <w:lang w:eastAsia="lt-LT"/>
                          </w:rPr>
                        </w:pPr>
                      </w:p>
                    </w:tc>
                    <w:tc>
                      <w:tcPr>
                        <w:tcW w:w="421" w:type="pct"/>
                        <w:vAlign w:val="center"/>
                      </w:tcPr>
                      <w:p>
                        <w:pPr>
                          <w:shd w:val="clear" w:color="000000" w:fill="auto"/>
                          <w:jc w:val="center"/>
                          <w:rPr>
                            <w:sz w:val="22"/>
                            <w:szCs w:val="22"/>
                            <w:lang w:eastAsia="lt-LT"/>
                          </w:rPr>
                        </w:pPr>
                      </w:p>
                    </w:tc>
                    <w:tc>
                      <w:tcPr>
                        <w:tcW w:w="543" w:type="pct"/>
                        <w:vAlign w:val="center"/>
                      </w:tcPr>
                      <w:p>
                        <w:pPr>
                          <w:shd w:val="clear" w:color="000000" w:fill="auto"/>
                          <w:jc w:val="center"/>
                          <w:rPr>
                            <w:sz w:val="22"/>
                            <w:szCs w:val="22"/>
                            <w:lang w:eastAsia="lt-LT"/>
                          </w:rPr>
                        </w:pPr>
                      </w:p>
                    </w:tc>
                    <w:tc>
                      <w:tcPr>
                        <w:tcW w:w="449" w:type="pct"/>
                      </w:tcPr>
                      <w:p>
                        <w:pPr>
                          <w:shd w:val="clear" w:color="000000" w:fill="auto"/>
                          <w:jc w:val="center"/>
                          <w:rPr>
                            <w:sz w:val="22"/>
                            <w:szCs w:val="22"/>
                            <w:lang w:eastAsia="lt-LT"/>
                          </w:rPr>
                        </w:pPr>
                      </w:p>
                    </w:tc>
                    <w:tc>
                      <w:tcPr>
                        <w:tcW w:w="502" w:type="pct"/>
                      </w:tcPr>
                      <w:p>
                        <w:pPr>
                          <w:shd w:val="clear" w:color="000000" w:fill="auto"/>
                          <w:jc w:val="center"/>
                          <w:rPr>
                            <w:sz w:val="22"/>
                            <w:szCs w:val="22"/>
                            <w:lang w:eastAsia="lt-LT"/>
                          </w:rPr>
                        </w:pPr>
                      </w:p>
                    </w:tc>
                  </w:tr>
                  <w:tr>
                    <w:trPr>
                      <w:cantSplit/>
                    </w:trPr>
                    <w:tc>
                      <w:tcPr>
                        <w:tcW w:w="282" w:type="pct"/>
                        <w:vMerge/>
                        <w:vAlign w:val="center"/>
                      </w:tcPr>
                      <w:p>
                        <w:pPr>
                          <w:shd w:val="clear" w:color="000000" w:fill="auto"/>
                          <w:jc w:val="center"/>
                          <w:rPr>
                            <w:sz w:val="22"/>
                            <w:szCs w:val="22"/>
                            <w:lang w:eastAsia="lt-LT"/>
                          </w:rPr>
                        </w:pPr>
                      </w:p>
                    </w:tc>
                    <w:tc>
                      <w:tcPr>
                        <w:tcW w:w="561" w:type="pct"/>
                        <w:vMerge/>
                        <w:vAlign w:val="center"/>
                      </w:tcPr>
                      <w:p>
                        <w:pPr>
                          <w:shd w:val="clear" w:color="000000" w:fill="auto"/>
                          <w:jc w:val="center"/>
                          <w:rPr>
                            <w:sz w:val="22"/>
                            <w:szCs w:val="22"/>
                            <w:lang w:eastAsia="lt-LT"/>
                          </w:rPr>
                        </w:pPr>
                      </w:p>
                    </w:tc>
                    <w:tc>
                      <w:tcPr>
                        <w:tcW w:w="771" w:type="pct"/>
                        <w:vMerge/>
                        <w:vAlign w:val="center"/>
                      </w:tcPr>
                      <w:p>
                        <w:pPr>
                          <w:shd w:val="clear" w:color="000000" w:fill="auto"/>
                          <w:jc w:val="center"/>
                          <w:rPr>
                            <w:sz w:val="22"/>
                            <w:szCs w:val="22"/>
                            <w:lang w:eastAsia="lt-LT"/>
                          </w:rPr>
                        </w:pPr>
                      </w:p>
                    </w:tc>
                    <w:tc>
                      <w:tcPr>
                        <w:tcW w:w="630" w:type="pct"/>
                        <w:vMerge/>
                        <w:vAlign w:val="center"/>
                      </w:tcPr>
                      <w:p>
                        <w:pPr>
                          <w:shd w:val="clear" w:color="000000" w:fill="auto"/>
                          <w:jc w:val="center"/>
                          <w:rPr>
                            <w:sz w:val="22"/>
                            <w:szCs w:val="22"/>
                            <w:lang w:eastAsia="lt-LT"/>
                          </w:rPr>
                        </w:pPr>
                      </w:p>
                    </w:tc>
                    <w:tc>
                      <w:tcPr>
                        <w:tcW w:w="491" w:type="pct"/>
                        <w:vAlign w:val="center"/>
                      </w:tcPr>
                      <w:p>
                        <w:pPr>
                          <w:shd w:val="clear" w:color="000000" w:fill="auto"/>
                          <w:jc w:val="center"/>
                          <w:rPr>
                            <w:sz w:val="22"/>
                            <w:szCs w:val="22"/>
                            <w:lang w:eastAsia="lt-LT"/>
                          </w:rPr>
                        </w:pPr>
                      </w:p>
                    </w:tc>
                    <w:tc>
                      <w:tcPr>
                        <w:tcW w:w="350" w:type="pct"/>
                        <w:vAlign w:val="center"/>
                      </w:tcPr>
                      <w:p>
                        <w:pPr>
                          <w:shd w:val="clear" w:color="000000" w:fill="auto"/>
                          <w:jc w:val="center"/>
                          <w:rPr>
                            <w:sz w:val="22"/>
                            <w:szCs w:val="22"/>
                            <w:lang w:eastAsia="lt-LT"/>
                          </w:rPr>
                        </w:pPr>
                      </w:p>
                    </w:tc>
                    <w:tc>
                      <w:tcPr>
                        <w:tcW w:w="421" w:type="pct"/>
                        <w:vAlign w:val="center"/>
                      </w:tcPr>
                      <w:p>
                        <w:pPr>
                          <w:shd w:val="clear" w:color="000000" w:fill="auto"/>
                          <w:jc w:val="center"/>
                          <w:rPr>
                            <w:sz w:val="22"/>
                            <w:szCs w:val="22"/>
                            <w:lang w:eastAsia="lt-LT"/>
                          </w:rPr>
                        </w:pPr>
                      </w:p>
                    </w:tc>
                    <w:tc>
                      <w:tcPr>
                        <w:tcW w:w="543" w:type="pct"/>
                        <w:vAlign w:val="center"/>
                      </w:tcPr>
                      <w:p>
                        <w:pPr>
                          <w:shd w:val="clear" w:color="000000" w:fill="auto"/>
                          <w:jc w:val="center"/>
                          <w:rPr>
                            <w:sz w:val="22"/>
                            <w:szCs w:val="22"/>
                            <w:lang w:eastAsia="lt-LT"/>
                          </w:rPr>
                        </w:pPr>
                      </w:p>
                    </w:tc>
                    <w:tc>
                      <w:tcPr>
                        <w:tcW w:w="449" w:type="pct"/>
                      </w:tcPr>
                      <w:p>
                        <w:pPr>
                          <w:shd w:val="clear" w:color="000000" w:fill="auto"/>
                          <w:jc w:val="center"/>
                          <w:rPr>
                            <w:sz w:val="22"/>
                            <w:szCs w:val="22"/>
                            <w:lang w:eastAsia="lt-LT"/>
                          </w:rPr>
                        </w:pPr>
                      </w:p>
                    </w:tc>
                    <w:tc>
                      <w:tcPr>
                        <w:tcW w:w="502" w:type="pct"/>
                      </w:tcPr>
                      <w:p>
                        <w:pPr>
                          <w:shd w:val="clear" w:color="000000" w:fill="auto"/>
                          <w:jc w:val="center"/>
                          <w:rPr>
                            <w:sz w:val="22"/>
                            <w:szCs w:val="22"/>
                            <w:lang w:eastAsia="lt-LT"/>
                          </w:rPr>
                        </w:pPr>
                      </w:p>
                    </w:tc>
                  </w:tr>
                  <w:tr>
                    <w:trPr>
                      <w:cantSplit/>
                    </w:trPr>
                    <w:tc>
                      <w:tcPr>
                        <w:tcW w:w="282" w:type="pct"/>
                        <w:vMerge/>
                        <w:vAlign w:val="center"/>
                      </w:tcPr>
                      <w:p>
                        <w:pPr>
                          <w:shd w:val="clear" w:color="000000" w:fill="auto"/>
                          <w:jc w:val="center"/>
                          <w:rPr>
                            <w:sz w:val="22"/>
                            <w:szCs w:val="22"/>
                            <w:lang w:eastAsia="lt-LT"/>
                          </w:rPr>
                        </w:pPr>
                      </w:p>
                    </w:tc>
                    <w:tc>
                      <w:tcPr>
                        <w:tcW w:w="561" w:type="pct"/>
                        <w:vMerge/>
                        <w:vAlign w:val="center"/>
                      </w:tcPr>
                      <w:p>
                        <w:pPr>
                          <w:shd w:val="clear" w:color="000000" w:fill="auto"/>
                          <w:jc w:val="center"/>
                          <w:rPr>
                            <w:sz w:val="22"/>
                            <w:szCs w:val="22"/>
                            <w:lang w:eastAsia="lt-LT"/>
                          </w:rPr>
                        </w:pPr>
                      </w:p>
                    </w:tc>
                    <w:tc>
                      <w:tcPr>
                        <w:tcW w:w="771" w:type="pct"/>
                        <w:vMerge/>
                        <w:vAlign w:val="center"/>
                      </w:tcPr>
                      <w:p>
                        <w:pPr>
                          <w:shd w:val="clear" w:color="000000" w:fill="auto"/>
                          <w:jc w:val="center"/>
                          <w:rPr>
                            <w:sz w:val="22"/>
                            <w:szCs w:val="22"/>
                            <w:lang w:eastAsia="lt-LT"/>
                          </w:rPr>
                        </w:pPr>
                      </w:p>
                    </w:tc>
                    <w:tc>
                      <w:tcPr>
                        <w:tcW w:w="630" w:type="pct"/>
                        <w:vMerge/>
                        <w:vAlign w:val="center"/>
                      </w:tcPr>
                      <w:p>
                        <w:pPr>
                          <w:shd w:val="clear" w:color="000000" w:fill="auto"/>
                          <w:jc w:val="center"/>
                          <w:rPr>
                            <w:sz w:val="22"/>
                            <w:szCs w:val="22"/>
                            <w:lang w:eastAsia="lt-LT"/>
                          </w:rPr>
                        </w:pPr>
                      </w:p>
                    </w:tc>
                    <w:tc>
                      <w:tcPr>
                        <w:tcW w:w="491" w:type="pct"/>
                        <w:vAlign w:val="center"/>
                      </w:tcPr>
                      <w:p>
                        <w:pPr>
                          <w:shd w:val="clear" w:color="000000" w:fill="auto"/>
                          <w:jc w:val="center"/>
                          <w:rPr>
                            <w:sz w:val="22"/>
                            <w:szCs w:val="22"/>
                            <w:lang w:eastAsia="lt-LT"/>
                          </w:rPr>
                        </w:pPr>
                      </w:p>
                    </w:tc>
                    <w:tc>
                      <w:tcPr>
                        <w:tcW w:w="350" w:type="pct"/>
                        <w:vAlign w:val="center"/>
                      </w:tcPr>
                      <w:p>
                        <w:pPr>
                          <w:shd w:val="clear" w:color="000000" w:fill="auto"/>
                          <w:jc w:val="center"/>
                          <w:rPr>
                            <w:sz w:val="22"/>
                            <w:szCs w:val="22"/>
                            <w:lang w:eastAsia="lt-LT"/>
                          </w:rPr>
                        </w:pPr>
                      </w:p>
                    </w:tc>
                    <w:tc>
                      <w:tcPr>
                        <w:tcW w:w="421" w:type="pct"/>
                        <w:vAlign w:val="center"/>
                      </w:tcPr>
                      <w:p>
                        <w:pPr>
                          <w:shd w:val="clear" w:color="000000" w:fill="auto"/>
                          <w:jc w:val="center"/>
                          <w:rPr>
                            <w:sz w:val="22"/>
                            <w:szCs w:val="22"/>
                            <w:lang w:eastAsia="lt-LT"/>
                          </w:rPr>
                        </w:pPr>
                      </w:p>
                    </w:tc>
                    <w:tc>
                      <w:tcPr>
                        <w:tcW w:w="543" w:type="pct"/>
                        <w:vAlign w:val="center"/>
                      </w:tcPr>
                      <w:p>
                        <w:pPr>
                          <w:shd w:val="clear" w:color="000000" w:fill="auto"/>
                          <w:jc w:val="center"/>
                          <w:rPr>
                            <w:sz w:val="22"/>
                            <w:szCs w:val="22"/>
                            <w:lang w:eastAsia="lt-LT"/>
                          </w:rPr>
                        </w:pPr>
                      </w:p>
                    </w:tc>
                    <w:tc>
                      <w:tcPr>
                        <w:tcW w:w="449" w:type="pct"/>
                      </w:tcPr>
                      <w:p>
                        <w:pPr>
                          <w:shd w:val="clear" w:color="000000" w:fill="auto"/>
                          <w:jc w:val="center"/>
                          <w:rPr>
                            <w:sz w:val="22"/>
                            <w:szCs w:val="22"/>
                            <w:lang w:eastAsia="lt-LT"/>
                          </w:rPr>
                        </w:pPr>
                      </w:p>
                    </w:tc>
                    <w:tc>
                      <w:tcPr>
                        <w:tcW w:w="502" w:type="pct"/>
                      </w:tcPr>
                      <w:p>
                        <w:pPr>
                          <w:shd w:val="clear" w:color="000000" w:fill="auto"/>
                          <w:jc w:val="center"/>
                          <w:rPr>
                            <w:sz w:val="22"/>
                            <w:szCs w:val="22"/>
                            <w:lang w:eastAsia="lt-LT"/>
                          </w:rPr>
                        </w:pPr>
                      </w:p>
                    </w:tc>
                  </w:tr>
                </w:tbl>
                <w:p>
                  <w:pPr>
                    <w:shd w:val="clear" w:color="000000" w:fill="auto"/>
                    <w:rPr>
                      <w:sz w:val="22"/>
                      <w:szCs w:val="22"/>
                      <w:lang w:eastAsia="lt-LT"/>
                    </w:rPr>
                  </w:pPr>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lentele"/>
                <w:tag w:val="part_f69351abc5e146c696539c248b0460ca"/>
                <w:lock w:val="sdtLocked"/>
                <w:richText/>
              </w:sdtPr>
              <w:sdtContent>
                <w:p>
                  <w:pPr>
                    <w:suppressAutoHyphens/>
                    <w:ind w:firstLine="567"/>
                    <w:jc w:val="both"/>
                    <w:rPr>
                      <w:sz w:val="22"/>
                      <w:szCs w:val="24"/>
                      <w:lang w:eastAsia="lt-LT"/>
                    </w:rPr>
                  </w:pPr>
                  <w:sdt>
                    <w:sdtPr>
                      <w:alias w:val="Numeris"/>
                      <w:tag w:val="nr_f69351abc5e146c696539c248b0460ca"/>
                      <w:lock w:val="sdtLocked"/>
                      <w:richText/>
                    </w:sdtPr>
                    <w:sdtContent>
                      <w:r>
                        <w:rPr>
                          <w:bCs/>
                          <w:sz w:val="22"/>
                          <w:szCs w:val="24"/>
                          <w:lang w:eastAsia="lt-LT"/>
                        </w:rPr>
                        <w:t>16</w:t>
                      </w:r>
                    </w:sdtContent>
                  </w:sdt>
                  <w:r>
                    <w:rPr>
                      <w:bCs/>
                      <w:sz w:val="22"/>
                      <w:szCs w:val="24"/>
                      <w:lang w:eastAsia="lt-LT"/>
                    </w:rPr>
                    <w:t xml:space="preserve"> lentelė</w:t>
                  </w:r>
                  <w:r>
                    <w:rPr>
                      <w:sz w:val="22"/>
                      <w:szCs w:val="24"/>
                      <w:lang w:eastAsia="lt-LT"/>
                    </w:rPr>
                    <w:t>. Informacija apie nuotekų išleidimo vietą (išskyrus paviršinius vandens telkinius), į kurią planuojama išleisti nuotekas</w:t>
                  </w:r>
                </w:p>
                <w:p>
                  <w:pPr>
                    <w:suppressAutoHyphens/>
                    <w:ind w:firstLine="567"/>
                    <w:jc w:val="both"/>
                    <w:rPr>
                      <w:sz w:val="22"/>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4"/>
                    <w:gridCol w:w="3118"/>
                    <w:gridCol w:w="1834"/>
                    <w:gridCol w:w="1516"/>
                    <w:gridCol w:w="1903"/>
                    <w:gridCol w:w="1691"/>
                    <w:gridCol w:w="1900"/>
                    <w:gridCol w:w="1688"/>
                  </w:tblGrid>
                  <w:tr>
                    <w:trPr>
                      <w:cantSplit/>
                      <w:trHeight w:hRule="exact" w:val="511"/>
                    </w:trPr>
                    <w:tc>
                      <w:tcPr>
                        <w:tcW w:w="245" w:type="pct"/>
                        <w:vMerge w:val="restar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vertAlign w:val="superscript"/>
                            <w:lang w:eastAsia="lt-LT"/>
                          </w:rPr>
                        </w:pPr>
                        <w:r>
                          <w:rPr>
                            <w:sz w:val="18"/>
                            <w:szCs w:val="24"/>
                            <w:lang w:eastAsia="lt-LT"/>
                          </w:rPr>
                          <w:t>Eil. Nr.</w:t>
                        </w:r>
                      </w:p>
                    </w:tc>
                    <w:tc>
                      <w:tcPr>
                        <w:tcW w:w="1086" w:type="pct"/>
                        <w:vMerge w:val="restar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vertAlign w:val="superscript"/>
                            <w:lang w:eastAsia="lt-LT"/>
                          </w:rPr>
                        </w:pPr>
                        <w:r>
                          <w:rPr>
                            <w:sz w:val="18"/>
                            <w:szCs w:val="24"/>
                            <w:lang w:eastAsia="lt-LT"/>
                          </w:rPr>
                          <w:t xml:space="preserve">Nuotekų išleidimo vietos aprašymas </w:t>
                        </w:r>
                      </w:p>
                    </w:tc>
                    <w:tc>
                      <w:tcPr>
                        <w:tcW w:w="639" w:type="pct"/>
                        <w:vMerge w:val="restar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vertAlign w:val="superscript"/>
                            <w:lang w:eastAsia="lt-LT"/>
                          </w:rPr>
                        </w:pPr>
                        <w:r>
                          <w:rPr>
                            <w:sz w:val="18"/>
                            <w:szCs w:val="24"/>
                            <w:lang w:eastAsia="lt-LT"/>
                          </w:rPr>
                          <w:t xml:space="preserve">Juridinis nuotekų išleidimo pagrindas </w:t>
                        </w:r>
                      </w:p>
                    </w:tc>
                    <w:tc>
                      <w:tcPr>
                        <w:tcW w:w="3029" w:type="pct"/>
                        <w:gridSpan w:val="5"/>
                        <w:tcBorders>
                          <w:top w:val="single" w:sz="4" w:space="0" w:color="auto"/>
                          <w:left w:val="single" w:sz="4" w:space="0" w:color="auto"/>
                          <w:bottom w:val="single" w:sz="4" w:space="0" w:color="auto"/>
                          <w:right w:val="single" w:sz="4" w:space="0" w:color="auto"/>
                        </w:tcBorders>
                        <w:vAlign w:val="center"/>
                      </w:tcPr>
                      <w:p>
                        <w:pPr>
                          <w:keepNext/>
                          <w:suppressAutoHyphens/>
                          <w:jc w:val="center"/>
                          <w:textAlignment w:val="baseline"/>
                          <w:outlineLvl w:val="3"/>
                          <w:rPr>
                            <w:sz w:val="18"/>
                            <w:szCs w:val="24"/>
                            <w:vertAlign w:val="superscript"/>
                            <w:lang w:eastAsia="lt-LT"/>
                          </w:rPr>
                        </w:pPr>
                        <w:r>
                          <w:rPr>
                            <w:sz w:val="18"/>
                            <w:szCs w:val="24"/>
                            <w:lang w:eastAsia="lt-LT"/>
                          </w:rPr>
                          <w:t xml:space="preserve">Leistina išleidimo vietos apkrova </w:t>
                        </w:r>
                      </w:p>
                    </w:tc>
                  </w:tr>
                  <w:tr>
                    <w:trPr>
                      <w:cantSplit/>
                      <w:trHeight w:hRule="exact" w:val="339"/>
                    </w:trPr>
                    <w:tc>
                      <w:tcPr>
                        <w:tcW w:w="245" w:type="pct"/>
                        <w:vMerge/>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c>
                      <w:tcPr>
                        <w:tcW w:w="1086" w:type="pct"/>
                        <w:vMerge/>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c>
                      <w:tcPr>
                        <w:tcW w:w="639" w:type="pct"/>
                        <w:vMerge/>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c>
                      <w:tcPr>
                        <w:tcW w:w="1191" w:type="pct"/>
                        <w:gridSpan w:val="2"/>
                        <w:tcBorders>
                          <w:top w:val="single" w:sz="4" w:space="0" w:color="auto"/>
                          <w:left w:val="single" w:sz="4" w:space="0" w:color="auto"/>
                          <w:bottom w:val="single" w:sz="4" w:space="0" w:color="auto"/>
                          <w:right w:val="single" w:sz="4" w:space="0" w:color="auto"/>
                        </w:tcBorders>
                        <w:vAlign w:val="center"/>
                      </w:tcPr>
                      <w:p>
                        <w:pPr>
                          <w:keepNext/>
                          <w:suppressAutoHyphens/>
                          <w:jc w:val="center"/>
                          <w:textAlignment w:val="baseline"/>
                          <w:outlineLvl w:val="3"/>
                          <w:rPr>
                            <w:sz w:val="18"/>
                            <w:szCs w:val="24"/>
                            <w:lang w:eastAsia="lt-LT"/>
                          </w:rPr>
                        </w:pPr>
                        <w:r>
                          <w:rPr>
                            <w:sz w:val="18"/>
                            <w:szCs w:val="24"/>
                            <w:lang w:eastAsia="lt-LT"/>
                          </w:rPr>
                          <w:t>hidraulinė</w:t>
                        </w:r>
                      </w:p>
                    </w:tc>
                    <w:tc>
                      <w:tcPr>
                        <w:tcW w:w="1839" w:type="pct"/>
                        <w:gridSpan w:val="3"/>
                        <w:tcBorders>
                          <w:top w:val="single" w:sz="4" w:space="0" w:color="auto"/>
                          <w:left w:val="single" w:sz="4" w:space="0" w:color="auto"/>
                          <w:bottom w:val="single" w:sz="4" w:space="0" w:color="auto"/>
                          <w:right w:val="single" w:sz="4" w:space="0" w:color="auto"/>
                        </w:tcBorders>
                        <w:vAlign w:val="center"/>
                      </w:tcPr>
                      <w:p>
                        <w:pPr>
                          <w:keepNext/>
                          <w:suppressAutoHyphens/>
                          <w:jc w:val="center"/>
                          <w:textAlignment w:val="baseline"/>
                          <w:outlineLvl w:val="3"/>
                          <w:rPr>
                            <w:sz w:val="18"/>
                            <w:szCs w:val="24"/>
                            <w:lang w:eastAsia="lt-LT"/>
                          </w:rPr>
                        </w:pPr>
                        <w:r>
                          <w:rPr>
                            <w:sz w:val="18"/>
                            <w:szCs w:val="24"/>
                            <w:lang w:eastAsia="lt-LT"/>
                          </w:rPr>
                          <w:t>teršalais</w:t>
                        </w:r>
                      </w:p>
                    </w:tc>
                  </w:tr>
                  <w:tr>
                    <w:trPr>
                      <w:cantSplit/>
                    </w:trPr>
                    <w:tc>
                      <w:tcPr>
                        <w:tcW w:w="245" w:type="pct"/>
                        <w:vMerge/>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c>
                      <w:tcPr>
                        <w:tcW w:w="1086" w:type="pct"/>
                        <w:vMerge/>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c>
                      <w:tcPr>
                        <w:tcW w:w="639" w:type="pct"/>
                        <w:vMerge/>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c>
                      <w:tcPr>
                        <w:tcW w:w="528"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r>
                          <w:rPr>
                            <w:sz w:val="18"/>
                            <w:szCs w:val="24"/>
                            <w:lang w:eastAsia="lt-LT"/>
                          </w:rPr>
                          <w:t>m</w:t>
                        </w:r>
                        <w:r>
                          <w:rPr>
                            <w:sz w:val="18"/>
                            <w:szCs w:val="24"/>
                            <w:vertAlign w:val="superscript"/>
                            <w:lang w:eastAsia="lt-LT"/>
                          </w:rPr>
                          <w:t>3</w:t>
                        </w:r>
                        <w:r>
                          <w:rPr>
                            <w:sz w:val="18"/>
                            <w:szCs w:val="24"/>
                            <w:lang w:eastAsia="lt-LT"/>
                          </w:rPr>
                          <w:t>/d</w:t>
                        </w:r>
                      </w:p>
                    </w:tc>
                    <w:tc>
                      <w:tcPr>
                        <w:tcW w:w="662"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r>
                          <w:rPr>
                            <w:sz w:val="18"/>
                            <w:szCs w:val="24"/>
                            <w:lang w:eastAsia="lt-LT"/>
                          </w:rPr>
                          <w:t>m</w:t>
                        </w:r>
                        <w:r>
                          <w:rPr>
                            <w:sz w:val="18"/>
                            <w:szCs w:val="24"/>
                            <w:vertAlign w:val="superscript"/>
                            <w:lang w:eastAsia="lt-LT"/>
                          </w:rPr>
                          <w:t>3</w:t>
                        </w:r>
                        <w:r>
                          <w:rPr>
                            <w:sz w:val="18"/>
                            <w:szCs w:val="24"/>
                            <w:lang w:eastAsia="lt-LT"/>
                          </w:rPr>
                          <w:t>/metus</w:t>
                        </w:r>
                      </w:p>
                    </w:tc>
                    <w:tc>
                      <w:tcPr>
                        <w:tcW w:w="589"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vertAlign w:val="superscript"/>
                            <w:lang w:eastAsia="lt-LT"/>
                          </w:rPr>
                        </w:pPr>
                        <w:r>
                          <w:rPr>
                            <w:sz w:val="18"/>
                            <w:szCs w:val="24"/>
                            <w:lang w:eastAsia="lt-LT"/>
                          </w:rPr>
                          <w:t>parametras</w:t>
                        </w:r>
                      </w:p>
                    </w:tc>
                    <w:tc>
                      <w:tcPr>
                        <w:tcW w:w="662"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r>
                          <w:rPr>
                            <w:sz w:val="18"/>
                            <w:szCs w:val="24"/>
                            <w:lang w:eastAsia="lt-LT"/>
                          </w:rPr>
                          <w:t>mato vnt.</w:t>
                        </w:r>
                      </w:p>
                    </w:tc>
                    <w:tc>
                      <w:tcPr>
                        <w:tcW w:w="589"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r>
                          <w:rPr>
                            <w:sz w:val="18"/>
                            <w:szCs w:val="24"/>
                            <w:lang w:eastAsia="lt-LT"/>
                          </w:rPr>
                          <w:t>reikšmė</w:t>
                        </w:r>
                      </w:p>
                    </w:tc>
                  </w:tr>
                  <w:tr>
                    <w:trPr>
                      <w:cantSplit/>
                    </w:trPr>
                    <w:tc>
                      <w:tcPr>
                        <w:tcW w:w="245"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r>
                          <w:rPr>
                            <w:sz w:val="18"/>
                            <w:szCs w:val="24"/>
                            <w:lang w:eastAsia="lt-LT"/>
                          </w:rPr>
                          <w:t>1</w:t>
                        </w:r>
                      </w:p>
                    </w:tc>
                    <w:tc>
                      <w:tcPr>
                        <w:tcW w:w="1086"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r>
                          <w:rPr>
                            <w:sz w:val="18"/>
                            <w:szCs w:val="24"/>
                            <w:lang w:eastAsia="lt-LT"/>
                          </w:rPr>
                          <w:t>2</w:t>
                        </w:r>
                      </w:p>
                    </w:tc>
                    <w:tc>
                      <w:tcPr>
                        <w:tcW w:w="639"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r>
                          <w:rPr>
                            <w:sz w:val="18"/>
                            <w:szCs w:val="24"/>
                            <w:lang w:eastAsia="lt-LT"/>
                          </w:rPr>
                          <w:t>3</w:t>
                        </w:r>
                      </w:p>
                    </w:tc>
                    <w:tc>
                      <w:tcPr>
                        <w:tcW w:w="528"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r>
                          <w:rPr>
                            <w:sz w:val="18"/>
                            <w:szCs w:val="24"/>
                            <w:lang w:eastAsia="lt-LT"/>
                          </w:rPr>
                          <w:t>4</w:t>
                        </w:r>
                      </w:p>
                    </w:tc>
                    <w:tc>
                      <w:tcPr>
                        <w:tcW w:w="662" w:type="pct"/>
                        <w:tcBorders>
                          <w:top w:val="single" w:sz="4" w:space="0" w:color="auto"/>
                          <w:left w:val="single" w:sz="4" w:space="0" w:color="auto"/>
                          <w:bottom w:val="single" w:sz="4" w:space="0" w:color="auto"/>
                          <w:right w:val="single" w:sz="4" w:space="0" w:color="auto"/>
                        </w:tcBorders>
                        <w:vAlign w:val="center"/>
                      </w:tcPr>
                      <w:p>
                        <w:pPr>
                          <w:suppressAutoHyphens/>
                          <w:jc w:val="center"/>
                          <w:rPr>
                            <w:color w:val="000000"/>
                            <w:sz w:val="18"/>
                            <w:szCs w:val="24"/>
                            <w:lang w:eastAsia="lt-LT"/>
                          </w:rPr>
                        </w:pPr>
                        <w:r>
                          <w:rPr>
                            <w:color w:val="000000"/>
                            <w:sz w:val="18"/>
                            <w:szCs w:val="24"/>
                            <w:lang w:eastAsia="lt-LT"/>
                          </w:rPr>
                          <w:t>5</w:t>
                        </w:r>
                      </w:p>
                    </w:tc>
                    <w:tc>
                      <w:tcPr>
                        <w:tcW w:w="589" w:type="pct"/>
                        <w:tcBorders>
                          <w:top w:val="single" w:sz="4" w:space="0" w:color="auto"/>
                          <w:left w:val="single" w:sz="4" w:space="0" w:color="auto"/>
                          <w:bottom w:val="single" w:sz="4" w:space="0" w:color="auto"/>
                          <w:right w:val="single" w:sz="4" w:space="0" w:color="auto"/>
                        </w:tcBorders>
                        <w:vAlign w:val="center"/>
                      </w:tcPr>
                      <w:p>
                        <w:pPr>
                          <w:suppressAutoHyphens/>
                          <w:jc w:val="center"/>
                          <w:rPr>
                            <w:color w:val="000000"/>
                            <w:sz w:val="18"/>
                            <w:szCs w:val="24"/>
                            <w:lang w:eastAsia="lt-LT"/>
                          </w:rPr>
                        </w:pPr>
                        <w:r>
                          <w:rPr>
                            <w:color w:val="000000"/>
                            <w:sz w:val="18"/>
                            <w:szCs w:val="24"/>
                            <w:lang w:eastAsia="lt-LT"/>
                          </w:rPr>
                          <w:t>6</w:t>
                        </w:r>
                      </w:p>
                    </w:tc>
                    <w:tc>
                      <w:tcPr>
                        <w:tcW w:w="662" w:type="pct"/>
                        <w:tcBorders>
                          <w:top w:val="single" w:sz="4" w:space="0" w:color="auto"/>
                          <w:left w:val="single" w:sz="4" w:space="0" w:color="auto"/>
                          <w:bottom w:val="single" w:sz="4" w:space="0" w:color="auto"/>
                          <w:right w:val="single" w:sz="4" w:space="0" w:color="auto"/>
                        </w:tcBorders>
                        <w:vAlign w:val="center"/>
                      </w:tcPr>
                      <w:p>
                        <w:pPr>
                          <w:suppressAutoHyphens/>
                          <w:jc w:val="center"/>
                          <w:rPr>
                            <w:color w:val="000000"/>
                            <w:sz w:val="18"/>
                            <w:szCs w:val="24"/>
                            <w:lang w:eastAsia="lt-LT"/>
                          </w:rPr>
                        </w:pPr>
                        <w:r>
                          <w:rPr>
                            <w:color w:val="000000"/>
                            <w:sz w:val="18"/>
                            <w:szCs w:val="24"/>
                            <w:lang w:eastAsia="lt-LT"/>
                          </w:rPr>
                          <w:t>7</w:t>
                        </w:r>
                      </w:p>
                    </w:tc>
                    <w:tc>
                      <w:tcPr>
                        <w:tcW w:w="589" w:type="pct"/>
                        <w:tcBorders>
                          <w:top w:val="single" w:sz="4" w:space="0" w:color="auto"/>
                          <w:left w:val="single" w:sz="4" w:space="0" w:color="auto"/>
                          <w:bottom w:val="single" w:sz="4" w:space="0" w:color="auto"/>
                          <w:right w:val="single" w:sz="4" w:space="0" w:color="auto"/>
                        </w:tcBorders>
                        <w:vAlign w:val="center"/>
                      </w:tcPr>
                      <w:p>
                        <w:pPr>
                          <w:suppressAutoHyphens/>
                          <w:jc w:val="center"/>
                          <w:rPr>
                            <w:color w:val="000000"/>
                            <w:sz w:val="18"/>
                            <w:szCs w:val="24"/>
                            <w:lang w:eastAsia="lt-LT"/>
                          </w:rPr>
                        </w:pPr>
                        <w:r>
                          <w:rPr>
                            <w:color w:val="000000"/>
                            <w:sz w:val="18"/>
                            <w:szCs w:val="24"/>
                            <w:lang w:eastAsia="lt-LT"/>
                          </w:rPr>
                          <w:t>8</w:t>
                        </w:r>
                      </w:p>
                    </w:tc>
                  </w:tr>
                  <w:tr>
                    <w:trPr>
                      <w:cantSplit/>
                    </w:trPr>
                    <w:tc>
                      <w:tcPr>
                        <w:tcW w:w="245"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c>
                      <w:tcPr>
                        <w:tcW w:w="1086"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c>
                      <w:tcPr>
                        <w:tcW w:w="639"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c>
                      <w:tcPr>
                        <w:tcW w:w="528"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c>
                      <w:tcPr>
                        <w:tcW w:w="662"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c>
                      <w:tcPr>
                        <w:tcW w:w="589"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c>
                      <w:tcPr>
                        <w:tcW w:w="662"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c>
                      <w:tcPr>
                        <w:tcW w:w="589"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r>
                  <w:tr>
                    <w:trPr>
                      <w:cantSplit/>
                    </w:trPr>
                    <w:tc>
                      <w:tcPr>
                        <w:tcW w:w="245"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c>
                      <w:tcPr>
                        <w:tcW w:w="1086"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c>
                      <w:tcPr>
                        <w:tcW w:w="639"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c>
                      <w:tcPr>
                        <w:tcW w:w="528"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c>
                      <w:tcPr>
                        <w:tcW w:w="662"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c>
                      <w:tcPr>
                        <w:tcW w:w="589"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c>
                      <w:tcPr>
                        <w:tcW w:w="662"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c>
                      <w:tcPr>
                        <w:tcW w:w="589"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r>
                  <w:tr>
                    <w:trPr>
                      <w:cantSplit/>
                    </w:trPr>
                    <w:tc>
                      <w:tcPr>
                        <w:tcW w:w="245"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c>
                      <w:tcPr>
                        <w:tcW w:w="1086"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c>
                      <w:tcPr>
                        <w:tcW w:w="639"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c>
                      <w:tcPr>
                        <w:tcW w:w="528"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c>
                      <w:tcPr>
                        <w:tcW w:w="662"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c>
                      <w:tcPr>
                        <w:tcW w:w="589"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c>
                      <w:tcPr>
                        <w:tcW w:w="662" w:type="pct"/>
                        <w:tcBorders>
                          <w:top w:val="single" w:sz="4" w:space="0" w:color="auto"/>
                          <w:left w:val="single" w:sz="4" w:space="0" w:color="auto"/>
                          <w:bottom w:val="single" w:sz="4" w:space="0" w:color="auto"/>
                          <w:right w:val="single" w:sz="4" w:space="0" w:color="auto"/>
                        </w:tcBorders>
                        <w:vAlign w:val="center"/>
                      </w:tcPr>
                      <w:p>
                        <w:pPr>
                          <w:suppressAutoHyphens/>
                          <w:jc w:val="center"/>
                          <w:rPr>
                            <w:sz w:val="18"/>
                            <w:szCs w:val="24"/>
                            <w:lang w:eastAsia="lt-LT"/>
                          </w:rPr>
                        </w:pPr>
                      </w:p>
                    </w:tc>
                    <w:tc>
                      <w:tcPr>
                        <w:tcW w:w="589" w:type="pct"/>
                        <w:tcBorders>
                          <w:top w:val="single" w:sz="4" w:space="0" w:color="auto"/>
                          <w:left w:val="single" w:sz="4" w:space="0" w:color="auto"/>
                          <w:bottom w:val="single" w:sz="4" w:space="0" w:color="auto"/>
                          <w:right w:val="single" w:sz="4" w:space="0" w:color="auto"/>
                        </w:tcBorders>
                        <w:vAlign w:val="center"/>
                      </w:tcPr>
                      <w:p>
                        <w:pPr>
                          <w:suppressAutoHyphens/>
                          <w:jc w:val="right"/>
                          <w:rPr>
                            <w:sz w:val="18"/>
                            <w:szCs w:val="24"/>
                            <w:lang w:eastAsia="lt-LT"/>
                          </w:rPr>
                        </w:pPr>
                      </w:p>
                    </w:tc>
                  </w:tr>
                </w:tbl>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rPr>
                      <w:sz w:val="18"/>
                      <w:szCs w:val="24"/>
                      <w:lang w:eastAsia="lt-LT"/>
                    </w:rPr>
                  </w:pPr>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lentele"/>
                <w:tag w:val="part_75a597d04fd343a1aea52552837eaf73"/>
                <w:lock w:val="sdtLocked"/>
                <w:richText/>
              </w:sdtPr>
              <w:sdtContent>
                <w:p>
                  <w:pPr>
                    <w:shd w:val="clear" w:color="000000" w:fill="auto"/>
                    <w:ind w:firstLine="567"/>
                    <w:jc w:val="both"/>
                    <w:rPr>
                      <w:sz w:val="22"/>
                      <w:szCs w:val="24"/>
                      <w:lang w:eastAsia="lt-LT"/>
                    </w:rPr>
                  </w:pPr>
                  <w:r>
                    <w:rPr>
                      <w:sz w:val="22"/>
                      <w:szCs w:val="24"/>
                      <w:lang w:eastAsia="lt-LT"/>
                    </w:rPr>
                    <w:t xml:space="preserve">17 lentelė. </w:t>
                  </w:r>
                  <w:sdt>
                    <w:sdtPr>
                      <w:alias w:val="Pavadinimas"/>
                      <w:tag w:val="title_75a597d04fd343a1aea52552837eaf73"/>
                      <w:lock w:val="sdtLocked"/>
                      <w:richText/>
                    </w:sdtPr>
                    <w:sdtContent>
                      <w:r>
                        <w:rPr>
                          <w:sz w:val="22"/>
                          <w:szCs w:val="24"/>
                          <w:lang w:eastAsia="lt-LT"/>
                        </w:rPr>
                        <w:t>Duomenys apie nuotekų šaltinius ir / arba išleistuvus</w:t>
                      </w:r>
                    </w:sdtContent>
                  </w:sdt>
                </w:p>
                <w:p>
                  <w:pPr>
                    <w:shd w:val="clear" w:color="000000" w:fill="auto"/>
                    <w:ind w:firstLine="567"/>
                    <w:jc w:val="both"/>
                    <w:rPr>
                      <w:sz w:val="22"/>
                      <w:szCs w:val="24"/>
                      <w:lang w:eastAsia="lt-LT"/>
                    </w:rPr>
                  </w:pPr>
                </w:p>
                <w:tbl>
                  <w:tblPr>
                    <w:tblW w:w="133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99"/>
                    <w:gridCol w:w="1441"/>
                    <w:gridCol w:w="1231"/>
                    <w:gridCol w:w="1917"/>
                    <w:gridCol w:w="1928"/>
                    <w:gridCol w:w="2520"/>
                    <w:gridCol w:w="2002"/>
                    <w:gridCol w:w="1561"/>
                  </w:tblGrid>
                  <w:tr>
                    <w:trPr>
                      <w:cantSplit/>
                      <w:trHeight w:hRule="exact" w:val="550"/>
                    </w:trPr>
                    <w:tc>
                      <w:tcPr>
                        <w:tcW w:w="799"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vertAlign w:val="superscript"/>
                            <w:lang w:eastAsia="lt-LT"/>
                          </w:rPr>
                        </w:pPr>
                        <w:r>
                          <w:rPr>
                            <w:sz w:val="18"/>
                            <w:szCs w:val="24"/>
                            <w:lang w:eastAsia="lt-LT"/>
                          </w:rPr>
                          <w:t>Eil. Nr.</w:t>
                        </w:r>
                        <w:r>
                          <w:rPr>
                            <w:sz w:val="18"/>
                            <w:szCs w:val="24"/>
                            <w:vertAlign w:val="superscript"/>
                            <w:lang w:eastAsia="lt-LT"/>
                          </w:rPr>
                          <w:t xml:space="preserve"> </w:t>
                        </w:r>
                      </w:p>
                    </w:tc>
                    <w:tc>
                      <w:tcPr>
                        <w:tcW w:w="1441"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vertAlign w:val="superscript"/>
                            <w:lang w:eastAsia="lt-LT"/>
                          </w:rPr>
                        </w:pPr>
                        <w:r>
                          <w:rPr>
                            <w:sz w:val="18"/>
                            <w:szCs w:val="24"/>
                            <w:lang w:eastAsia="lt-LT"/>
                          </w:rPr>
                          <w:t>Koordinatės</w:t>
                        </w:r>
                      </w:p>
                    </w:tc>
                    <w:tc>
                      <w:tcPr>
                        <w:tcW w:w="1231"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vertAlign w:val="superscript"/>
                            <w:lang w:eastAsia="lt-LT"/>
                          </w:rPr>
                        </w:pPr>
                        <w:r>
                          <w:rPr>
                            <w:sz w:val="18"/>
                            <w:szCs w:val="24"/>
                            <w:lang w:eastAsia="lt-LT"/>
                          </w:rPr>
                          <w:t xml:space="preserve">Priimtuvo numeris </w:t>
                        </w:r>
                      </w:p>
                    </w:tc>
                    <w:tc>
                      <w:tcPr>
                        <w:tcW w:w="1917"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vertAlign w:val="superscript"/>
                            <w:lang w:eastAsia="lt-LT"/>
                          </w:rPr>
                        </w:pPr>
                        <w:r>
                          <w:rPr>
                            <w:sz w:val="18"/>
                            <w:szCs w:val="24"/>
                            <w:lang w:eastAsia="lt-LT"/>
                          </w:rPr>
                          <w:t>Planuojamų išleisti nuotekų aprašymas</w:t>
                        </w:r>
                      </w:p>
                    </w:tc>
                    <w:tc>
                      <w:tcPr>
                        <w:tcW w:w="1928"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vertAlign w:val="superscript"/>
                            <w:lang w:eastAsia="lt-LT"/>
                          </w:rPr>
                        </w:pPr>
                        <w:r>
                          <w:rPr>
                            <w:sz w:val="18"/>
                            <w:szCs w:val="24"/>
                            <w:lang w:eastAsia="lt-LT"/>
                          </w:rPr>
                          <w:t>Išleistuvo tipas / techniniai duomenys</w:t>
                        </w:r>
                      </w:p>
                    </w:tc>
                    <w:tc>
                      <w:tcPr>
                        <w:tcW w:w="2520"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vertAlign w:val="superscript"/>
                            <w:lang w:eastAsia="lt-LT"/>
                          </w:rPr>
                        </w:pPr>
                        <w:r>
                          <w:rPr>
                            <w:sz w:val="18"/>
                            <w:szCs w:val="24"/>
                            <w:lang w:eastAsia="lt-LT"/>
                          </w:rPr>
                          <w:t xml:space="preserve">Išleistuvo vietos aprašymas </w:t>
                        </w:r>
                      </w:p>
                    </w:tc>
                    <w:tc>
                      <w:tcPr>
                        <w:tcW w:w="3563" w:type="dxa"/>
                        <w:gridSpan w:val="2"/>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vertAlign w:val="superscript"/>
                            <w:lang w:eastAsia="lt-LT"/>
                          </w:rPr>
                        </w:pPr>
                        <w:r>
                          <w:rPr>
                            <w:sz w:val="18"/>
                            <w:szCs w:val="24"/>
                            <w:lang w:eastAsia="lt-LT"/>
                          </w:rPr>
                          <w:t>Numatomas išleisti didžiausias nuotekų kiekis</w:t>
                        </w:r>
                      </w:p>
                    </w:tc>
                  </w:tr>
                  <w:tr>
                    <w:trPr>
                      <w:cantSplit/>
                    </w:trPr>
                    <w:tc>
                      <w:tcPr>
                        <w:tcW w:w="799"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441"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231"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917"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928"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520"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00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m</w:t>
                        </w:r>
                        <w:r>
                          <w:rPr>
                            <w:sz w:val="18"/>
                            <w:szCs w:val="24"/>
                            <w:vertAlign w:val="superscript"/>
                            <w:lang w:eastAsia="lt-LT"/>
                          </w:rPr>
                          <w:t>3</w:t>
                        </w:r>
                        <w:r>
                          <w:rPr>
                            <w:sz w:val="18"/>
                            <w:szCs w:val="24"/>
                            <w:lang w:eastAsia="lt-LT"/>
                          </w:rPr>
                          <w:t>/d.</w:t>
                        </w:r>
                      </w:p>
                    </w:tc>
                    <w:tc>
                      <w:tcPr>
                        <w:tcW w:w="156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m</w:t>
                        </w:r>
                        <w:r>
                          <w:rPr>
                            <w:sz w:val="18"/>
                            <w:szCs w:val="24"/>
                            <w:vertAlign w:val="superscript"/>
                            <w:lang w:eastAsia="lt-LT"/>
                          </w:rPr>
                          <w:t>3</w:t>
                        </w:r>
                        <w:r>
                          <w:rPr>
                            <w:sz w:val="18"/>
                            <w:szCs w:val="24"/>
                            <w:lang w:eastAsia="lt-LT"/>
                          </w:rPr>
                          <w:t>/m.</w:t>
                        </w:r>
                      </w:p>
                    </w:tc>
                  </w:tr>
                  <w:tr>
                    <w:trPr>
                      <w:cantSplit/>
                      <w:trHeight w:val="134"/>
                    </w:trPr>
                    <w:tc>
                      <w:tcPr>
                        <w:tcW w:w="79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1</w:t>
                        </w:r>
                      </w:p>
                    </w:tc>
                    <w:tc>
                      <w:tcPr>
                        <w:tcW w:w="144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2</w:t>
                        </w:r>
                      </w:p>
                    </w:tc>
                    <w:tc>
                      <w:tcPr>
                        <w:tcW w:w="123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3</w:t>
                        </w:r>
                      </w:p>
                    </w:tc>
                    <w:tc>
                      <w:tcPr>
                        <w:tcW w:w="1917"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4</w:t>
                        </w:r>
                      </w:p>
                    </w:tc>
                    <w:tc>
                      <w:tcPr>
                        <w:tcW w:w="1928"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5</w:t>
                        </w:r>
                      </w:p>
                    </w:tc>
                    <w:tc>
                      <w:tcPr>
                        <w:tcW w:w="2520"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6</w:t>
                        </w:r>
                      </w:p>
                    </w:tc>
                    <w:tc>
                      <w:tcPr>
                        <w:tcW w:w="200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7</w:t>
                        </w:r>
                      </w:p>
                    </w:tc>
                    <w:tc>
                      <w:tcPr>
                        <w:tcW w:w="156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8</w:t>
                        </w:r>
                      </w:p>
                    </w:tc>
                  </w:tr>
                  <w:tr>
                    <w:trPr>
                      <w:cantSplit/>
                      <w:trHeight w:val="134"/>
                    </w:trPr>
                    <w:tc>
                      <w:tcPr>
                        <w:tcW w:w="79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44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23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917"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928"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520"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00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56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r>
                    <w:trPr>
                      <w:cantSplit/>
                      <w:trHeight w:val="134"/>
                    </w:trPr>
                    <w:tc>
                      <w:tcPr>
                        <w:tcW w:w="79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44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23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917"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928"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520"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00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56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r>
                    <w:trPr>
                      <w:cantSplit/>
                      <w:trHeight w:val="134"/>
                    </w:trPr>
                    <w:tc>
                      <w:tcPr>
                        <w:tcW w:w="79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44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23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
                            <w:sz w:val="18"/>
                            <w:szCs w:val="24"/>
                            <w:lang w:eastAsia="lt-LT"/>
                          </w:rPr>
                        </w:pPr>
                      </w:p>
                    </w:tc>
                    <w:tc>
                      <w:tcPr>
                        <w:tcW w:w="1917"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
                            <w:sz w:val="18"/>
                            <w:szCs w:val="24"/>
                            <w:lang w:eastAsia="lt-LT"/>
                          </w:rPr>
                        </w:pPr>
                      </w:p>
                    </w:tc>
                    <w:tc>
                      <w:tcPr>
                        <w:tcW w:w="1928"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
                            <w:sz w:val="18"/>
                            <w:szCs w:val="24"/>
                            <w:lang w:eastAsia="lt-LT"/>
                          </w:rPr>
                        </w:pPr>
                      </w:p>
                    </w:tc>
                    <w:tc>
                      <w:tcPr>
                        <w:tcW w:w="2520"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
                            <w:sz w:val="18"/>
                            <w:szCs w:val="24"/>
                            <w:lang w:eastAsia="lt-LT"/>
                          </w:rPr>
                        </w:pPr>
                      </w:p>
                    </w:tc>
                    <w:tc>
                      <w:tcPr>
                        <w:tcW w:w="200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56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bl>
                <w:p>
                  <w:pPr>
                    <w:shd w:val="clear" w:color="000000" w:fill="auto"/>
                    <w:ind w:firstLine="567"/>
                    <w:rPr>
                      <w:b/>
                      <w:sz w:val="18"/>
                      <w:szCs w:val="24"/>
                      <w:lang w:eastAsia="lt-LT"/>
                    </w:rPr>
                  </w:pPr>
                </w:p>
              </w:sdtContent>
            </w:sdt>
            <w:sdt>
              <w:sdtPr>
                <w:alias w:val="lentele"/>
                <w:tag w:val="part_202960865e2e4b5d92574bf37f642b8e"/>
                <w:lock w:val="sdtLocked"/>
                <w:richText/>
              </w:sdtPr>
              <w:sdtContent>
                <w:p>
                  <w:pPr>
                    <w:shd w:val="clear" w:color="000000" w:fill="auto"/>
                    <w:ind w:firstLine="567"/>
                    <w:rPr>
                      <w:sz w:val="22"/>
                      <w:szCs w:val="24"/>
                      <w:lang w:eastAsia="lt-LT"/>
                    </w:rPr>
                  </w:pPr>
                  <w:r>
                    <w:rPr>
                      <w:sz w:val="22"/>
                      <w:szCs w:val="24"/>
                      <w:lang w:eastAsia="lt-LT"/>
                    </w:rPr>
                    <w:t xml:space="preserve">18 lentelė. </w:t>
                  </w:r>
                  <w:sdt>
                    <w:sdtPr>
                      <w:alias w:val="Pavadinimas"/>
                      <w:tag w:val="title_202960865e2e4b5d92574bf37f642b8e"/>
                      <w:lock w:val="sdtLocked"/>
                      <w:richText/>
                    </w:sdtPr>
                    <w:sdtContent>
                      <w:r>
                        <w:rPr>
                          <w:sz w:val="22"/>
                          <w:szCs w:val="24"/>
                          <w:lang w:eastAsia="lt-LT"/>
                        </w:rPr>
                        <w:t xml:space="preserve">Į gamtinę aplinką planuojamų išleisti nuotekų užterštumas </w:t>
                      </w:r>
                    </w:sdtContent>
                  </w:sdt>
                </w:p>
                <w:p>
                  <w:pPr>
                    <w:shd w:val="clear" w:color="000000" w:fill="auto"/>
                    <w:ind w:firstLine="567"/>
                    <w:rPr>
                      <w:sz w:val="22"/>
                      <w:szCs w:val="24"/>
                      <w:lang w:eastAsia="lt-LT"/>
                    </w:rPr>
                  </w:pPr>
                </w:p>
                <w:tbl>
                  <w:tblPr>
                    <w:tblW w:w="13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88"/>
                    <w:gridCol w:w="1040"/>
                    <w:gridCol w:w="842"/>
                    <w:gridCol w:w="982"/>
                    <w:gridCol w:w="952"/>
                    <w:gridCol w:w="1366"/>
                    <w:gridCol w:w="982"/>
                    <w:gridCol w:w="1123"/>
                    <w:gridCol w:w="982"/>
                    <w:gridCol w:w="691"/>
                    <w:gridCol w:w="911"/>
                    <w:gridCol w:w="1123"/>
                    <w:gridCol w:w="842"/>
                    <w:gridCol w:w="759"/>
                  </w:tblGrid>
                  <w:tr>
                    <w:trPr>
                      <w:cantSplit/>
                      <w:trHeight w:val="20"/>
                    </w:trPr>
                    <w:tc>
                      <w:tcPr>
                        <w:tcW w:w="788"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vertAlign w:val="superscript"/>
                            <w:lang w:eastAsia="lt-LT"/>
                          </w:rPr>
                        </w:pPr>
                        <w:r>
                          <w:rPr>
                            <w:sz w:val="18"/>
                            <w:szCs w:val="24"/>
                            <w:lang w:eastAsia="lt-LT"/>
                          </w:rPr>
                          <w:t>Eil. Nr.</w:t>
                        </w:r>
                      </w:p>
                    </w:tc>
                    <w:tc>
                      <w:tcPr>
                        <w:tcW w:w="1040"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vertAlign w:val="superscript"/>
                            <w:lang w:eastAsia="lt-LT"/>
                          </w:rPr>
                        </w:pPr>
                        <w:r>
                          <w:rPr>
                            <w:sz w:val="18"/>
                            <w:szCs w:val="24"/>
                            <w:lang w:eastAsia="lt-LT"/>
                          </w:rPr>
                          <w:t>Teršalo pavadinimas</w:t>
                        </w:r>
                      </w:p>
                    </w:tc>
                    <w:tc>
                      <w:tcPr>
                        <w:tcW w:w="2776" w:type="dxa"/>
                        <w:gridSpan w:val="3"/>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 xml:space="preserve">Didžiausias numatomas nuotekų užterštumas prieš valymą </w:t>
                        </w:r>
                      </w:p>
                    </w:tc>
                    <w:tc>
                      <w:tcPr>
                        <w:tcW w:w="8020" w:type="dxa"/>
                        <w:gridSpan w:val="8"/>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vertAlign w:val="superscript"/>
                            <w:lang w:eastAsia="lt-LT"/>
                          </w:rPr>
                        </w:pPr>
                        <w:r>
                          <w:rPr>
                            <w:sz w:val="18"/>
                            <w:szCs w:val="24"/>
                            <w:lang w:eastAsia="lt-LT"/>
                          </w:rPr>
                          <w:t xml:space="preserve">Didžiausias leidžiamas ir planuojamas nuotekų užterštumas </w:t>
                        </w:r>
                      </w:p>
                    </w:tc>
                    <w:tc>
                      <w:tcPr>
                        <w:tcW w:w="759"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Numatomas valymo efektyvumas, %</w:t>
                        </w:r>
                      </w:p>
                    </w:tc>
                  </w:tr>
                  <w:tr>
                    <w:trPr>
                      <w:cantSplit/>
                      <w:trHeight w:val="20"/>
                    </w:trPr>
                    <w:tc>
                      <w:tcPr>
                        <w:tcW w:w="788" w:type="dxa"/>
                        <w:vMerge/>
                        <w:tcBorders>
                          <w:top w:val="single" w:sz="4" w:space="0" w:color="auto"/>
                          <w:left w:val="single" w:sz="4" w:space="0" w:color="auto"/>
                          <w:bottom w:val="single" w:sz="4" w:space="0" w:color="auto"/>
                          <w:right w:val="single" w:sz="4" w:space="0" w:color="auto"/>
                        </w:tcBorders>
                        <w:vAlign w:val="center"/>
                      </w:tcPr>
                      <w:p>
                        <w:pPr>
                          <w:shd w:val="clear" w:color="000000" w:fill="auto"/>
                          <w:rPr>
                            <w:sz w:val="18"/>
                            <w:szCs w:val="24"/>
                            <w:lang w:eastAsia="lt-LT"/>
                          </w:rPr>
                        </w:pPr>
                      </w:p>
                    </w:tc>
                    <w:tc>
                      <w:tcPr>
                        <w:tcW w:w="1040" w:type="dxa"/>
                        <w:vMerge/>
                        <w:tcBorders>
                          <w:top w:val="single" w:sz="4" w:space="0" w:color="auto"/>
                          <w:left w:val="single" w:sz="4" w:space="0" w:color="auto"/>
                          <w:bottom w:val="single" w:sz="4" w:space="0" w:color="auto"/>
                          <w:right w:val="single" w:sz="4" w:space="0" w:color="auto"/>
                        </w:tcBorders>
                        <w:vAlign w:val="center"/>
                      </w:tcPr>
                      <w:p>
                        <w:pPr>
                          <w:shd w:val="clear" w:color="000000" w:fill="auto"/>
                          <w:rPr>
                            <w:sz w:val="18"/>
                            <w:szCs w:val="24"/>
                            <w:lang w:eastAsia="lt-LT"/>
                          </w:rPr>
                        </w:pPr>
                      </w:p>
                    </w:tc>
                    <w:tc>
                      <w:tcPr>
                        <w:tcW w:w="84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mom.,</w:t>
                        </w:r>
                      </w:p>
                      <w:p>
                        <w:pPr>
                          <w:shd w:val="clear" w:color="000000" w:fill="auto"/>
                          <w:jc w:val="center"/>
                          <w:rPr>
                            <w:sz w:val="18"/>
                            <w:szCs w:val="24"/>
                            <w:lang w:eastAsia="lt-LT"/>
                          </w:rPr>
                        </w:pPr>
                        <w:r>
                          <w:rPr>
                            <w:sz w:val="18"/>
                            <w:szCs w:val="24"/>
                            <w:lang w:eastAsia="lt-LT"/>
                          </w:rPr>
                          <w:t>mg/l</w:t>
                        </w: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vidut.,</w:t>
                        </w:r>
                      </w:p>
                      <w:p>
                        <w:pPr>
                          <w:shd w:val="clear" w:color="000000" w:fill="auto"/>
                          <w:jc w:val="center"/>
                          <w:rPr>
                            <w:sz w:val="18"/>
                            <w:szCs w:val="24"/>
                            <w:lang w:eastAsia="lt-LT"/>
                          </w:rPr>
                        </w:pPr>
                        <w:r>
                          <w:rPr>
                            <w:sz w:val="18"/>
                            <w:szCs w:val="24"/>
                            <w:lang w:eastAsia="lt-LT"/>
                          </w:rPr>
                          <w:t>mg/l</w:t>
                        </w:r>
                      </w:p>
                    </w:tc>
                    <w:tc>
                      <w:tcPr>
                        <w:tcW w:w="9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t/metus</w:t>
                        </w:r>
                      </w:p>
                    </w:tc>
                    <w:tc>
                      <w:tcPr>
                        <w:tcW w:w="136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DLK mom.,</w:t>
                        </w:r>
                      </w:p>
                      <w:p>
                        <w:pPr>
                          <w:shd w:val="clear" w:color="000000" w:fill="auto"/>
                          <w:jc w:val="center"/>
                          <w:rPr>
                            <w:sz w:val="18"/>
                            <w:szCs w:val="24"/>
                            <w:lang w:eastAsia="lt-LT"/>
                          </w:rPr>
                        </w:pPr>
                        <w:r>
                          <w:rPr>
                            <w:sz w:val="18"/>
                            <w:szCs w:val="24"/>
                            <w:lang w:eastAsia="lt-LT"/>
                          </w:rPr>
                          <w:t>mg/l</w:t>
                        </w: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Prašoma LK mom.,</w:t>
                        </w:r>
                      </w:p>
                      <w:p>
                        <w:pPr>
                          <w:shd w:val="clear" w:color="000000" w:fill="auto"/>
                          <w:jc w:val="center"/>
                          <w:rPr>
                            <w:sz w:val="18"/>
                            <w:szCs w:val="24"/>
                            <w:lang w:eastAsia="lt-LT"/>
                          </w:rPr>
                        </w:pPr>
                        <w:r>
                          <w:rPr>
                            <w:sz w:val="18"/>
                            <w:szCs w:val="24"/>
                            <w:lang w:eastAsia="lt-LT"/>
                          </w:rPr>
                          <w:t>mg/l</w:t>
                        </w:r>
                      </w:p>
                    </w:tc>
                    <w:tc>
                      <w:tcPr>
                        <w:tcW w:w="112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DLK vidut.,</w:t>
                        </w:r>
                      </w:p>
                      <w:p>
                        <w:pPr>
                          <w:shd w:val="clear" w:color="000000" w:fill="auto"/>
                          <w:jc w:val="center"/>
                          <w:rPr>
                            <w:sz w:val="18"/>
                            <w:szCs w:val="24"/>
                            <w:lang w:eastAsia="lt-LT"/>
                          </w:rPr>
                        </w:pPr>
                        <w:r>
                          <w:rPr>
                            <w:sz w:val="18"/>
                            <w:szCs w:val="24"/>
                            <w:lang w:eastAsia="lt-LT"/>
                          </w:rPr>
                          <w:t>mg/l</w:t>
                        </w:r>
                      </w:p>
                      <w:p>
                        <w:pPr>
                          <w:shd w:val="clear" w:color="000000" w:fill="auto"/>
                          <w:jc w:val="center"/>
                          <w:rPr>
                            <w:sz w:val="18"/>
                            <w:szCs w:val="24"/>
                            <w:lang w:eastAsia="lt-LT"/>
                          </w:rPr>
                        </w:pP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Prašoma LK vid.,</w:t>
                        </w:r>
                      </w:p>
                      <w:p>
                        <w:pPr>
                          <w:shd w:val="clear" w:color="000000" w:fill="auto"/>
                          <w:jc w:val="center"/>
                          <w:rPr>
                            <w:sz w:val="18"/>
                            <w:szCs w:val="24"/>
                            <w:lang w:eastAsia="lt-LT"/>
                          </w:rPr>
                        </w:pPr>
                        <w:r>
                          <w:rPr>
                            <w:sz w:val="18"/>
                            <w:szCs w:val="24"/>
                            <w:lang w:eastAsia="lt-LT"/>
                          </w:rPr>
                          <w:t>mg/l</w:t>
                        </w:r>
                      </w:p>
                    </w:tc>
                    <w:tc>
                      <w:tcPr>
                        <w:tcW w:w="691" w:type="dxa"/>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suppressAutoHyphens/>
                          <w:jc w:val="center"/>
                          <w:rPr>
                            <w:sz w:val="18"/>
                            <w:szCs w:val="24"/>
                            <w:lang w:eastAsia="lt-LT"/>
                          </w:rPr>
                        </w:pPr>
                        <w:r>
                          <w:rPr>
                            <w:sz w:val="18"/>
                            <w:szCs w:val="24"/>
                            <w:lang w:eastAsia="lt-LT"/>
                          </w:rPr>
                          <w:t>DLT paros,</w:t>
                        </w:r>
                      </w:p>
                      <w:p>
                        <w:pPr>
                          <w:widowControl w:val="0"/>
                          <w:shd w:val="clear" w:color="000000" w:fill="auto"/>
                          <w:suppressAutoHyphens/>
                          <w:jc w:val="center"/>
                          <w:rPr>
                            <w:sz w:val="18"/>
                            <w:szCs w:val="24"/>
                            <w:lang w:eastAsia="lt-LT"/>
                          </w:rPr>
                        </w:pPr>
                        <w:r>
                          <w:rPr>
                            <w:sz w:val="18"/>
                            <w:szCs w:val="24"/>
                            <w:lang w:eastAsia="lt-LT"/>
                          </w:rPr>
                          <w:t>t/d</w:t>
                        </w:r>
                      </w:p>
                    </w:tc>
                    <w:tc>
                      <w:tcPr>
                        <w:tcW w:w="911" w:type="dxa"/>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suppressAutoHyphens/>
                          <w:jc w:val="center"/>
                          <w:rPr>
                            <w:sz w:val="18"/>
                            <w:szCs w:val="24"/>
                            <w:lang w:eastAsia="lt-LT"/>
                          </w:rPr>
                        </w:pPr>
                        <w:r>
                          <w:rPr>
                            <w:sz w:val="18"/>
                            <w:szCs w:val="24"/>
                            <w:lang w:eastAsia="lt-LT"/>
                          </w:rPr>
                          <w:t>Prašoma LT paros,</w:t>
                        </w:r>
                      </w:p>
                      <w:p>
                        <w:pPr>
                          <w:widowControl w:val="0"/>
                          <w:shd w:val="clear" w:color="000000" w:fill="auto"/>
                          <w:suppressAutoHyphens/>
                          <w:jc w:val="center"/>
                          <w:rPr>
                            <w:sz w:val="18"/>
                            <w:szCs w:val="24"/>
                            <w:lang w:eastAsia="lt-LT"/>
                          </w:rPr>
                        </w:pPr>
                        <w:r>
                          <w:rPr>
                            <w:sz w:val="18"/>
                            <w:szCs w:val="24"/>
                            <w:lang w:eastAsia="lt-LT"/>
                          </w:rPr>
                          <w:t>t/d</w:t>
                        </w:r>
                      </w:p>
                    </w:tc>
                    <w:tc>
                      <w:tcPr>
                        <w:tcW w:w="112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DLT metų,</w:t>
                        </w:r>
                      </w:p>
                      <w:p>
                        <w:pPr>
                          <w:shd w:val="clear" w:color="000000" w:fill="auto"/>
                          <w:jc w:val="center"/>
                          <w:rPr>
                            <w:sz w:val="18"/>
                            <w:szCs w:val="24"/>
                            <w:lang w:eastAsia="lt-LT"/>
                          </w:rPr>
                        </w:pPr>
                        <w:r>
                          <w:rPr>
                            <w:sz w:val="18"/>
                            <w:szCs w:val="24"/>
                            <w:lang w:eastAsia="lt-LT"/>
                          </w:rPr>
                          <w:t>t/m.</w:t>
                        </w:r>
                      </w:p>
                    </w:tc>
                    <w:tc>
                      <w:tcPr>
                        <w:tcW w:w="842" w:type="dxa"/>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suppressAutoHyphens/>
                          <w:jc w:val="center"/>
                          <w:rPr>
                            <w:sz w:val="18"/>
                            <w:szCs w:val="24"/>
                            <w:lang w:eastAsia="lt-LT"/>
                          </w:rPr>
                        </w:pPr>
                        <w:r>
                          <w:rPr>
                            <w:sz w:val="18"/>
                            <w:szCs w:val="24"/>
                            <w:lang w:eastAsia="lt-LT"/>
                          </w:rPr>
                          <w:t>Prašoma LT metų,</w:t>
                        </w:r>
                      </w:p>
                      <w:p>
                        <w:pPr>
                          <w:widowControl w:val="0"/>
                          <w:shd w:val="clear" w:color="000000" w:fill="auto"/>
                          <w:suppressAutoHyphens/>
                          <w:jc w:val="center"/>
                          <w:rPr>
                            <w:sz w:val="18"/>
                            <w:szCs w:val="24"/>
                            <w:lang w:eastAsia="lt-LT"/>
                          </w:rPr>
                        </w:pPr>
                        <w:r>
                          <w:rPr>
                            <w:sz w:val="18"/>
                            <w:szCs w:val="24"/>
                            <w:lang w:eastAsia="lt-LT"/>
                          </w:rPr>
                          <w:t>t/m.</w:t>
                        </w:r>
                      </w:p>
                    </w:tc>
                    <w:tc>
                      <w:tcPr>
                        <w:tcW w:w="759" w:type="dxa"/>
                        <w:vMerge/>
                        <w:tcBorders>
                          <w:top w:val="single" w:sz="4" w:space="0" w:color="auto"/>
                          <w:left w:val="single" w:sz="4" w:space="0" w:color="auto"/>
                          <w:bottom w:val="single" w:sz="4" w:space="0" w:color="auto"/>
                          <w:right w:val="single" w:sz="4" w:space="0" w:color="auto"/>
                        </w:tcBorders>
                        <w:vAlign w:val="center"/>
                      </w:tcPr>
                      <w:p>
                        <w:pPr>
                          <w:shd w:val="clear" w:color="000000" w:fill="auto"/>
                          <w:rPr>
                            <w:sz w:val="18"/>
                            <w:szCs w:val="24"/>
                            <w:lang w:eastAsia="lt-LT"/>
                          </w:rPr>
                        </w:pPr>
                      </w:p>
                    </w:tc>
                  </w:tr>
                  <w:tr>
                    <w:trPr>
                      <w:cantSplit/>
                      <w:trHeight w:val="20"/>
                    </w:trPr>
                    <w:tc>
                      <w:tcPr>
                        <w:tcW w:w="788"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1</w:t>
                        </w:r>
                      </w:p>
                    </w:tc>
                    <w:tc>
                      <w:tcPr>
                        <w:tcW w:w="1040"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2</w:t>
                        </w:r>
                      </w:p>
                    </w:tc>
                    <w:tc>
                      <w:tcPr>
                        <w:tcW w:w="84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3</w:t>
                        </w: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4</w:t>
                        </w:r>
                      </w:p>
                    </w:tc>
                    <w:tc>
                      <w:tcPr>
                        <w:tcW w:w="9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5</w:t>
                        </w:r>
                      </w:p>
                    </w:tc>
                    <w:tc>
                      <w:tcPr>
                        <w:tcW w:w="136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6</w:t>
                        </w: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7</w:t>
                        </w:r>
                      </w:p>
                    </w:tc>
                    <w:tc>
                      <w:tcPr>
                        <w:tcW w:w="112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8</w:t>
                        </w: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9</w:t>
                        </w:r>
                      </w:p>
                    </w:tc>
                    <w:tc>
                      <w:tcPr>
                        <w:tcW w:w="69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10</w:t>
                        </w:r>
                      </w:p>
                    </w:tc>
                    <w:tc>
                      <w:tcPr>
                        <w:tcW w:w="91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11</w:t>
                        </w:r>
                      </w:p>
                    </w:tc>
                    <w:tc>
                      <w:tcPr>
                        <w:tcW w:w="112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12</w:t>
                        </w:r>
                      </w:p>
                    </w:tc>
                    <w:tc>
                      <w:tcPr>
                        <w:tcW w:w="84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13</w:t>
                        </w:r>
                      </w:p>
                    </w:tc>
                    <w:tc>
                      <w:tcPr>
                        <w:tcW w:w="75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14</w:t>
                        </w:r>
                      </w:p>
                    </w:tc>
                  </w:tr>
                  <w:tr>
                    <w:trPr>
                      <w:cantSplit/>
                      <w:trHeight w:val="20"/>
                    </w:trPr>
                    <w:tc>
                      <w:tcPr>
                        <w:tcW w:w="788"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1040"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84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136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112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69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1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112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84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75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r>
                  <w:tr>
                    <w:trPr>
                      <w:cantSplit/>
                      <w:trHeight w:val="20"/>
                    </w:trPr>
                    <w:tc>
                      <w:tcPr>
                        <w:tcW w:w="788" w:type="dxa"/>
                        <w:vMerge/>
                        <w:tcBorders>
                          <w:top w:val="single" w:sz="4" w:space="0" w:color="auto"/>
                          <w:left w:val="single" w:sz="4" w:space="0" w:color="auto"/>
                          <w:bottom w:val="single" w:sz="4" w:space="0" w:color="auto"/>
                          <w:right w:val="single" w:sz="4" w:space="0" w:color="auto"/>
                        </w:tcBorders>
                        <w:vAlign w:val="center"/>
                      </w:tcPr>
                      <w:p>
                        <w:pPr>
                          <w:shd w:val="clear" w:color="000000" w:fill="auto"/>
                          <w:rPr>
                            <w:sz w:val="18"/>
                            <w:szCs w:val="24"/>
                            <w:lang w:eastAsia="lt-LT"/>
                          </w:rPr>
                        </w:pPr>
                      </w:p>
                    </w:tc>
                    <w:tc>
                      <w:tcPr>
                        <w:tcW w:w="1040"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84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136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112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69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1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112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84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75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r>
                  <w:tr>
                    <w:trPr>
                      <w:cantSplit/>
                      <w:trHeight w:val="20"/>
                    </w:trPr>
                    <w:tc>
                      <w:tcPr>
                        <w:tcW w:w="788" w:type="dxa"/>
                        <w:vMerge/>
                        <w:tcBorders>
                          <w:top w:val="single" w:sz="4" w:space="0" w:color="auto"/>
                          <w:left w:val="single" w:sz="4" w:space="0" w:color="auto"/>
                          <w:bottom w:val="single" w:sz="4" w:space="0" w:color="auto"/>
                          <w:right w:val="single" w:sz="4" w:space="0" w:color="auto"/>
                        </w:tcBorders>
                        <w:vAlign w:val="center"/>
                      </w:tcPr>
                      <w:p>
                        <w:pPr>
                          <w:shd w:val="clear" w:color="000000" w:fill="auto"/>
                          <w:rPr>
                            <w:sz w:val="18"/>
                            <w:szCs w:val="24"/>
                            <w:lang w:eastAsia="lt-LT"/>
                          </w:rPr>
                        </w:pPr>
                      </w:p>
                    </w:tc>
                    <w:tc>
                      <w:tcPr>
                        <w:tcW w:w="1040"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84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136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112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69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1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112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84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75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r>
                  <w:tr>
                    <w:trPr>
                      <w:cantSplit/>
                      <w:trHeight w:val="20"/>
                    </w:trPr>
                    <w:tc>
                      <w:tcPr>
                        <w:tcW w:w="788" w:type="dxa"/>
                        <w:vMerge/>
                        <w:tcBorders>
                          <w:top w:val="single" w:sz="4" w:space="0" w:color="auto"/>
                          <w:left w:val="single" w:sz="4" w:space="0" w:color="auto"/>
                          <w:bottom w:val="single" w:sz="4" w:space="0" w:color="auto"/>
                          <w:right w:val="single" w:sz="4" w:space="0" w:color="auto"/>
                        </w:tcBorders>
                        <w:vAlign w:val="center"/>
                      </w:tcPr>
                      <w:p>
                        <w:pPr>
                          <w:shd w:val="clear" w:color="000000" w:fill="auto"/>
                          <w:rPr>
                            <w:sz w:val="18"/>
                            <w:szCs w:val="24"/>
                            <w:lang w:eastAsia="lt-LT"/>
                          </w:rPr>
                        </w:pPr>
                      </w:p>
                    </w:tc>
                    <w:tc>
                      <w:tcPr>
                        <w:tcW w:w="1040"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84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136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112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69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1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112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84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75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r>
                  <w:tr>
                    <w:trPr>
                      <w:cantSplit/>
                      <w:trHeight w:val="20"/>
                    </w:trPr>
                    <w:tc>
                      <w:tcPr>
                        <w:tcW w:w="788"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040"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84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136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112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69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1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112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84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75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r>
                  <w:tr>
                    <w:trPr>
                      <w:cantSplit/>
                      <w:trHeight w:val="20"/>
                    </w:trPr>
                    <w:tc>
                      <w:tcPr>
                        <w:tcW w:w="788" w:type="dxa"/>
                        <w:vMerge/>
                        <w:tcBorders>
                          <w:top w:val="single" w:sz="4" w:space="0" w:color="auto"/>
                          <w:left w:val="single" w:sz="4" w:space="0" w:color="auto"/>
                          <w:bottom w:val="single" w:sz="4" w:space="0" w:color="auto"/>
                          <w:right w:val="single" w:sz="4" w:space="0" w:color="auto"/>
                        </w:tcBorders>
                        <w:vAlign w:val="center"/>
                      </w:tcPr>
                      <w:p>
                        <w:pPr>
                          <w:shd w:val="clear" w:color="000000" w:fill="auto"/>
                          <w:rPr>
                            <w:sz w:val="18"/>
                            <w:szCs w:val="24"/>
                            <w:lang w:eastAsia="lt-LT"/>
                          </w:rPr>
                        </w:pPr>
                      </w:p>
                    </w:tc>
                    <w:tc>
                      <w:tcPr>
                        <w:tcW w:w="1040"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84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136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112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69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1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112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84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75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r>
                  <w:tr>
                    <w:trPr>
                      <w:cantSplit/>
                      <w:trHeight w:val="20"/>
                    </w:trPr>
                    <w:tc>
                      <w:tcPr>
                        <w:tcW w:w="788" w:type="dxa"/>
                        <w:vMerge/>
                        <w:tcBorders>
                          <w:top w:val="single" w:sz="4" w:space="0" w:color="auto"/>
                          <w:left w:val="single" w:sz="4" w:space="0" w:color="auto"/>
                          <w:bottom w:val="single" w:sz="4" w:space="0" w:color="auto"/>
                          <w:right w:val="single" w:sz="4" w:space="0" w:color="auto"/>
                        </w:tcBorders>
                        <w:vAlign w:val="center"/>
                      </w:tcPr>
                      <w:p>
                        <w:pPr>
                          <w:shd w:val="clear" w:color="000000" w:fill="auto"/>
                          <w:rPr>
                            <w:sz w:val="18"/>
                            <w:szCs w:val="24"/>
                            <w:lang w:eastAsia="lt-LT"/>
                          </w:rPr>
                        </w:pPr>
                      </w:p>
                    </w:tc>
                    <w:tc>
                      <w:tcPr>
                        <w:tcW w:w="1040"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84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136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112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69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1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112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84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75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r>
                  <w:tr>
                    <w:trPr>
                      <w:cantSplit/>
                      <w:trHeight w:val="20"/>
                    </w:trPr>
                    <w:tc>
                      <w:tcPr>
                        <w:tcW w:w="788" w:type="dxa"/>
                        <w:vMerge/>
                        <w:tcBorders>
                          <w:top w:val="single" w:sz="4" w:space="0" w:color="auto"/>
                          <w:left w:val="single" w:sz="4" w:space="0" w:color="auto"/>
                          <w:bottom w:val="single" w:sz="4" w:space="0" w:color="auto"/>
                          <w:right w:val="single" w:sz="4" w:space="0" w:color="auto"/>
                        </w:tcBorders>
                        <w:vAlign w:val="center"/>
                      </w:tcPr>
                      <w:p>
                        <w:pPr>
                          <w:shd w:val="clear" w:color="000000" w:fill="auto"/>
                          <w:rPr>
                            <w:sz w:val="18"/>
                            <w:szCs w:val="24"/>
                            <w:lang w:eastAsia="lt-LT"/>
                          </w:rPr>
                        </w:pPr>
                      </w:p>
                    </w:tc>
                    <w:tc>
                      <w:tcPr>
                        <w:tcW w:w="1040"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84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136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112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8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69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91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112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84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c>
                      <w:tcPr>
                        <w:tcW w:w="75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u w:val="single"/>
                            <w:lang w:eastAsia="lt-LT"/>
                          </w:rPr>
                        </w:pPr>
                      </w:p>
                    </w:tc>
                  </w:tr>
                </w:tbl>
                <w:p>
                  <w:pPr>
                    <w:shd w:val="clear" w:color="000000" w:fill="auto"/>
                    <w:ind w:firstLine="567"/>
                    <w:jc w:val="both"/>
                    <w:rPr>
                      <w:sz w:val="18"/>
                      <w:szCs w:val="24"/>
                      <w:lang w:eastAsia="lt-LT"/>
                    </w:rPr>
                  </w:pPr>
                </w:p>
                <w:p>
                  <w:pPr>
                    <w:pStyle w:val="PlainText"/>
                    <w:rPr>
                      <w:rFonts w:ascii="Arial" w:eastAsia="MS Mincho" w:hAnsi="Arial"/>
                      <w:sz w:val="20"/>
                      <w:i/>
                      <w:iCs/>
                    </w:rPr>
                  </w:pPr>
                  <w:r>
                    <w:rPr>
                      <w:rFonts w:ascii="Arial" w:eastAsia="MS Mincho" w:hAnsi="Arial"/>
                      <w:sz w:val="20"/>
                      <w:i/>
                      <w:iCs/>
                    </w:rPr>
                    <w:t>Pakeistas lentelės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lentele"/>
                <w:tag w:val="part_3a2e48f2310c41e7b226ae2ef6c7b4ed"/>
                <w:lock w:val="sdtLocked"/>
                <w:richText/>
              </w:sdtPr>
              <w:sdtContent>
                <w:p>
                  <w:pPr>
                    <w:shd w:val="clear" w:color="000000" w:fill="auto"/>
                    <w:ind w:firstLine="567"/>
                    <w:jc w:val="both"/>
                    <w:rPr>
                      <w:sz w:val="22"/>
                      <w:szCs w:val="24"/>
                      <w:lang w:eastAsia="lt-LT"/>
                    </w:rPr>
                  </w:pPr>
                  <w:r>
                    <w:rPr>
                      <w:sz w:val="22"/>
                      <w:szCs w:val="24"/>
                      <w:lang w:eastAsia="lt-LT"/>
                    </w:rPr>
                    <w:t xml:space="preserve">19 lentelė. </w:t>
                  </w:r>
                  <w:sdt>
                    <w:sdtPr>
                      <w:alias w:val="Pavadinimas"/>
                      <w:tag w:val="title_3a2e48f2310c41e7b226ae2ef6c7b4ed"/>
                      <w:lock w:val="sdtLocked"/>
                      <w:richText/>
                    </w:sdtPr>
                    <w:sdtContent>
                      <w:r>
                        <w:rPr>
                          <w:sz w:val="22"/>
                          <w:szCs w:val="24"/>
                          <w:lang w:eastAsia="lt-LT"/>
                        </w:rPr>
                        <w:t>Objekte / įrenginyje naudojamos nuotekų kiekio ir taršos mažinimo priemonės</w:t>
                      </w:r>
                    </w:sdtContent>
                  </w:sdt>
                </w:p>
                <w:p>
                  <w:pPr>
                    <w:shd w:val="clear" w:color="000000" w:fill="auto"/>
                    <w:ind w:firstLine="567"/>
                    <w:jc w:val="both"/>
                    <w:rPr>
                      <w:bCs/>
                      <w:sz w:val="22"/>
                      <w:szCs w:val="24"/>
                      <w:lang w:eastAsia="lt-LT"/>
                    </w:rPr>
                  </w:pPr>
                </w:p>
                <w:tbl>
                  <w:tblPr>
                    <w:tblW w:w="13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90"/>
                    <w:gridCol w:w="2031"/>
                    <w:gridCol w:w="4727"/>
                    <w:gridCol w:w="1647"/>
                    <w:gridCol w:w="1313"/>
                    <w:gridCol w:w="1306"/>
                    <w:gridCol w:w="1627"/>
                  </w:tblGrid>
                  <w:tr>
                    <w:trPr>
                      <w:cantSplit/>
                      <w:trHeight w:hRule="exact" w:val="315"/>
                    </w:trPr>
                    <w:tc>
                      <w:tcPr>
                        <w:tcW w:w="790" w:type="dxa"/>
                        <w:vMerge w:val="restar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suppressAutoHyphens/>
                          <w:jc w:val="center"/>
                          <w:rPr>
                            <w:bCs/>
                            <w:sz w:val="18"/>
                            <w:szCs w:val="24"/>
                            <w:vertAlign w:val="superscript"/>
                            <w:lang w:eastAsia="lt-LT"/>
                          </w:rPr>
                        </w:pPr>
                        <w:r>
                          <w:rPr>
                            <w:bCs/>
                            <w:sz w:val="18"/>
                            <w:szCs w:val="24"/>
                            <w:lang w:eastAsia="lt-LT"/>
                          </w:rPr>
                          <w:t>Eil. Nr.</w:t>
                        </w:r>
                      </w:p>
                    </w:tc>
                    <w:tc>
                      <w:tcPr>
                        <w:tcW w:w="2031"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Cs/>
                            <w:sz w:val="18"/>
                            <w:szCs w:val="24"/>
                            <w:lang w:eastAsia="lt-LT"/>
                          </w:rPr>
                        </w:pPr>
                        <w:r>
                          <w:rPr>
                            <w:bCs/>
                            <w:sz w:val="18"/>
                            <w:szCs w:val="24"/>
                            <w:lang w:eastAsia="lt-LT"/>
                          </w:rPr>
                          <w:t xml:space="preserve">Nuotekų </w:t>
                        </w:r>
                      </w:p>
                      <w:p>
                        <w:pPr>
                          <w:shd w:val="clear" w:color="000000" w:fill="auto"/>
                          <w:jc w:val="center"/>
                          <w:rPr>
                            <w:bCs/>
                            <w:sz w:val="18"/>
                            <w:szCs w:val="24"/>
                            <w:vertAlign w:val="superscript"/>
                            <w:lang w:eastAsia="lt-LT"/>
                          </w:rPr>
                        </w:pPr>
                        <w:r>
                          <w:rPr>
                            <w:bCs/>
                            <w:sz w:val="18"/>
                            <w:szCs w:val="24"/>
                            <w:lang w:eastAsia="lt-LT"/>
                          </w:rPr>
                          <w:t>šaltinis / išleistuvas</w:t>
                        </w:r>
                      </w:p>
                    </w:tc>
                    <w:tc>
                      <w:tcPr>
                        <w:tcW w:w="4727" w:type="dxa"/>
                        <w:vMerge w:val="restar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suppressAutoHyphens/>
                          <w:jc w:val="center"/>
                          <w:rPr>
                            <w:bCs/>
                            <w:sz w:val="18"/>
                            <w:szCs w:val="24"/>
                            <w:vertAlign w:val="superscript"/>
                            <w:lang w:eastAsia="lt-LT"/>
                          </w:rPr>
                        </w:pPr>
                        <w:r>
                          <w:rPr>
                            <w:bCs/>
                            <w:sz w:val="18"/>
                            <w:szCs w:val="24"/>
                            <w:lang w:eastAsia="lt-LT"/>
                          </w:rPr>
                          <w:t>Priemonės ir jos paskirties aprašymas</w:t>
                        </w:r>
                      </w:p>
                    </w:tc>
                    <w:tc>
                      <w:tcPr>
                        <w:tcW w:w="1647" w:type="dxa"/>
                        <w:vMerge w:val="restar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suppressAutoHyphens/>
                          <w:jc w:val="center"/>
                          <w:rPr>
                            <w:bCs/>
                            <w:sz w:val="18"/>
                            <w:szCs w:val="24"/>
                            <w:vertAlign w:val="superscript"/>
                            <w:lang w:eastAsia="lt-LT"/>
                          </w:rPr>
                        </w:pPr>
                        <w:r>
                          <w:rPr>
                            <w:bCs/>
                            <w:sz w:val="18"/>
                            <w:szCs w:val="24"/>
                            <w:lang w:eastAsia="lt-LT"/>
                          </w:rPr>
                          <w:t>Įdiegimo data</w:t>
                        </w:r>
                      </w:p>
                    </w:tc>
                    <w:tc>
                      <w:tcPr>
                        <w:tcW w:w="4246" w:type="dxa"/>
                        <w:gridSpan w:val="3"/>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Cs/>
                            <w:sz w:val="18"/>
                            <w:szCs w:val="24"/>
                            <w:vertAlign w:val="superscript"/>
                            <w:lang w:eastAsia="lt-LT"/>
                          </w:rPr>
                        </w:pPr>
                        <w:r>
                          <w:rPr>
                            <w:bCs/>
                            <w:sz w:val="18"/>
                            <w:szCs w:val="24"/>
                            <w:lang w:eastAsia="lt-LT"/>
                          </w:rPr>
                          <w:t>Priemonės projektinės savybės</w:t>
                        </w:r>
                      </w:p>
                    </w:tc>
                  </w:tr>
                  <w:tr>
                    <w:trPr>
                      <w:cantSplit/>
                    </w:trPr>
                    <w:tc>
                      <w:tcPr>
                        <w:tcW w:w="790"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031"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4727"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647"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31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Cs/>
                            <w:sz w:val="18"/>
                            <w:szCs w:val="24"/>
                            <w:lang w:eastAsia="lt-LT"/>
                          </w:rPr>
                        </w:pPr>
                        <w:r>
                          <w:rPr>
                            <w:bCs/>
                            <w:sz w:val="18"/>
                            <w:szCs w:val="24"/>
                            <w:lang w:eastAsia="lt-LT"/>
                          </w:rPr>
                          <w:t>rodiklis</w:t>
                        </w:r>
                      </w:p>
                    </w:tc>
                    <w:tc>
                      <w:tcPr>
                        <w:tcW w:w="130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Cs/>
                            <w:sz w:val="18"/>
                            <w:szCs w:val="24"/>
                            <w:lang w:eastAsia="lt-LT"/>
                          </w:rPr>
                        </w:pPr>
                        <w:r>
                          <w:rPr>
                            <w:bCs/>
                            <w:sz w:val="18"/>
                            <w:szCs w:val="24"/>
                            <w:lang w:eastAsia="lt-LT"/>
                          </w:rPr>
                          <w:t>mato vnt.</w:t>
                        </w:r>
                      </w:p>
                    </w:tc>
                    <w:tc>
                      <w:tcPr>
                        <w:tcW w:w="1627"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Cs/>
                            <w:sz w:val="18"/>
                            <w:szCs w:val="24"/>
                            <w:lang w:eastAsia="lt-LT"/>
                          </w:rPr>
                        </w:pPr>
                        <w:r>
                          <w:rPr>
                            <w:bCs/>
                            <w:sz w:val="18"/>
                            <w:szCs w:val="24"/>
                            <w:lang w:eastAsia="lt-LT"/>
                          </w:rPr>
                          <w:t>reikšmė</w:t>
                        </w:r>
                      </w:p>
                    </w:tc>
                  </w:tr>
                  <w:tr>
                    <w:trPr>
                      <w:cantSplit/>
                    </w:trPr>
                    <w:tc>
                      <w:tcPr>
                        <w:tcW w:w="790"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1</w:t>
                        </w:r>
                      </w:p>
                    </w:tc>
                    <w:tc>
                      <w:tcPr>
                        <w:tcW w:w="203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2</w:t>
                        </w:r>
                      </w:p>
                    </w:tc>
                    <w:tc>
                      <w:tcPr>
                        <w:tcW w:w="4727"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3</w:t>
                        </w:r>
                      </w:p>
                    </w:tc>
                    <w:tc>
                      <w:tcPr>
                        <w:tcW w:w="1647"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4</w:t>
                        </w:r>
                      </w:p>
                    </w:tc>
                    <w:tc>
                      <w:tcPr>
                        <w:tcW w:w="131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Cs/>
                            <w:sz w:val="18"/>
                            <w:szCs w:val="24"/>
                            <w:lang w:eastAsia="lt-LT"/>
                          </w:rPr>
                        </w:pPr>
                        <w:r>
                          <w:rPr>
                            <w:bCs/>
                            <w:sz w:val="18"/>
                            <w:szCs w:val="24"/>
                            <w:lang w:eastAsia="lt-LT"/>
                          </w:rPr>
                          <w:t>5</w:t>
                        </w:r>
                      </w:p>
                    </w:tc>
                    <w:tc>
                      <w:tcPr>
                        <w:tcW w:w="130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Cs/>
                            <w:sz w:val="18"/>
                            <w:szCs w:val="24"/>
                            <w:lang w:eastAsia="lt-LT"/>
                          </w:rPr>
                        </w:pPr>
                        <w:r>
                          <w:rPr>
                            <w:bCs/>
                            <w:sz w:val="18"/>
                            <w:szCs w:val="24"/>
                            <w:lang w:eastAsia="lt-LT"/>
                          </w:rPr>
                          <w:t>6</w:t>
                        </w:r>
                      </w:p>
                    </w:tc>
                    <w:tc>
                      <w:tcPr>
                        <w:tcW w:w="1627"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Cs/>
                            <w:sz w:val="18"/>
                            <w:szCs w:val="24"/>
                            <w:lang w:eastAsia="lt-LT"/>
                          </w:rPr>
                        </w:pPr>
                        <w:r>
                          <w:rPr>
                            <w:bCs/>
                            <w:sz w:val="18"/>
                            <w:szCs w:val="24"/>
                            <w:lang w:eastAsia="lt-LT"/>
                          </w:rPr>
                          <w:t>7</w:t>
                        </w:r>
                      </w:p>
                    </w:tc>
                  </w:tr>
                  <w:tr>
                    <w:trPr>
                      <w:cantSplit/>
                    </w:trPr>
                    <w:tc>
                      <w:tcPr>
                        <w:tcW w:w="790"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03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4727"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647"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31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Cs/>
                            <w:sz w:val="18"/>
                            <w:szCs w:val="24"/>
                            <w:lang w:eastAsia="lt-LT"/>
                          </w:rPr>
                        </w:pPr>
                      </w:p>
                    </w:tc>
                    <w:tc>
                      <w:tcPr>
                        <w:tcW w:w="130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Cs/>
                            <w:sz w:val="18"/>
                            <w:szCs w:val="24"/>
                            <w:lang w:eastAsia="lt-LT"/>
                          </w:rPr>
                        </w:pPr>
                      </w:p>
                    </w:tc>
                    <w:tc>
                      <w:tcPr>
                        <w:tcW w:w="1627"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Cs/>
                            <w:sz w:val="18"/>
                            <w:szCs w:val="24"/>
                            <w:lang w:eastAsia="lt-LT"/>
                          </w:rPr>
                        </w:pPr>
                      </w:p>
                    </w:tc>
                  </w:tr>
                  <w:tr>
                    <w:trPr>
                      <w:cantSplit/>
                    </w:trPr>
                    <w:tc>
                      <w:tcPr>
                        <w:tcW w:w="790"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03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4727"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647"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31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Cs/>
                            <w:sz w:val="18"/>
                            <w:szCs w:val="24"/>
                            <w:lang w:eastAsia="lt-LT"/>
                          </w:rPr>
                        </w:pPr>
                      </w:p>
                    </w:tc>
                    <w:tc>
                      <w:tcPr>
                        <w:tcW w:w="130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Cs/>
                            <w:sz w:val="18"/>
                            <w:szCs w:val="24"/>
                            <w:lang w:eastAsia="lt-LT"/>
                          </w:rPr>
                        </w:pPr>
                      </w:p>
                    </w:tc>
                    <w:tc>
                      <w:tcPr>
                        <w:tcW w:w="1627"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Cs/>
                            <w:sz w:val="18"/>
                            <w:szCs w:val="24"/>
                            <w:lang w:eastAsia="lt-LT"/>
                          </w:rPr>
                        </w:pPr>
                      </w:p>
                    </w:tc>
                  </w:tr>
                  <w:tr>
                    <w:trPr>
                      <w:cantSplit/>
                    </w:trPr>
                    <w:tc>
                      <w:tcPr>
                        <w:tcW w:w="790"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031"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4727"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647"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31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Cs/>
                            <w:sz w:val="18"/>
                            <w:szCs w:val="24"/>
                            <w:lang w:eastAsia="lt-LT"/>
                          </w:rPr>
                        </w:pPr>
                      </w:p>
                    </w:tc>
                    <w:tc>
                      <w:tcPr>
                        <w:tcW w:w="130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Cs/>
                            <w:sz w:val="18"/>
                            <w:szCs w:val="24"/>
                            <w:lang w:eastAsia="lt-LT"/>
                          </w:rPr>
                        </w:pPr>
                      </w:p>
                    </w:tc>
                    <w:tc>
                      <w:tcPr>
                        <w:tcW w:w="1627"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Cs/>
                            <w:sz w:val="18"/>
                            <w:szCs w:val="24"/>
                            <w:lang w:eastAsia="lt-LT"/>
                          </w:rPr>
                        </w:pPr>
                      </w:p>
                    </w:tc>
                  </w:tr>
                </w:tbl>
                <w:p>
                  <w:pPr>
                    <w:shd w:val="clear" w:color="000000" w:fill="auto"/>
                    <w:tabs>
                      <w:tab w:val="left" w:pos="1985"/>
                      <w:tab w:val="left" w:pos="2835"/>
                      <w:tab w:val="left" w:pos="3828"/>
                      <w:tab w:val="left" w:pos="5245"/>
                      <w:tab w:val="left" w:pos="6946"/>
                    </w:tabs>
                    <w:ind w:firstLine="567"/>
                    <w:rPr>
                      <w:sz w:val="18"/>
                      <w:szCs w:val="24"/>
                      <w:lang w:eastAsia="lt-LT"/>
                    </w:rPr>
                  </w:pPr>
                </w:p>
              </w:sdtContent>
            </w:sdt>
            <w:sdt>
              <w:sdtPr>
                <w:alias w:val="lentele"/>
                <w:tag w:val="part_beb2b64286004cc5bbe13b33ceb26a68"/>
                <w:lock w:val="sdtLocked"/>
                <w:richText/>
              </w:sdtPr>
              <w:sdtContent>
                <w:p>
                  <w:pPr>
                    <w:shd w:val="clear" w:color="000000" w:fill="auto"/>
                    <w:tabs>
                      <w:tab w:val="left" w:pos="1985"/>
                      <w:tab w:val="left" w:pos="2835"/>
                      <w:tab w:val="left" w:pos="3828"/>
                      <w:tab w:val="left" w:pos="5245"/>
                      <w:tab w:val="left" w:pos="6946"/>
                    </w:tabs>
                    <w:ind w:firstLine="567"/>
                    <w:jc w:val="both"/>
                    <w:rPr>
                      <w:sz w:val="22"/>
                      <w:szCs w:val="24"/>
                      <w:lang w:eastAsia="lt-LT"/>
                    </w:rPr>
                  </w:pPr>
                  <w:r>
                    <w:rPr>
                      <w:sz w:val="22"/>
                      <w:szCs w:val="24"/>
                      <w:lang w:eastAsia="lt-LT"/>
                    </w:rPr>
                    <w:t xml:space="preserve">20 lentelė. </w:t>
                  </w:r>
                  <w:sdt>
                    <w:sdtPr>
                      <w:alias w:val="Pavadinimas"/>
                      <w:tag w:val="title_beb2b64286004cc5bbe13b33ceb26a68"/>
                      <w:lock w:val="sdtLocked"/>
                      <w:richText/>
                    </w:sdtPr>
                    <w:sdtContent>
                      <w:r>
                        <w:rPr>
                          <w:sz w:val="22"/>
                          <w:szCs w:val="24"/>
                          <w:lang w:eastAsia="lt-LT"/>
                        </w:rPr>
                        <w:t>Numatomos vandenų apsaugos nuo taršos priemonės</w:t>
                      </w:r>
                    </w:sdtContent>
                  </w:sdt>
                </w:p>
                <w:p>
                  <w:pPr>
                    <w:shd w:val="clear" w:color="000000" w:fill="auto"/>
                    <w:tabs>
                      <w:tab w:val="left" w:pos="1985"/>
                      <w:tab w:val="left" w:pos="2835"/>
                      <w:tab w:val="left" w:pos="3828"/>
                      <w:tab w:val="left" w:pos="5245"/>
                      <w:tab w:val="left" w:pos="6946"/>
                    </w:tabs>
                    <w:ind w:firstLine="567"/>
                    <w:jc w:val="both"/>
                    <w:rPr>
                      <w:sz w:val="22"/>
                      <w:szCs w:val="24"/>
                      <w:lang w:eastAsia="lt-LT"/>
                    </w:rPr>
                  </w:pPr>
                </w:p>
                <w:tbl>
                  <w:tblPr>
                    <w:tblW w:w="13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firstRow="0" w:lastRow="0" w:firstColumn="0" w:lastColumn="0" w:noHBand="0" w:noVBand="0"/>
                  </w:tblPr>
                  <w:tblGrid>
                    <w:gridCol w:w="674"/>
                    <w:gridCol w:w="1823"/>
                    <w:gridCol w:w="1905"/>
                    <w:gridCol w:w="2786"/>
                    <w:gridCol w:w="2039"/>
                    <w:gridCol w:w="2492"/>
                    <w:gridCol w:w="1708"/>
                  </w:tblGrid>
                  <w:tr>
                    <w:trPr>
                      <w:cantSplit/>
                    </w:trPr>
                    <w:tc>
                      <w:tcPr>
                        <w:tcW w:w="674"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vertAlign w:val="superscript"/>
                            <w:lang w:eastAsia="lt-LT"/>
                          </w:rPr>
                        </w:pPr>
                        <w:r>
                          <w:rPr>
                            <w:sz w:val="18"/>
                            <w:szCs w:val="24"/>
                            <w:lang w:eastAsia="lt-LT"/>
                          </w:rPr>
                          <w:t>Eil. Nr.</w:t>
                        </w:r>
                      </w:p>
                    </w:tc>
                    <w:tc>
                      <w:tcPr>
                        <w:tcW w:w="1823"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vertAlign w:val="superscript"/>
                            <w:lang w:eastAsia="lt-LT"/>
                          </w:rPr>
                        </w:pPr>
                        <w:r>
                          <w:rPr>
                            <w:sz w:val="18"/>
                            <w:szCs w:val="24"/>
                            <w:lang w:eastAsia="lt-LT"/>
                          </w:rPr>
                          <w:t>Nuotekų šaltinis / išleistuvas</w:t>
                        </w:r>
                      </w:p>
                    </w:tc>
                    <w:tc>
                      <w:tcPr>
                        <w:tcW w:w="1905"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vertAlign w:val="superscript"/>
                            <w:lang w:eastAsia="lt-LT"/>
                          </w:rPr>
                        </w:pPr>
                        <w:r>
                          <w:rPr>
                            <w:sz w:val="18"/>
                            <w:szCs w:val="24"/>
                            <w:lang w:eastAsia="lt-LT"/>
                          </w:rPr>
                          <w:t>Priemonės aprašymas</w:t>
                        </w:r>
                      </w:p>
                    </w:tc>
                    <w:tc>
                      <w:tcPr>
                        <w:tcW w:w="2786"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vertAlign w:val="superscript"/>
                            <w:lang w:eastAsia="lt-LT"/>
                          </w:rPr>
                        </w:pPr>
                        <w:r>
                          <w:rPr>
                            <w:sz w:val="18"/>
                            <w:szCs w:val="24"/>
                            <w:lang w:eastAsia="lt-LT"/>
                          </w:rPr>
                          <w:t>Laukiamo efekto aprašymas</w:t>
                        </w:r>
                      </w:p>
                    </w:tc>
                    <w:tc>
                      <w:tcPr>
                        <w:tcW w:w="2039"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vertAlign w:val="superscript"/>
                            <w:lang w:eastAsia="lt-LT"/>
                          </w:rPr>
                        </w:pPr>
                        <w:r>
                          <w:rPr>
                            <w:sz w:val="18"/>
                            <w:szCs w:val="24"/>
                            <w:lang w:eastAsia="lt-LT"/>
                          </w:rPr>
                          <w:t>Numatomas leidimo sąlygų keitimas įgyvendinus priemonę</w:t>
                        </w:r>
                      </w:p>
                    </w:tc>
                    <w:tc>
                      <w:tcPr>
                        <w:tcW w:w="4200" w:type="dxa"/>
                        <w:gridSpan w:val="2"/>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vertAlign w:val="superscript"/>
                            <w:lang w:eastAsia="lt-LT"/>
                          </w:rPr>
                        </w:pPr>
                        <w:r>
                          <w:rPr>
                            <w:sz w:val="18"/>
                            <w:szCs w:val="24"/>
                            <w:lang w:eastAsia="lt-LT"/>
                          </w:rPr>
                          <w:t>Diegimo</w:t>
                        </w:r>
                      </w:p>
                    </w:tc>
                  </w:tr>
                  <w:tr>
                    <w:trPr>
                      <w:cantSplit/>
                    </w:trPr>
                    <w:tc>
                      <w:tcPr>
                        <w:tcW w:w="674" w:type="dxa"/>
                        <w:vMerge/>
                        <w:tcBorders>
                          <w:top w:val="single" w:sz="4" w:space="0" w:color="auto"/>
                          <w:left w:val="single" w:sz="4" w:space="0" w:color="auto"/>
                          <w:bottom w:val="single" w:sz="4" w:space="0" w:color="auto"/>
                          <w:right w:val="single" w:sz="4" w:space="0" w:color="auto"/>
                        </w:tcBorders>
                        <w:vAlign w:val="center"/>
                      </w:tcPr>
                      <w:p>
                        <w:pPr>
                          <w:shd w:val="clear" w:color="000000" w:fill="auto"/>
                          <w:rPr>
                            <w:sz w:val="18"/>
                            <w:szCs w:val="24"/>
                            <w:lang w:eastAsia="lt-LT"/>
                          </w:rPr>
                        </w:pPr>
                      </w:p>
                    </w:tc>
                    <w:tc>
                      <w:tcPr>
                        <w:tcW w:w="1823" w:type="dxa"/>
                        <w:vMerge/>
                        <w:tcBorders>
                          <w:top w:val="single" w:sz="4" w:space="0" w:color="auto"/>
                          <w:left w:val="single" w:sz="4" w:space="0" w:color="auto"/>
                          <w:bottom w:val="single" w:sz="4" w:space="0" w:color="auto"/>
                          <w:right w:val="single" w:sz="4" w:space="0" w:color="auto"/>
                        </w:tcBorders>
                        <w:vAlign w:val="center"/>
                      </w:tcPr>
                      <w:p>
                        <w:pPr>
                          <w:shd w:val="clear" w:color="000000" w:fill="auto"/>
                          <w:rPr>
                            <w:sz w:val="18"/>
                            <w:szCs w:val="24"/>
                            <w:lang w:eastAsia="lt-LT"/>
                          </w:rPr>
                        </w:pPr>
                      </w:p>
                    </w:tc>
                    <w:tc>
                      <w:tcPr>
                        <w:tcW w:w="1905" w:type="dxa"/>
                        <w:vMerge/>
                        <w:tcBorders>
                          <w:top w:val="single" w:sz="4" w:space="0" w:color="auto"/>
                          <w:left w:val="single" w:sz="4" w:space="0" w:color="auto"/>
                          <w:bottom w:val="single" w:sz="4" w:space="0" w:color="auto"/>
                          <w:right w:val="single" w:sz="4" w:space="0" w:color="auto"/>
                        </w:tcBorders>
                        <w:vAlign w:val="center"/>
                      </w:tcPr>
                      <w:p>
                        <w:pPr>
                          <w:shd w:val="clear" w:color="000000" w:fill="auto"/>
                          <w:rPr>
                            <w:sz w:val="18"/>
                            <w:szCs w:val="24"/>
                            <w:lang w:eastAsia="lt-LT"/>
                          </w:rPr>
                        </w:pPr>
                      </w:p>
                    </w:tc>
                    <w:tc>
                      <w:tcPr>
                        <w:tcW w:w="2786" w:type="dxa"/>
                        <w:vMerge/>
                        <w:tcBorders>
                          <w:top w:val="single" w:sz="4" w:space="0" w:color="auto"/>
                          <w:left w:val="single" w:sz="4" w:space="0" w:color="auto"/>
                          <w:bottom w:val="single" w:sz="4" w:space="0" w:color="auto"/>
                          <w:right w:val="single" w:sz="4" w:space="0" w:color="auto"/>
                        </w:tcBorders>
                        <w:vAlign w:val="center"/>
                      </w:tcPr>
                      <w:p>
                        <w:pPr>
                          <w:shd w:val="clear" w:color="000000" w:fill="auto"/>
                          <w:rPr>
                            <w:sz w:val="18"/>
                            <w:szCs w:val="24"/>
                            <w:lang w:eastAsia="lt-LT"/>
                          </w:rPr>
                        </w:pPr>
                      </w:p>
                    </w:tc>
                    <w:tc>
                      <w:tcPr>
                        <w:tcW w:w="2039" w:type="dxa"/>
                        <w:vMerge/>
                        <w:tcBorders>
                          <w:top w:val="single" w:sz="4" w:space="0" w:color="auto"/>
                          <w:left w:val="single" w:sz="4" w:space="0" w:color="auto"/>
                          <w:bottom w:val="single" w:sz="4" w:space="0" w:color="auto"/>
                          <w:right w:val="single" w:sz="4" w:space="0" w:color="auto"/>
                        </w:tcBorders>
                        <w:vAlign w:val="center"/>
                      </w:tcPr>
                      <w:p>
                        <w:pPr>
                          <w:shd w:val="clear" w:color="000000" w:fill="auto"/>
                          <w:rPr>
                            <w:sz w:val="18"/>
                            <w:szCs w:val="24"/>
                            <w:lang w:eastAsia="lt-LT"/>
                          </w:rPr>
                        </w:pPr>
                      </w:p>
                    </w:tc>
                    <w:tc>
                      <w:tcPr>
                        <w:tcW w:w="249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pradžia</w:t>
                        </w:r>
                      </w:p>
                    </w:tc>
                    <w:tc>
                      <w:tcPr>
                        <w:tcW w:w="1708"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pabaiga</w:t>
                        </w:r>
                      </w:p>
                    </w:tc>
                  </w:tr>
                  <w:tr>
                    <w:trPr>
                      <w:cantSplit/>
                    </w:trPr>
                    <w:tc>
                      <w:tcPr>
                        <w:tcW w:w="674"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1</w:t>
                        </w:r>
                      </w:p>
                    </w:tc>
                    <w:tc>
                      <w:tcPr>
                        <w:tcW w:w="1823" w:type="dxa"/>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jc w:val="center"/>
                          <w:rPr>
                            <w:sz w:val="18"/>
                            <w:szCs w:val="24"/>
                            <w:lang w:eastAsia="lt-LT"/>
                          </w:rPr>
                        </w:pPr>
                        <w:r>
                          <w:rPr>
                            <w:sz w:val="18"/>
                            <w:szCs w:val="24"/>
                            <w:lang w:eastAsia="lt-LT"/>
                          </w:rPr>
                          <w:t>2</w:t>
                        </w:r>
                      </w:p>
                    </w:tc>
                    <w:tc>
                      <w:tcPr>
                        <w:tcW w:w="1905"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3</w:t>
                        </w:r>
                      </w:p>
                    </w:tc>
                    <w:tc>
                      <w:tcPr>
                        <w:tcW w:w="278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4</w:t>
                        </w:r>
                      </w:p>
                    </w:tc>
                    <w:tc>
                      <w:tcPr>
                        <w:tcW w:w="203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5</w:t>
                        </w:r>
                      </w:p>
                    </w:tc>
                    <w:tc>
                      <w:tcPr>
                        <w:tcW w:w="249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6</w:t>
                        </w:r>
                      </w:p>
                    </w:tc>
                    <w:tc>
                      <w:tcPr>
                        <w:tcW w:w="1708"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7</w:t>
                        </w:r>
                      </w:p>
                    </w:tc>
                  </w:tr>
                  <w:tr>
                    <w:trPr>
                      <w:cantSplit/>
                    </w:trPr>
                    <w:tc>
                      <w:tcPr>
                        <w:tcW w:w="674"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82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905"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78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03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49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708"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r>
                    <w:trPr>
                      <w:cantSplit/>
                    </w:trPr>
                    <w:tc>
                      <w:tcPr>
                        <w:tcW w:w="674"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82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905"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78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03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49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708"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r>
                    <w:trPr>
                      <w:cantSplit/>
                    </w:trPr>
                    <w:tc>
                      <w:tcPr>
                        <w:tcW w:w="674"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82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905"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78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03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49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708"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bl>
                <w:p>
                  <w:pPr>
                    <w:shd w:val="clear" w:color="000000" w:fill="auto"/>
                    <w:ind w:firstLine="567"/>
                    <w:rPr>
                      <w:sz w:val="18"/>
                      <w:szCs w:val="24"/>
                      <w:lang w:eastAsia="lt-LT"/>
                    </w:rPr>
                  </w:pPr>
                </w:p>
              </w:sdtContent>
            </w:sdt>
            <w:sdt>
              <w:sdtPr>
                <w:alias w:val="lentele"/>
                <w:tag w:val="part_2d84e95fba1d4b1c878800fe3db4db3a"/>
                <w:lock w:val="sdtLocked"/>
                <w:richText/>
              </w:sdtPr>
              <w:sdtContent>
                <w:p>
                  <w:pPr>
                    <w:shd w:val="clear" w:color="000000" w:fill="auto"/>
                    <w:ind w:firstLine="567"/>
                    <w:rPr>
                      <w:sz w:val="22"/>
                      <w:szCs w:val="24"/>
                      <w:lang w:eastAsia="lt-LT"/>
                    </w:rPr>
                  </w:pPr>
                  <w:r>
                    <w:rPr>
                      <w:sz w:val="22"/>
                      <w:szCs w:val="24"/>
                      <w:lang w:eastAsia="lt-LT"/>
                    </w:rPr>
                    <w:t xml:space="preserve">21 lentelė. </w:t>
                  </w:r>
                  <w:sdt>
                    <w:sdtPr>
                      <w:alias w:val="Pavadinimas"/>
                      <w:tag w:val="title_2d84e95fba1d4b1c878800fe3db4db3a"/>
                      <w:lock w:val="sdtLocked"/>
                      <w:richText/>
                    </w:sdtPr>
                    <w:sdtContent>
                      <w:r>
                        <w:rPr>
                          <w:sz w:val="22"/>
                          <w:szCs w:val="24"/>
                          <w:lang w:eastAsia="lt-LT"/>
                        </w:rPr>
                        <w:t>Pramonės įmonių ir kitų abonentų, iš kurių planuojama priimti nuotekas (ne paviršines), sąrašas ir planuojamų priimti nuotekų savybės</w:t>
                      </w:r>
                    </w:sdtContent>
                  </w:sdt>
                </w:p>
                <w:p>
                  <w:pPr>
                    <w:shd w:val="clear" w:color="000000" w:fill="auto"/>
                    <w:ind w:firstLine="567"/>
                    <w:rPr>
                      <w:sz w:val="22"/>
                      <w:szCs w:val="24"/>
                      <w:lang w:eastAsia="lt-LT"/>
                    </w:rPr>
                  </w:pPr>
                </w:p>
                <w:tbl>
                  <w:tblPr>
                    <w:tblW w:w="13426" w:type="dxa"/>
                    <w:tblLayout w:type="fixed"/>
                    <w:tblCellMar>
                      <w:left w:w="107" w:type="dxa"/>
                      <w:right w:w="107" w:type="dxa"/>
                    </w:tblCellMar>
                    <w:tblLook w:val="0000" w:firstRow="0" w:lastRow="0" w:firstColumn="0" w:lastColumn="0" w:noHBand="0" w:noVBand="0"/>
                  </w:tblPr>
                  <w:tblGrid>
                    <w:gridCol w:w="789"/>
                    <w:gridCol w:w="3934"/>
                    <w:gridCol w:w="2344"/>
                    <w:gridCol w:w="1829"/>
                    <w:gridCol w:w="1126"/>
                    <w:gridCol w:w="1126"/>
                    <w:gridCol w:w="1126"/>
                    <w:gridCol w:w="1152"/>
                  </w:tblGrid>
                  <w:tr>
                    <w:trPr>
                      <w:cantSplit/>
                      <w:trHeight w:val="543"/>
                    </w:trPr>
                    <w:tc>
                      <w:tcPr>
                        <w:tcW w:w="789"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Eil.</w:t>
                        </w:r>
                      </w:p>
                      <w:p>
                        <w:pPr>
                          <w:shd w:val="clear" w:color="000000" w:fill="auto"/>
                          <w:jc w:val="center"/>
                          <w:rPr>
                            <w:sz w:val="18"/>
                            <w:szCs w:val="24"/>
                            <w:lang w:eastAsia="lt-LT"/>
                          </w:rPr>
                        </w:pPr>
                        <w:r>
                          <w:rPr>
                            <w:sz w:val="18"/>
                            <w:szCs w:val="24"/>
                            <w:lang w:eastAsia="lt-LT"/>
                          </w:rPr>
                          <w:t>Nr.</w:t>
                        </w:r>
                      </w:p>
                    </w:tc>
                    <w:tc>
                      <w:tcPr>
                        <w:tcW w:w="3934"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Abonento pavadinimas</w:t>
                        </w:r>
                      </w:p>
                    </w:tc>
                    <w:tc>
                      <w:tcPr>
                        <w:tcW w:w="2344" w:type="dxa"/>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suppressAutoHyphens/>
                          <w:jc w:val="center"/>
                          <w:rPr>
                            <w:sz w:val="18"/>
                            <w:szCs w:val="24"/>
                            <w:lang w:eastAsia="lt-LT"/>
                          </w:rPr>
                        </w:pPr>
                        <w:r>
                          <w:rPr>
                            <w:sz w:val="18"/>
                            <w:szCs w:val="24"/>
                            <w:lang w:eastAsia="lt-LT"/>
                          </w:rPr>
                          <w:t>Didžiausias nuotekų kiekis, kurį numatoma priimti iš abonento</w:t>
                        </w:r>
                      </w:p>
                    </w:tc>
                    <w:tc>
                      <w:tcPr>
                        <w:tcW w:w="6359" w:type="dxa"/>
                        <w:gridSpan w:val="5"/>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Didžiausia tarša, kurią numatoma gauti su abonento nuotekomis</w:t>
                        </w:r>
                      </w:p>
                    </w:tc>
                  </w:tr>
                  <w:tr>
                    <w:trPr>
                      <w:cantSplit/>
                      <w:trHeight w:val="409"/>
                    </w:trPr>
                    <w:tc>
                      <w:tcPr>
                        <w:tcW w:w="789"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3934"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344"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highlight w:val="yellow"/>
                            <w:lang w:eastAsia="lt-LT"/>
                          </w:rPr>
                        </w:pPr>
                        <w:r>
                          <w:rPr>
                            <w:sz w:val="18"/>
                            <w:szCs w:val="24"/>
                            <w:lang w:eastAsia="lt-LT"/>
                          </w:rPr>
                          <w:t>tūkst. m</w:t>
                        </w:r>
                        <w:r>
                          <w:rPr>
                            <w:sz w:val="18"/>
                            <w:szCs w:val="24"/>
                            <w:vertAlign w:val="superscript"/>
                            <w:lang w:eastAsia="lt-LT"/>
                          </w:rPr>
                          <w:t>3</w:t>
                        </w:r>
                        <w:r>
                          <w:rPr>
                            <w:sz w:val="18"/>
                            <w:szCs w:val="24"/>
                            <w:lang w:eastAsia="lt-LT"/>
                          </w:rPr>
                          <w:t>/m.</w:t>
                        </w: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Teršalai</w:t>
                        </w: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LK</w:t>
                        </w:r>
                        <w:r>
                          <w:rPr>
                            <w:sz w:val="18"/>
                            <w:szCs w:val="24"/>
                            <w:vertAlign w:val="subscript"/>
                            <w:lang w:eastAsia="lt-LT"/>
                          </w:rPr>
                          <w:t>mom.</w:t>
                        </w:r>
                        <w:r>
                          <w:rPr>
                            <w:sz w:val="18"/>
                            <w:szCs w:val="24"/>
                            <w:lang w:eastAsia="lt-LT"/>
                          </w:rPr>
                          <w:t>,</w:t>
                        </w:r>
                      </w:p>
                      <w:p>
                        <w:pPr>
                          <w:shd w:val="clear" w:color="000000" w:fill="auto"/>
                          <w:jc w:val="center"/>
                          <w:rPr>
                            <w:sz w:val="18"/>
                            <w:szCs w:val="24"/>
                            <w:lang w:eastAsia="lt-LT"/>
                          </w:rPr>
                        </w:pPr>
                        <w:r>
                          <w:rPr>
                            <w:sz w:val="18"/>
                            <w:szCs w:val="24"/>
                            <w:lang w:eastAsia="lt-LT"/>
                          </w:rPr>
                          <w:t>mg/l</w:t>
                        </w: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LK</w:t>
                        </w:r>
                        <w:r>
                          <w:rPr>
                            <w:sz w:val="18"/>
                            <w:szCs w:val="24"/>
                            <w:vertAlign w:val="subscript"/>
                            <w:lang w:eastAsia="lt-LT"/>
                          </w:rPr>
                          <w:t>vid.</w:t>
                        </w:r>
                        <w:r>
                          <w:rPr>
                            <w:sz w:val="18"/>
                            <w:szCs w:val="24"/>
                            <w:lang w:eastAsia="lt-LT"/>
                          </w:rPr>
                          <w:t>,</w:t>
                        </w:r>
                      </w:p>
                      <w:p>
                        <w:pPr>
                          <w:shd w:val="clear" w:color="000000" w:fill="auto"/>
                          <w:jc w:val="center"/>
                          <w:rPr>
                            <w:sz w:val="18"/>
                            <w:szCs w:val="24"/>
                            <w:lang w:eastAsia="lt-LT"/>
                          </w:rPr>
                        </w:pPr>
                        <w:r>
                          <w:rPr>
                            <w:sz w:val="18"/>
                            <w:szCs w:val="24"/>
                            <w:lang w:eastAsia="lt-LT"/>
                          </w:rPr>
                          <w:t>mg/l</w:t>
                        </w: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LT</w:t>
                        </w:r>
                        <w:r>
                          <w:rPr>
                            <w:sz w:val="18"/>
                            <w:szCs w:val="24"/>
                            <w:vertAlign w:val="subscript"/>
                            <w:lang w:eastAsia="lt-LT"/>
                          </w:rPr>
                          <w:t>paros</w:t>
                        </w:r>
                        <w:r>
                          <w:rPr>
                            <w:sz w:val="18"/>
                            <w:szCs w:val="24"/>
                            <w:lang w:eastAsia="lt-LT"/>
                          </w:rPr>
                          <w:t>,</w:t>
                        </w:r>
                      </w:p>
                      <w:p>
                        <w:pPr>
                          <w:shd w:val="clear" w:color="000000" w:fill="auto"/>
                          <w:jc w:val="center"/>
                          <w:rPr>
                            <w:sz w:val="18"/>
                            <w:szCs w:val="24"/>
                            <w:lang w:eastAsia="lt-LT"/>
                          </w:rPr>
                        </w:pPr>
                        <w:r>
                          <w:rPr>
                            <w:sz w:val="18"/>
                            <w:szCs w:val="24"/>
                            <w:lang w:eastAsia="lt-LT"/>
                          </w:rPr>
                          <w:t>t/d</w:t>
                        </w: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LT</w:t>
                        </w:r>
                        <w:r>
                          <w:rPr>
                            <w:sz w:val="18"/>
                            <w:szCs w:val="24"/>
                            <w:vertAlign w:val="subscript"/>
                            <w:lang w:eastAsia="lt-LT"/>
                          </w:rPr>
                          <w:t>metinė</w:t>
                        </w:r>
                        <w:r>
                          <w:rPr>
                            <w:sz w:val="18"/>
                            <w:szCs w:val="24"/>
                            <w:lang w:eastAsia="lt-LT"/>
                          </w:rPr>
                          <w:t>,</w:t>
                        </w:r>
                      </w:p>
                      <w:p>
                        <w:pPr>
                          <w:shd w:val="clear" w:color="000000" w:fill="auto"/>
                          <w:jc w:val="center"/>
                          <w:rPr>
                            <w:sz w:val="18"/>
                            <w:szCs w:val="24"/>
                            <w:lang w:eastAsia="lt-LT"/>
                          </w:rPr>
                        </w:pPr>
                        <w:r>
                          <w:rPr>
                            <w:sz w:val="18"/>
                            <w:szCs w:val="24"/>
                            <w:lang w:eastAsia="lt-LT"/>
                          </w:rPr>
                          <w:t>t/m.</w:t>
                        </w:r>
                      </w:p>
                    </w:tc>
                  </w:tr>
                  <w:tr>
                    <w:trPr>
                      <w:cantSplit/>
                    </w:trPr>
                    <w:tc>
                      <w:tcPr>
                        <w:tcW w:w="78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1</w:t>
                        </w:r>
                      </w:p>
                    </w:tc>
                    <w:tc>
                      <w:tcPr>
                        <w:tcW w:w="3934"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2</w:t>
                        </w:r>
                      </w:p>
                    </w:tc>
                    <w:tc>
                      <w:tcPr>
                        <w:tcW w:w="2344"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highlight w:val="yellow"/>
                            <w:lang w:eastAsia="lt-LT"/>
                          </w:rPr>
                        </w:pPr>
                        <w:r>
                          <w:rPr>
                            <w:sz w:val="18"/>
                            <w:szCs w:val="24"/>
                            <w:lang w:eastAsia="lt-LT"/>
                          </w:rPr>
                          <w:t>3</w:t>
                        </w: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4</w:t>
                        </w: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5</w:t>
                        </w: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6</w:t>
                        </w: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7</w:t>
                        </w: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8</w:t>
                        </w:r>
                      </w:p>
                    </w:tc>
                  </w:tr>
                  <w:tr>
                    <w:trPr>
                      <w:cantSplit/>
                    </w:trPr>
                    <w:tc>
                      <w:tcPr>
                        <w:tcW w:w="78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1.</w:t>
                        </w:r>
                      </w:p>
                    </w:tc>
                    <w:tc>
                      <w:tcPr>
                        <w:tcW w:w="12637" w:type="dxa"/>
                        <w:gridSpan w:val="7"/>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suppressAutoHyphens/>
                          <w:rPr>
                            <w:sz w:val="18"/>
                            <w:szCs w:val="24"/>
                            <w:lang w:eastAsia="lt-LT"/>
                          </w:rPr>
                        </w:pPr>
                        <w:r>
                          <w:rPr>
                            <w:sz w:val="18"/>
                            <w:szCs w:val="24"/>
                            <w:lang w:eastAsia="lt-LT"/>
                          </w:rPr>
                          <w:t>Abonentai, iš kurių numatoma priimti nuotekas, užterštas prioritetinėmis pavojingomis ir/arba „A“ sąrašo pavojingomis medžiagomis:</w:t>
                        </w:r>
                      </w:p>
                    </w:tc>
                  </w:tr>
                  <w:tr>
                    <w:trPr>
                      <w:cantSplit/>
                      <w:trHeight w:hRule="exact" w:val="275"/>
                    </w:trPr>
                    <w:tc>
                      <w:tcPr>
                        <w:tcW w:w="789"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1.1.</w:t>
                        </w:r>
                      </w:p>
                    </w:tc>
                    <w:tc>
                      <w:tcPr>
                        <w:tcW w:w="3934"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344" w:type="dxa"/>
                        <w:vMerge w:val="restart"/>
                        <w:tcBorders>
                          <w:top w:val="single" w:sz="4" w:space="0" w:color="auto"/>
                          <w:left w:val="single" w:sz="4" w:space="0" w:color="auto"/>
                          <w:right w:val="single" w:sz="4" w:space="0" w:color="auto"/>
                        </w:tcBorders>
                        <w:vAlign w:val="center"/>
                      </w:tcPr>
                      <w:p>
                        <w:pPr>
                          <w:shd w:val="clear" w:color="000000" w:fill="auto"/>
                          <w:jc w:val="center"/>
                          <w:rPr>
                            <w:sz w:val="18"/>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r>
                    <w:trPr>
                      <w:cantSplit/>
                      <w:trHeight w:hRule="exact" w:val="275"/>
                    </w:trPr>
                    <w:tc>
                      <w:tcPr>
                        <w:tcW w:w="789"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3934"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344" w:type="dxa"/>
                        <w:vMerge/>
                        <w:tcBorders>
                          <w:left w:val="single" w:sz="4" w:space="0" w:color="auto"/>
                          <w:right w:val="single" w:sz="4" w:space="0" w:color="auto"/>
                        </w:tcBorders>
                        <w:vAlign w:val="center"/>
                      </w:tcPr>
                      <w:p>
                        <w:pPr>
                          <w:shd w:val="clear" w:color="000000" w:fill="auto"/>
                          <w:jc w:val="center"/>
                          <w:rPr>
                            <w:sz w:val="18"/>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r>
                    <w:trPr>
                      <w:cantSplit/>
                    </w:trPr>
                    <w:tc>
                      <w:tcPr>
                        <w:tcW w:w="789"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3934"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344" w:type="dxa"/>
                        <w:vMerge/>
                        <w:tcBorders>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r>
                    <w:trPr>
                      <w:cantSplit/>
                      <w:trHeight w:hRule="exact" w:val="275"/>
                    </w:trPr>
                    <w:tc>
                      <w:tcPr>
                        <w:tcW w:w="789"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1.2.</w:t>
                        </w:r>
                      </w:p>
                    </w:tc>
                    <w:tc>
                      <w:tcPr>
                        <w:tcW w:w="3934"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344" w:type="dxa"/>
                        <w:vMerge w:val="restart"/>
                        <w:tcBorders>
                          <w:top w:val="single" w:sz="4" w:space="0" w:color="auto"/>
                          <w:left w:val="single" w:sz="4" w:space="0" w:color="auto"/>
                          <w:right w:val="single" w:sz="4" w:space="0" w:color="auto"/>
                        </w:tcBorders>
                        <w:vAlign w:val="center"/>
                      </w:tcPr>
                      <w:p>
                        <w:pPr>
                          <w:shd w:val="clear" w:color="000000" w:fill="auto"/>
                          <w:jc w:val="center"/>
                          <w:rPr>
                            <w:sz w:val="18"/>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r>
                    <w:trPr>
                      <w:cantSplit/>
                      <w:trHeight w:hRule="exact" w:val="275"/>
                    </w:trPr>
                    <w:tc>
                      <w:tcPr>
                        <w:tcW w:w="789"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3934"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344" w:type="dxa"/>
                        <w:vMerge/>
                        <w:tcBorders>
                          <w:left w:val="single" w:sz="4" w:space="0" w:color="auto"/>
                          <w:right w:val="single" w:sz="4" w:space="0" w:color="auto"/>
                        </w:tcBorders>
                        <w:vAlign w:val="center"/>
                      </w:tcPr>
                      <w:p>
                        <w:pPr>
                          <w:shd w:val="clear" w:color="000000" w:fill="auto"/>
                          <w:jc w:val="center"/>
                          <w:rPr>
                            <w:sz w:val="18"/>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r>
                    <w:trPr>
                      <w:cantSplit/>
                    </w:trPr>
                    <w:tc>
                      <w:tcPr>
                        <w:tcW w:w="789"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3934"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344" w:type="dxa"/>
                        <w:vMerge/>
                        <w:tcBorders>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r>
                    <w:trPr>
                      <w:cantSplit/>
                      <w:trHeight w:val="20"/>
                    </w:trPr>
                    <w:tc>
                      <w:tcPr>
                        <w:tcW w:w="78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2.</w:t>
                        </w:r>
                      </w:p>
                    </w:tc>
                    <w:tc>
                      <w:tcPr>
                        <w:tcW w:w="12637" w:type="dxa"/>
                        <w:gridSpan w:val="7"/>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suppressAutoHyphens/>
                          <w:rPr>
                            <w:sz w:val="18"/>
                            <w:szCs w:val="24"/>
                            <w:lang w:eastAsia="lt-LT"/>
                          </w:rPr>
                        </w:pPr>
                        <w:r>
                          <w:rPr>
                            <w:sz w:val="18"/>
                            <w:szCs w:val="24"/>
                            <w:lang w:eastAsia="lt-LT"/>
                          </w:rPr>
                          <w:t>Abonentai, iš kurių numatoma priimti daugiau kaip po 50 m</w:t>
                        </w:r>
                        <w:r>
                          <w:rPr>
                            <w:sz w:val="18"/>
                            <w:szCs w:val="24"/>
                            <w:vertAlign w:val="superscript"/>
                            <w:lang w:eastAsia="lt-LT"/>
                          </w:rPr>
                          <w:t>3</w:t>
                        </w:r>
                        <w:r>
                          <w:rPr>
                            <w:sz w:val="18"/>
                            <w:szCs w:val="24"/>
                            <w:lang w:eastAsia="lt-LT"/>
                          </w:rPr>
                          <w:t>/d gamybinių nuotekų (bet kurie neatitinka 1 punkte nurodytų kriterijų):</w:t>
                        </w:r>
                      </w:p>
                    </w:tc>
                  </w:tr>
                  <w:tr>
                    <w:trPr>
                      <w:cantSplit/>
                      <w:trHeight w:val="20"/>
                    </w:trPr>
                    <w:tc>
                      <w:tcPr>
                        <w:tcW w:w="789"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2.1.</w:t>
                        </w:r>
                      </w:p>
                    </w:tc>
                    <w:tc>
                      <w:tcPr>
                        <w:tcW w:w="3934"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344" w:type="dxa"/>
                        <w:vMerge w:val="restart"/>
                        <w:tcBorders>
                          <w:top w:val="single" w:sz="4" w:space="0" w:color="auto"/>
                          <w:left w:val="single" w:sz="4" w:space="0" w:color="auto"/>
                          <w:right w:val="single" w:sz="4" w:space="0" w:color="auto"/>
                        </w:tcBorders>
                        <w:vAlign w:val="center"/>
                      </w:tcPr>
                      <w:p>
                        <w:pPr>
                          <w:shd w:val="clear" w:color="000000" w:fill="auto"/>
                          <w:jc w:val="center"/>
                          <w:rPr>
                            <w:sz w:val="18"/>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r>
                    <w:trPr>
                      <w:cantSplit/>
                      <w:trHeight w:val="20"/>
                    </w:trPr>
                    <w:tc>
                      <w:tcPr>
                        <w:tcW w:w="789"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3934"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344" w:type="dxa"/>
                        <w:vMerge/>
                        <w:tcBorders>
                          <w:left w:val="single" w:sz="4" w:space="0" w:color="auto"/>
                          <w:right w:val="single" w:sz="4" w:space="0" w:color="auto"/>
                        </w:tcBorders>
                        <w:vAlign w:val="center"/>
                      </w:tcPr>
                      <w:p>
                        <w:pPr>
                          <w:shd w:val="clear" w:color="000000" w:fill="auto"/>
                          <w:jc w:val="center"/>
                          <w:rPr>
                            <w:sz w:val="18"/>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r>
                    <w:trPr>
                      <w:cantSplit/>
                      <w:trHeight w:val="20"/>
                    </w:trPr>
                    <w:tc>
                      <w:tcPr>
                        <w:tcW w:w="789"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3934"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344" w:type="dxa"/>
                        <w:vMerge/>
                        <w:tcBorders>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r>
                    <w:trPr>
                      <w:cantSplit/>
                      <w:trHeight w:val="20"/>
                    </w:trPr>
                    <w:tc>
                      <w:tcPr>
                        <w:tcW w:w="789"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2.2.</w:t>
                        </w:r>
                      </w:p>
                    </w:tc>
                    <w:tc>
                      <w:tcPr>
                        <w:tcW w:w="3934" w:type="dxa"/>
                        <w:vMerge w:val="restar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suppressAutoHyphens/>
                          <w:jc w:val="center"/>
                          <w:rPr>
                            <w:sz w:val="18"/>
                            <w:szCs w:val="24"/>
                            <w:lang w:eastAsia="lt-LT"/>
                          </w:rPr>
                        </w:pPr>
                      </w:p>
                    </w:tc>
                    <w:tc>
                      <w:tcPr>
                        <w:tcW w:w="2344" w:type="dxa"/>
                        <w:vMerge w:val="restart"/>
                        <w:tcBorders>
                          <w:top w:val="single" w:sz="4" w:space="0" w:color="auto"/>
                          <w:left w:val="single" w:sz="4" w:space="0" w:color="auto"/>
                          <w:right w:val="single" w:sz="4" w:space="0" w:color="auto"/>
                        </w:tcBorders>
                        <w:vAlign w:val="center"/>
                      </w:tcPr>
                      <w:p>
                        <w:pPr>
                          <w:shd w:val="clear" w:color="000000" w:fill="auto"/>
                          <w:jc w:val="center"/>
                          <w:rPr>
                            <w:sz w:val="18"/>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r>
                    <w:trPr>
                      <w:cantSplit/>
                      <w:trHeight w:val="20"/>
                    </w:trPr>
                    <w:tc>
                      <w:tcPr>
                        <w:tcW w:w="789"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3934"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344" w:type="dxa"/>
                        <w:vMerge/>
                        <w:tcBorders>
                          <w:left w:val="single" w:sz="4" w:space="0" w:color="auto"/>
                          <w:right w:val="single" w:sz="4" w:space="0" w:color="auto"/>
                        </w:tcBorders>
                        <w:vAlign w:val="center"/>
                      </w:tcPr>
                      <w:p>
                        <w:pPr>
                          <w:shd w:val="clear" w:color="000000" w:fill="auto"/>
                          <w:jc w:val="center"/>
                          <w:rPr>
                            <w:sz w:val="18"/>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r>
                    <w:trPr>
                      <w:cantSplit/>
                      <w:trHeight w:val="20"/>
                    </w:trPr>
                    <w:tc>
                      <w:tcPr>
                        <w:tcW w:w="789"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3934"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344" w:type="dxa"/>
                        <w:vMerge/>
                        <w:tcBorders>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r>
                    <w:trPr>
                      <w:cantSplit/>
                      <w:trHeight w:val="20"/>
                    </w:trPr>
                    <w:tc>
                      <w:tcPr>
                        <w:tcW w:w="789"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3.</w:t>
                        </w:r>
                      </w:p>
                    </w:tc>
                    <w:tc>
                      <w:tcPr>
                        <w:tcW w:w="3934" w:type="dxa"/>
                        <w:vMerge w:val="restar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suppressAutoHyphens/>
                          <w:rPr>
                            <w:sz w:val="18"/>
                            <w:szCs w:val="24"/>
                            <w:lang w:eastAsia="lt-LT"/>
                          </w:rPr>
                        </w:pPr>
                        <w:r>
                          <w:rPr>
                            <w:sz w:val="18"/>
                            <w:szCs w:val="24"/>
                            <w:lang w:eastAsia="lt-LT"/>
                          </w:rPr>
                          <w:t>Suminiai abonentų, iš kurių numatoma priimti gamybines nuotekas (bet kurie neatitinka 1 ir 2 punktuose nurodytų kriterijų), duomenys:</w:t>
                        </w:r>
                      </w:p>
                    </w:tc>
                    <w:tc>
                      <w:tcPr>
                        <w:tcW w:w="2344" w:type="dxa"/>
                        <w:vMerge w:val="restart"/>
                        <w:tcBorders>
                          <w:top w:val="single" w:sz="4" w:space="0" w:color="auto"/>
                          <w:left w:val="single" w:sz="4" w:space="0" w:color="auto"/>
                          <w:right w:val="single" w:sz="4" w:space="0" w:color="auto"/>
                        </w:tcBorders>
                        <w:vAlign w:val="center"/>
                      </w:tcPr>
                      <w:p>
                        <w:pPr>
                          <w:shd w:val="clear" w:color="000000" w:fill="auto"/>
                          <w:jc w:val="center"/>
                          <w:rPr>
                            <w:sz w:val="18"/>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r>
                    <w:trPr>
                      <w:cantSplit/>
                      <w:trHeight w:val="20"/>
                    </w:trPr>
                    <w:tc>
                      <w:tcPr>
                        <w:tcW w:w="789"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3934" w:type="dxa"/>
                        <w:vMerge/>
                        <w:tcBorders>
                          <w:top w:val="single" w:sz="4" w:space="0" w:color="auto"/>
                          <w:left w:val="single" w:sz="4" w:space="0" w:color="auto"/>
                          <w:bottom w:val="single" w:sz="4" w:space="0" w:color="auto"/>
                          <w:right w:val="single" w:sz="4" w:space="0" w:color="auto"/>
                        </w:tcBorders>
                        <w:vAlign w:val="center"/>
                      </w:tcPr>
                      <w:p>
                        <w:pPr>
                          <w:shd w:val="clear" w:color="000000" w:fill="auto"/>
                          <w:rPr>
                            <w:sz w:val="18"/>
                            <w:szCs w:val="24"/>
                            <w:lang w:eastAsia="lt-LT"/>
                          </w:rPr>
                        </w:pPr>
                      </w:p>
                    </w:tc>
                    <w:tc>
                      <w:tcPr>
                        <w:tcW w:w="2344" w:type="dxa"/>
                        <w:vMerge/>
                        <w:tcBorders>
                          <w:left w:val="single" w:sz="4" w:space="0" w:color="auto"/>
                          <w:right w:val="single" w:sz="4" w:space="0" w:color="auto"/>
                        </w:tcBorders>
                        <w:vAlign w:val="center"/>
                      </w:tcPr>
                      <w:p>
                        <w:pPr>
                          <w:shd w:val="clear" w:color="000000" w:fill="auto"/>
                          <w:jc w:val="center"/>
                          <w:rPr>
                            <w:sz w:val="18"/>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r>
                    <w:trPr>
                      <w:cantSplit/>
                      <w:trHeight w:val="20"/>
                    </w:trPr>
                    <w:tc>
                      <w:tcPr>
                        <w:tcW w:w="789"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3934" w:type="dxa"/>
                        <w:vMerge/>
                        <w:tcBorders>
                          <w:top w:val="single" w:sz="4" w:space="0" w:color="auto"/>
                          <w:left w:val="single" w:sz="4" w:space="0" w:color="auto"/>
                          <w:bottom w:val="single" w:sz="4" w:space="0" w:color="auto"/>
                          <w:right w:val="single" w:sz="4" w:space="0" w:color="auto"/>
                        </w:tcBorders>
                        <w:vAlign w:val="center"/>
                      </w:tcPr>
                      <w:p>
                        <w:pPr>
                          <w:shd w:val="clear" w:color="000000" w:fill="auto"/>
                          <w:rPr>
                            <w:sz w:val="18"/>
                            <w:szCs w:val="24"/>
                            <w:lang w:eastAsia="lt-LT"/>
                          </w:rPr>
                        </w:pPr>
                      </w:p>
                    </w:tc>
                    <w:tc>
                      <w:tcPr>
                        <w:tcW w:w="2344" w:type="dxa"/>
                        <w:vMerge/>
                        <w:tcBorders>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r>
                    <w:trPr>
                      <w:cantSplit/>
                      <w:trHeight w:val="20"/>
                    </w:trPr>
                    <w:tc>
                      <w:tcPr>
                        <w:tcW w:w="789"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4.</w:t>
                        </w:r>
                      </w:p>
                    </w:tc>
                    <w:tc>
                      <w:tcPr>
                        <w:tcW w:w="3934" w:type="dxa"/>
                        <w:vMerge w:val="restar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suppressAutoHyphens/>
                          <w:rPr>
                            <w:sz w:val="18"/>
                            <w:szCs w:val="24"/>
                            <w:lang w:eastAsia="lt-LT"/>
                          </w:rPr>
                        </w:pPr>
                        <w:r>
                          <w:rPr>
                            <w:sz w:val="18"/>
                            <w:szCs w:val="24"/>
                            <w:lang w:eastAsia="lt-LT"/>
                          </w:rPr>
                          <w:t>Suminiai kitų abonentų (kurie neatitinka 1, 2 ir 3 punktuose nurodytų kriterijų) duomenys:</w:t>
                        </w:r>
                      </w:p>
                    </w:tc>
                    <w:tc>
                      <w:tcPr>
                        <w:tcW w:w="2344" w:type="dxa"/>
                        <w:vMerge w:val="restart"/>
                        <w:tcBorders>
                          <w:top w:val="single" w:sz="4" w:space="0" w:color="auto"/>
                          <w:left w:val="single" w:sz="4" w:space="0" w:color="auto"/>
                          <w:right w:val="single" w:sz="4" w:space="0" w:color="auto"/>
                        </w:tcBorders>
                        <w:vAlign w:val="center"/>
                      </w:tcPr>
                      <w:p>
                        <w:pPr>
                          <w:shd w:val="clear" w:color="000000" w:fill="auto"/>
                          <w:jc w:val="center"/>
                          <w:rPr>
                            <w:sz w:val="18"/>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r>
                    <w:trPr>
                      <w:cantSplit/>
                      <w:trHeight w:val="20"/>
                    </w:trPr>
                    <w:tc>
                      <w:tcPr>
                        <w:tcW w:w="789"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3934" w:type="dxa"/>
                        <w:vMerge/>
                        <w:tcBorders>
                          <w:top w:val="single" w:sz="4" w:space="0" w:color="auto"/>
                          <w:left w:val="single" w:sz="4" w:space="0" w:color="auto"/>
                          <w:bottom w:val="single" w:sz="4" w:space="0" w:color="auto"/>
                          <w:right w:val="single" w:sz="4" w:space="0" w:color="auto"/>
                        </w:tcBorders>
                        <w:vAlign w:val="center"/>
                      </w:tcPr>
                      <w:p>
                        <w:pPr>
                          <w:shd w:val="clear" w:color="000000" w:fill="auto"/>
                          <w:rPr>
                            <w:sz w:val="18"/>
                            <w:szCs w:val="24"/>
                            <w:lang w:eastAsia="lt-LT"/>
                          </w:rPr>
                        </w:pPr>
                      </w:p>
                    </w:tc>
                    <w:tc>
                      <w:tcPr>
                        <w:tcW w:w="2344" w:type="dxa"/>
                        <w:vMerge/>
                        <w:tcBorders>
                          <w:left w:val="single" w:sz="4" w:space="0" w:color="auto"/>
                          <w:right w:val="single" w:sz="4" w:space="0" w:color="auto"/>
                        </w:tcBorders>
                        <w:vAlign w:val="center"/>
                      </w:tcPr>
                      <w:p>
                        <w:pPr>
                          <w:shd w:val="clear" w:color="000000" w:fill="auto"/>
                          <w:jc w:val="center"/>
                          <w:rPr>
                            <w:sz w:val="18"/>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r>
                    <w:trPr>
                      <w:cantSplit/>
                      <w:trHeight w:val="20"/>
                    </w:trPr>
                    <w:tc>
                      <w:tcPr>
                        <w:tcW w:w="789"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3934" w:type="dxa"/>
                        <w:vMerge/>
                        <w:tcBorders>
                          <w:top w:val="single" w:sz="4" w:space="0" w:color="auto"/>
                          <w:left w:val="single" w:sz="4" w:space="0" w:color="auto"/>
                          <w:bottom w:val="single" w:sz="4" w:space="0" w:color="auto"/>
                          <w:right w:val="single" w:sz="4" w:space="0" w:color="auto"/>
                        </w:tcBorders>
                        <w:vAlign w:val="center"/>
                      </w:tcPr>
                      <w:p>
                        <w:pPr>
                          <w:shd w:val="clear" w:color="000000" w:fill="auto"/>
                          <w:rPr>
                            <w:sz w:val="18"/>
                            <w:szCs w:val="24"/>
                            <w:lang w:eastAsia="lt-LT"/>
                          </w:rPr>
                        </w:pPr>
                      </w:p>
                    </w:tc>
                    <w:tc>
                      <w:tcPr>
                        <w:tcW w:w="2344" w:type="dxa"/>
                        <w:vMerge/>
                        <w:tcBorders>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r>
                    <w:trPr>
                      <w:cantSplit/>
                      <w:trHeight w:val="20"/>
                    </w:trPr>
                    <w:tc>
                      <w:tcPr>
                        <w:tcW w:w="789"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5.</w:t>
                        </w:r>
                      </w:p>
                    </w:tc>
                    <w:tc>
                      <w:tcPr>
                        <w:tcW w:w="3934" w:type="dxa"/>
                        <w:vMerge w:val="restar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suppressAutoHyphens/>
                          <w:rPr>
                            <w:sz w:val="18"/>
                            <w:szCs w:val="24"/>
                            <w:lang w:eastAsia="lt-LT"/>
                          </w:rPr>
                        </w:pPr>
                        <w:r>
                          <w:rPr>
                            <w:sz w:val="18"/>
                            <w:szCs w:val="24"/>
                            <w:lang w:eastAsia="lt-LT"/>
                          </w:rPr>
                          <w:t>Iš viso (visų numatomų priimti iš abonentų nuotekų duomenys):</w:t>
                        </w:r>
                      </w:p>
                    </w:tc>
                    <w:tc>
                      <w:tcPr>
                        <w:tcW w:w="2344" w:type="dxa"/>
                        <w:vMerge w:val="restart"/>
                        <w:tcBorders>
                          <w:top w:val="single" w:sz="4" w:space="0" w:color="auto"/>
                          <w:left w:val="single" w:sz="4" w:space="0" w:color="auto"/>
                          <w:right w:val="single" w:sz="4" w:space="0" w:color="auto"/>
                        </w:tcBorders>
                        <w:vAlign w:val="center"/>
                      </w:tcPr>
                      <w:p>
                        <w:pPr>
                          <w:shd w:val="clear" w:color="000000" w:fill="auto"/>
                          <w:jc w:val="center"/>
                          <w:rPr>
                            <w:sz w:val="18"/>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r>
                    <w:trPr>
                      <w:cantSplit/>
                      <w:trHeight w:val="20"/>
                    </w:trPr>
                    <w:tc>
                      <w:tcPr>
                        <w:tcW w:w="789"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3934"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344" w:type="dxa"/>
                        <w:vMerge/>
                        <w:tcBorders>
                          <w:left w:val="single" w:sz="4" w:space="0" w:color="auto"/>
                          <w:right w:val="single" w:sz="4" w:space="0" w:color="auto"/>
                        </w:tcBorders>
                        <w:vAlign w:val="center"/>
                      </w:tcPr>
                      <w:p>
                        <w:pPr>
                          <w:shd w:val="clear" w:color="000000" w:fill="auto"/>
                          <w:jc w:val="center"/>
                          <w:rPr>
                            <w:sz w:val="18"/>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r>
                    <w:trPr>
                      <w:cantSplit/>
                      <w:trHeight w:val="20"/>
                    </w:trPr>
                    <w:tc>
                      <w:tcPr>
                        <w:tcW w:w="789"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3934"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344" w:type="dxa"/>
                        <w:vMerge/>
                        <w:tcBorders>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0"/>
                    </w:trPr>
                    <w:tc>
                      <w:tcPr>
                        <w:tcW w:w="78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6.</w:t>
                        </w:r>
                      </w:p>
                    </w:tc>
                    <w:tc>
                      <w:tcPr>
                        <w:tcW w:w="12637" w:type="dxa"/>
                        <w:gridSpan w:val="7"/>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suppressAutoHyphens/>
                          <w:rPr>
                            <w:sz w:val="18"/>
                            <w:szCs w:val="24"/>
                            <w:lang w:eastAsia="lt-LT"/>
                          </w:rPr>
                        </w:pPr>
                        <w:r>
                          <w:rPr>
                            <w:sz w:val="18"/>
                            <w:szCs w:val="24"/>
                            <w:lang w:eastAsia="lt-LT"/>
                          </w:rPr>
                          <w:t>Abonentai, iš kurių numatoma priimti nuo potencialiai teršiamų teritorijų surenkamas paviršines nuotekas: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0"/>
                    </w:trPr>
                    <w:tc>
                      <w:tcPr>
                        <w:tcW w:w="789"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6.1.</w:t>
                        </w:r>
                      </w:p>
                    </w:tc>
                    <w:tc>
                      <w:tcPr>
                        <w:tcW w:w="3934"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344"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0"/>
                    </w:trPr>
                    <w:tc>
                      <w:tcPr>
                        <w:tcW w:w="789"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3934"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0"/>
                    </w:trPr>
                    <w:tc>
                      <w:tcPr>
                        <w:tcW w:w="789"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3934"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0"/>
                    </w:trPr>
                    <w:tc>
                      <w:tcPr>
                        <w:tcW w:w="789"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6.2.</w:t>
                        </w:r>
                      </w:p>
                    </w:tc>
                    <w:tc>
                      <w:tcPr>
                        <w:tcW w:w="3934"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344"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0"/>
                    </w:trPr>
                    <w:tc>
                      <w:tcPr>
                        <w:tcW w:w="789"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3934"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0"/>
                    </w:trPr>
                    <w:tc>
                      <w:tcPr>
                        <w:tcW w:w="789"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3934"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0"/>
                    </w:trPr>
                    <w:tc>
                      <w:tcPr>
                        <w:tcW w:w="789"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7.</w:t>
                        </w:r>
                      </w:p>
                    </w:tc>
                    <w:tc>
                      <w:tcPr>
                        <w:tcW w:w="3934" w:type="dxa"/>
                        <w:vMerge w:val="restar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suppressAutoHyphens/>
                          <w:rPr>
                            <w:sz w:val="18"/>
                            <w:szCs w:val="24"/>
                            <w:lang w:eastAsia="lt-LT"/>
                          </w:rPr>
                        </w:pPr>
                        <w:r>
                          <w:rPr>
                            <w:sz w:val="18"/>
                            <w:szCs w:val="24"/>
                            <w:lang w:eastAsia="lt-LT"/>
                          </w:rPr>
                          <w:t>Suminiai kitų abonentų (kurie neatitinka 6 punkte nurodytų kriterijų) išleidžiamų paviršinių nuotekų duomenys:</w:t>
                        </w:r>
                      </w:p>
                    </w:tc>
                    <w:tc>
                      <w:tcPr>
                        <w:tcW w:w="2344"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0"/>
                    </w:trPr>
                    <w:tc>
                      <w:tcPr>
                        <w:tcW w:w="789"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3934" w:type="dxa"/>
                        <w:vMerge/>
                        <w:tcBorders>
                          <w:top w:val="single" w:sz="4" w:space="0" w:color="auto"/>
                          <w:left w:val="single" w:sz="4" w:space="0" w:color="auto"/>
                          <w:bottom w:val="single" w:sz="4" w:space="0" w:color="auto"/>
                          <w:right w:val="single" w:sz="4" w:space="0" w:color="auto"/>
                        </w:tcBorders>
                        <w:vAlign w:val="center"/>
                      </w:tcPr>
                      <w:p>
                        <w:pPr>
                          <w:shd w:val="clear" w:color="000000" w:fill="auto"/>
                          <w:rPr>
                            <w:sz w:val="18"/>
                            <w:szCs w:val="24"/>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0"/>
                    </w:trPr>
                    <w:tc>
                      <w:tcPr>
                        <w:tcW w:w="789"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3934" w:type="dxa"/>
                        <w:vMerge/>
                        <w:tcBorders>
                          <w:top w:val="single" w:sz="4" w:space="0" w:color="auto"/>
                          <w:left w:val="single" w:sz="4" w:space="0" w:color="auto"/>
                          <w:bottom w:val="single" w:sz="4" w:space="0" w:color="auto"/>
                          <w:right w:val="single" w:sz="4" w:space="0" w:color="auto"/>
                        </w:tcBorders>
                        <w:vAlign w:val="center"/>
                      </w:tcPr>
                      <w:p>
                        <w:pPr>
                          <w:shd w:val="clear" w:color="000000" w:fill="auto"/>
                          <w:rPr>
                            <w:sz w:val="18"/>
                            <w:szCs w:val="24"/>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0"/>
                    </w:trPr>
                    <w:tc>
                      <w:tcPr>
                        <w:tcW w:w="789"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3934" w:type="dxa"/>
                        <w:vMerge/>
                        <w:tcBorders>
                          <w:top w:val="single" w:sz="4" w:space="0" w:color="auto"/>
                          <w:left w:val="single" w:sz="4" w:space="0" w:color="auto"/>
                          <w:bottom w:val="single" w:sz="4" w:space="0" w:color="auto"/>
                          <w:right w:val="single" w:sz="4" w:space="0" w:color="auto"/>
                        </w:tcBorders>
                        <w:vAlign w:val="center"/>
                      </w:tcPr>
                      <w:p>
                        <w:pPr>
                          <w:shd w:val="clear" w:color="000000" w:fill="auto"/>
                          <w:rPr>
                            <w:sz w:val="18"/>
                            <w:szCs w:val="24"/>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0"/>
                    </w:trPr>
                    <w:tc>
                      <w:tcPr>
                        <w:tcW w:w="789"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8.</w:t>
                        </w:r>
                      </w:p>
                    </w:tc>
                    <w:tc>
                      <w:tcPr>
                        <w:tcW w:w="3934" w:type="dxa"/>
                        <w:vMerge w:val="restar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suppressAutoHyphens/>
                          <w:rPr>
                            <w:sz w:val="18"/>
                            <w:szCs w:val="24"/>
                            <w:lang w:eastAsia="lt-LT"/>
                          </w:rPr>
                        </w:pPr>
                        <w:r>
                          <w:rPr>
                            <w:sz w:val="18"/>
                            <w:szCs w:val="24"/>
                            <w:lang w:eastAsia="lt-LT"/>
                          </w:rPr>
                          <w:t>Iš viso (iš visų 6 ir 7 eilutėse nurodytų abonentų numatomų priimti nuotekų duomenys):</w:t>
                        </w:r>
                      </w:p>
                    </w:tc>
                    <w:tc>
                      <w:tcPr>
                        <w:tcW w:w="2344" w:type="dxa"/>
                        <w:vMerge w:val="restar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0"/>
                    </w:trPr>
                    <w:tc>
                      <w:tcPr>
                        <w:tcW w:w="789"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3934"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0"/>
                    </w:trPr>
                    <w:tc>
                      <w:tcPr>
                        <w:tcW w:w="789"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3934"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2344" w:type="dxa"/>
                        <w:vMerge/>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82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26"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c>
                      <w:tcPr>
                        <w:tcW w:w="115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4"/>
                            <w:szCs w:val="24"/>
                            <w:lang w:eastAsia="lt-LT"/>
                          </w:rPr>
                        </w:pPr>
                      </w:p>
                    </w:tc>
                  </w:tr>
                </w:tbl>
                <w:p>
                  <w:pPr>
                    <w:shd w:val="clear" w:color="000000" w:fill="auto"/>
                    <w:ind w:firstLine="567"/>
                    <w:rPr>
                      <w:sz w:val="18"/>
                      <w:szCs w:val="24"/>
                      <w:lang w:eastAsia="lt-LT"/>
                    </w:rPr>
                  </w:pPr>
                </w:p>
              </w:sdtContent>
            </w:sdt>
            <w:sdt>
              <w:sdtPr>
                <w:alias w:val="lentele"/>
                <w:tag w:val="part_c3f8962532df4740bf5ea6231bd13587"/>
                <w:lock w:val="sdtLocked"/>
                <w:richText/>
              </w:sdtPr>
              <w:sdtContent>
                <w:p>
                  <w:pPr>
                    <w:shd w:val="clear" w:color="000000" w:fill="auto"/>
                    <w:ind w:firstLine="567"/>
                    <w:rPr>
                      <w:sz w:val="22"/>
                      <w:szCs w:val="24"/>
                      <w:lang w:eastAsia="lt-LT"/>
                    </w:rPr>
                  </w:pPr>
                  <w:r>
                    <w:rPr>
                      <w:sz w:val="22"/>
                      <w:szCs w:val="24"/>
                      <w:lang w:eastAsia="lt-LT"/>
                    </w:rPr>
                    <w:t xml:space="preserve">22 lentelė. </w:t>
                  </w:r>
                  <w:sdt>
                    <w:sdtPr>
                      <w:alias w:val="Pavadinimas"/>
                      <w:tag w:val="title_c3f8962532df4740bf5ea6231bd13587"/>
                      <w:lock w:val="sdtLocked"/>
                      <w:richText/>
                    </w:sdtPr>
                    <w:sdtContent>
                      <w:r>
                        <w:rPr>
                          <w:sz w:val="22"/>
                          <w:szCs w:val="24"/>
                          <w:lang w:eastAsia="lt-LT"/>
                        </w:rPr>
                        <w:t>Nuotekų apskaitos įrenginiai</w:t>
                      </w:r>
                    </w:sdtContent>
                  </w:sdt>
                </w:p>
                <w:p>
                  <w:pPr>
                    <w:shd w:val="clear" w:color="000000" w:fill="auto"/>
                    <w:ind w:firstLine="567"/>
                    <w:jc w:val="both"/>
                    <w:rPr>
                      <w:sz w:val="18"/>
                      <w:szCs w:val="24"/>
                      <w:lang w:eastAsia="lt-LT"/>
                    </w:rPr>
                  </w:pPr>
                </w:p>
                <w:tbl>
                  <w:tblPr>
                    <w:tblW w:w="134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05"/>
                    <w:gridCol w:w="1873"/>
                    <w:gridCol w:w="4150"/>
                    <w:gridCol w:w="6600"/>
                  </w:tblGrid>
                  <w:tr>
                    <w:trPr>
                      <w:cantSplit/>
                    </w:trPr>
                    <w:tc>
                      <w:tcPr>
                        <w:tcW w:w="805"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vertAlign w:val="superscript"/>
                            <w:lang w:eastAsia="lt-LT"/>
                          </w:rPr>
                        </w:pPr>
                        <w:r>
                          <w:rPr>
                            <w:sz w:val="18"/>
                            <w:szCs w:val="24"/>
                            <w:lang w:eastAsia="lt-LT"/>
                          </w:rPr>
                          <w:t>Eil. Nr.</w:t>
                        </w:r>
                        <w:r>
                          <w:rPr>
                            <w:sz w:val="18"/>
                            <w:szCs w:val="24"/>
                            <w:vertAlign w:val="superscript"/>
                            <w:lang w:eastAsia="lt-LT"/>
                          </w:rPr>
                          <w:t xml:space="preserve"> </w:t>
                        </w:r>
                      </w:p>
                    </w:tc>
                    <w:tc>
                      <w:tcPr>
                        <w:tcW w:w="187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vertAlign w:val="superscript"/>
                            <w:lang w:eastAsia="lt-LT"/>
                          </w:rPr>
                        </w:pPr>
                        <w:r>
                          <w:rPr>
                            <w:sz w:val="18"/>
                            <w:szCs w:val="24"/>
                            <w:lang w:eastAsia="lt-LT"/>
                          </w:rPr>
                          <w:t>Išleistuvo Nr.</w:t>
                        </w:r>
                      </w:p>
                    </w:tc>
                    <w:tc>
                      <w:tcPr>
                        <w:tcW w:w="4150"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Apskaitos prietaiso vieta</w:t>
                        </w:r>
                      </w:p>
                    </w:tc>
                    <w:tc>
                      <w:tcPr>
                        <w:tcW w:w="6600"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Apskaitos prietaiso registracijos duomenys</w:t>
                        </w:r>
                      </w:p>
                    </w:tc>
                  </w:tr>
                  <w:tr>
                    <w:trPr>
                      <w:cantSplit/>
                    </w:trPr>
                    <w:tc>
                      <w:tcPr>
                        <w:tcW w:w="805"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1</w:t>
                        </w:r>
                      </w:p>
                    </w:tc>
                    <w:tc>
                      <w:tcPr>
                        <w:tcW w:w="187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2</w:t>
                        </w:r>
                      </w:p>
                    </w:tc>
                    <w:tc>
                      <w:tcPr>
                        <w:tcW w:w="4150"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3</w:t>
                        </w:r>
                      </w:p>
                    </w:tc>
                    <w:tc>
                      <w:tcPr>
                        <w:tcW w:w="6600"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r>
                          <w:rPr>
                            <w:sz w:val="18"/>
                            <w:szCs w:val="24"/>
                            <w:lang w:eastAsia="lt-LT"/>
                          </w:rPr>
                          <w:t>4</w:t>
                        </w:r>
                      </w:p>
                    </w:tc>
                  </w:tr>
                  <w:tr>
                    <w:trPr>
                      <w:cantSplit/>
                    </w:trPr>
                    <w:tc>
                      <w:tcPr>
                        <w:tcW w:w="805"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87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4150"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6600"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r>
                    <w:trPr>
                      <w:cantSplit/>
                    </w:trPr>
                    <w:tc>
                      <w:tcPr>
                        <w:tcW w:w="805"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1873"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4150"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c>
                      <w:tcPr>
                        <w:tcW w:w="6600"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z w:val="18"/>
                            <w:szCs w:val="24"/>
                            <w:lang w:eastAsia="lt-LT"/>
                          </w:rPr>
                        </w:pPr>
                      </w:p>
                    </w:tc>
                  </w:tr>
                </w:tbl>
                <w:p>
                  <w:pPr>
                    <w:shd w:val="clear" w:color="000000" w:fill="auto"/>
                    <w:ind w:firstLine="567"/>
                    <w:jc w:val="center"/>
                    <w:rPr>
                      <w:b/>
                      <w:sz w:val="22"/>
                      <w:szCs w:val="24"/>
                      <w:lang w:eastAsia="lt-LT"/>
                    </w:rPr>
                  </w:pPr>
                </w:p>
              </w:sdtContent>
            </w:sdt>
          </w:sdtContent>
        </w:sdt>
        <w:sdt>
          <w:sdtPr>
            <w:alias w:val="skyrius"/>
            <w:tag w:val="part_f2a0f2e0f26a40a68edc9661433c0130"/>
            <w:lock w:val="sdtLocked"/>
            <w:richText/>
          </w:sdtPr>
          <w:sdtContent>
            <w:p>
              <w:pPr>
                <w:shd w:val="clear" w:color="000000" w:fill="auto"/>
                <w:ind w:firstLine="567"/>
                <w:jc w:val="center"/>
                <w:rPr>
                  <w:b/>
                  <w:sz w:val="22"/>
                  <w:szCs w:val="24"/>
                  <w:lang w:eastAsia="lt-LT"/>
                </w:rPr>
              </w:pPr>
              <w:sdt>
                <w:sdtPr>
                  <w:alias w:val="Numeris"/>
                  <w:tag w:val="nr_f2a0f2e0f26a40a68edc9661433c0130"/>
                  <w:lock w:val="sdtLocked"/>
                  <w:richText/>
                </w:sdtPr>
                <w:sdtContent>
                  <w:r>
                    <w:rPr>
                      <w:b/>
                      <w:sz w:val="22"/>
                      <w:szCs w:val="24"/>
                      <w:lang w:eastAsia="lt-LT"/>
                    </w:rPr>
                    <w:t>IX</w:t>
                  </w:r>
                </w:sdtContent>
              </w:sdt>
              <w:r>
                <w:rPr>
                  <w:b/>
                  <w:sz w:val="22"/>
                  <w:szCs w:val="24"/>
                  <w:lang w:eastAsia="lt-LT"/>
                </w:rPr>
                <w:t xml:space="preserve">. </w:t>
              </w:r>
              <w:sdt>
                <w:sdtPr>
                  <w:alias w:val="Pavadinimas"/>
                  <w:tag w:val="title_f2a0f2e0f26a40a68edc9661433c0130"/>
                  <w:lock w:val="sdtLocked"/>
                  <w:richText/>
                </w:sdtPr>
                <w:sdtContent>
                  <w:r>
                    <w:rPr>
                      <w:b/>
                      <w:sz w:val="22"/>
                      <w:szCs w:val="24"/>
                      <w:lang w:eastAsia="lt-LT"/>
                    </w:rPr>
                    <w:t>DIRVOŽEMIO IR POŽEMINIO VANDENS APSAUGA</w:t>
                  </w:r>
                </w:sdtContent>
              </w:sdt>
            </w:p>
            <w:p>
              <w:pPr>
                <w:shd w:val="clear" w:color="000000" w:fill="auto"/>
                <w:ind w:firstLine="567"/>
                <w:jc w:val="both"/>
                <w:rPr>
                  <w:sz w:val="22"/>
                  <w:szCs w:val="24"/>
                  <w:lang w:eastAsia="lt-LT"/>
                </w:rPr>
              </w:pPr>
            </w:p>
            <w:sdt>
              <w:sdtPr>
                <w:alias w:val="4 pr. 20 p."/>
                <w:tag w:val="part_fa581e75621d48eeb6d5c4bb515a3acc"/>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 w:val="22"/>
                      <w:szCs w:val="24"/>
                      <w:u w:val="single"/>
                      <w:lang w:eastAsia="lt-LT"/>
                    </w:rPr>
                  </w:pPr>
                  <w:sdt>
                    <w:sdtPr>
                      <w:alias w:val="Numeris"/>
                      <w:tag w:val="nr_fa581e75621d48eeb6d5c4bb515a3acc"/>
                      <w:lock w:val="sdtLocked"/>
                      <w:richText/>
                    </w:sdtPr>
                    <w:sdtContent>
                      <w:r>
                        <w:rPr>
                          <w:sz w:val="22"/>
                          <w:szCs w:val="24"/>
                          <w:lang w:eastAsia="lt-LT"/>
                        </w:rPr>
                        <w:t>20</w:t>
                      </w:r>
                    </w:sdtContent>
                  </w:sdt>
                  <w:r>
                    <w:rPr>
                      <w:sz w:val="22"/>
                      <w:szCs w:val="24"/>
                      <w:lang w:eastAsia="lt-LT"/>
                    </w:rPr>
                    <w:t>. Dirvožemio ir požeminio vandens užterštumas. Duomenys apie žinomą įmonės teritorijos dirvožemio ir (ar) požeminio vandens taršą, nurodant galimas priežastis, kodėl šis užteršimas įvyko arba vyksta tiek dirvos paviršiuje, tiek gilesniuose dirvos sluoksniuose, jei nerengiama užterštumo būklės ataskaita. Galima žemės tarša esant neįprastoms (neatitiktinėms) veiklos sąlygoms ir priemonės galimai taršai esant tokioms sąlygoms išvengti ar ją riboti.</w:t>
                  </w:r>
                  <w:r>
                    <w:rPr>
                      <w:sz w:val="22"/>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Content>
        </w:sdt>
        <w:sdt>
          <w:sdtPr>
            <w:alias w:val="skyrius"/>
            <w:tag w:val="part_3974099d2e784171bd4ab8c75234b282"/>
            <w:lock w:val="sdtLocked"/>
            <w:richText/>
          </w:sdtPr>
          <w:sdtContent>
            <w:p>
              <w:pPr>
                <w:shd w:val="clear" w:color="000000" w:fill="auto"/>
                <w:ind w:firstLine="567"/>
                <w:jc w:val="center"/>
                <w:rPr>
                  <w:b/>
                  <w:sz w:val="22"/>
                  <w:szCs w:val="24"/>
                  <w:lang w:eastAsia="lt-LT"/>
                </w:rPr>
              </w:pPr>
              <w:sdt>
                <w:sdtPr>
                  <w:alias w:val="Numeris"/>
                  <w:tag w:val="nr_3974099d2e784171bd4ab8c75234b282"/>
                  <w:lock w:val="sdtLocked"/>
                  <w:richText/>
                </w:sdtPr>
                <w:sdtContent>
                  <w:r>
                    <w:rPr>
                      <w:b/>
                      <w:sz w:val="22"/>
                      <w:szCs w:val="24"/>
                      <w:lang w:eastAsia="lt-LT"/>
                    </w:rPr>
                    <w:t>X</w:t>
                  </w:r>
                </w:sdtContent>
              </w:sdt>
              <w:r>
                <w:rPr>
                  <w:b/>
                  <w:sz w:val="22"/>
                  <w:szCs w:val="24"/>
                  <w:lang w:eastAsia="lt-LT"/>
                </w:rPr>
                <w:t xml:space="preserve">. </w:t>
              </w:r>
              <w:sdt>
                <w:sdtPr>
                  <w:alias w:val="Pavadinimas"/>
                  <w:tag w:val="title_3974099d2e784171bd4ab8c75234b282"/>
                  <w:lock w:val="sdtLocked"/>
                  <w:richText/>
                </w:sdtPr>
                <w:sdtContent>
                  <w:r>
                    <w:rPr>
                      <w:b/>
                      <w:sz w:val="22"/>
                      <w:szCs w:val="24"/>
                      <w:lang w:eastAsia="lt-LT"/>
                    </w:rPr>
                    <w:t>TRĘŠIMAS</w:t>
                  </w:r>
                </w:sdtContent>
              </w:sdt>
            </w:p>
            <w:p>
              <w:pPr>
                <w:shd w:val="clear" w:color="000000" w:fill="auto"/>
                <w:ind w:firstLine="567"/>
                <w:jc w:val="both"/>
                <w:rPr>
                  <w:sz w:val="22"/>
                  <w:szCs w:val="24"/>
                  <w:u w:val="single"/>
                  <w:lang w:eastAsia="lt-LT"/>
                </w:rPr>
              </w:pPr>
            </w:p>
            <w:sdt>
              <w:sdtPr>
                <w:alias w:val="4 pr. 21 p."/>
                <w:tag w:val="part_fcb578c2e86640319ef0bed335d84ad9"/>
                <w:lock w:val="sdtLocked"/>
                <w:richText/>
              </w:sdtPr>
              <w:sdtContent>
                <w:p>
                  <w:pPr>
                    <w:shd w:val="clear" w:color="000000" w:fill="auto"/>
                    <w:ind w:firstLine="567"/>
                    <w:jc w:val="both"/>
                    <w:rPr>
                      <w:sz w:val="22"/>
                      <w:szCs w:val="24"/>
                      <w:lang w:eastAsia="lt-LT"/>
                    </w:rPr>
                  </w:pPr>
                  <w:sdt>
                    <w:sdtPr>
                      <w:alias w:val="Numeris"/>
                      <w:tag w:val="nr_fcb578c2e86640319ef0bed335d84ad9"/>
                      <w:lock w:val="sdtLocked"/>
                      <w:richText/>
                    </w:sdtPr>
                    <w:sdtContent>
                      <w:r>
                        <w:rPr>
                          <w:sz w:val="22"/>
                          <w:szCs w:val="24"/>
                          <w:lang w:eastAsia="lt-LT"/>
                        </w:rPr>
                        <w:t>21</w:t>
                      </w:r>
                    </w:sdtContent>
                  </w:sdt>
                  <w:r>
                    <w:rPr>
                      <w:sz w:val="22"/>
                      <w:szCs w:val="24"/>
                      <w:lang w:eastAsia="lt-LT"/>
                    </w:rPr>
                    <w:t xml:space="preserve">. Informacija apie biologiškai skaidžių atliekų naudojimą tręšimui žemės ūkyje.  </w:t>
                  </w:r>
                </w:p>
              </w:sdtContent>
            </w:sdt>
            <w:sdt>
              <w:sdtPr>
                <w:alias w:val="4 pr. 22 p."/>
                <w:tag w:val="part_bcb599b1165c481180e0b4580f90eeb5"/>
                <w:lock w:val="sdtLocked"/>
                <w:richText/>
              </w:sdtPr>
              <w:sdtContent>
                <w:p>
                  <w:pPr>
                    <w:shd w:val="clear" w:color="000000" w:fill="auto"/>
                    <w:ind w:firstLine="567"/>
                    <w:jc w:val="both"/>
                    <w:rPr>
                      <w:sz w:val="22"/>
                      <w:szCs w:val="24"/>
                      <w:lang w:eastAsia="lt-LT"/>
                    </w:rPr>
                  </w:pPr>
                  <w:sdt>
                    <w:sdtPr>
                      <w:alias w:val="Numeris"/>
                      <w:tag w:val="nr_bcb599b1165c481180e0b4580f90eeb5"/>
                      <w:lock w:val="sdtLocked"/>
                      <w:richText/>
                    </w:sdtPr>
                    <w:sdtContent>
                      <w:r>
                        <w:rPr>
                          <w:sz w:val="22"/>
                          <w:szCs w:val="24"/>
                          <w:lang w:eastAsia="lt-LT"/>
                        </w:rPr>
                        <w:t>22</w:t>
                      </w:r>
                    </w:sdtContent>
                  </w:sdt>
                  <w:r>
                    <w:rPr>
                      <w:sz w:val="22"/>
                      <w:szCs w:val="24"/>
                      <w:lang w:eastAsia="lt-LT"/>
                    </w:rPr>
                    <w:t xml:space="preserve">. Informacija apie laukų tręšimą mėšlu ir (ar) srutomis. </w:t>
                  </w:r>
                </w:p>
                <w:p>
                  <w:pPr>
                    <w:shd w:val="clear" w:color="000000" w:fill="auto"/>
                    <w:ind w:firstLine="567"/>
                    <w:jc w:val="both"/>
                    <w:rPr>
                      <w:sz w:val="22"/>
                      <w:szCs w:val="24"/>
                      <w:lang w:eastAsia="lt-LT"/>
                    </w:rPr>
                  </w:pPr>
                </w:p>
              </w:sdtContent>
            </w:sdt>
          </w:sdtContent>
        </w:sdt>
        <w:sdt>
          <w:sdtPr>
            <w:alias w:val="skyrius"/>
            <w:tag w:val="part_c128be2833434b33a8ccd5b7263bb08e"/>
            <w:lock w:val="sdtLocked"/>
            <w:richText/>
          </w:sdtPr>
          <w:sdtContent>
            <w:p>
              <w:pPr>
                <w:widowControl w:val="0"/>
                <w:shd w:val="clear" w:color="000000" w:fill="auto"/>
                <w:ind w:firstLine="567"/>
                <w:jc w:val="center"/>
              </w:pPr>
              <w:sdt>
                <w:sdtPr>
                  <w:alias w:val="Numeris"/>
                  <w:tag w:val="nr_c128be2833434b33a8ccd5b7263bb08e"/>
                  <w:lock w:val="sdtLocked"/>
                  <w:richText/>
                </w:sdtPr>
                <w:sdtContent>
                  <w:r>
                    <w:rPr>
                      <w:b/>
                      <w:color w:val="000000"/>
                      <w:szCs w:val="24"/>
                      <w:lang w:eastAsia="lt-LT"/>
                    </w:rPr>
                    <w:t>XI</w:t>
                  </w:r>
                </w:sdtContent>
              </w:sdt>
              <w:r>
                <w:rPr>
                  <w:b/>
                  <w:color w:val="000000"/>
                  <w:szCs w:val="24"/>
                  <w:lang w:eastAsia="lt-LT"/>
                </w:rPr>
                <w:t xml:space="preserve">. </w:t>
              </w:r>
              <w:sdt>
                <w:sdtPr>
                  <w:alias w:val="Pavadinimas"/>
                  <w:tag w:val="title_c128be2833434b33a8ccd5b7263bb08e"/>
                  <w:lock w:val="sdtLocked"/>
                  <w:richText/>
                </w:sdtPr>
                <w:sdtContent>
                  <w:r>
                    <w:rPr>
                      <w:b/>
                      <w:color w:val="000000"/>
                      <w:szCs w:val="24"/>
                      <w:lang w:eastAsia="lt-LT"/>
                    </w:rPr>
                    <w:t xml:space="preserve">NUMATOMAS ATLIEKŲ SUSIDARYMAS, APDOROJIMAS (NAUDOJIMAS AR ŠALINIMAS, </w:t>
                  </w:r>
                  <w:r>
                    <w:rPr>
                      <w:b/>
                      <w:szCs w:val="24"/>
                      <w:lang w:eastAsia="lt-LT"/>
                    </w:rPr>
                    <w:t xml:space="preserve">ĮSKAITANT LAIKYMĄ IR </w:t>
                  </w:r>
                  <w:r>
                    <w:rPr>
                      <w:b/>
                      <w:color w:val="000000"/>
                      <w:szCs w:val="24"/>
                      <w:lang w:eastAsia="lt-LT"/>
                    </w:rPr>
                    <w:t>PARUOŠIMĄ NAUDOTI AR ŠALINTI)</w:t>
                  </w:r>
                </w:sdtContent>
              </w:sdt>
            </w:p>
            <w:p>
              <w:pPr>
                <w:widowControl w:val="0"/>
                <w:shd w:val="clear" w:color="000000" w:fill="auto"/>
                <w:ind w:firstLine="567"/>
                <w:jc w:val="center"/>
                <w:rPr>
                  <w:b/>
                  <w:strike/>
                  <w:color w:val="000000"/>
                  <w:szCs w:val="24"/>
                  <w:lang w:eastAsia="lt-LT"/>
                </w:rPr>
              </w:pPr>
            </w:p>
            <w:sdt>
              <w:sdtPr>
                <w:alias w:val="23 p."/>
                <w:tag w:val="part_eea0666241e04257b9cbbca19530ef28"/>
                <w:lock w:val="sdtLocked"/>
                <w:richText/>
              </w:sdtPr>
              <w:sdtContent>
                <w:p>
                  <w:pPr>
                    <w:widowControl w:val="0"/>
                    <w:shd w:val="clear" w:color="000000" w:fill="auto"/>
                    <w:ind w:firstLine="567"/>
                    <w:jc w:val="both"/>
                    <w:rPr>
                      <w:color w:val="000000"/>
                      <w:szCs w:val="24"/>
                      <w:lang w:eastAsia="lt-LT"/>
                    </w:rPr>
                  </w:pPr>
                  <w:sdt>
                    <w:sdtPr>
                      <w:alias w:val="Numeris"/>
                      <w:tag w:val="nr_eea0666241e04257b9cbbca19530ef28"/>
                      <w:lock w:val="sdtLocked"/>
                      <w:richText/>
                    </w:sdtPr>
                    <w:sdtContent>
                      <w:r>
                        <w:rPr>
                          <w:color w:val="000000"/>
                          <w:szCs w:val="24"/>
                          <w:lang w:eastAsia="lt-LT"/>
                        </w:rPr>
                        <w:t>23</w:t>
                      </w:r>
                    </w:sdtContent>
                  </w:sdt>
                  <w:r>
                    <w:rPr>
                      <w:color w:val="000000"/>
                      <w:szCs w:val="24"/>
                      <w:lang w:eastAsia="lt-LT"/>
                    </w:rPr>
                    <w:t>. Atliekų susidarymas. Numatomos atliekų prevencijos priemonės ir kitos priemonės, užtikrinančios įmonėje susidarančių atliekų (atliekos pavadinimas, kodas) tvarkymą laikantis nustatytų atliekų tvarkymo principų bei visuomenės sveikatos ir aplinkos apsaugą.</w:t>
                  </w:r>
                </w:p>
              </w:sdtContent>
            </w:sdt>
            <w:sdt>
              <w:sdtPr>
                <w:alias w:val="4 pr. 24 p."/>
                <w:tag w:val="part_5d408a24544740c184c7e5cfa2e47549"/>
                <w:lock w:val="sdtLocked"/>
                <w:richText/>
              </w:sdtPr>
              <w:sdtContent>
                <w:p>
                  <w:pPr>
                    <w:shd w:val="clear" w:color="000000" w:fill="auto"/>
                    <w:suppressAutoHyphens/>
                    <w:ind w:firstLine="567"/>
                    <w:jc w:val="both"/>
                    <w:textAlignment w:val="baseline"/>
                    <w:rPr>
                      <w:color w:val="000000"/>
                      <w:szCs w:val="24"/>
                      <w:lang w:eastAsia="lt-LT"/>
                    </w:rPr>
                  </w:pPr>
                  <w:sdt>
                    <w:sdtPr>
                      <w:alias w:val="Numeris"/>
                      <w:tag w:val="nr_5d408a24544740c184c7e5cfa2e47549"/>
                      <w:lock w:val="sdtLocked"/>
                      <w:richText/>
                    </w:sdtPr>
                    <w:sdtContent>
                      <w:r>
                        <w:rPr>
                          <w:color w:val="000000"/>
                          <w:szCs w:val="24"/>
                          <w:lang w:eastAsia="lt-LT"/>
                        </w:rPr>
                        <w:t>24</w:t>
                      </w:r>
                    </w:sdtContent>
                  </w:sdt>
                  <w:r>
                    <w:rPr>
                      <w:color w:val="000000"/>
                      <w:szCs w:val="24"/>
                      <w:lang w:eastAsia="lt-LT"/>
                    </w:rPr>
                    <w:t>. Atliekų apdorojimas (naudojimas ar šalinimas, įskaitant laikymą ir paruošimą naudoti ar šalinti)</w:t>
                  </w:r>
                </w:p>
                <w:sdt>
                  <w:sdtPr>
                    <w:alias w:val="24.1 pp."/>
                    <w:tag w:val="part_9df6c93e04f24f068967a094c89e0baf"/>
                    <w:lock w:val="sdtLocked"/>
                    <w:richText/>
                  </w:sdtPr>
                  <w:sdtContent>
                    <w:p>
                      <w:pPr>
                        <w:shd w:val="clear" w:color="000000" w:fill="auto"/>
                        <w:ind w:firstLine="567"/>
                        <w:jc w:val="both"/>
                        <w:rPr>
                          <w:color w:val="000000"/>
                          <w:szCs w:val="24"/>
                          <w:lang w:eastAsia="lt-LT"/>
                        </w:rPr>
                      </w:pPr>
                      <w:sdt>
                        <w:sdtPr>
                          <w:alias w:val="Numeris"/>
                          <w:tag w:val="nr_9df6c93e04f24f068967a094c89e0baf"/>
                          <w:lock w:val="sdtLocked"/>
                          <w:richText/>
                        </w:sdtPr>
                        <w:sdtContent>
                          <w:r>
                            <w:rPr>
                              <w:color w:val="000000"/>
                              <w:szCs w:val="24"/>
                              <w:lang w:eastAsia="lt-LT"/>
                            </w:rPr>
                            <w:t>24.1</w:t>
                          </w:r>
                        </w:sdtContent>
                      </w:sdt>
                      <w:r>
                        <w:rPr>
                          <w:color w:val="000000"/>
                          <w:szCs w:val="24"/>
                          <w:lang w:eastAsia="lt-LT"/>
                        </w:rPr>
                        <w:t>. Nepavojingosios atliekos</w:t>
                      </w:r>
                    </w:p>
                    <w:p>
                      <w:pPr>
                        <w:widowControl w:val="0"/>
                        <w:shd w:val="clear" w:color="000000" w:fill="auto"/>
                        <w:suppressAutoHyphens/>
                        <w:ind w:firstLine="567"/>
                        <w:jc w:val="both"/>
                        <w:textAlignment w:val="baseline"/>
                        <w:rPr>
                          <w:b/>
                          <w:color w:val="000000"/>
                          <w:szCs w:val="24"/>
                          <w:lang w:eastAsia="lt-LT"/>
                        </w:rPr>
                      </w:pPr>
                    </w:p>
                    <w:p>
                      <w:pPr>
                        <w:widowControl w:val="0"/>
                        <w:shd w:val="clear" w:color="000000" w:fill="auto"/>
                        <w:suppressAutoHyphens/>
                        <w:ind w:firstLine="567"/>
                        <w:jc w:val="both"/>
                        <w:textAlignment w:val="baseline"/>
                        <w:rPr>
                          <w:color w:val="000000"/>
                          <w:szCs w:val="24"/>
                          <w:lang w:eastAsia="lt-LT"/>
                        </w:rPr>
                      </w:pPr>
                      <w:r>
                        <w:rPr>
                          <w:b/>
                          <w:color w:val="000000"/>
                          <w:szCs w:val="24"/>
                          <w:lang w:eastAsia="lt-LT"/>
                        </w:rPr>
                        <w:t>23 lentelė.</w:t>
                      </w:r>
                      <w:r>
                        <w:rPr>
                          <w:color w:val="000000"/>
                          <w:szCs w:val="24"/>
                          <w:lang w:eastAsia="lt-LT"/>
                        </w:rPr>
                        <w:t xml:space="preserve"> Numatomos naudoti, </w:t>
                      </w:r>
                      <w:r>
                        <w:rPr>
                          <w:szCs w:val="24"/>
                          <w:lang w:eastAsia="lt-LT"/>
                        </w:rPr>
                        <w:t xml:space="preserve">išskyrus numatomas laikyti ir paruošti naudoti, </w:t>
                      </w:r>
                      <w:r>
                        <w:rPr>
                          <w:color w:val="000000"/>
                          <w:szCs w:val="24"/>
                          <w:lang w:eastAsia="lt-LT"/>
                        </w:rPr>
                        <w:t>nepavojingosios atliekos</w:t>
                      </w:r>
                    </w:p>
                    <w:p>
                      <w:pPr>
                        <w:widowControl w:val="0"/>
                        <w:shd w:val="clear" w:color="000000" w:fill="auto"/>
                        <w:suppressAutoHyphens/>
                        <w:ind w:firstLine="567"/>
                        <w:jc w:val="both"/>
                        <w:textAlignment w:val="baseline"/>
                        <w:rPr>
                          <w:color w:val="000000"/>
                          <w:szCs w:val="24"/>
                          <w:lang w:eastAsia="lt-LT"/>
                        </w:rPr>
                      </w:pPr>
                    </w:p>
                    <w:p>
                      <w:pPr>
                        <w:widowControl w:val="0"/>
                        <w:shd w:val="clear" w:color="000000" w:fill="auto"/>
                        <w:suppressAutoHyphens/>
                        <w:jc w:val="both"/>
                        <w:textAlignment w:val="baseline"/>
                        <w:rPr>
                          <w:color w:val="000000"/>
                          <w:szCs w:val="24"/>
                          <w:lang w:eastAsia="lt-LT"/>
                        </w:rPr>
                      </w:pPr>
                      <w:r>
                        <w:rPr>
                          <w:color w:val="000000"/>
                          <w:szCs w:val="24"/>
                          <w:lang w:eastAsia="lt-LT"/>
                        </w:rPr>
                        <w:t>Įrenginio pavadinimas</w:t>
                      </w:r>
                      <w:r>
                        <w:rPr>
                          <w:rFonts w:ascii="Symbol" w:eastAsia="Symbol" w:hAnsi="Symbol" w:cs="Symbol"/>
                          <w:color w:val="000000"/>
                          <w:szCs w:val="24"/>
                          <w:lang w:eastAsia="lt-LT"/>
                        </w:rPr>
                        <w:t></w:t>
                      </w:r>
                    </w:p>
                    <w:p>
                      <w:pPr>
                        <w:widowControl w:val="0"/>
                        <w:shd w:val="clear" w:color="000000" w:fill="auto"/>
                        <w:suppressAutoHyphens/>
                        <w:ind w:firstLine="567"/>
                        <w:jc w:val="both"/>
                        <w:textAlignment w:val="baseline"/>
                        <w:rPr>
                          <w:color w:val="00000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1"/>
                        <w:gridCol w:w="1053"/>
                        <w:gridCol w:w="1891"/>
                        <w:gridCol w:w="3601"/>
                        <w:gridCol w:w="3579"/>
                        <w:gridCol w:w="3358"/>
                      </w:tblGrid>
                      <w:tr>
                        <w:trPr>
                          <w:cantSplit/>
                          <w:trHeight w:val="538"/>
                        </w:trPr>
                        <w:tc>
                          <w:tcPr>
                            <w:tcW w:w="287" w:type="pct"/>
                            <w:vMerge w:val="restart"/>
                            <w:tcBorders>
                              <w:top w:val="single" w:sz="4" w:space="0" w:color="auto"/>
                              <w:left w:val="single" w:sz="4" w:space="0" w:color="auto"/>
                              <w:right w:val="single" w:sz="4" w:space="0" w:color="auto"/>
                            </w:tcBorders>
                            <w:vAlign w:val="center"/>
                          </w:tcPr>
                          <w:p>
                            <w:pPr>
                              <w:widowControl w:val="0"/>
                              <w:shd w:val="clear" w:color="000000" w:fill="auto"/>
                              <w:suppressAutoHyphens/>
                              <w:jc w:val="center"/>
                              <w:textAlignment w:val="baseline"/>
                              <w:rPr>
                                <w:color w:val="000000"/>
                                <w:sz w:val="20"/>
                                <w:lang w:eastAsia="lt-LT"/>
                              </w:rPr>
                            </w:pPr>
                            <w:r>
                              <w:rPr>
                                <w:color w:val="000000"/>
                                <w:sz w:val="20"/>
                                <w:lang w:eastAsia="lt-LT"/>
                              </w:rPr>
                              <w:t>Eil. Nr.</w:t>
                            </w:r>
                          </w:p>
                        </w:tc>
                        <w:tc>
                          <w:tcPr>
                            <w:tcW w:w="2288" w:type="pct"/>
                            <w:gridSpan w:val="3"/>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widowControl w:val="0"/>
                              <w:shd w:val="clear" w:color="000000" w:fill="auto"/>
                              <w:suppressAutoHyphens/>
                              <w:jc w:val="center"/>
                              <w:textAlignment w:val="baseline"/>
                              <w:rPr>
                                <w:color w:val="000000"/>
                                <w:sz w:val="20"/>
                                <w:lang w:eastAsia="lt-LT"/>
                              </w:rPr>
                            </w:pPr>
                            <w:r>
                              <w:rPr>
                                <w:color w:val="000000"/>
                                <w:sz w:val="20"/>
                                <w:lang w:eastAsia="lt-LT"/>
                              </w:rPr>
                              <w:t xml:space="preserve">Numatomos naudoti, </w:t>
                            </w:r>
                            <w:r>
                              <w:rPr>
                                <w:sz w:val="20"/>
                                <w:lang w:eastAsia="lt-LT"/>
                              </w:rPr>
                              <w:t xml:space="preserve">išskyrus numatomas laikyti ir paruošti naudoti, </w:t>
                            </w:r>
                            <w:r>
                              <w:rPr>
                                <w:color w:val="000000"/>
                                <w:sz w:val="20"/>
                                <w:lang w:eastAsia="lt-LT"/>
                              </w:rPr>
                              <w:t>atliekos</w:t>
                            </w:r>
                          </w:p>
                        </w:tc>
                        <w:tc>
                          <w:tcPr>
                            <w:tcW w:w="2425" w:type="pct"/>
                            <w:gridSpan w:val="2"/>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widowControl w:val="0"/>
                              <w:shd w:val="clear" w:color="000000" w:fill="auto"/>
                              <w:suppressAutoHyphens/>
                              <w:jc w:val="center"/>
                              <w:textAlignment w:val="baseline"/>
                              <w:rPr>
                                <w:color w:val="000000"/>
                                <w:sz w:val="20"/>
                                <w:lang w:eastAsia="lt-LT"/>
                              </w:rPr>
                            </w:pPr>
                            <w:r>
                              <w:rPr>
                                <w:color w:val="000000"/>
                                <w:sz w:val="20"/>
                                <w:lang w:eastAsia="lt-LT"/>
                              </w:rPr>
                              <w:t xml:space="preserve">Atliekų </w:t>
                            </w:r>
                            <w:r>
                              <w:rPr>
                                <w:sz w:val="20"/>
                                <w:lang w:eastAsia="lt-LT"/>
                              </w:rPr>
                              <w:t>naudojimas</w:t>
                            </w:r>
                          </w:p>
                        </w:tc>
                      </w:tr>
                      <w:tr>
                        <w:trPr>
                          <w:cantSplit/>
                          <w:trHeight w:val="619"/>
                        </w:trPr>
                        <w:tc>
                          <w:tcPr>
                            <w:tcW w:w="287" w:type="pct"/>
                            <w:vMerge/>
                            <w:tcBorders>
                              <w:left w:val="single" w:sz="4" w:space="0" w:color="auto"/>
                              <w:bottom w:val="single" w:sz="4" w:space="0" w:color="auto"/>
                              <w:right w:val="single" w:sz="4" w:space="0" w:color="auto"/>
                            </w:tcBorders>
                            <w:vAlign w:val="center"/>
                          </w:tcPr>
                          <w:p>
                            <w:pPr>
                              <w:widowControl w:val="0"/>
                              <w:shd w:val="clear" w:color="000000" w:fill="auto"/>
                              <w:suppressAutoHyphens/>
                              <w:jc w:val="center"/>
                              <w:textAlignment w:val="baseline"/>
                              <w:rPr>
                                <w:color w:val="000000"/>
                                <w:sz w:val="20"/>
                                <w:lang w:eastAsia="lt-LT"/>
                              </w:rPr>
                            </w:pPr>
                          </w:p>
                        </w:tc>
                        <w:tc>
                          <w:tcPr>
                            <w:tcW w:w="368"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widowControl w:val="0"/>
                              <w:shd w:val="clear" w:color="000000" w:fill="auto"/>
                              <w:suppressAutoHyphens/>
                              <w:jc w:val="center"/>
                              <w:textAlignment w:val="baseline"/>
                              <w:rPr>
                                <w:color w:val="000000"/>
                                <w:sz w:val="20"/>
                                <w:vertAlign w:val="superscript"/>
                                <w:lang w:eastAsia="lt-LT"/>
                              </w:rPr>
                            </w:pPr>
                            <w:r>
                              <w:rPr>
                                <w:color w:val="000000"/>
                                <w:sz w:val="20"/>
                                <w:lang w:eastAsia="lt-LT"/>
                              </w:rPr>
                              <w:t>Kodas</w:t>
                            </w:r>
                          </w:p>
                        </w:tc>
                        <w:tc>
                          <w:tcPr>
                            <w:tcW w:w="661"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widowControl w:val="0"/>
                              <w:shd w:val="clear" w:color="000000" w:fill="auto"/>
                              <w:suppressAutoHyphens/>
                              <w:jc w:val="center"/>
                              <w:textAlignment w:val="baseline"/>
                              <w:rPr>
                                <w:color w:val="000000"/>
                                <w:sz w:val="20"/>
                                <w:lang w:eastAsia="lt-LT"/>
                              </w:rPr>
                            </w:pPr>
                            <w:r>
                              <w:rPr>
                                <w:color w:val="000000"/>
                                <w:sz w:val="20"/>
                                <w:lang w:eastAsia="lt-LT"/>
                              </w:rPr>
                              <w:t>Pavadinimas</w:t>
                            </w:r>
                          </w:p>
                        </w:tc>
                        <w:tc>
                          <w:tcPr>
                            <w:tcW w:w="1259"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widowControl w:val="0"/>
                              <w:shd w:val="clear" w:color="000000" w:fill="auto"/>
                              <w:suppressAutoHyphens/>
                              <w:jc w:val="center"/>
                              <w:textAlignment w:val="baseline"/>
                              <w:rPr>
                                <w:color w:val="000000"/>
                                <w:sz w:val="20"/>
                                <w:lang w:eastAsia="lt-LT"/>
                              </w:rPr>
                            </w:pPr>
                            <w:r>
                              <w:rPr>
                                <w:color w:val="000000"/>
                                <w:sz w:val="20"/>
                                <w:lang w:eastAsia="lt-LT"/>
                              </w:rPr>
                              <w:t>Patikslintas pavadinimas</w:t>
                            </w:r>
                          </w:p>
                        </w:tc>
                        <w:tc>
                          <w:tcPr>
                            <w:tcW w:w="1251"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widowControl w:val="0"/>
                              <w:shd w:val="clear" w:color="000000" w:fill="auto"/>
                              <w:suppressAutoHyphens/>
                              <w:jc w:val="center"/>
                              <w:textAlignment w:val="baseline"/>
                              <w:rPr>
                                <w:color w:val="000000"/>
                                <w:sz w:val="20"/>
                                <w:lang w:eastAsia="lt-LT"/>
                              </w:rPr>
                            </w:pPr>
                            <w:r>
                              <w:rPr>
                                <w:color w:val="000000"/>
                                <w:sz w:val="20"/>
                                <w:lang w:eastAsia="lt-LT"/>
                              </w:rPr>
                              <w:t>Atliekos naudojimo veiklos kodas (R1–R11)</w:t>
                            </w:r>
                          </w:p>
                        </w:tc>
                        <w:tc>
                          <w:tcPr>
                            <w:tcW w:w="1174"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widowControl w:val="0"/>
                              <w:shd w:val="clear" w:color="000000" w:fill="auto"/>
                              <w:suppressAutoHyphens/>
                              <w:jc w:val="center"/>
                              <w:textAlignment w:val="baseline"/>
                              <w:rPr>
                                <w:color w:val="000000"/>
                                <w:sz w:val="20"/>
                                <w:lang w:eastAsia="lt-LT"/>
                              </w:rPr>
                            </w:pPr>
                            <w:r>
                              <w:rPr>
                                <w:color w:val="000000"/>
                                <w:sz w:val="20"/>
                                <w:lang w:eastAsia="lt-LT"/>
                              </w:rPr>
                              <w:t>Projektinis įrenginio pajėgumas, t/m.</w:t>
                            </w:r>
                          </w:p>
                        </w:tc>
                      </w:tr>
                      <w:tr>
                        <w:trPr>
                          <w:cantSplit/>
                          <w:trHeight w:hRule="exact" w:val="303"/>
                        </w:trPr>
                        <w:tc>
                          <w:tcPr>
                            <w:tcW w:w="287" w:type="pct"/>
                            <w:tcBorders>
                              <w:top w:val="single" w:sz="4" w:space="0" w:color="auto"/>
                              <w:left w:val="single" w:sz="4" w:space="0" w:color="auto"/>
                              <w:bottom w:val="single" w:sz="4" w:space="0" w:color="auto"/>
                              <w:right w:val="single" w:sz="4" w:space="0" w:color="auto"/>
                            </w:tcBorders>
                          </w:tcPr>
                          <w:p>
                            <w:pPr>
                              <w:widowControl w:val="0"/>
                              <w:shd w:val="clear" w:color="000000" w:fill="auto"/>
                              <w:suppressAutoHyphens/>
                              <w:jc w:val="center"/>
                              <w:textAlignment w:val="baseline"/>
                              <w:rPr>
                                <w:color w:val="000000"/>
                                <w:sz w:val="20"/>
                                <w:lang w:eastAsia="lt-LT"/>
                              </w:rPr>
                            </w:pPr>
                            <w:r>
                              <w:rPr>
                                <w:color w:val="000000"/>
                                <w:sz w:val="20"/>
                                <w:lang w:eastAsia="lt-LT"/>
                              </w:rPr>
                              <w:t>1</w:t>
                            </w:r>
                          </w:p>
                        </w:tc>
                        <w:tc>
                          <w:tcPr>
                            <w:tcW w:w="368"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widowControl w:val="0"/>
                              <w:shd w:val="clear" w:color="000000" w:fill="auto"/>
                              <w:suppressAutoHyphens/>
                              <w:jc w:val="center"/>
                              <w:textAlignment w:val="baseline"/>
                              <w:rPr>
                                <w:color w:val="000000"/>
                                <w:sz w:val="20"/>
                                <w:lang w:eastAsia="lt-LT"/>
                              </w:rPr>
                            </w:pPr>
                            <w:r>
                              <w:rPr>
                                <w:color w:val="000000"/>
                                <w:sz w:val="20"/>
                                <w:lang w:eastAsia="lt-LT"/>
                              </w:rPr>
                              <w:t>2</w:t>
                            </w:r>
                          </w:p>
                        </w:tc>
                        <w:tc>
                          <w:tcPr>
                            <w:tcW w:w="661"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widowControl w:val="0"/>
                              <w:shd w:val="clear" w:color="000000" w:fill="auto"/>
                              <w:suppressAutoHyphens/>
                              <w:jc w:val="center"/>
                              <w:textAlignment w:val="baseline"/>
                              <w:rPr>
                                <w:color w:val="000000"/>
                                <w:sz w:val="20"/>
                                <w:lang w:eastAsia="lt-LT"/>
                              </w:rPr>
                            </w:pPr>
                            <w:r>
                              <w:rPr>
                                <w:color w:val="000000"/>
                                <w:sz w:val="20"/>
                                <w:lang w:eastAsia="lt-LT"/>
                              </w:rPr>
                              <w:t>3</w:t>
                            </w:r>
                          </w:p>
                        </w:tc>
                        <w:tc>
                          <w:tcPr>
                            <w:tcW w:w="1259"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widowControl w:val="0"/>
                              <w:shd w:val="clear" w:color="000000" w:fill="auto"/>
                              <w:suppressAutoHyphens/>
                              <w:jc w:val="center"/>
                              <w:textAlignment w:val="baseline"/>
                              <w:rPr>
                                <w:color w:val="000000"/>
                                <w:sz w:val="20"/>
                                <w:lang w:eastAsia="lt-LT"/>
                              </w:rPr>
                            </w:pPr>
                            <w:r>
                              <w:rPr>
                                <w:color w:val="000000"/>
                                <w:sz w:val="20"/>
                                <w:lang w:eastAsia="lt-LT"/>
                              </w:rPr>
                              <w:t>4</w:t>
                            </w:r>
                          </w:p>
                        </w:tc>
                        <w:tc>
                          <w:tcPr>
                            <w:tcW w:w="1251"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widowControl w:val="0"/>
                              <w:shd w:val="clear" w:color="000000" w:fill="auto"/>
                              <w:suppressAutoHyphens/>
                              <w:jc w:val="center"/>
                              <w:textAlignment w:val="baseline"/>
                              <w:rPr>
                                <w:color w:val="000000"/>
                                <w:sz w:val="20"/>
                                <w:lang w:eastAsia="lt-LT"/>
                              </w:rPr>
                            </w:pPr>
                            <w:r>
                              <w:rPr>
                                <w:color w:val="000000"/>
                                <w:sz w:val="20"/>
                                <w:lang w:eastAsia="lt-LT"/>
                              </w:rPr>
                              <w:t>5</w:t>
                            </w:r>
                          </w:p>
                        </w:tc>
                        <w:tc>
                          <w:tcPr>
                            <w:tcW w:w="1174"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hideMark/>
                          </w:tcPr>
                          <w:p>
                            <w:pPr>
                              <w:widowControl w:val="0"/>
                              <w:shd w:val="clear" w:color="000000" w:fill="auto"/>
                              <w:suppressAutoHyphens/>
                              <w:jc w:val="center"/>
                              <w:textAlignment w:val="baseline"/>
                              <w:rPr>
                                <w:color w:val="000000"/>
                                <w:sz w:val="20"/>
                                <w:lang w:eastAsia="lt-LT"/>
                              </w:rPr>
                            </w:pPr>
                            <w:r>
                              <w:rPr>
                                <w:color w:val="000000"/>
                                <w:sz w:val="20"/>
                                <w:lang w:eastAsia="lt-LT"/>
                              </w:rPr>
                              <w:t>6</w:t>
                            </w:r>
                          </w:p>
                        </w:tc>
                      </w:tr>
                      <w:tr>
                        <w:trPr>
                          <w:cantSplit/>
                          <w:trHeight w:val="259"/>
                        </w:trPr>
                        <w:tc>
                          <w:tcPr>
                            <w:tcW w:w="287" w:type="pct"/>
                            <w:tcBorders>
                              <w:top w:val="single" w:sz="4" w:space="0" w:color="auto"/>
                              <w:left w:val="single" w:sz="4" w:space="0" w:color="auto"/>
                              <w:bottom w:val="single" w:sz="4" w:space="0" w:color="auto"/>
                              <w:right w:val="single" w:sz="4" w:space="0" w:color="auto"/>
                            </w:tcBorders>
                          </w:tcPr>
                          <w:p>
                            <w:pPr>
                              <w:widowControl w:val="0"/>
                              <w:shd w:val="clear" w:color="000000" w:fill="auto"/>
                              <w:suppressAutoHyphens/>
                              <w:ind w:firstLine="567"/>
                              <w:jc w:val="both"/>
                              <w:textAlignment w:val="baseline"/>
                              <w:rPr>
                                <w:color w:val="000000"/>
                                <w:sz w:val="20"/>
                                <w:lang w:eastAsia="lt-LT"/>
                              </w:rPr>
                            </w:pPr>
                          </w:p>
                        </w:tc>
                        <w:tc>
                          <w:tcPr>
                            <w:tcW w:w="368"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pPr>
                              <w:widowControl w:val="0"/>
                              <w:shd w:val="clear" w:color="000000" w:fill="auto"/>
                              <w:suppressAutoHyphens/>
                              <w:ind w:firstLine="567"/>
                              <w:jc w:val="both"/>
                              <w:textAlignment w:val="baseline"/>
                              <w:rPr>
                                <w:color w:val="000000"/>
                                <w:sz w:val="20"/>
                                <w:lang w:eastAsia="lt-LT"/>
                              </w:rPr>
                            </w:pPr>
                          </w:p>
                        </w:tc>
                        <w:tc>
                          <w:tcPr>
                            <w:tcW w:w="661"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pPr>
                              <w:widowControl w:val="0"/>
                              <w:shd w:val="clear" w:color="000000" w:fill="auto"/>
                              <w:suppressAutoHyphens/>
                              <w:ind w:firstLine="567"/>
                              <w:jc w:val="both"/>
                              <w:textAlignment w:val="baseline"/>
                              <w:rPr>
                                <w:color w:val="000000"/>
                                <w:sz w:val="20"/>
                                <w:lang w:eastAsia="lt-LT"/>
                              </w:rPr>
                            </w:pPr>
                          </w:p>
                        </w:tc>
                        <w:tc>
                          <w:tcPr>
                            <w:tcW w:w="1259"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pPr>
                              <w:widowControl w:val="0"/>
                              <w:shd w:val="clear" w:color="000000" w:fill="auto"/>
                              <w:suppressAutoHyphens/>
                              <w:ind w:firstLine="567"/>
                              <w:jc w:val="both"/>
                              <w:textAlignment w:val="baseline"/>
                              <w:rPr>
                                <w:color w:val="000000"/>
                                <w:sz w:val="20"/>
                                <w:lang w:eastAsia="lt-LT"/>
                              </w:rPr>
                            </w:pPr>
                          </w:p>
                        </w:tc>
                        <w:tc>
                          <w:tcPr>
                            <w:tcW w:w="1251"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pPr>
                              <w:widowControl w:val="0"/>
                              <w:shd w:val="clear" w:color="000000" w:fill="auto"/>
                              <w:suppressAutoHyphens/>
                              <w:ind w:firstLine="567"/>
                              <w:jc w:val="both"/>
                              <w:textAlignment w:val="baseline"/>
                              <w:rPr>
                                <w:color w:val="000000"/>
                                <w:sz w:val="20"/>
                                <w:lang w:eastAsia="lt-LT"/>
                              </w:rPr>
                            </w:pPr>
                          </w:p>
                        </w:tc>
                        <w:tc>
                          <w:tcPr>
                            <w:tcW w:w="1174" w:type="pct"/>
                            <w:vMerge w:val="restar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tcPr>
                          <w:p>
                            <w:pPr>
                              <w:widowControl w:val="0"/>
                              <w:shd w:val="clear" w:color="000000" w:fill="auto"/>
                              <w:suppressAutoHyphens/>
                              <w:ind w:firstLine="567"/>
                              <w:jc w:val="both"/>
                              <w:textAlignment w:val="baseline"/>
                              <w:rPr>
                                <w:color w:val="000000"/>
                                <w:sz w:val="20"/>
                                <w:lang w:eastAsia="lt-LT"/>
                              </w:rPr>
                            </w:pPr>
                          </w:p>
                          <w:p>
                            <w:pPr>
                              <w:widowControl w:val="0"/>
                              <w:shd w:val="clear" w:color="000000" w:fill="auto"/>
                              <w:suppressAutoHyphens/>
                              <w:ind w:firstLine="567"/>
                              <w:jc w:val="both"/>
                              <w:textAlignment w:val="baseline"/>
                              <w:rPr>
                                <w:color w:val="000000"/>
                                <w:sz w:val="20"/>
                                <w:lang w:eastAsia="lt-LT"/>
                              </w:rPr>
                            </w:pPr>
                          </w:p>
                          <w:p>
                            <w:pPr>
                              <w:widowControl w:val="0"/>
                              <w:shd w:val="clear" w:color="000000" w:fill="auto"/>
                              <w:suppressAutoHyphens/>
                              <w:ind w:firstLine="567"/>
                              <w:jc w:val="both"/>
                              <w:textAlignment w:val="baseline"/>
                              <w:rPr>
                                <w:color w:val="000000"/>
                                <w:sz w:val="20"/>
                                <w:lang w:eastAsia="lt-LT"/>
                              </w:rPr>
                            </w:pPr>
                          </w:p>
                        </w:tc>
                      </w:tr>
                      <w:tr>
                        <w:trPr>
                          <w:cantSplit/>
                          <w:trHeight w:val="259"/>
                        </w:trPr>
                        <w:tc>
                          <w:tcPr>
                            <w:tcW w:w="287" w:type="pct"/>
                            <w:tcBorders>
                              <w:top w:val="single" w:sz="4" w:space="0" w:color="auto"/>
                              <w:left w:val="single" w:sz="4" w:space="0" w:color="auto"/>
                              <w:bottom w:val="single" w:sz="4" w:space="0" w:color="auto"/>
                              <w:right w:val="single" w:sz="4" w:space="0" w:color="auto"/>
                            </w:tcBorders>
                          </w:tcPr>
                          <w:p>
                            <w:pPr>
                              <w:widowControl w:val="0"/>
                              <w:shd w:val="clear" w:color="000000" w:fill="auto"/>
                              <w:suppressAutoHyphens/>
                              <w:ind w:firstLine="567"/>
                              <w:jc w:val="both"/>
                              <w:textAlignment w:val="baseline"/>
                              <w:rPr>
                                <w:color w:val="000000"/>
                                <w:szCs w:val="24"/>
                                <w:lang w:eastAsia="lt-LT"/>
                              </w:rPr>
                            </w:pPr>
                          </w:p>
                        </w:tc>
                        <w:tc>
                          <w:tcPr>
                            <w:tcW w:w="368"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pPr>
                              <w:widowControl w:val="0"/>
                              <w:shd w:val="clear" w:color="000000" w:fill="auto"/>
                              <w:suppressAutoHyphens/>
                              <w:ind w:firstLine="567"/>
                              <w:jc w:val="both"/>
                              <w:textAlignment w:val="baseline"/>
                              <w:rPr>
                                <w:color w:val="000000"/>
                                <w:szCs w:val="24"/>
                                <w:lang w:eastAsia="lt-LT"/>
                              </w:rPr>
                            </w:pPr>
                          </w:p>
                        </w:tc>
                        <w:tc>
                          <w:tcPr>
                            <w:tcW w:w="661"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pPr>
                              <w:widowControl w:val="0"/>
                              <w:shd w:val="clear" w:color="000000" w:fill="auto"/>
                              <w:suppressAutoHyphens/>
                              <w:ind w:firstLine="567"/>
                              <w:jc w:val="both"/>
                              <w:textAlignment w:val="baseline"/>
                              <w:rPr>
                                <w:color w:val="000000"/>
                                <w:szCs w:val="24"/>
                                <w:lang w:eastAsia="lt-LT"/>
                              </w:rPr>
                            </w:pPr>
                          </w:p>
                        </w:tc>
                        <w:tc>
                          <w:tcPr>
                            <w:tcW w:w="1259"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tcPr>
                          <w:p>
                            <w:pPr>
                              <w:widowControl w:val="0"/>
                              <w:shd w:val="clear" w:color="000000" w:fill="auto"/>
                              <w:suppressAutoHyphens/>
                              <w:ind w:firstLine="567"/>
                              <w:jc w:val="both"/>
                              <w:textAlignment w:val="baseline"/>
                              <w:rPr>
                                <w:color w:val="000000"/>
                                <w:szCs w:val="24"/>
                                <w:lang w:eastAsia="lt-LT"/>
                              </w:rPr>
                            </w:pPr>
                          </w:p>
                        </w:tc>
                        <w:tc>
                          <w:tcPr>
                            <w:tcW w:w="1251"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pPr>
                              <w:widowControl w:val="0"/>
                              <w:shd w:val="clear" w:color="000000" w:fill="auto"/>
                              <w:suppressAutoHyphens/>
                              <w:ind w:firstLine="567"/>
                              <w:jc w:val="both"/>
                              <w:textAlignment w:val="baseline"/>
                              <w:rPr>
                                <w:color w:val="000000"/>
                                <w:szCs w:val="24"/>
                                <w:lang w:eastAsia="lt-LT"/>
                              </w:rPr>
                            </w:pPr>
                          </w:p>
                        </w:tc>
                        <w:tc>
                          <w:tcPr>
                            <w:tcW w:w="1174"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suppressAutoHyphens/>
                              <w:ind w:firstLine="567"/>
                              <w:jc w:val="both"/>
                              <w:textAlignment w:val="baseline"/>
                              <w:rPr>
                                <w:color w:val="000000"/>
                                <w:szCs w:val="24"/>
                                <w:lang w:eastAsia="lt-LT"/>
                              </w:rPr>
                            </w:pPr>
                          </w:p>
                        </w:tc>
                      </w:tr>
                      <w:tr>
                        <w:trPr>
                          <w:cantSplit/>
                          <w:trHeight w:val="259"/>
                        </w:trPr>
                        <w:tc>
                          <w:tcPr>
                            <w:tcW w:w="287" w:type="pct"/>
                            <w:tcBorders>
                              <w:top w:val="single" w:sz="4" w:space="0" w:color="auto"/>
                              <w:left w:val="single" w:sz="4" w:space="0" w:color="auto"/>
                              <w:bottom w:val="single" w:sz="4" w:space="0" w:color="auto"/>
                              <w:right w:val="single" w:sz="4" w:space="0" w:color="auto"/>
                            </w:tcBorders>
                          </w:tcPr>
                          <w:p>
                            <w:pPr>
                              <w:widowControl w:val="0"/>
                              <w:shd w:val="clear" w:color="000000" w:fill="auto"/>
                              <w:suppressAutoHyphens/>
                              <w:ind w:firstLine="567"/>
                              <w:jc w:val="both"/>
                              <w:textAlignment w:val="baseline"/>
                              <w:rPr>
                                <w:b/>
                                <w:bCs/>
                                <w:color w:val="000000"/>
                                <w:szCs w:val="24"/>
                                <w:lang w:eastAsia="lt-LT"/>
                              </w:rPr>
                            </w:pPr>
                          </w:p>
                        </w:tc>
                        <w:tc>
                          <w:tcPr>
                            <w:tcW w:w="368"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pPr>
                              <w:widowControl w:val="0"/>
                              <w:shd w:val="clear" w:color="000000" w:fill="auto"/>
                              <w:suppressAutoHyphens/>
                              <w:ind w:firstLine="567"/>
                              <w:jc w:val="both"/>
                              <w:textAlignment w:val="baseline"/>
                              <w:rPr>
                                <w:color w:val="000000"/>
                                <w:szCs w:val="24"/>
                                <w:lang w:eastAsia="lt-LT"/>
                              </w:rPr>
                            </w:pPr>
                          </w:p>
                        </w:tc>
                        <w:tc>
                          <w:tcPr>
                            <w:tcW w:w="661"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pPr>
                              <w:widowControl w:val="0"/>
                              <w:shd w:val="clear" w:color="000000" w:fill="auto"/>
                              <w:suppressAutoHyphens/>
                              <w:ind w:firstLine="567"/>
                              <w:jc w:val="both"/>
                              <w:textAlignment w:val="baseline"/>
                              <w:rPr>
                                <w:color w:val="000000"/>
                                <w:szCs w:val="24"/>
                                <w:lang w:eastAsia="lt-LT"/>
                              </w:rPr>
                            </w:pPr>
                          </w:p>
                        </w:tc>
                        <w:tc>
                          <w:tcPr>
                            <w:tcW w:w="1259"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tcPr>
                          <w:p>
                            <w:pPr>
                              <w:widowControl w:val="0"/>
                              <w:shd w:val="clear" w:color="000000" w:fill="auto"/>
                              <w:suppressAutoHyphens/>
                              <w:ind w:firstLine="567"/>
                              <w:jc w:val="both"/>
                              <w:textAlignment w:val="baseline"/>
                              <w:rPr>
                                <w:color w:val="000000"/>
                                <w:szCs w:val="24"/>
                                <w:lang w:eastAsia="lt-LT"/>
                              </w:rPr>
                            </w:pPr>
                          </w:p>
                        </w:tc>
                        <w:tc>
                          <w:tcPr>
                            <w:tcW w:w="1251"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pPr>
                              <w:widowControl w:val="0"/>
                              <w:shd w:val="clear" w:color="000000" w:fill="auto"/>
                              <w:suppressAutoHyphens/>
                              <w:ind w:firstLine="567"/>
                              <w:jc w:val="both"/>
                              <w:textAlignment w:val="baseline"/>
                              <w:rPr>
                                <w:color w:val="000000"/>
                                <w:szCs w:val="24"/>
                                <w:lang w:eastAsia="lt-LT"/>
                              </w:rPr>
                            </w:pPr>
                          </w:p>
                        </w:tc>
                        <w:tc>
                          <w:tcPr>
                            <w:tcW w:w="1174"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suppressAutoHyphens/>
                              <w:ind w:firstLine="567"/>
                              <w:jc w:val="both"/>
                              <w:textAlignment w:val="baseline"/>
                              <w:rPr>
                                <w:color w:val="000000"/>
                                <w:szCs w:val="24"/>
                                <w:lang w:eastAsia="lt-LT"/>
                              </w:rPr>
                            </w:pPr>
                          </w:p>
                        </w:tc>
                      </w:tr>
                    </w:tbl>
                    <w:p>
                      <w:pPr>
                        <w:widowControl w:val="0"/>
                        <w:shd w:val="clear" w:color="000000" w:fill="auto"/>
                        <w:suppressAutoHyphens/>
                        <w:ind w:firstLine="567"/>
                        <w:jc w:val="both"/>
                        <w:textAlignment w:val="baseline"/>
                        <w:rPr>
                          <w:b/>
                          <w:color w:val="000000"/>
                          <w:szCs w:val="24"/>
                          <w:lang w:eastAsia="lt-LT"/>
                        </w:rPr>
                      </w:pPr>
                    </w:p>
                    <w:p>
                      <w:pPr>
                        <w:widowControl w:val="0"/>
                        <w:shd w:val="clear" w:color="000000" w:fill="auto"/>
                        <w:suppressAutoHyphens/>
                        <w:ind w:firstLine="567"/>
                        <w:jc w:val="both"/>
                        <w:textAlignment w:val="baseline"/>
                        <w:rPr>
                          <w:color w:val="000000"/>
                          <w:szCs w:val="24"/>
                          <w:lang w:eastAsia="lt-LT"/>
                        </w:rPr>
                      </w:pPr>
                      <w:r>
                        <w:rPr>
                          <w:b/>
                          <w:color w:val="000000"/>
                          <w:szCs w:val="24"/>
                          <w:lang w:eastAsia="lt-LT"/>
                        </w:rPr>
                        <w:t>24 lentelė.</w:t>
                      </w:r>
                      <w:r>
                        <w:rPr>
                          <w:color w:val="000000"/>
                          <w:szCs w:val="24"/>
                          <w:lang w:eastAsia="lt-LT"/>
                        </w:rPr>
                        <w:t xml:space="preserve"> Numatomos </w:t>
                      </w:r>
                      <w:r>
                        <w:rPr>
                          <w:szCs w:val="24"/>
                          <w:lang w:eastAsia="lt-LT"/>
                        </w:rPr>
                        <w:t xml:space="preserve">šalinti, išskyrus numatomas laikyti ir paruošti šalinti, </w:t>
                      </w:r>
                      <w:r>
                        <w:rPr>
                          <w:color w:val="000000"/>
                          <w:szCs w:val="24"/>
                          <w:lang w:eastAsia="lt-LT"/>
                        </w:rPr>
                        <w:t>nepavojingosios atliekos</w:t>
                      </w:r>
                    </w:p>
                    <w:p>
                      <w:pPr>
                        <w:widowControl w:val="0"/>
                        <w:shd w:val="clear" w:color="000000" w:fill="auto"/>
                        <w:ind w:firstLine="567"/>
                        <w:jc w:val="both"/>
                        <w:rPr>
                          <w:color w:val="000000"/>
                          <w:szCs w:val="24"/>
                          <w:lang w:eastAsia="lt-LT"/>
                        </w:rPr>
                      </w:pPr>
                    </w:p>
                    <w:p>
                      <w:pPr>
                        <w:widowControl w:val="0"/>
                        <w:shd w:val="clear" w:color="000000" w:fill="auto"/>
                        <w:jc w:val="both"/>
                        <w:rPr>
                          <w:color w:val="000000"/>
                          <w:szCs w:val="24"/>
                          <w:lang w:eastAsia="lt-LT"/>
                        </w:rPr>
                      </w:pPr>
                      <w:r>
                        <w:rPr>
                          <w:color w:val="000000"/>
                          <w:szCs w:val="24"/>
                          <w:lang w:eastAsia="lt-LT"/>
                        </w:rPr>
                        <w:t>Įrenginio pavadinimas</w:t>
                      </w:r>
                      <w:r>
                        <w:rPr>
                          <w:rFonts w:ascii="Symbol" w:eastAsia="Symbol" w:hAnsi="Symbol" w:cs="Symbol"/>
                          <w:color w:val="000000"/>
                          <w:szCs w:val="24"/>
                          <w:lang w:eastAsia="lt-LT"/>
                        </w:rPr>
                        <w:t></w:t>
                      </w:r>
                    </w:p>
                    <w:p>
                      <w:pPr>
                        <w:widowControl w:val="0"/>
                        <w:shd w:val="clear" w:color="000000" w:fill="auto"/>
                        <w:ind w:firstLine="567"/>
                        <w:jc w:val="both"/>
                        <w:rPr>
                          <w:color w:val="00000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2"/>
                        <w:gridCol w:w="1085"/>
                        <w:gridCol w:w="1849"/>
                        <w:gridCol w:w="2498"/>
                        <w:gridCol w:w="2521"/>
                        <w:gridCol w:w="2259"/>
                        <w:gridCol w:w="3370"/>
                      </w:tblGrid>
                      <w:tr>
                        <w:trPr>
                          <w:cantSplit/>
                          <w:trHeight w:val="286"/>
                        </w:trPr>
                        <w:tc>
                          <w:tcPr>
                            <w:tcW w:w="269" w:type="pct"/>
                            <w:vMerge w:val="restart"/>
                            <w:tcBorders>
                              <w:top w:val="single" w:sz="4" w:space="0" w:color="auto"/>
                              <w:left w:val="single" w:sz="4" w:space="0" w:color="auto"/>
                              <w:right w:val="single" w:sz="4" w:space="0" w:color="auto"/>
                            </w:tcBorders>
                            <w:vAlign w:val="center"/>
                          </w:tcPr>
                          <w:p>
                            <w:pPr>
                              <w:widowControl w:val="0"/>
                              <w:shd w:val="clear" w:color="000000" w:fill="auto"/>
                              <w:ind w:firstLine="17"/>
                              <w:jc w:val="center"/>
                              <w:rPr>
                                <w:color w:val="000000"/>
                                <w:sz w:val="20"/>
                                <w:lang w:eastAsia="lt-LT"/>
                              </w:rPr>
                            </w:pPr>
                            <w:r>
                              <w:rPr>
                                <w:color w:val="000000"/>
                                <w:sz w:val="20"/>
                                <w:lang w:eastAsia="lt-LT"/>
                              </w:rPr>
                              <w:t>Eil. Nr.</w:t>
                            </w:r>
                          </w:p>
                        </w:tc>
                        <w:tc>
                          <w:tcPr>
                            <w:tcW w:w="1892" w:type="pct"/>
                            <w:gridSpan w:val="3"/>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17"/>
                              <w:jc w:val="center"/>
                              <w:rPr>
                                <w:color w:val="000000"/>
                                <w:sz w:val="20"/>
                                <w:lang w:eastAsia="lt-LT"/>
                              </w:rPr>
                            </w:pPr>
                            <w:r>
                              <w:rPr>
                                <w:color w:val="000000"/>
                                <w:sz w:val="20"/>
                                <w:lang w:eastAsia="lt-LT"/>
                              </w:rPr>
                              <w:t xml:space="preserve">Numatomos </w:t>
                            </w:r>
                            <w:r>
                              <w:rPr>
                                <w:sz w:val="20"/>
                                <w:lang w:eastAsia="lt-LT"/>
                              </w:rPr>
                              <w:t>šalinti, išskyrus numatomas laikyti ir paruošti šalinti, atliekos</w:t>
                            </w:r>
                          </w:p>
                        </w:tc>
                        <w:tc>
                          <w:tcPr>
                            <w:tcW w:w="2839" w:type="pct"/>
                            <w:gridSpan w:val="3"/>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17"/>
                              <w:jc w:val="center"/>
                              <w:rPr>
                                <w:color w:val="000000"/>
                                <w:sz w:val="20"/>
                                <w:lang w:eastAsia="lt-LT"/>
                              </w:rPr>
                            </w:pPr>
                            <w:r>
                              <w:rPr>
                                <w:color w:val="000000"/>
                                <w:sz w:val="20"/>
                                <w:lang w:eastAsia="lt-LT"/>
                              </w:rPr>
                              <w:t>Atliekų šalinimas</w:t>
                            </w:r>
                          </w:p>
                        </w:tc>
                      </w:tr>
                      <w:tr>
                        <w:trPr>
                          <w:cantSplit/>
                          <w:trHeight w:val="725"/>
                        </w:trPr>
                        <w:tc>
                          <w:tcPr>
                            <w:tcW w:w="269" w:type="pct"/>
                            <w:vMerge/>
                            <w:tcBorders>
                              <w:left w:val="single" w:sz="4" w:space="0" w:color="auto"/>
                              <w:bottom w:val="single" w:sz="4" w:space="0" w:color="auto"/>
                              <w:right w:val="single" w:sz="4" w:space="0" w:color="auto"/>
                            </w:tcBorders>
                            <w:vAlign w:val="center"/>
                          </w:tcPr>
                          <w:p>
                            <w:pPr>
                              <w:widowControl w:val="0"/>
                              <w:shd w:val="clear" w:color="000000" w:fill="auto"/>
                              <w:jc w:val="center"/>
                              <w:rPr>
                                <w:color w:val="000000"/>
                                <w:sz w:val="20"/>
                                <w:lang w:eastAsia="lt-LT"/>
                              </w:rPr>
                            </w:pPr>
                          </w:p>
                        </w:tc>
                        <w:tc>
                          <w:tcPr>
                            <w:tcW w:w="378" w:type="pct"/>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jc w:val="center"/>
                              <w:rPr>
                                <w:color w:val="000000"/>
                                <w:sz w:val="20"/>
                                <w:vertAlign w:val="superscript"/>
                                <w:lang w:eastAsia="lt-LT"/>
                              </w:rPr>
                            </w:pPr>
                            <w:r>
                              <w:rPr>
                                <w:color w:val="000000"/>
                                <w:sz w:val="20"/>
                                <w:lang w:eastAsia="lt-LT"/>
                              </w:rPr>
                              <w:t>Kodas</w:t>
                            </w:r>
                          </w:p>
                        </w:tc>
                        <w:tc>
                          <w:tcPr>
                            <w:tcW w:w="644" w:type="pct"/>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jc w:val="center"/>
                              <w:rPr>
                                <w:color w:val="000000"/>
                                <w:sz w:val="20"/>
                                <w:lang w:eastAsia="lt-LT"/>
                              </w:rPr>
                            </w:pPr>
                            <w:r>
                              <w:rPr>
                                <w:color w:val="000000"/>
                                <w:sz w:val="20"/>
                                <w:lang w:eastAsia="lt-LT"/>
                              </w:rPr>
                              <w:t>Pavadinimas</w:t>
                            </w:r>
                          </w:p>
                        </w:tc>
                        <w:tc>
                          <w:tcPr>
                            <w:tcW w:w="870" w:type="pct"/>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jc w:val="center"/>
                              <w:rPr>
                                <w:color w:val="000000"/>
                                <w:sz w:val="20"/>
                                <w:lang w:eastAsia="lt-LT"/>
                              </w:rPr>
                            </w:pPr>
                            <w:r>
                              <w:rPr>
                                <w:color w:val="000000"/>
                                <w:sz w:val="20"/>
                                <w:lang w:eastAsia="lt-LT"/>
                              </w:rPr>
                              <w:t>Patikslintas pavadinimas</w:t>
                            </w:r>
                          </w:p>
                        </w:tc>
                        <w:tc>
                          <w:tcPr>
                            <w:tcW w:w="878" w:type="pct"/>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jc w:val="center"/>
                              <w:rPr>
                                <w:color w:val="000000"/>
                                <w:sz w:val="20"/>
                                <w:lang w:eastAsia="lt-LT"/>
                              </w:rPr>
                            </w:pPr>
                            <w:r>
                              <w:rPr>
                                <w:color w:val="000000"/>
                                <w:sz w:val="20"/>
                                <w:lang w:eastAsia="lt-LT"/>
                              </w:rPr>
                              <w:t>Atliekos šalinimo veiklos kodas (D1–D7, D10)</w:t>
                            </w:r>
                          </w:p>
                        </w:tc>
                        <w:tc>
                          <w:tcPr>
                            <w:tcW w:w="787" w:type="pct"/>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jc w:val="center"/>
                              <w:rPr>
                                <w:color w:val="000000"/>
                                <w:sz w:val="20"/>
                                <w:lang w:eastAsia="lt-LT"/>
                              </w:rPr>
                            </w:pPr>
                            <w:r>
                              <w:rPr>
                                <w:color w:val="000000"/>
                                <w:sz w:val="20"/>
                                <w:lang w:eastAsia="lt-LT"/>
                              </w:rPr>
                              <w:t>Projektinis įrenginio pajėgumas</w:t>
                            </w:r>
                          </w:p>
                        </w:tc>
                        <w:tc>
                          <w:tcPr>
                            <w:tcW w:w="1174" w:type="pct"/>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jc w:val="center"/>
                              <w:rPr>
                                <w:color w:val="000000"/>
                                <w:sz w:val="20"/>
                                <w:lang w:eastAsia="lt-LT"/>
                              </w:rPr>
                            </w:pPr>
                            <w:r>
                              <w:rPr>
                                <w:color w:val="000000"/>
                                <w:sz w:val="20"/>
                                <w:lang w:eastAsia="lt-LT"/>
                              </w:rPr>
                              <w:t>Didžiausias numatomas šalinti bendras atliekų kiekis, t/m.</w:t>
                            </w:r>
                          </w:p>
                        </w:tc>
                      </w:tr>
                      <w:tr>
                        <w:trPr>
                          <w:cantSplit/>
                          <w:trHeight w:hRule="exact" w:val="270"/>
                        </w:trPr>
                        <w:tc>
                          <w:tcPr>
                            <w:tcW w:w="269" w:type="pct"/>
                            <w:tcBorders>
                              <w:top w:val="single" w:sz="4" w:space="0" w:color="auto"/>
                              <w:left w:val="single" w:sz="4" w:space="0" w:color="auto"/>
                              <w:bottom w:val="single" w:sz="4" w:space="0" w:color="auto"/>
                              <w:right w:val="single" w:sz="4" w:space="0" w:color="auto"/>
                            </w:tcBorders>
                          </w:tcPr>
                          <w:p>
                            <w:pPr>
                              <w:widowControl w:val="0"/>
                              <w:shd w:val="clear" w:color="000000" w:fill="auto"/>
                              <w:ind w:hanging="108"/>
                              <w:jc w:val="center"/>
                              <w:rPr>
                                <w:color w:val="000000"/>
                                <w:sz w:val="20"/>
                                <w:lang w:eastAsia="lt-LT"/>
                              </w:rPr>
                            </w:pPr>
                            <w:r>
                              <w:rPr>
                                <w:color w:val="000000"/>
                                <w:sz w:val="20"/>
                                <w:lang w:eastAsia="lt-LT"/>
                              </w:rPr>
                              <w:t>1</w:t>
                            </w:r>
                          </w:p>
                        </w:tc>
                        <w:tc>
                          <w:tcPr>
                            <w:tcW w:w="378" w:type="pct"/>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hanging="108"/>
                              <w:jc w:val="center"/>
                              <w:rPr>
                                <w:color w:val="000000"/>
                                <w:sz w:val="20"/>
                                <w:lang w:eastAsia="lt-LT"/>
                              </w:rPr>
                            </w:pPr>
                            <w:r>
                              <w:rPr>
                                <w:color w:val="000000"/>
                                <w:sz w:val="20"/>
                                <w:lang w:eastAsia="lt-LT"/>
                              </w:rPr>
                              <w:t>2</w:t>
                            </w:r>
                          </w:p>
                        </w:tc>
                        <w:tc>
                          <w:tcPr>
                            <w:tcW w:w="644" w:type="pct"/>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jc w:val="center"/>
                              <w:rPr>
                                <w:color w:val="000000"/>
                                <w:sz w:val="20"/>
                                <w:lang w:eastAsia="lt-LT"/>
                              </w:rPr>
                            </w:pPr>
                            <w:r>
                              <w:rPr>
                                <w:color w:val="000000"/>
                                <w:sz w:val="20"/>
                                <w:lang w:eastAsia="lt-LT"/>
                              </w:rPr>
                              <w:t>3</w:t>
                            </w:r>
                          </w:p>
                        </w:tc>
                        <w:tc>
                          <w:tcPr>
                            <w:tcW w:w="870" w:type="pct"/>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27"/>
                              <w:jc w:val="center"/>
                              <w:rPr>
                                <w:color w:val="000000"/>
                                <w:sz w:val="20"/>
                                <w:lang w:eastAsia="lt-LT"/>
                              </w:rPr>
                            </w:pPr>
                            <w:r>
                              <w:rPr>
                                <w:color w:val="000000"/>
                                <w:sz w:val="20"/>
                                <w:lang w:eastAsia="lt-LT"/>
                              </w:rPr>
                              <w:t>4</w:t>
                            </w:r>
                          </w:p>
                        </w:tc>
                        <w:tc>
                          <w:tcPr>
                            <w:tcW w:w="878" w:type="pct"/>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15"/>
                              <w:jc w:val="center"/>
                              <w:rPr>
                                <w:color w:val="000000"/>
                                <w:sz w:val="20"/>
                                <w:lang w:eastAsia="lt-LT"/>
                              </w:rPr>
                            </w:pPr>
                            <w:r>
                              <w:rPr>
                                <w:color w:val="000000"/>
                                <w:sz w:val="20"/>
                                <w:lang w:eastAsia="lt-LT"/>
                              </w:rPr>
                              <w:t>5</w:t>
                            </w:r>
                          </w:p>
                        </w:tc>
                        <w:tc>
                          <w:tcPr>
                            <w:tcW w:w="787" w:type="pct"/>
                            <w:tcBorders>
                              <w:top w:val="single" w:sz="4" w:space="0" w:color="auto"/>
                              <w:left w:val="single" w:sz="4" w:space="0" w:color="auto"/>
                              <w:bottom w:val="single" w:sz="4" w:space="0" w:color="auto"/>
                              <w:right w:val="single" w:sz="4" w:space="0" w:color="auto"/>
                            </w:tcBorders>
                            <w:hideMark/>
                          </w:tcPr>
                          <w:p>
                            <w:pPr>
                              <w:widowControl w:val="0"/>
                              <w:shd w:val="clear" w:color="000000" w:fill="auto"/>
                              <w:jc w:val="center"/>
                              <w:rPr>
                                <w:color w:val="000000"/>
                                <w:sz w:val="20"/>
                                <w:lang w:eastAsia="lt-LT"/>
                              </w:rPr>
                            </w:pPr>
                            <w:r>
                              <w:rPr>
                                <w:color w:val="000000"/>
                                <w:sz w:val="20"/>
                                <w:lang w:eastAsia="lt-LT"/>
                              </w:rPr>
                              <w:t>6</w:t>
                            </w:r>
                          </w:p>
                        </w:tc>
                        <w:tc>
                          <w:tcPr>
                            <w:tcW w:w="1174" w:type="pct"/>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36"/>
                              <w:jc w:val="center"/>
                              <w:rPr>
                                <w:color w:val="000000"/>
                                <w:sz w:val="20"/>
                                <w:lang w:eastAsia="lt-LT"/>
                              </w:rPr>
                            </w:pPr>
                            <w:r>
                              <w:rPr>
                                <w:color w:val="000000"/>
                                <w:sz w:val="20"/>
                                <w:lang w:eastAsia="lt-LT"/>
                              </w:rPr>
                              <w:t>7</w:t>
                            </w:r>
                          </w:p>
                        </w:tc>
                      </w:tr>
                      <w:tr>
                        <w:trPr>
                          <w:cantSplit/>
                          <w:trHeight w:val="231"/>
                        </w:trPr>
                        <w:tc>
                          <w:tcPr>
                            <w:tcW w:w="269"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color w:val="000000"/>
                                <w:sz w:val="20"/>
                                <w:lang w:eastAsia="lt-LT"/>
                              </w:rPr>
                            </w:pPr>
                          </w:p>
                        </w:tc>
                        <w:tc>
                          <w:tcPr>
                            <w:tcW w:w="378" w:type="pc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ind w:firstLine="567"/>
                              <w:jc w:val="both"/>
                              <w:rPr>
                                <w:color w:val="000000"/>
                                <w:sz w:val="20"/>
                                <w:lang w:eastAsia="lt-LT"/>
                              </w:rPr>
                            </w:pPr>
                          </w:p>
                        </w:tc>
                        <w:tc>
                          <w:tcPr>
                            <w:tcW w:w="644" w:type="pc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ind w:firstLine="567"/>
                              <w:jc w:val="both"/>
                              <w:rPr>
                                <w:color w:val="000000"/>
                                <w:sz w:val="20"/>
                                <w:lang w:eastAsia="lt-LT"/>
                              </w:rPr>
                            </w:pPr>
                          </w:p>
                        </w:tc>
                        <w:tc>
                          <w:tcPr>
                            <w:tcW w:w="870" w:type="pc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ind w:firstLine="567"/>
                              <w:jc w:val="both"/>
                              <w:rPr>
                                <w:color w:val="000000"/>
                                <w:sz w:val="20"/>
                                <w:lang w:eastAsia="lt-LT"/>
                              </w:rPr>
                            </w:pPr>
                          </w:p>
                        </w:tc>
                        <w:tc>
                          <w:tcPr>
                            <w:tcW w:w="878" w:type="pc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ind w:firstLine="567"/>
                              <w:jc w:val="both"/>
                              <w:rPr>
                                <w:color w:val="000000"/>
                                <w:sz w:val="20"/>
                                <w:lang w:eastAsia="lt-LT"/>
                              </w:rPr>
                            </w:pPr>
                          </w:p>
                        </w:tc>
                        <w:tc>
                          <w:tcPr>
                            <w:tcW w:w="787" w:type="pct"/>
                            <w:vMerge w:val="restar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color w:val="000000"/>
                                <w:sz w:val="20"/>
                                <w:lang w:eastAsia="lt-LT"/>
                              </w:rPr>
                            </w:pPr>
                          </w:p>
                        </w:tc>
                        <w:tc>
                          <w:tcPr>
                            <w:tcW w:w="1174" w:type="pct"/>
                            <w:vMerge w:val="restar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color w:val="000000"/>
                                <w:sz w:val="20"/>
                                <w:lang w:eastAsia="lt-LT"/>
                              </w:rPr>
                            </w:pPr>
                          </w:p>
                          <w:p>
                            <w:pPr>
                              <w:widowControl w:val="0"/>
                              <w:shd w:val="clear" w:color="000000" w:fill="auto"/>
                              <w:ind w:firstLine="567"/>
                              <w:jc w:val="both"/>
                              <w:rPr>
                                <w:color w:val="000000"/>
                                <w:sz w:val="20"/>
                                <w:lang w:eastAsia="lt-LT"/>
                              </w:rPr>
                            </w:pPr>
                          </w:p>
                          <w:p>
                            <w:pPr>
                              <w:widowControl w:val="0"/>
                              <w:shd w:val="clear" w:color="000000" w:fill="auto"/>
                              <w:ind w:firstLine="567"/>
                              <w:jc w:val="both"/>
                              <w:rPr>
                                <w:color w:val="000000"/>
                                <w:sz w:val="20"/>
                                <w:lang w:eastAsia="lt-LT"/>
                              </w:rPr>
                            </w:pPr>
                          </w:p>
                        </w:tc>
                      </w:tr>
                      <w:tr>
                        <w:trPr>
                          <w:cantSplit/>
                          <w:trHeight w:val="231"/>
                        </w:trPr>
                        <w:tc>
                          <w:tcPr>
                            <w:tcW w:w="269"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color w:val="000000"/>
                                <w:szCs w:val="24"/>
                                <w:lang w:eastAsia="lt-LT"/>
                              </w:rPr>
                            </w:pPr>
                          </w:p>
                        </w:tc>
                        <w:tc>
                          <w:tcPr>
                            <w:tcW w:w="378" w:type="pc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ind w:firstLine="567"/>
                              <w:jc w:val="both"/>
                              <w:rPr>
                                <w:color w:val="000000"/>
                                <w:szCs w:val="24"/>
                                <w:lang w:eastAsia="lt-LT"/>
                              </w:rPr>
                            </w:pPr>
                          </w:p>
                        </w:tc>
                        <w:tc>
                          <w:tcPr>
                            <w:tcW w:w="644" w:type="pc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ind w:firstLine="567"/>
                              <w:jc w:val="both"/>
                              <w:rPr>
                                <w:color w:val="000000"/>
                                <w:szCs w:val="24"/>
                                <w:lang w:eastAsia="lt-LT"/>
                              </w:rPr>
                            </w:pPr>
                          </w:p>
                        </w:tc>
                        <w:tc>
                          <w:tcPr>
                            <w:tcW w:w="870"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color w:val="000000"/>
                                <w:szCs w:val="24"/>
                                <w:lang w:eastAsia="lt-LT"/>
                              </w:rPr>
                            </w:pPr>
                          </w:p>
                        </w:tc>
                        <w:tc>
                          <w:tcPr>
                            <w:tcW w:w="878" w:type="pc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ind w:firstLine="567"/>
                              <w:jc w:val="both"/>
                              <w:rPr>
                                <w:color w:val="000000"/>
                                <w:szCs w:val="24"/>
                                <w:lang w:eastAsia="lt-LT"/>
                              </w:rPr>
                            </w:pPr>
                          </w:p>
                        </w:tc>
                        <w:tc>
                          <w:tcPr>
                            <w:tcW w:w="787"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color w:val="000000"/>
                                <w:szCs w:val="24"/>
                                <w:lang w:eastAsia="lt-LT"/>
                              </w:rPr>
                            </w:pPr>
                          </w:p>
                        </w:tc>
                        <w:tc>
                          <w:tcPr>
                            <w:tcW w:w="1174"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color w:val="000000"/>
                                <w:szCs w:val="24"/>
                                <w:lang w:eastAsia="lt-LT"/>
                              </w:rPr>
                            </w:pPr>
                          </w:p>
                        </w:tc>
                      </w:tr>
                      <w:tr>
                        <w:trPr>
                          <w:cantSplit/>
                          <w:trHeight w:val="231"/>
                        </w:trPr>
                        <w:tc>
                          <w:tcPr>
                            <w:tcW w:w="269"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color w:val="000000"/>
                                <w:szCs w:val="24"/>
                                <w:lang w:eastAsia="lt-LT"/>
                              </w:rPr>
                            </w:pPr>
                          </w:p>
                        </w:tc>
                        <w:tc>
                          <w:tcPr>
                            <w:tcW w:w="378" w:type="pc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ind w:firstLine="567"/>
                              <w:jc w:val="both"/>
                              <w:rPr>
                                <w:color w:val="000000"/>
                                <w:szCs w:val="24"/>
                                <w:lang w:eastAsia="lt-LT"/>
                              </w:rPr>
                            </w:pPr>
                          </w:p>
                        </w:tc>
                        <w:tc>
                          <w:tcPr>
                            <w:tcW w:w="644" w:type="pc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ind w:firstLine="567"/>
                              <w:jc w:val="both"/>
                              <w:rPr>
                                <w:color w:val="000000"/>
                                <w:szCs w:val="24"/>
                                <w:lang w:eastAsia="lt-LT"/>
                              </w:rPr>
                            </w:pPr>
                          </w:p>
                        </w:tc>
                        <w:tc>
                          <w:tcPr>
                            <w:tcW w:w="870"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color w:val="000000"/>
                                <w:szCs w:val="24"/>
                                <w:lang w:eastAsia="lt-LT"/>
                              </w:rPr>
                            </w:pPr>
                          </w:p>
                        </w:tc>
                        <w:tc>
                          <w:tcPr>
                            <w:tcW w:w="878" w:type="pc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ind w:firstLine="567"/>
                              <w:jc w:val="both"/>
                              <w:rPr>
                                <w:color w:val="000000"/>
                                <w:szCs w:val="24"/>
                                <w:lang w:eastAsia="lt-LT"/>
                              </w:rPr>
                            </w:pPr>
                          </w:p>
                        </w:tc>
                        <w:tc>
                          <w:tcPr>
                            <w:tcW w:w="787"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color w:val="000000"/>
                                <w:szCs w:val="24"/>
                                <w:lang w:eastAsia="lt-LT"/>
                              </w:rPr>
                            </w:pPr>
                          </w:p>
                        </w:tc>
                        <w:tc>
                          <w:tcPr>
                            <w:tcW w:w="1174"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color w:val="000000"/>
                                <w:szCs w:val="24"/>
                                <w:lang w:eastAsia="lt-LT"/>
                              </w:rPr>
                            </w:pPr>
                          </w:p>
                        </w:tc>
                      </w:tr>
                    </w:tbl>
                    <w:p>
                      <w:pPr>
                        <w:widowControl w:val="0"/>
                        <w:shd w:val="clear" w:color="000000" w:fill="auto"/>
                        <w:suppressAutoHyphens/>
                        <w:ind w:firstLine="567"/>
                        <w:jc w:val="both"/>
                        <w:textAlignment w:val="baseline"/>
                        <w:rPr>
                          <w:b/>
                          <w:color w:val="000000"/>
                          <w:szCs w:val="24"/>
                          <w:lang w:eastAsia="lt-LT"/>
                        </w:rPr>
                      </w:pPr>
                    </w:p>
                    <w:p>
                      <w:pPr>
                        <w:widowControl w:val="0"/>
                        <w:shd w:val="clear" w:color="000000" w:fill="auto"/>
                        <w:suppressAutoHyphens/>
                        <w:ind w:firstLine="567"/>
                        <w:jc w:val="both"/>
                        <w:textAlignment w:val="baseline"/>
                        <w:rPr>
                          <w:color w:val="000000"/>
                          <w:szCs w:val="24"/>
                          <w:lang w:eastAsia="lt-LT"/>
                        </w:rPr>
                      </w:pPr>
                      <w:r>
                        <w:rPr>
                          <w:b/>
                          <w:color w:val="000000"/>
                          <w:szCs w:val="24"/>
                          <w:lang w:eastAsia="lt-LT"/>
                        </w:rPr>
                        <w:t>25 lentelė.</w:t>
                      </w:r>
                      <w:r>
                        <w:rPr>
                          <w:color w:val="000000"/>
                          <w:szCs w:val="24"/>
                          <w:lang w:eastAsia="lt-LT"/>
                        </w:rPr>
                        <w:t xml:space="preserve"> Numatomos paruošti naudoti ir (ar) šalinti nepavojingosios atliekos</w:t>
                      </w:r>
                    </w:p>
                    <w:p>
                      <w:pPr>
                        <w:widowControl w:val="0"/>
                        <w:shd w:val="clear" w:color="000000" w:fill="auto"/>
                        <w:ind w:firstLine="567"/>
                        <w:jc w:val="both"/>
                        <w:rPr>
                          <w:color w:val="000000"/>
                          <w:szCs w:val="24"/>
                          <w:lang w:eastAsia="lt-LT"/>
                        </w:rPr>
                      </w:pPr>
                    </w:p>
                    <w:p>
                      <w:pPr>
                        <w:widowControl w:val="0"/>
                        <w:shd w:val="clear" w:color="000000" w:fill="auto"/>
                        <w:jc w:val="both"/>
                        <w:rPr>
                          <w:color w:val="000000"/>
                          <w:szCs w:val="24"/>
                          <w:lang w:eastAsia="lt-LT"/>
                        </w:rPr>
                      </w:pPr>
                      <w:r>
                        <w:rPr>
                          <w:color w:val="000000"/>
                          <w:szCs w:val="24"/>
                          <w:lang w:eastAsia="lt-LT"/>
                        </w:rPr>
                        <w:t>Įrenginio pavadinimas</w:t>
                      </w:r>
                      <w:r>
                        <w:rPr>
                          <w:rFonts w:ascii="Symbol" w:eastAsia="Symbol" w:hAnsi="Symbol" w:cs="Symbol"/>
                          <w:color w:val="000000"/>
                          <w:szCs w:val="24"/>
                          <w:lang w:eastAsia="lt-LT"/>
                        </w:rPr>
                        <w:t></w:t>
                      </w:r>
                    </w:p>
                    <w:p>
                      <w:pPr>
                        <w:widowControl w:val="0"/>
                        <w:shd w:val="clear" w:color="000000" w:fill="auto"/>
                        <w:ind w:firstLine="567"/>
                        <w:jc w:val="both"/>
                        <w:rPr>
                          <w:color w:val="00000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5"/>
                        <w:gridCol w:w="2469"/>
                        <w:gridCol w:w="3083"/>
                        <w:gridCol w:w="2322"/>
                        <w:gridCol w:w="3169"/>
                        <w:gridCol w:w="2526"/>
                      </w:tblGrid>
                      <w:tr>
                        <w:trPr>
                          <w:cantSplit/>
                          <w:trHeight w:val="559"/>
                        </w:trPr>
                        <w:tc>
                          <w:tcPr>
                            <w:tcW w:w="273" w:type="pct"/>
                            <w:vMerge w:val="restart"/>
                            <w:tcBorders>
                              <w:top w:val="single" w:sz="4" w:space="0" w:color="auto"/>
                              <w:left w:val="single" w:sz="4" w:space="0" w:color="auto"/>
                              <w:right w:val="single" w:sz="4" w:space="0" w:color="auto"/>
                            </w:tcBorders>
                            <w:vAlign w:val="center"/>
                          </w:tcPr>
                          <w:p>
                            <w:pPr>
                              <w:widowControl w:val="0"/>
                              <w:shd w:val="clear" w:color="000000" w:fill="auto"/>
                              <w:jc w:val="center"/>
                              <w:rPr>
                                <w:color w:val="000000"/>
                                <w:sz w:val="20"/>
                                <w:lang w:eastAsia="lt-LT"/>
                              </w:rPr>
                            </w:pPr>
                            <w:r>
                              <w:rPr>
                                <w:color w:val="000000"/>
                                <w:sz w:val="20"/>
                                <w:lang w:eastAsia="lt-LT"/>
                              </w:rPr>
                              <w:t>Eil. Nr.</w:t>
                            </w:r>
                          </w:p>
                        </w:tc>
                        <w:tc>
                          <w:tcPr>
                            <w:tcW w:w="2743" w:type="pct"/>
                            <w:gridSpan w:val="3"/>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center"/>
                              <w:rPr>
                                <w:color w:val="000000"/>
                                <w:sz w:val="20"/>
                                <w:lang w:eastAsia="lt-LT"/>
                              </w:rPr>
                            </w:pPr>
                            <w:r>
                              <w:rPr>
                                <w:color w:val="000000"/>
                                <w:sz w:val="20"/>
                                <w:lang w:eastAsia="lt-LT"/>
                              </w:rPr>
                              <w:t>Numatomos paruošti naudoti ir (ar) šalinti atliekos</w:t>
                            </w:r>
                          </w:p>
                        </w:tc>
                        <w:tc>
                          <w:tcPr>
                            <w:tcW w:w="1984" w:type="pct"/>
                            <w:gridSpan w:val="2"/>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center"/>
                              <w:rPr>
                                <w:color w:val="000000"/>
                                <w:sz w:val="20"/>
                                <w:lang w:eastAsia="lt-LT"/>
                              </w:rPr>
                            </w:pPr>
                            <w:r>
                              <w:rPr>
                                <w:color w:val="000000"/>
                                <w:sz w:val="20"/>
                                <w:lang w:eastAsia="lt-LT"/>
                              </w:rPr>
                              <w:t>Atliekų paruošimas naudoti ir (ar) šalinti</w:t>
                            </w:r>
                          </w:p>
                        </w:tc>
                      </w:tr>
                      <w:tr>
                        <w:trPr>
                          <w:cantSplit/>
                          <w:trHeight w:val="840"/>
                        </w:trPr>
                        <w:tc>
                          <w:tcPr>
                            <w:tcW w:w="273" w:type="pct"/>
                            <w:vMerge/>
                            <w:tcBorders>
                              <w:left w:val="single" w:sz="4" w:space="0" w:color="auto"/>
                              <w:bottom w:val="single" w:sz="4" w:space="0" w:color="auto"/>
                              <w:right w:val="single" w:sz="4" w:space="0" w:color="auto"/>
                            </w:tcBorders>
                            <w:vAlign w:val="center"/>
                          </w:tcPr>
                          <w:p>
                            <w:pPr>
                              <w:widowControl w:val="0"/>
                              <w:shd w:val="clear" w:color="000000" w:fill="auto"/>
                              <w:jc w:val="center"/>
                              <w:rPr>
                                <w:color w:val="000000"/>
                                <w:sz w:val="20"/>
                                <w:lang w:eastAsia="lt-LT"/>
                              </w:rPr>
                            </w:pPr>
                          </w:p>
                        </w:tc>
                        <w:tc>
                          <w:tcPr>
                            <w:tcW w:w="860" w:type="pct"/>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jc w:val="center"/>
                              <w:rPr>
                                <w:color w:val="000000"/>
                                <w:sz w:val="20"/>
                                <w:vertAlign w:val="superscript"/>
                                <w:lang w:eastAsia="lt-LT"/>
                              </w:rPr>
                            </w:pPr>
                            <w:r>
                              <w:rPr>
                                <w:color w:val="000000"/>
                                <w:sz w:val="20"/>
                                <w:lang w:eastAsia="lt-LT"/>
                              </w:rPr>
                              <w:t>Kodas</w:t>
                            </w:r>
                          </w:p>
                        </w:tc>
                        <w:tc>
                          <w:tcPr>
                            <w:tcW w:w="1074" w:type="pct"/>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jc w:val="center"/>
                              <w:rPr>
                                <w:color w:val="000000"/>
                                <w:sz w:val="20"/>
                                <w:lang w:eastAsia="lt-LT"/>
                              </w:rPr>
                            </w:pPr>
                            <w:r>
                              <w:rPr>
                                <w:color w:val="000000"/>
                                <w:sz w:val="20"/>
                                <w:lang w:eastAsia="lt-LT"/>
                              </w:rPr>
                              <w:t>Pavadinimas</w:t>
                            </w:r>
                          </w:p>
                        </w:tc>
                        <w:tc>
                          <w:tcPr>
                            <w:tcW w:w="809" w:type="pct"/>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jc w:val="center"/>
                              <w:rPr>
                                <w:color w:val="000000"/>
                                <w:sz w:val="20"/>
                                <w:lang w:eastAsia="lt-LT"/>
                              </w:rPr>
                            </w:pPr>
                            <w:r>
                              <w:rPr>
                                <w:color w:val="000000"/>
                                <w:sz w:val="20"/>
                                <w:lang w:eastAsia="lt-LT"/>
                              </w:rPr>
                              <w:t>Patikslintas pavadinimas</w:t>
                            </w:r>
                          </w:p>
                        </w:tc>
                        <w:tc>
                          <w:tcPr>
                            <w:tcW w:w="1104" w:type="pct"/>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jc w:val="center"/>
                              <w:rPr>
                                <w:color w:val="000000"/>
                                <w:sz w:val="20"/>
                                <w:vertAlign w:val="superscript"/>
                                <w:lang w:eastAsia="lt-LT"/>
                              </w:rPr>
                            </w:pPr>
                            <w:r>
                              <w:rPr>
                                <w:sz w:val="20"/>
                                <w:lang w:eastAsia="lt-LT"/>
                              </w:rPr>
                              <w:t>Atliekų tvarkymo</w:t>
                            </w:r>
                            <w:r>
                              <w:rPr>
                                <w:color w:val="0066FF"/>
                                <w:sz w:val="20"/>
                                <w:lang w:eastAsia="lt-LT"/>
                              </w:rPr>
                              <w:t xml:space="preserve"> </w:t>
                            </w:r>
                            <w:r>
                              <w:rPr>
                                <w:color w:val="000000"/>
                                <w:sz w:val="20"/>
                                <w:lang w:eastAsia="lt-LT"/>
                              </w:rPr>
                              <w:t>veiklos kodas (D8, D9, D13, D14, R12, S5)</w:t>
                            </w:r>
                          </w:p>
                        </w:tc>
                        <w:tc>
                          <w:tcPr>
                            <w:tcW w:w="880" w:type="pct"/>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jc w:val="center"/>
                              <w:rPr>
                                <w:color w:val="000000"/>
                                <w:sz w:val="20"/>
                                <w:lang w:eastAsia="lt-LT"/>
                              </w:rPr>
                            </w:pPr>
                            <w:r>
                              <w:rPr>
                                <w:color w:val="000000"/>
                                <w:sz w:val="20"/>
                                <w:lang w:eastAsia="lt-LT"/>
                              </w:rPr>
                              <w:t>Projektinis įrenginio pajėgumas, t/m.</w:t>
                            </w:r>
                          </w:p>
                        </w:tc>
                      </w:tr>
                      <w:tr>
                        <w:trPr>
                          <w:cantSplit/>
                          <w:trHeight w:hRule="exact" w:val="279"/>
                        </w:trPr>
                        <w:tc>
                          <w:tcPr>
                            <w:tcW w:w="273"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34"/>
                              <w:jc w:val="center"/>
                              <w:rPr>
                                <w:color w:val="000000"/>
                                <w:sz w:val="20"/>
                                <w:lang w:eastAsia="lt-LT"/>
                              </w:rPr>
                            </w:pPr>
                            <w:r>
                              <w:rPr>
                                <w:color w:val="000000"/>
                                <w:sz w:val="20"/>
                                <w:lang w:eastAsia="lt-LT"/>
                              </w:rPr>
                              <w:t>1</w:t>
                            </w:r>
                          </w:p>
                        </w:tc>
                        <w:tc>
                          <w:tcPr>
                            <w:tcW w:w="860" w:type="pct"/>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34"/>
                              <w:jc w:val="center"/>
                              <w:rPr>
                                <w:color w:val="000000"/>
                                <w:sz w:val="20"/>
                                <w:lang w:eastAsia="lt-LT"/>
                              </w:rPr>
                            </w:pPr>
                            <w:r>
                              <w:rPr>
                                <w:color w:val="000000"/>
                                <w:sz w:val="20"/>
                                <w:lang w:eastAsia="lt-LT"/>
                              </w:rPr>
                              <w:t>2</w:t>
                            </w:r>
                          </w:p>
                        </w:tc>
                        <w:tc>
                          <w:tcPr>
                            <w:tcW w:w="1074" w:type="pct"/>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jc w:val="center"/>
                              <w:rPr>
                                <w:color w:val="000000"/>
                                <w:sz w:val="20"/>
                                <w:lang w:eastAsia="lt-LT"/>
                              </w:rPr>
                            </w:pPr>
                            <w:r>
                              <w:rPr>
                                <w:color w:val="000000"/>
                                <w:sz w:val="20"/>
                                <w:lang w:eastAsia="lt-LT"/>
                              </w:rPr>
                              <w:t>3</w:t>
                            </w:r>
                          </w:p>
                        </w:tc>
                        <w:tc>
                          <w:tcPr>
                            <w:tcW w:w="809" w:type="pct"/>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29"/>
                              <w:jc w:val="center"/>
                              <w:rPr>
                                <w:color w:val="000000"/>
                                <w:sz w:val="20"/>
                                <w:lang w:eastAsia="lt-LT"/>
                              </w:rPr>
                            </w:pPr>
                            <w:r>
                              <w:rPr>
                                <w:color w:val="000000"/>
                                <w:sz w:val="20"/>
                                <w:lang w:eastAsia="lt-LT"/>
                              </w:rPr>
                              <w:t>4</w:t>
                            </w:r>
                          </w:p>
                        </w:tc>
                        <w:tc>
                          <w:tcPr>
                            <w:tcW w:w="1104" w:type="pct"/>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17"/>
                              <w:jc w:val="center"/>
                              <w:rPr>
                                <w:color w:val="000000"/>
                                <w:sz w:val="20"/>
                                <w:lang w:eastAsia="lt-LT"/>
                              </w:rPr>
                            </w:pPr>
                            <w:r>
                              <w:rPr>
                                <w:color w:val="000000"/>
                                <w:sz w:val="20"/>
                                <w:lang w:eastAsia="lt-LT"/>
                              </w:rPr>
                              <w:t>5</w:t>
                            </w:r>
                          </w:p>
                        </w:tc>
                        <w:tc>
                          <w:tcPr>
                            <w:tcW w:w="880" w:type="pct"/>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13"/>
                              <w:jc w:val="center"/>
                              <w:rPr>
                                <w:color w:val="000000"/>
                                <w:sz w:val="20"/>
                                <w:lang w:eastAsia="lt-LT"/>
                              </w:rPr>
                            </w:pPr>
                            <w:r>
                              <w:rPr>
                                <w:color w:val="000000"/>
                                <w:sz w:val="20"/>
                                <w:lang w:eastAsia="lt-LT"/>
                              </w:rPr>
                              <w:t>6</w:t>
                            </w:r>
                          </w:p>
                        </w:tc>
                      </w:tr>
                      <w:tr>
                        <w:trPr>
                          <w:cantSplit/>
                          <w:trHeight w:val="177"/>
                        </w:trPr>
                        <w:tc>
                          <w:tcPr>
                            <w:tcW w:w="273"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color w:val="000000"/>
                                <w:sz w:val="20"/>
                                <w:lang w:eastAsia="lt-LT"/>
                              </w:rPr>
                            </w:pPr>
                          </w:p>
                        </w:tc>
                        <w:tc>
                          <w:tcPr>
                            <w:tcW w:w="860" w:type="pc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ind w:firstLine="567"/>
                              <w:jc w:val="both"/>
                              <w:rPr>
                                <w:color w:val="000000"/>
                                <w:sz w:val="20"/>
                                <w:lang w:eastAsia="lt-LT"/>
                              </w:rPr>
                            </w:pPr>
                          </w:p>
                        </w:tc>
                        <w:tc>
                          <w:tcPr>
                            <w:tcW w:w="1074" w:type="pc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ind w:firstLine="567"/>
                              <w:jc w:val="both"/>
                              <w:rPr>
                                <w:color w:val="000000"/>
                                <w:sz w:val="20"/>
                                <w:lang w:eastAsia="lt-LT"/>
                              </w:rPr>
                            </w:pPr>
                          </w:p>
                        </w:tc>
                        <w:tc>
                          <w:tcPr>
                            <w:tcW w:w="809" w:type="pc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ind w:firstLine="567"/>
                              <w:jc w:val="both"/>
                              <w:rPr>
                                <w:color w:val="000000"/>
                                <w:sz w:val="20"/>
                                <w:lang w:eastAsia="lt-LT"/>
                              </w:rPr>
                            </w:pPr>
                          </w:p>
                        </w:tc>
                        <w:tc>
                          <w:tcPr>
                            <w:tcW w:w="1104" w:type="pc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ind w:firstLine="567"/>
                              <w:jc w:val="both"/>
                              <w:rPr>
                                <w:color w:val="000000"/>
                                <w:sz w:val="20"/>
                                <w:lang w:eastAsia="lt-LT"/>
                              </w:rPr>
                            </w:pPr>
                          </w:p>
                        </w:tc>
                        <w:tc>
                          <w:tcPr>
                            <w:tcW w:w="880" w:type="pct"/>
                            <w:vMerge w:val="restar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ind w:firstLine="567"/>
                              <w:jc w:val="both"/>
                              <w:rPr>
                                <w:sz w:val="20"/>
                              </w:rPr>
                            </w:pPr>
                          </w:p>
                          <w:p>
                            <w:pPr>
                              <w:widowControl w:val="0"/>
                              <w:shd w:val="clear" w:color="000000" w:fill="auto"/>
                              <w:ind w:firstLine="567"/>
                              <w:jc w:val="both"/>
                              <w:rPr>
                                <w:sz w:val="20"/>
                              </w:rPr>
                            </w:pPr>
                          </w:p>
                          <w:p>
                            <w:pPr>
                              <w:widowControl w:val="0"/>
                              <w:shd w:val="clear" w:color="000000" w:fill="auto"/>
                              <w:ind w:firstLine="885"/>
                              <w:jc w:val="both"/>
                              <w:rPr>
                                <w:color w:val="000000"/>
                                <w:sz w:val="20"/>
                                <w:lang w:eastAsia="lt-LT"/>
                              </w:rPr>
                            </w:pPr>
                          </w:p>
                        </w:tc>
                      </w:tr>
                      <w:tr>
                        <w:trPr>
                          <w:cantSplit/>
                          <w:trHeight w:val="266"/>
                        </w:trPr>
                        <w:tc>
                          <w:tcPr>
                            <w:tcW w:w="273"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color w:val="000000"/>
                                <w:szCs w:val="24"/>
                                <w:lang w:eastAsia="lt-LT"/>
                              </w:rPr>
                            </w:pPr>
                          </w:p>
                        </w:tc>
                        <w:tc>
                          <w:tcPr>
                            <w:tcW w:w="860" w:type="pc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ind w:firstLine="567"/>
                              <w:jc w:val="both"/>
                              <w:rPr>
                                <w:color w:val="000000"/>
                                <w:szCs w:val="24"/>
                                <w:lang w:eastAsia="lt-LT"/>
                              </w:rPr>
                            </w:pPr>
                          </w:p>
                        </w:tc>
                        <w:tc>
                          <w:tcPr>
                            <w:tcW w:w="1074" w:type="pc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ind w:firstLine="567"/>
                              <w:jc w:val="both"/>
                              <w:rPr>
                                <w:color w:val="000000"/>
                                <w:szCs w:val="24"/>
                                <w:lang w:eastAsia="lt-LT"/>
                              </w:rPr>
                            </w:pPr>
                          </w:p>
                        </w:tc>
                        <w:tc>
                          <w:tcPr>
                            <w:tcW w:w="809" w:type="pc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ind w:firstLine="567"/>
                              <w:jc w:val="both"/>
                              <w:rPr>
                                <w:color w:val="000000"/>
                                <w:szCs w:val="24"/>
                                <w:lang w:eastAsia="lt-LT"/>
                              </w:rPr>
                            </w:pPr>
                          </w:p>
                        </w:tc>
                        <w:tc>
                          <w:tcPr>
                            <w:tcW w:w="1104" w:type="pc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ind w:firstLine="567"/>
                              <w:jc w:val="both"/>
                              <w:rPr>
                                <w:color w:val="000000"/>
                                <w:szCs w:val="24"/>
                                <w:lang w:eastAsia="lt-LT"/>
                              </w:rPr>
                            </w:pPr>
                          </w:p>
                        </w:tc>
                        <w:tc>
                          <w:tcPr>
                            <w:tcW w:w="880"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color w:val="000000"/>
                                <w:szCs w:val="24"/>
                                <w:lang w:eastAsia="lt-LT"/>
                              </w:rPr>
                            </w:pPr>
                          </w:p>
                        </w:tc>
                      </w:tr>
                      <w:tr>
                        <w:trPr>
                          <w:cantSplit/>
                          <w:trHeight w:val="271"/>
                        </w:trPr>
                        <w:tc>
                          <w:tcPr>
                            <w:tcW w:w="273"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color w:val="000000"/>
                                <w:szCs w:val="24"/>
                                <w:lang w:eastAsia="lt-LT"/>
                              </w:rPr>
                            </w:pPr>
                          </w:p>
                        </w:tc>
                        <w:tc>
                          <w:tcPr>
                            <w:tcW w:w="860" w:type="pc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ind w:firstLine="567"/>
                              <w:jc w:val="both"/>
                              <w:rPr>
                                <w:color w:val="000000"/>
                                <w:szCs w:val="24"/>
                                <w:lang w:eastAsia="lt-LT"/>
                              </w:rPr>
                            </w:pPr>
                          </w:p>
                        </w:tc>
                        <w:tc>
                          <w:tcPr>
                            <w:tcW w:w="1074" w:type="pc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ind w:firstLine="567"/>
                              <w:jc w:val="both"/>
                              <w:rPr>
                                <w:color w:val="000000"/>
                                <w:szCs w:val="24"/>
                                <w:lang w:eastAsia="lt-LT"/>
                              </w:rPr>
                            </w:pPr>
                          </w:p>
                        </w:tc>
                        <w:tc>
                          <w:tcPr>
                            <w:tcW w:w="809" w:type="pc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ind w:firstLine="567"/>
                              <w:jc w:val="both"/>
                              <w:rPr>
                                <w:color w:val="000000"/>
                                <w:szCs w:val="24"/>
                                <w:lang w:eastAsia="lt-LT"/>
                              </w:rPr>
                            </w:pPr>
                          </w:p>
                        </w:tc>
                        <w:tc>
                          <w:tcPr>
                            <w:tcW w:w="1104" w:type="pct"/>
                            <w:tcBorders>
                              <w:top w:val="single" w:sz="4" w:space="0" w:color="auto"/>
                              <w:left w:val="single" w:sz="4" w:space="0" w:color="auto"/>
                              <w:bottom w:val="single" w:sz="4" w:space="0" w:color="auto"/>
                              <w:right w:val="single" w:sz="4" w:space="0" w:color="auto"/>
                            </w:tcBorders>
                            <w:vAlign w:val="center"/>
                          </w:tcPr>
                          <w:p>
                            <w:pPr>
                              <w:widowControl w:val="0"/>
                              <w:shd w:val="clear" w:color="000000" w:fill="auto"/>
                              <w:ind w:firstLine="567"/>
                              <w:jc w:val="both"/>
                              <w:rPr>
                                <w:color w:val="000000"/>
                                <w:szCs w:val="24"/>
                                <w:lang w:eastAsia="lt-LT"/>
                              </w:rPr>
                            </w:pPr>
                          </w:p>
                        </w:tc>
                        <w:tc>
                          <w:tcPr>
                            <w:tcW w:w="880"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color w:val="000000"/>
                                <w:szCs w:val="24"/>
                                <w:lang w:eastAsia="lt-LT"/>
                              </w:rPr>
                            </w:pPr>
                          </w:p>
                        </w:tc>
                      </w:tr>
                    </w:tbl>
                    <w:p>
                      <w:pPr>
                        <w:shd w:val="clear" w:color="000000" w:fill="auto"/>
                        <w:ind w:firstLine="567"/>
                        <w:jc w:val="both"/>
                        <w:rPr>
                          <w:b/>
                          <w:bCs/>
                          <w:color w:val="000000"/>
                          <w:szCs w:val="24"/>
                          <w:lang w:eastAsia="lt-LT"/>
                        </w:rPr>
                      </w:pPr>
                    </w:p>
                    <w:p>
                      <w:pPr>
                        <w:shd w:val="clear" w:color="000000" w:fill="auto"/>
                        <w:ind w:firstLine="567"/>
                        <w:jc w:val="both"/>
                        <w:rPr>
                          <w:color w:val="000000"/>
                          <w:szCs w:val="24"/>
                          <w:lang w:eastAsia="lt-LT"/>
                        </w:rPr>
                      </w:pPr>
                      <w:r>
                        <w:rPr>
                          <w:b/>
                          <w:bCs/>
                          <w:color w:val="000000"/>
                          <w:szCs w:val="24"/>
                          <w:lang w:eastAsia="lt-LT"/>
                        </w:rPr>
                        <w:t>26 lentelė.</w:t>
                      </w:r>
                      <w:r>
                        <w:rPr>
                          <w:color w:val="000000"/>
                          <w:szCs w:val="24"/>
                          <w:lang w:eastAsia="lt-LT"/>
                        </w:rPr>
                        <w:t> Didžiausias numatomas laikyti nepavojingųjų atliekų kiekis</w:t>
                      </w:r>
                    </w:p>
                    <w:p>
                      <w:pPr>
                        <w:shd w:val="clear" w:color="000000" w:fill="auto"/>
                        <w:ind w:firstLine="567"/>
                        <w:jc w:val="both"/>
                        <w:rPr>
                          <w:color w:val="000000"/>
                          <w:szCs w:val="24"/>
                          <w:lang w:eastAsia="lt-LT"/>
                        </w:rPr>
                      </w:pPr>
                    </w:p>
                    <w:p>
                      <w:pPr>
                        <w:shd w:val="clear" w:color="000000" w:fill="auto"/>
                        <w:jc w:val="both"/>
                        <w:rPr>
                          <w:color w:val="000000"/>
                          <w:szCs w:val="24"/>
                          <w:lang w:eastAsia="lt-LT"/>
                        </w:rPr>
                      </w:pPr>
                      <w:r>
                        <w:rPr>
                          <w:color w:val="000000"/>
                          <w:szCs w:val="24"/>
                          <w:lang w:eastAsia="lt-LT"/>
                        </w:rPr>
                        <w:t>Įrenginio pavadinimas </w:t>
                      </w:r>
                      <w:r>
                        <w:rPr>
                          <w:rFonts w:ascii="Symbol" w:hAnsi="Symbol"/>
                          <w:color w:val="000000"/>
                          <w:szCs w:val="24"/>
                          <w:lang w:eastAsia="lt-LT"/>
                        </w:rPr>
                        <w:t></w:t>
                      </w:r>
                    </w:p>
                    <w:p>
                      <w:pPr>
                        <w:shd w:val="clear" w:color="000000" w:fill="auto"/>
                        <w:ind w:firstLine="567"/>
                        <w:jc w:val="both"/>
                        <w:rPr>
                          <w:color w:val="000000"/>
                          <w:szCs w:val="24"/>
                          <w:lang w:eastAsia="lt-LT"/>
                        </w:rPr>
                      </w:pPr>
                    </w:p>
                    <w:tbl>
                      <w:tblPr>
                        <w:tblW w:w="5000" w:type="pct"/>
                        <w:tblCellMar>
                          <w:left w:w="0" w:type="dxa"/>
                          <w:right w:w="0" w:type="dxa"/>
                        </w:tblCellMar>
                        <w:tblLook w:val="04A0" w:firstRow="1" w:lastRow="0" w:firstColumn="1" w:lastColumn="0" w:noHBand="0" w:noVBand="1"/>
                      </w:tblPr>
                      <w:tblGrid>
                        <w:gridCol w:w="652"/>
                        <w:gridCol w:w="937"/>
                        <w:gridCol w:w="2178"/>
                        <w:gridCol w:w="2104"/>
                        <w:gridCol w:w="3780"/>
                        <w:gridCol w:w="4601"/>
                      </w:tblGrid>
                      <w:tr>
                        <w:trPr>
                          <w:tblHeader/>
                        </w:trPr>
                        <w:tc>
                          <w:tcPr>
                            <w:tcW w:w="229" w:type="pct"/>
                            <w:vMerge w:val="restart"/>
                            <w:tcBorders>
                              <w:top w:val="single" w:sz="8" w:space="0" w:color="auto"/>
                              <w:left w:val="single" w:sz="8" w:space="0" w:color="auto"/>
                              <w:right w:val="single" w:sz="4" w:space="0" w:color="auto"/>
                            </w:tcBorders>
                            <w:tcMar>
                              <w:top w:w="0" w:type="dxa"/>
                              <w:left w:w="57" w:type="dxa"/>
                              <w:bottom w:w="0" w:type="dxa"/>
                              <w:right w:w="57" w:type="dxa"/>
                            </w:tcMar>
                            <w:vAlign w:val="center"/>
                          </w:tcPr>
                          <w:p>
                            <w:pPr>
                              <w:shd w:val="clear" w:color="000000" w:fill="auto"/>
                              <w:suppressAutoHyphens/>
                              <w:jc w:val="both"/>
                              <w:rPr>
                                <w:sz w:val="20"/>
                                <w:lang w:eastAsia="lt-LT"/>
                              </w:rPr>
                            </w:pPr>
                            <w:r>
                              <w:rPr>
                                <w:sz w:val="20"/>
                              </w:rPr>
                              <w:t>Eil. Nr.</w:t>
                            </w:r>
                          </w:p>
                        </w:tc>
                        <w:tc>
                          <w:tcPr>
                            <w:tcW w:w="1831" w:type="pct"/>
                            <w:gridSpan w:val="3"/>
                            <w:tcBorders>
                              <w:top w:val="single" w:sz="4" w:space="0" w:color="auto"/>
                              <w:left w:val="single" w:sz="4" w:space="0" w:color="auto"/>
                              <w:bottom w:val="single" w:sz="4" w:space="0" w:color="auto"/>
                              <w:right w:val="single" w:sz="8" w:space="0" w:color="auto"/>
                            </w:tcBorders>
                            <w:vAlign w:val="center"/>
                          </w:tcPr>
                          <w:p>
                            <w:pPr>
                              <w:shd w:val="clear" w:color="000000" w:fill="auto"/>
                              <w:ind w:firstLine="567"/>
                              <w:jc w:val="both"/>
                              <w:rPr>
                                <w:sz w:val="20"/>
                                <w:lang w:eastAsia="lt-LT"/>
                              </w:rPr>
                            </w:pPr>
                            <w:r>
                              <w:rPr>
                                <w:color w:val="000000"/>
                                <w:sz w:val="20"/>
                                <w:lang w:eastAsia="lt-LT"/>
                              </w:rPr>
                              <w:t>Atliekos</w:t>
                            </w:r>
                          </w:p>
                        </w:tc>
                        <w:tc>
                          <w:tcPr>
                            <w:tcW w:w="2941" w:type="pct"/>
                            <w:gridSpan w:val="2"/>
                            <w:tcBorders>
                              <w:top w:val="single" w:sz="8" w:space="0" w:color="auto"/>
                              <w:left w:val="nil"/>
                              <w:bottom w:val="single" w:sz="8" w:space="0" w:color="auto"/>
                              <w:right w:val="single" w:sz="8" w:space="0" w:color="auto"/>
                            </w:tcBorders>
                            <w:tcMar>
                              <w:top w:w="0" w:type="dxa"/>
                              <w:left w:w="57" w:type="dxa"/>
                              <w:bottom w:w="0" w:type="dxa"/>
                              <w:right w:w="57" w:type="dxa"/>
                            </w:tcMar>
                            <w:hideMark/>
                          </w:tcPr>
                          <w:p>
                            <w:pPr>
                              <w:shd w:val="clear" w:color="000000" w:fill="auto"/>
                              <w:jc w:val="center"/>
                              <w:rPr>
                                <w:sz w:val="20"/>
                                <w:lang w:eastAsia="lt-LT"/>
                              </w:rPr>
                            </w:pPr>
                            <w:r>
                              <w:rPr>
                                <w:sz w:val="20"/>
                                <w:lang w:eastAsia="lt-LT"/>
                              </w:rPr>
                              <w:t>Atliekų laikymas</w:t>
                            </w:r>
                          </w:p>
                        </w:tc>
                      </w:tr>
                      <w:tr>
                        <w:trPr>
                          <w:trHeight w:val="855"/>
                          <w:tblHeader/>
                        </w:trPr>
                        <w:tc>
                          <w:tcPr>
                            <w:tcW w:w="229" w:type="pct"/>
                            <w:vMerge/>
                            <w:tcBorders>
                              <w:left w:val="single" w:sz="8" w:space="0" w:color="auto"/>
                              <w:bottom w:val="single" w:sz="8" w:space="0" w:color="auto"/>
                              <w:right w:val="single" w:sz="4" w:space="0" w:color="auto"/>
                            </w:tcBorders>
                            <w:tcMar>
                              <w:top w:w="0" w:type="dxa"/>
                              <w:left w:w="57" w:type="dxa"/>
                              <w:bottom w:w="0" w:type="dxa"/>
                              <w:right w:w="57" w:type="dxa"/>
                            </w:tcMar>
                          </w:tcPr>
                          <w:p>
                            <w:pPr>
                              <w:shd w:val="clear" w:color="000000" w:fill="auto"/>
                              <w:jc w:val="both"/>
                              <w:rPr>
                                <w:sz w:val="20"/>
                                <w:lang w:eastAsia="lt-LT"/>
                              </w:rPr>
                            </w:pPr>
                          </w:p>
                        </w:tc>
                        <w:tc>
                          <w:tcPr>
                            <w:tcW w:w="329" w:type="pct"/>
                            <w:tcBorders>
                              <w:top w:val="single" w:sz="4" w:space="0" w:color="auto"/>
                              <w:left w:val="single" w:sz="4" w:space="0" w:color="auto"/>
                              <w:bottom w:val="single" w:sz="4" w:space="0" w:color="auto"/>
                              <w:right w:val="single" w:sz="4" w:space="0" w:color="auto"/>
                            </w:tcBorders>
                            <w:vAlign w:val="center"/>
                          </w:tcPr>
                          <w:p>
                            <w:pPr>
                              <w:shd w:val="clear" w:color="000000" w:fill="auto"/>
                              <w:jc w:val="both"/>
                              <w:rPr>
                                <w:color w:val="000000"/>
                                <w:sz w:val="20"/>
                                <w:lang w:eastAsia="lt-LT"/>
                              </w:rPr>
                            </w:pPr>
                            <w:r>
                              <w:rPr>
                                <w:color w:val="000000"/>
                                <w:sz w:val="20"/>
                                <w:lang w:eastAsia="lt-LT"/>
                              </w:rPr>
                              <w:t>Kodas</w:t>
                            </w:r>
                          </w:p>
                        </w:tc>
                        <w:tc>
                          <w:tcPr>
                            <w:tcW w:w="764" w:type="pct"/>
                            <w:tcBorders>
                              <w:top w:val="nil"/>
                              <w:left w:val="single" w:sz="4" w:space="0" w:color="auto"/>
                              <w:bottom w:val="single" w:sz="8" w:space="0" w:color="auto"/>
                              <w:right w:val="single" w:sz="8" w:space="0" w:color="auto"/>
                            </w:tcBorders>
                            <w:tcMar>
                              <w:top w:w="0" w:type="dxa"/>
                              <w:left w:w="57" w:type="dxa"/>
                              <w:bottom w:w="0" w:type="dxa"/>
                              <w:right w:w="57" w:type="dxa"/>
                            </w:tcMar>
                            <w:vAlign w:val="center"/>
                            <w:hideMark/>
                          </w:tcPr>
                          <w:p>
                            <w:pPr>
                              <w:shd w:val="clear" w:color="000000" w:fill="auto"/>
                              <w:jc w:val="both"/>
                              <w:rPr>
                                <w:sz w:val="20"/>
                                <w:lang w:eastAsia="lt-LT"/>
                              </w:rPr>
                            </w:pPr>
                            <w:r>
                              <w:rPr>
                                <w:color w:val="000000"/>
                                <w:sz w:val="20"/>
                                <w:lang w:eastAsia="lt-LT"/>
                              </w:rPr>
                              <w:t>Pavadinimas</w:t>
                            </w:r>
                          </w:p>
                        </w:tc>
                        <w:tc>
                          <w:tcPr>
                            <w:tcW w:w="738"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shd w:val="clear" w:color="000000" w:fill="auto"/>
                              <w:jc w:val="both"/>
                              <w:rPr>
                                <w:sz w:val="20"/>
                                <w:lang w:eastAsia="lt-LT"/>
                              </w:rPr>
                            </w:pPr>
                            <w:r>
                              <w:rPr>
                                <w:color w:val="000000"/>
                                <w:sz w:val="20"/>
                                <w:lang w:eastAsia="lt-LT"/>
                              </w:rPr>
                              <w:t>Patikslintas pavadinimas</w:t>
                            </w:r>
                          </w:p>
                        </w:tc>
                        <w:tc>
                          <w:tcPr>
                            <w:tcW w:w="1326"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shd w:val="clear" w:color="000000" w:fill="auto"/>
                              <w:jc w:val="center"/>
                              <w:rPr>
                                <w:sz w:val="20"/>
                                <w:lang w:eastAsia="lt-LT"/>
                              </w:rPr>
                            </w:pPr>
                            <w:r>
                              <w:rPr>
                                <w:sz w:val="20"/>
                                <w:lang w:eastAsia="lt-LT"/>
                              </w:rPr>
                              <w:t>Atliekų tvarkymo veiklos kodas (R13 ir (ar) D15)</w:t>
                            </w:r>
                          </w:p>
                        </w:tc>
                        <w:tc>
                          <w:tcPr>
                            <w:tcW w:w="161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shd w:val="clear" w:color="000000" w:fill="auto"/>
                              <w:jc w:val="center"/>
                              <w:rPr>
                                <w:sz w:val="20"/>
                                <w:lang w:eastAsia="lt-LT"/>
                              </w:rPr>
                            </w:pPr>
                            <w:r>
                              <w:rPr>
                                <w:sz w:val="20"/>
                                <w:lang w:eastAsia="lt-LT"/>
                              </w:rPr>
                              <w:t>Didžiausias vienu metu numatomas laikyti bendras atliekų, įskaitant apdorojimo metu susidarančių atliekų, kiekis, t</w:t>
                            </w:r>
                          </w:p>
                        </w:tc>
                      </w:tr>
                      <w:tr>
                        <w:trPr>
                          <w:trHeight w:val="284"/>
                          <w:tblHeader/>
                        </w:trPr>
                        <w:tc>
                          <w:tcPr>
                            <w:tcW w:w="229" w:type="pct"/>
                            <w:tcBorders>
                              <w:top w:val="nil"/>
                              <w:left w:val="single" w:sz="8" w:space="0" w:color="auto"/>
                              <w:bottom w:val="single" w:sz="8" w:space="0" w:color="auto"/>
                              <w:right w:val="single" w:sz="4" w:space="0" w:color="auto"/>
                            </w:tcBorders>
                            <w:tcMar>
                              <w:top w:w="0" w:type="dxa"/>
                              <w:left w:w="57" w:type="dxa"/>
                              <w:bottom w:w="0" w:type="dxa"/>
                              <w:right w:w="57" w:type="dxa"/>
                            </w:tcMar>
                          </w:tcPr>
                          <w:p>
                            <w:pPr>
                              <w:shd w:val="clear" w:color="000000" w:fill="auto"/>
                              <w:ind w:firstLine="34"/>
                              <w:jc w:val="center"/>
                              <w:rPr>
                                <w:sz w:val="20"/>
                                <w:lang w:eastAsia="lt-LT"/>
                              </w:rPr>
                            </w:pPr>
                            <w:r>
                              <w:rPr>
                                <w:sz w:val="20"/>
                                <w:lang w:eastAsia="lt-LT"/>
                              </w:rPr>
                              <w:t>1</w:t>
                            </w:r>
                          </w:p>
                        </w:tc>
                        <w:tc>
                          <w:tcPr>
                            <w:tcW w:w="329" w:type="pct"/>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strike/>
                                <w:color w:val="000000"/>
                                <w:sz w:val="20"/>
                                <w:lang w:eastAsia="lt-LT"/>
                              </w:rPr>
                            </w:pPr>
                            <w:r>
                              <w:rPr>
                                <w:color w:val="000000"/>
                                <w:sz w:val="20"/>
                                <w:lang w:eastAsia="lt-LT"/>
                              </w:rPr>
                              <w:t>2</w:t>
                            </w:r>
                          </w:p>
                        </w:tc>
                        <w:tc>
                          <w:tcPr>
                            <w:tcW w:w="764" w:type="pct"/>
                            <w:tcBorders>
                              <w:top w:val="nil"/>
                              <w:left w:val="single" w:sz="4" w:space="0" w:color="auto"/>
                              <w:bottom w:val="single" w:sz="8" w:space="0" w:color="auto"/>
                              <w:right w:val="single" w:sz="8" w:space="0" w:color="auto"/>
                            </w:tcBorders>
                            <w:tcMar>
                              <w:top w:w="0" w:type="dxa"/>
                              <w:left w:w="57" w:type="dxa"/>
                              <w:bottom w:w="0" w:type="dxa"/>
                              <w:right w:w="57" w:type="dxa"/>
                            </w:tcMar>
                            <w:vAlign w:val="center"/>
                            <w:hideMark/>
                          </w:tcPr>
                          <w:p>
                            <w:pPr>
                              <w:shd w:val="clear" w:color="000000" w:fill="auto"/>
                              <w:jc w:val="center"/>
                              <w:rPr>
                                <w:sz w:val="20"/>
                                <w:lang w:eastAsia="lt-LT"/>
                              </w:rPr>
                            </w:pPr>
                            <w:r>
                              <w:rPr>
                                <w:color w:val="000000"/>
                                <w:sz w:val="20"/>
                                <w:lang w:eastAsia="lt-LT"/>
                              </w:rPr>
                              <w:t>3</w:t>
                            </w:r>
                          </w:p>
                        </w:tc>
                        <w:tc>
                          <w:tcPr>
                            <w:tcW w:w="738"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shd w:val="clear" w:color="000000" w:fill="auto"/>
                              <w:jc w:val="center"/>
                              <w:rPr>
                                <w:sz w:val="20"/>
                                <w:lang w:eastAsia="lt-LT"/>
                              </w:rPr>
                            </w:pPr>
                            <w:r>
                              <w:rPr>
                                <w:color w:val="000000"/>
                                <w:sz w:val="20"/>
                                <w:lang w:eastAsia="lt-LT"/>
                              </w:rPr>
                              <w:t>4</w:t>
                            </w:r>
                          </w:p>
                        </w:tc>
                        <w:tc>
                          <w:tcPr>
                            <w:tcW w:w="1326"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shd w:val="clear" w:color="000000" w:fill="auto"/>
                              <w:jc w:val="center"/>
                              <w:rPr>
                                <w:sz w:val="20"/>
                                <w:lang w:eastAsia="lt-LT"/>
                              </w:rPr>
                            </w:pPr>
                            <w:r>
                              <w:rPr>
                                <w:color w:val="000000"/>
                                <w:sz w:val="20"/>
                                <w:lang w:eastAsia="lt-LT"/>
                              </w:rPr>
                              <w:t>5</w:t>
                            </w:r>
                          </w:p>
                        </w:tc>
                        <w:tc>
                          <w:tcPr>
                            <w:tcW w:w="161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shd w:val="clear" w:color="000000" w:fill="auto"/>
                              <w:jc w:val="center"/>
                              <w:rPr>
                                <w:sz w:val="20"/>
                                <w:lang w:eastAsia="lt-LT"/>
                              </w:rPr>
                            </w:pPr>
                            <w:r>
                              <w:rPr>
                                <w:color w:val="000000"/>
                                <w:sz w:val="20"/>
                                <w:lang w:eastAsia="lt-LT"/>
                              </w:rPr>
                              <w:t>6</w:t>
                            </w:r>
                          </w:p>
                        </w:tc>
                      </w:tr>
                      <w:tr>
                        <w:trPr>
                          <w:trHeight w:val="243"/>
                          <w:tblHeader/>
                        </w:trPr>
                        <w:tc>
                          <w:tcPr>
                            <w:tcW w:w="229" w:type="pct"/>
                            <w:tcBorders>
                              <w:top w:val="nil"/>
                              <w:left w:val="single" w:sz="8" w:space="0" w:color="auto"/>
                              <w:bottom w:val="single" w:sz="8" w:space="0" w:color="auto"/>
                              <w:right w:val="single" w:sz="4" w:space="0" w:color="auto"/>
                            </w:tcBorders>
                            <w:tcMar>
                              <w:top w:w="0" w:type="dxa"/>
                              <w:left w:w="57" w:type="dxa"/>
                              <w:bottom w:w="0" w:type="dxa"/>
                              <w:right w:w="57" w:type="dxa"/>
                            </w:tcMar>
                            <w:vAlign w:val="center"/>
                          </w:tcPr>
                          <w:p>
                            <w:pPr>
                              <w:shd w:val="clear" w:color="000000" w:fill="auto"/>
                              <w:ind w:firstLine="567"/>
                              <w:jc w:val="both"/>
                              <w:rPr>
                                <w:sz w:val="20"/>
                                <w:lang w:eastAsia="lt-LT"/>
                              </w:rPr>
                            </w:pPr>
                          </w:p>
                        </w:tc>
                        <w:tc>
                          <w:tcPr>
                            <w:tcW w:w="329" w:type="pct"/>
                            <w:tcBorders>
                              <w:top w:val="single" w:sz="4" w:space="0" w:color="auto"/>
                              <w:left w:val="single" w:sz="4" w:space="0" w:color="auto"/>
                              <w:bottom w:val="single" w:sz="4" w:space="0" w:color="auto"/>
                              <w:right w:val="single" w:sz="4" w:space="0" w:color="auto"/>
                            </w:tcBorders>
                            <w:vAlign w:val="center"/>
                          </w:tcPr>
                          <w:p>
                            <w:pPr>
                              <w:shd w:val="clear" w:color="000000" w:fill="auto"/>
                              <w:ind w:firstLine="620"/>
                              <w:jc w:val="both"/>
                              <w:rPr>
                                <w:b/>
                                <w:bCs/>
                                <w:color w:val="000000"/>
                                <w:sz w:val="20"/>
                                <w:lang w:eastAsia="lt-LT"/>
                              </w:rPr>
                            </w:pPr>
                          </w:p>
                        </w:tc>
                        <w:tc>
                          <w:tcPr>
                            <w:tcW w:w="764" w:type="pct"/>
                            <w:tcBorders>
                              <w:top w:val="nil"/>
                              <w:left w:val="single" w:sz="4" w:space="0" w:color="auto"/>
                              <w:bottom w:val="single" w:sz="8" w:space="0" w:color="auto"/>
                              <w:right w:val="single" w:sz="8" w:space="0" w:color="auto"/>
                            </w:tcBorders>
                            <w:tcMar>
                              <w:top w:w="0" w:type="dxa"/>
                              <w:left w:w="57" w:type="dxa"/>
                              <w:bottom w:w="0" w:type="dxa"/>
                              <w:right w:w="57" w:type="dxa"/>
                            </w:tcMar>
                            <w:vAlign w:val="center"/>
                            <w:hideMark/>
                          </w:tcPr>
                          <w:p>
                            <w:pPr>
                              <w:shd w:val="clear" w:color="000000" w:fill="auto"/>
                              <w:ind w:firstLine="620"/>
                              <w:jc w:val="both"/>
                              <w:rPr>
                                <w:b/>
                                <w:bCs/>
                                <w:sz w:val="20"/>
                                <w:lang w:eastAsia="lt-LT"/>
                              </w:rPr>
                            </w:pPr>
                          </w:p>
                        </w:tc>
                        <w:tc>
                          <w:tcPr>
                            <w:tcW w:w="738"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shd w:val="clear" w:color="000000" w:fill="auto"/>
                              <w:ind w:firstLine="620"/>
                              <w:jc w:val="both"/>
                              <w:rPr>
                                <w:b/>
                                <w:bCs/>
                                <w:sz w:val="20"/>
                                <w:lang w:eastAsia="lt-LT"/>
                              </w:rPr>
                            </w:pPr>
                          </w:p>
                        </w:tc>
                        <w:tc>
                          <w:tcPr>
                            <w:tcW w:w="1326" w:type="pct"/>
                            <w:tcBorders>
                              <w:top w:val="nil"/>
                              <w:left w:val="nil"/>
                              <w:bottom w:val="single" w:sz="8" w:space="0" w:color="auto"/>
                              <w:right w:val="single" w:sz="8" w:space="0" w:color="auto"/>
                            </w:tcBorders>
                            <w:tcMar>
                              <w:top w:w="0" w:type="dxa"/>
                              <w:left w:w="57" w:type="dxa"/>
                              <w:bottom w:w="0" w:type="dxa"/>
                              <w:right w:w="57" w:type="dxa"/>
                            </w:tcMar>
                            <w:hideMark/>
                          </w:tcPr>
                          <w:p>
                            <w:pPr>
                              <w:shd w:val="clear" w:color="000000" w:fill="auto"/>
                              <w:ind w:firstLine="620"/>
                              <w:jc w:val="both"/>
                              <w:rPr>
                                <w:b/>
                                <w:bCs/>
                                <w:sz w:val="20"/>
                                <w:lang w:eastAsia="lt-LT"/>
                              </w:rPr>
                            </w:pPr>
                          </w:p>
                        </w:tc>
                        <w:tc>
                          <w:tcPr>
                            <w:tcW w:w="1615"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shd w:val="clear" w:color="000000" w:fill="auto"/>
                              <w:ind w:firstLine="620"/>
                              <w:jc w:val="both"/>
                              <w:rPr>
                                <w:b/>
                                <w:bCs/>
                                <w:sz w:val="20"/>
                                <w:lang w:eastAsia="lt-LT"/>
                              </w:rPr>
                            </w:pPr>
                          </w:p>
                        </w:tc>
                      </w:tr>
                      <w:tr>
                        <w:trPr>
                          <w:trHeight w:val="243"/>
                          <w:tblHeader/>
                        </w:trPr>
                        <w:tc>
                          <w:tcPr>
                            <w:tcW w:w="229" w:type="pct"/>
                            <w:tcBorders>
                              <w:top w:val="nil"/>
                              <w:left w:val="single" w:sz="8" w:space="0" w:color="auto"/>
                              <w:bottom w:val="single" w:sz="8" w:space="0" w:color="auto"/>
                              <w:right w:val="single" w:sz="4" w:space="0" w:color="auto"/>
                            </w:tcBorders>
                            <w:tcMar>
                              <w:top w:w="0" w:type="dxa"/>
                              <w:left w:w="57" w:type="dxa"/>
                              <w:bottom w:w="0" w:type="dxa"/>
                              <w:right w:w="57" w:type="dxa"/>
                            </w:tcMar>
                            <w:vAlign w:val="center"/>
                          </w:tcPr>
                          <w:p>
                            <w:pPr>
                              <w:shd w:val="clear" w:color="000000" w:fill="auto"/>
                              <w:ind w:firstLine="567"/>
                              <w:jc w:val="both"/>
                              <w:rPr>
                                <w:sz w:val="22"/>
                                <w:szCs w:val="22"/>
                                <w:lang w:eastAsia="lt-LT"/>
                              </w:rPr>
                            </w:pPr>
                          </w:p>
                        </w:tc>
                        <w:tc>
                          <w:tcPr>
                            <w:tcW w:w="329" w:type="pct"/>
                            <w:tcBorders>
                              <w:top w:val="single" w:sz="4" w:space="0" w:color="auto"/>
                              <w:left w:val="single" w:sz="4" w:space="0" w:color="auto"/>
                              <w:bottom w:val="single" w:sz="4" w:space="0" w:color="auto"/>
                              <w:right w:val="single" w:sz="4" w:space="0" w:color="auto"/>
                            </w:tcBorders>
                            <w:vAlign w:val="center"/>
                          </w:tcPr>
                          <w:p>
                            <w:pPr>
                              <w:shd w:val="clear" w:color="000000" w:fill="auto"/>
                              <w:ind w:firstLine="624"/>
                              <w:jc w:val="both"/>
                              <w:rPr>
                                <w:color w:val="000000"/>
                                <w:sz w:val="22"/>
                                <w:szCs w:val="22"/>
                                <w:lang w:eastAsia="lt-LT"/>
                              </w:rPr>
                            </w:pPr>
                          </w:p>
                        </w:tc>
                        <w:tc>
                          <w:tcPr>
                            <w:tcW w:w="764" w:type="pct"/>
                            <w:tcBorders>
                              <w:top w:val="nil"/>
                              <w:left w:val="single" w:sz="4" w:space="0" w:color="auto"/>
                              <w:bottom w:val="single" w:sz="8" w:space="0" w:color="auto"/>
                              <w:right w:val="single" w:sz="8" w:space="0" w:color="auto"/>
                            </w:tcBorders>
                            <w:tcMar>
                              <w:top w:w="0" w:type="dxa"/>
                              <w:left w:w="57" w:type="dxa"/>
                              <w:bottom w:w="0" w:type="dxa"/>
                              <w:right w:w="57" w:type="dxa"/>
                            </w:tcMar>
                            <w:vAlign w:val="center"/>
                            <w:hideMark/>
                          </w:tcPr>
                          <w:p>
                            <w:pPr>
                              <w:shd w:val="clear" w:color="000000" w:fill="auto"/>
                              <w:ind w:firstLine="624"/>
                              <w:jc w:val="both"/>
                              <w:rPr>
                                <w:sz w:val="22"/>
                                <w:szCs w:val="22"/>
                                <w:lang w:eastAsia="lt-LT"/>
                              </w:rPr>
                            </w:pPr>
                          </w:p>
                        </w:tc>
                        <w:tc>
                          <w:tcPr>
                            <w:tcW w:w="738"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shd w:val="clear" w:color="000000" w:fill="auto"/>
                              <w:ind w:firstLine="624"/>
                              <w:jc w:val="both"/>
                              <w:rPr>
                                <w:sz w:val="22"/>
                                <w:szCs w:val="22"/>
                                <w:lang w:eastAsia="lt-LT"/>
                              </w:rPr>
                            </w:pPr>
                          </w:p>
                        </w:tc>
                        <w:tc>
                          <w:tcPr>
                            <w:tcW w:w="1326" w:type="pct"/>
                            <w:tcBorders>
                              <w:top w:val="nil"/>
                              <w:left w:val="nil"/>
                              <w:bottom w:val="single" w:sz="8" w:space="0" w:color="auto"/>
                              <w:right w:val="single" w:sz="8" w:space="0" w:color="auto"/>
                            </w:tcBorders>
                            <w:tcMar>
                              <w:top w:w="0" w:type="dxa"/>
                              <w:left w:w="57" w:type="dxa"/>
                              <w:bottom w:w="0" w:type="dxa"/>
                              <w:right w:w="57" w:type="dxa"/>
                            </w:tcMar>
                            <w:hideMark/>
                          </w:tcPr>
                          <w:p>
                            <w:pPr>
                              <w:shd w:val="clear" w:color="000000" w:fill="auto"/>
                              <w:ind w:firstLine="624"/>
                              <w:jc w:val="both"/>
                              <w:rPr>
                                <w:sz w:val="22"/>
                                <w:szCs w:val="22"/>
                                <w:lang w:eastAsia="lt-LT"/>
                              </w:rPr>
                            </w:pPr>
                          </w:p>
                        </w:tc>
                        <w:tc>
                          <w:tcPr>
                            <w:tcW w:w="1615" w:type="pct"/>
                            <w:vMerge/>
                            <w:tcBorders>
                              <w:top w:val="nil"/>
                              <w:left w:val="nil"/>
                              <w:bottom w:val="single" w:sz="8" w:space="0" w:color="auto"/>
                              <w:right w:val="single" w:sz="8" w:space="0" w:color="auto"/>
                            </w:tcBorders>
                            <w:vAlign w:val="center"/>
                            <w:hideMark/>
                          </w:tcPr>
                          <w:p>
                            <w:pPr>
                              <w:shd w:val="clear" w:color="000000" w:fill="auto"/>
                              <w:rPr>
                                <w:sz w:val="22"/>
                                <w:szCs w:val="22"/>
                                <w:lang w:eastAsia="lt-LT"/>
                              </w:rPr>
                            </w:pPr>
                          </w:p>
                        </w:tc>
                      </w:tr>
                      <w:tr>
                        <w:trPr>
                          <w:trHeight w:val="243"/>
                          <w:tblHeader/>
                        </w:trPr>
                        <w:tc>
                          <w:tcPr>
                            <w:tcW w:w="229" w:type="pct"/>
                            <w:tcBorders>
                              <w:top w:val="nil"/>
                              <w:left w:val="single" w:sz="8" w:space="0" w:color="auto"/>
                              <w:bottom w:val="single" w:sz="8" w:space="0" w:color="auto"/>
                              <w:right w:val="single" w:sz="4" w:space="0" w:color="auto"/>
                            </w:tcBorders>
                            <w:tcMar>
                              <w:top w:w="0" w:type="dxa"/>
                              <w:left w:w="57" w:type="dxa"/>
                              <w:bottom w:w="0" w:type="dxa"/>
                              <w:right w:w="57" w:type="dxa"/>
                            </w:tcMar>
                            <w:vAlign w:val="center"/>
                          </w:tcPr>
                          <w:p>
                            <w:pPr>
                              <w:shd w:val="clear" w:color="000000" w:fill="auto"/>
                              <w:ind w:firstLine="567"/>
                              <w:jc w:val="both"/>
                              <w:rPr>
                                <w:sz w:val="22"/>
                                <w:szCs w:val="22"/>
                                <w:lang w:eastAsia="lt-LT"/>
                              </w:rPr>
                            </w:pPr>
                          </w:p>
                        </w:tc>
                        <w:tc>
                          <w:tcPr>
                            <w:tcW w:w="329" w:type="pct"/>
                            <w:tcBorders>
                              <w:top w:val="single" w:sz="4" w:space="0" w:color="auto"/>
                              <w:left w:val="single" w:sz="4" w:space="0" w:color="auto"/>
                              <w:bottom w:val="single" w:sz="4" w:space="0" w:color="auto"/>
                              <w:right w:val="single" w:sz="4" w:space="0" w:color="auto"/>
                            </w:tcBorders>
                            <w:vAlign w:val="center"/>
                          </w:tcPr>
                          <w:p>
                            <w:pPr>
                              <w:shd w:val="clear" w:color="000000" w:fill="auto"/>
                              <w:ind w:firstLine="624"/>
                              <w:jc w:val="both"/>
                              <w:rPr>
                                <w:color w:val="000000"/>
                                <w:sz w:val="22"/>
                                <w:szCs w:val="22"/>
                                <w:lang w:eastAsia="lt-LT"/>
                              </w:rPr>
                            </w:pPr>
                          </w:p>
                        </w:tc>
                        <w:tc>
                          <w:tcPr>
                            <w:tcW w:w="764" w:type="pct"/>
                            <w:tcBorders>
                              <w:top w:val="nil"/>
                              <w:left w:val="single" w:sz="4" w:space="0" w:color="auto"/>
                              <w:bottom w:val="single" w:sz="8" w:space="0" w:color="auto"/>
                              <w:right w:val="single" w:sz="8" w:space="0" w:color="auto"/>
                            </w:tcBorders>
                            <w:tcMar>
                              <w:top w:w="0" w:type="dxa"/>
                              <w:left w:w="57" w:type="dxa"/>
                              <w:bottom w:w="0" w:type="dxa"/>
                              <w:right w:w="57" w:type="dxa"/>
                            </w:tcMar>
                            <w:vAlign w:val="center"/>
                            <w:hideMark/>
                          </w:tcPr>
                          <w:p>
                            <w:pPr>
                              <w:shd w:val="clear" w:color="000000" w:fill="auto"/>
                              <w:ind w:firstLine="624"/>
                              <w:jc w:val="both"/>
                              <w:rPr>
                                <w:sz w:val="22"/>
                                <w:szCs w:val="22"/>
                                <w:lang w:eastAsia="lt-LT"/>
                              </w:rPr>
                            </w:pPr>
                          </w:p>
                        </w:tc>
                        <w:tc>
                          <w:tcPr>
                            <w:tcW w:w="738"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shd w:val="clear" w:color="000000" w:fill="auto"/>
                              <w:ind w:firstLine="624"/>
                              <w:jc w:val="both"/>
                              <w:rPr>
                                <w:sz w:val="22"/>
                                <w:szCs w:val="22"/>
                                <w:lang w:eastAsia="lt-LT"/>
                              </w:rPr>
                            </w:pPr>
                          </w:p>
                        </w:tc>
                        <w:tc>
                          <w:tcPr>
                            <w:tcW w:w="1326" w:type="pct"/>
                            <w:tcBorders>
                              <w:top w:val="nil"/>
                              <w:left w:val="nil"/>
                              <w:bottom w:val="single" w:sz="8" w:space="0" w:color="auto"/>
                              <w:right w:val="single" w:sz="8" w:space="0" w:color="auto"/>
                            </w:tcBorders>
                            <w:tcMar>
                              <w:top w:w="0" w:type="dxa"/>
                              <w:left w:w="57" w:type="dxa"/>
                              <w:bottom w:w="0" w:type="dxa"/>
                              <w:right w:w="57" w:type="dxa"/>
                            </w:tcMar>
                            <w:hideMark/>
                          </w:tcPr>
                          <w:p>
                            <w:pPr>
                              <w:shd w:val="clear" w:color="000000" w:fill="auto"/>
                              <w:ind w:firstLine="624"/>
                              <w:jc w:val="both"/>
                              <w:rPr>
                                <w:sz w:val="22"/>
                                <w:szCs w:val="22"/>
                                <w:lang w:eastAsia="lt-LT"/>
                              </w:rPr>
                            </w:pPr>
                          </w:p>
                        </w:tc>
                        <w:tc>
                          <w:tcPr>
                            <w:tcW w:w="1615" w:type="pct"/>
                            <w:vMerge/>
                            <w:tcBorders>
                              <w:top w:val="nil"/>
                              <w:left w:val="nil"/>
                              <w:bottom w:val="single" w:sz="8" w:space="0" w:color="auto"/>
                              <w:right w:val="single" w:sz="8" w:space="0" w:color="auto"/>
                            </w:tcBorders>
                            <w:vAlign w:val="center"/>
                            <w:hideMark/>
                          </w:tcPr>
                          <w:p>
                            <w:pPr>
                              <w:shd w:val="clear" w:color="000000" w:fill="auto"/>
                              <w:rPr>
                                <w:sz w:val="22"/>
                                <w:szCs w:val="22"/>
                                <w:lang w:eastAsia="lt-LT"/>
                              </w:rPr>
                            </w:pPr>
                          </w:p>
                        </w:tc>
                      </w:tr>
                    </w:tbl>
                    <w:p>
                      <w:pPr>
                        <w:shd w:val="clear" w:color="000000" w:fill="auto"/>
                        <w:suppressAutoHyphens/>
                        <w:ind w:firstLine="567"/>
                        <w:jc w:val="both"/>
                        <w:textAlignment w:val="baseline"/>
                        <w:rPr>
                          <w:b/>
                          <w:bCs/>
                          <w:color w:val="000000"/>
                          <w:szCs w:val="24"/>
                          <w:lang w:eastAsia="lt-LT"/>
                        </w:rPr>
                      </w:pPr>
                    </w:p>
                    <w:p>
                      <w:pPr>
                        <w:shd w:val="clear" w:color="000000" w:fill="auto"/>
                        <w:suppressAutoHyphens/>
                        <w:ind w:firstLine="567"/>
                        <w:jc w:val="both"/>
                        <w:textAlignment w:val="baseline"/>
                        <w:rPr>
                          <w:color w:val="000000"/>
                          <w:szCs w:val="24"/>
                          <w:lang w:eastAsia="lt-LT"/>
                        </w:rPr>
                      </w:pPr>
                      <w:r>
                        <w:rPr>
                          <w:b/>
                          <w:bCs/>
                          <w:color w:val="000000"/>
                          <w:szCs w:val="24"/>
                          <w:lang w:eastAsia="lt-LT"/>
                        </w:rPr>
                        <w:t>27 lentelė.</w:t>
                      </w:r>
                      <w:r>
                        <w:rPr>
                          <w:color w:val="000000"/>
                          <w:szCs w:val="24"/>
                          <w:lang w:eastAsia="lt-LT"/>
                        </w:rPr>
                        <w:t> Didžiausias numatomas laikyti nepavojingųjų atliekų kiekis jų susidarymo vietoje iki surinkimo (S8)</w:t>
                      </w:r>
                    </w:p>
                    <w:p>
                      <w:pPr>
                        <w:shd w:val="clear" w:color="000000" w:fill="auto"/>
                        <w:ind w:firstLine="567"/>
                        <w:jc w:val="both"/>
                        <w:rPr>
                          <w:color w:val="000000"/>
                          <w:szCs w:val="24"/>
                          <w:lang w:eastAsia="lt-LT"/>
                        </w:rPr>
                      </w:pPr>
                    </w:p>
                    <w:p>
                      <w:pPr>
                        <w:shd w:val="clear" w:color="000000" w:fill="auto"/>
                        <w:jc w:val="both"/>
                        <w:rPr>
                          <w:color w:val="000000"/>
                          <w:szCs w:val="24"/>
                          <w:lang w:eastAsia="lt-LT"/>
                        </w:rPr>
                      </w:pPr>
                      <w:r>
                        <w:rPr>
                          <w:color w:val="000000"/>
                          <w:szCs w:val="24"/>
                          <w:lang w:eastAsia="lt-LT"/>
                        </w:rPr>
                        <w:t>Įrenginio pavadinimas </w:t>
                      </w:r>
                      <w:r>
                        <w:rPr>
                          <w:rFonts w:ascii="Symbol" w:hAnsi="Symbol"/>
                          <w:color w:val="000000"/>
                          <w:szCs w:val="24"/>
                          <w:lang w:eastAsia="lt-LT"/>
                        </w:rPr>
                        <w:t></w:t>
                      </w:r>
                    </w:p>
                    <w:p>
                      <w:pPr>
                        <w:shd w:val="clear" w:color="000000" w:fill="auto"/>
                        <w:ind w:firstLine="629"/>
                        <w:jc w:val="center"/>
                        <w:rPr>
                          <w:color w:val="000000"/>
                          <w:szCs w:val="24"/>
                          <w:lang w:eastAsia="lt-LT"/>
                        </w:rPr>
                      </w:pPr>
                    </w:p>
                    <w:tbl>
                      <w:tblPr>
                        <w:tblW w:w="5000" w:type="pct"/>
                        <w:tblCellMar>
                          <w:left w:w="0" w:type="dxa"/>
                          <w:right w:w="0" w:type="dxa"/>
                        </w:tblCellMar>
                        <w:tblLook w:val="04A0" w:firstRow="1" w:lastRow="0" w:firstColumn="1" w:lastColumn="0" w:noHBand="0" w:noVBand="1"/>
                      </w:tblPr>
                      <w:tblGrid>
                        <w:gridCol w:w="798"/>
                        <w:gridCol w:w="1252"/>
                        <w:gridCol w:w="2928"/>
                        <w:gridCol w:w="5725"/>
                        <w:gridCol w:w="3553"/>
                      </w:tblGrid>
                      <w:tr>
                        <w:tc>
                          <w:tcPr>
                            <w:tcW w:w="280" w:type="pct"/>
                            <w:vMerge w:val="restart"/>
                            <w:tcBorders>
                              <w:top w:val="single" w:sz="8" w:space="0" w:color="auto"/>
                              <w:left w:val="single" w:sz="8" w:space="0" w:color="auto"/>
                              <w:right w:val="single" w:sz="8" w:space="0" w:color="auto"/>
                            </w:tcBorders>
                            <w:vAlign w:val="center"/>
                          </w:tcPr>
                          <w:p>
                            <w:pPr>
                              <w:shd w:val="clear" w:color="000000" w:fill="auto"/>
                              <w:jc w:val="center"/>
                              <w:rPr>
                                <w:color w:val="000000"/>
                                <w:sz w:val="20"/>
                                <w:lang w:eastAsia="lt-LT"/>
                              </w:rPr>
                            </w:pPr>
                            <w:r>
                              <w:rPr>
                                <w:color w:val="000000"/>
                                <w:sz w:val="20"/>
                                <w:lang w:eastAsia="lt-LT"/>
                              </w:rPr>
                              <w:t>Eil. Nr.</w:t>
                            </w:r>
                          </w:p>
                          <w:p>
                            <w:pPr>
                              <w:shd w:val="clear" w:color="000000" w:fill="auto"/>
                              <w:ind w:firstLine="567"/>
                              <w:jc w:val="both"/>
                              <w:rPr>
                                <w:color w:val="000000"/>
                                <w:sz w:val="20"/>
                                <w:lang w:eastAsia="lt-LT"/>
                              </w:rPr>
                            </w:pPr>
                          </w:p>
                        </w:tc>
                        <w:tc>
                          <w:tcPr>
                            <w:tcW w:w="3474" w:type="pct"/>
                            <w:gridSpan w:val="3"/>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shd w:val="clear" w:color="000000" w:fill="auto"/>
                              <w:ind w:firstLine="567"/>
                              <w:jc w:val="center"/>
                              <w:rPr>
                                <w:sz w:val="20"/>
                                <w:lang w:eastAsia="lt-LT"/>
                              </w:rPr>
                            </w:pPr>
                            <w:r>
                              <w:rPr>
                                <w:color w:val="000000"/>
                                <w:sz w:val="20"/>
                                <w:lang w:eastAsia="lt-LT"/>
                              </w:rPr>
                              <w:t>Atliekos</w:t>
                            </w:r>
                          </w:p>
                        </w:tc>
                        <w:tc>
                          <w:tcPr>
                            <w:tcW w:w="1246"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hd w:val="clear" w:color="000000" w:fill="auto"/>
                              <w:rPr>
                                <w:sz w:val="20"/>
                                <w:lang w:eastAsia="lt-LT"/>
                              </w:rPr>
                            </w:pPr>
                            <w:r>
                              <w:rPr>
                                <w:color w:val="000000"/>
                                <w:sz w:val="20"/>
                                <w:lang w:eastAsia="lt-LT"/>
                              </w:rPr>
                              <w:t>Atliekų laikymas</w:t>
                            </w:r>
                          </w:p>
                        </w:tc>
                      </w:tr>
                      <w:tr>
                        <w:trPr>
                          <w:trHeight w:val="855"/>
                        </w:trPr>
                        <w:tc>
                          <w:tcPr>
                            <w:tcW w:w="280" w:type="pct"/>
                            <w:vMerge/>
                            <w:tcBorders>
                              <w:left w:val="single" w:sz="8" w:space="0" w:color="auto"/>
                              <w:bottom w:val="single" w:sz="4" w:space="0" w:color="auto"/>
                              <w:right w:val="single" w:sz="8" w:space="0" w:color="auto"/>
                            </w:tcBorders>
                          </w:tcPr>
                          <w:p>
                            <w:pPr>
                              <w:shd w:val="clear" w:color="000000" w:fill="auto"/>
                              <w:jc w:val="both"/>
                              <w:rPr>
                                <w:color w:val="000000"/>
                                <w:sz w:val="20"/>
                                <w:lang w:eastAsia="lt-LT"/>
                              </w:rPr>
                            </w:pPr>
                          </w:p>
                        </w:tc>
                        <w:tc>
                          <w:tcPr>
                            <w:tcW w:w="439" w:type="pct"/>
                            <w:tcBorders>
                              <w:top w:val="nil"/>
                              <w:left w:val="single" w:sz="8" w:space="0" w:color="auto"/>
                              <w:bottom w:val="single" w:sz="4" w:space="0" w:color="auto"/>
                              <w:right w:val="single" w:sz="8" w:space="0" w:color="auto"/>
                            </w:tcBorders>
                            <w:tcMar>
                              <w:top w:w="0" w:type="dxa"/>
                              <w:left w:w="108" w:type="dxa"/>
                              <w:bottom w:w="0" w:type="dxa"/>
                              <w:right w:w="108" w:type="dxa"/>
                            </w:tcMar>
                            <w:vAlign w:val="center"/>
                            <w:hideMark/>
                          </w:tcPr>
                          <w:p>
                            <w:pPr>
                              <w:shd w:val="clear" w:color="000000" w:fill="auto"/>
                              <w:jc w:val="center"/>
                              <w:rPr>
                                <w:sz w:val="20"/>
                                <w:lang w:eastAsia="lt-LT"/>
                              </w:rPr>
                            </w:pPr>
                            <w:r>
                              <w:rPr>
                                <w:color w:val="000000"/>
                                <w:sz w:val="20"/>
                                <w:lang w:eastAsia="lt-LT"/>
                              </w:rPr>
                              <w:t>Kodas</w:t>
                            </w:r>
                          </w:p>
                        </w:tc>
                        <w:tc>
                          <w:tcPr>
                            <w:tcW w:w="1027" w:type="pct"/>
                            <w:tcBorders>
                              <w:top w:val="nil"/>
                              <w:left w:val="nil"/>
                              <w:bottom w:val="single" w:sz="4" w:space="0" w:color="auto"/>
                              <w:right w:val="single" w:sz="8" w:space="0" w:color="auto"/>
                            </w:tcBorders>
                            <w:tcMar>
                              <w:top w:w="0" w:type="dxa"/>
                              <w:left w:w="108" w:type="dxa"/>
                              <w:bottom w:w="0" w:type="dxa"/>
                              <w:right w:w="108" w:type="dxa"/>
                            </w:tcMar>
                            <w:vAlign w:val="center"/>
                            <w:hideMark/>
                          </w:tcPr>
                          <w:p>
                            <w:pPr>
                              <w:shd w:val="clear" w:color="000000" w:fill="auto"/>
                              <w:jc w:val="center"/>
                              <w:rPr>
                                <w:sz w:val="20"/>
                                <w:lang w:eastAsia="lt-LT"/>
                              </w:rPr>
                            </w:pPr>
                            <w:r>
                              <w:rPr>
                                <w:color w:val="000000"/>
                                <w:sz w:val="20"/>
                                <w:lang w:eastAsia="lt-LT"/>
                              </w:rPr>
                              <w:t>Pavadinimas</w:t>
                            </w:r>
                          </w:p>
                        </w:tc>
                        <w:tc>
                          <w:tcPr>
                            <w:tcW w:w="2008" w:type="pct"/>
                            <w:tcBorders>
                              <w:top w:val="nil"/>
                              <w:left w:val="nil"/>
                              <w:bottom w:val="single" w:sz="4" w:space="0" w:color="auto"/>
                              <w:right w:val="single" w:sz="8" w:space="0" w:color="auto"/>
                            </w:tcBorders>
                            <w:tcMar>
                              <w:top w:w="0" w:type="dxa"/>
                              <w:left w:w="108" w:type="dxa"/>
                              <w:bottom w:w="0" w:type="dxa"/>
                              <w:right w:w="108" w:type="dxa"/>
                            </w:tcMar>
                            <w:vAlign w:val="center"/>
                            <w:hideMark/>
                          </w:tcPr>
                          <w:p>
                            <w:pPr>
                              <w:shd w:val="clear" w:color="000000" w:fill="auto"/>
                              <w:jc w:val="center"/>
                              <w:rPr>
                                <w:sz w:val="20"/>
                                <w:lang w:eastAsia="lt-LT"/>
                              </w:rPr>
                            </w:pPr>
                            <w:r>
                              <w:rPr>
                                <w:color w:val="000000"/>
                                <w:sz w:val="20"/>
                                <w:lang w:eastAsia="lt-LT"/>
                              </w:rPr>
                              <w:t>Patikslintas pavadinimas</w:t>
                            </w:r>
                          </w:p>
                        </w:tc>
                        <w:tc>
                          <w:tcPr>
                            <w:tcW w:w="1246" w:type="pct"/>
                            <w:tcBorders>
                              <w:top w:val="nil"/>
                              <w:left w:val="nil"/>
                              <w:bottom w:val="single" w:sz="4" w:space="0" w:color="auto"/>
                              <w:right w:val="single" w:sz="8" w:space="0" w:color="auto"/>
                            </w:tcBorders>
                            <w:tcMar>
                              <w:top w:w="0" w:type="dxa"/>
                              <w:left w:w="108" w:type="dxa"/>
                              <w:bottom w:w="0" w:type="dxa"/>
                              <w:right w:w="108" w:type="dxa"/>
                            </w:tcMar>
                            <w:vAlign w:val="center"/>
                            <w:hideMark/>
                          </w:tcPr>
                          <w:p>
                            <w:pPr>
                              <w:shd w:val="clear" w:color="000000" w:fill="auto"/>
                              <w:jc w:val="center"/>
                              <w:rPr>
                                <w:sz w:val="20"/>
                                <w:lang w:eastAsia="lt-LT"/>
                              </w:rPr>
                            </w:pPr>
                            <w:r>
                              <w:rPr>
                                <w:color w:val="000000"/>
                                <w:sz w:val="20"/>
                                <w:lang w:eastAsia="lt-LT"/>
                              </w:rPr>
                              <w:t>Didžiausias vienu metu numatomas laikyti bendras atliekų kiekis, t</w:t>
                            </w:r>
                          </w:p>
                        </w:tc>
                      </w:tr>
                      <w:tr>
                        <w:trPr>
                          <w:trHeight w:val="221"/>
                        </w:trPr>
                        <w:tc>
                          <w:tcPr>
                            <w:tcW w:w="280" w:type="pct"/>
                            <w:tcBorders>
                              <w:top w:val="single" w:sz="4" w:space="0" w:color="auto"/>
                              <w:left w:val="single" w:sz="4" w:space="0" w:color="auto"/>
                              <w:bottom w:val="single" w:sz="4" w:space="0" w:color="auto"/>
                              <w:right w:val="single" w:sz="4" w:space="0" w:color="auto"/>
                            </w:tcBorders>
                          </w:tcPr>
                          <w:p>
                            <w:pPr>
                              <w:shd w:val="clear" w:color="000000" w:fill="auto"/>
                              <w:ind w:firstLine="34"/>
                              <w:jc w:val="center"/>
                              <w:rPr>
                                <w:color w:val="000000"/>
                                <w:sz w:val="20"/>
                                <w:lang w:eastAsia="lt-LT"/>
                              </w:rPr>
                            </w:pPr>
                            <w:r>
                              <w:rPr>
                                <w:color w:val="000000"/>
                                <w:sz w:val="20"/>
                                <w:lang w:eastAsia="lt-LT"/>
                              </w:rPr>
                              <w:t>1</w:t>
                            </w:r>
                          </w:p>
                        </w:tc>
                        <w:tc>
                          <w:tcPr>
                            <w:tcW w:w="43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hd w:val="clear" w:color="000000" w:fill="auto"/>
                              <w:ind w:firstLine="34"/>
                              <w:jc w:val="center"/>
                              <w:rPr>
                                <w:sz w:val="20"/>
                                <w:lang w:eastAsia="lt-LT"/>
                              </w:rPr>
                            </w:pPr>
                            <w:r>
                              <w:rPr>
                                <w:color w:val="000000"/>
                                <w:sz w:val="20"/>
                                <w:lang w:eastAsia="lt-LT"/>
                              </w:rPr>
                              <w:t>2</w:t>
                            </w:r>
                          </w:p>
                        </w:tc>
                        <w:tc>
                          <w:tcPr>
                            <w:tcW w:w="102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hd w:val="clear" w:color="000000" w:fill="auto"/>
                              <w:ind w:firstLine="20"/>
                              <w:jc w:val="center"/>
                              <w:rPr>
                                <w:sz w:val="20"/>
                                <w:lang w:eastAsia="lt-LT"/>
                              </w:rPr>
                            </w:pPr>
                            <w:r>
                              <w:rPr>
                                <w:color w:val="000000"/>
                                <w:sz w:val="20"/>
                                <w:lang w:eastAsia="lt-LT"/>
                              </w:rPr>
                              <w:t>3</w:t>
                            </w:r>
                          </w:p>
                        </w:tc>
                        <w:tc>
                          <w:tcPr>
                            <w:tcW w:w="200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hd w:val="clear" w:color="000000" w:fill="auto"/>
                              <w:ind w:firstLine="1"/>
                              <w:jc w:val="center"/>
                              <w:rPr>
                                <w:sz w:val="20"/>
                                <w:lang w:eastAsia="lt-LT"/>
                              </w:rPr>
                            </w:pPr>
                            <w:r>
                              <w:rPr>
                                <w:color w:val="000000"/>
                                <w:sz w:val="20"/>
                                <w:lang w:eastAsia="lt-LT"/>
                              </w:rPr>
                              <w:t>4</w:t>
                            </w:r>
                          </w:p>
                        </w:tc>
                        <w:tc>
                          <w:tcPr>
                            <w:tcW w:w="1246"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hd w:val="clear" w:color="000000" w:fill="auto"/>
                              <w:jc w:val="center"/>
                              <w:rPr>
                                <w:sz w:val="20"/>
                                <w:lang w:eastAsia="lt-LT"/>
                              </w:rPr>
                            </w:pPr>
                            <w:r>
                              <w:rPr>
                                <w:color w:val="000000"/>
                                <w:sz w:val="20"/>
                                <w:lang w:eastAsia="lt-LT"/>
                              </w:rPr>
                              <w:t>5</w:t>
                            </w:r>
                          </w:p>
                        </w:tc>
                      </w:tr>
                      <w:tr>
                        <w:trPr>
                          <w:trHeight w:val="243"/>
                        </w:trPr>
                        <w:tc>
                          <w:tcPr>
                            <w:tcW w:w="280" w:type="pct"/>
                            <w:tcBorders>
                              <w:top w:val="single" w:sz="4" w:space="0" w:color="auto"/>
                              <w:left w:val="single" w:sz="8" w:space="0" w:color="auto"/>
                              <w:bottom w:val="single" w:sz="8" w:space="0" w:color="auto"/>
                              <w:right w:val="single" w:sz="8" w:space="0" w:color="auto"/>
                            </w:tcBorders>
                          </w:tcPr>
                          <w:p>
                            <w:pPr>
                              <w:shd w:val="clear" w:color="000000" w:fill="auto"/>
                              <w:ind w:firstLine="567"/>
                              <w:jc w:val="both"/>
                              <w:rPr>
                                <w:color w:val="000000"/>
                                <w:sz w:val="20"/>
                                <w:lang w:eastAsia="lt-LT"/>
                              </w:rPr>
                            </w:pPr>
                          </w:p>
                        </w:tc>
                        <w:tc>
                          <w:tcPr>
                            <w:tcW w:w="439" w:type="pct"/>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shd w:val="clear" w:color="000000" w:fill="auto"/>
                              <w:ind w:firstLine="620"/>
                              <w:jc w:val="both"/>
                              <w:rPr>
                                <w:sz w:val="20"/>
                                <w:lang w:eastAsia="lt-LT"/>
                              </w:rPr>
                            </w:pPr>
                          </w:p>
                        </w:tc>
                        <w:tc>
                          <w:tcPr>
                            <w:tcW w:w="1027" w:type="pct"/>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shd w:val="clear" w:color="000000" w:fill="auto"/>
                              <w:ind w:firstLine="620"/>
                              <w:jc w:val="both"/>
                              <w:rPr>
                                <w:sz w:val="20"/>
                                <w:lang w:eastAsia="lt-LT"/>
                              </w:rPr>
                            </w:pPr>
                          </w:p>
                        </w:tc>
                        <w:tc>
                          <w:tcPr>
                            <w:tcW w:w="2008" w:type="pct"/>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shd w:val="clear" w:color="000000" w:fill="auto"/>
                              <w:ind w:firstLine="620"/>
                              <w:jc w:val="both"/>
                              <w:rPr>
                                <w:sz w:val="20"/>
                                <w:lang w:eastAsia="lt-LT"/>
                              </w:rPr>
                            </w:pPr>
                          </w:p>
                        </w:tc>
                        <w:tc>
                          <w:tcPr>
                            <w:tcW w:w="1246" w:type="pct"/>
                            <w:vMerge w:val="restart"/>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shd w:val="clear" w:color="000000" w:fill="auto"/>
                              <w:ind w:firstLine="620"/>
                              <w:jc w:val="both"/>
                              <w:rPr>
                                <w:sz w:val="20"/>
                                <w:lang w:eastAsia="lt-LT"/>
                              </w:rPr>
                            </w:pPr>
                          </w:p>
                        </w:tc>
                      </w:tr>
                      <w:tr>
                        <w:trPr>
                          <w:trHeight w:val="243"/>
                        </w:trPr>
                        <w:tc>
                          <w:tcPr>
                            <w:tcW w:w="280" w:type="pct"/>
                            <w:tcBorders>
                              <w:top w:val="nil"/>
                              <w:left w:val="single" w:sz="8" w:space="0" w:color="auto"/>
                              <w:bottom w:val="single" w:sz="8" w:space="0" w:color="auto"/>
                              <w:right w:val="single" w:sz="8" w:space="0" w:color="auto"/>
                            </w:tcBorders>
                          </w:tcPr>
                          <w:p>
                            <w:pPr>
                              <w:shd w:val="clear" w:color="000000" w:fill="auto"/>
                              <w:ind w:firstLine="567"/>
                              <w:jc w:val="both"/>
                              <w:rPr>
                                <w:color w:val="000000"/>
                                <w:sz w:val="22"/>
                                <w:szCs w:val="22"/>
                                <w:lang w:eastAsia="lt-LT"/>
                              </w:rPr>
                            </w:pPr>
                          </w:p>
                        </w:tc>
                        <w:tc>
                          <w:tcPr>
                            <w:tcW w:w="439"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shd w:val="clear" w:color="000000" w:fill="auto"/>
                              <w:ind w:firstLine="624"/>
                              <w:jc w:val="both"/>
                              <w:rPr>
                                <w:sz w:val="22"/>
                                <w:szCs w:val="22"/>
                                <w:lang w:eastAsia="lt-LT"/>
                              </w:rPr>
                            </w:pPr>
                          </w:p>
                        </w:tc>
                        <w:tc>
                          <w:tcPr>
                            <w:tcW w:w="102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shd w:val="clear" w:color="000000" w:fill="auto"/>
                              <w:ind w:firstLine="624"/>
                              <w:jc w:val="both"/>
                              <w:rPr>
                                <w:sz w:val="22"/>
                                <w:szCs w:val="22"/>
                                <w:lang w:eastAsia="lt-LT"/>
                              </w:rPr>
                            </w:pPr>
                          </w:p>
                        </w:tc>
                        <w:tc>
                          <w:tcPr>
                            <w:tcW w:w="2008"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shd w:val="clear" w:color="000000" w:fill="auto"/>
                              <w:ind w:firstLine="624"/>
                              <w:jc w:val="both"/>
                              <w:rPr>
                                <w:sz w:val="22"/>
                                <w:szCs w:val="22"/>
                                <w:lang w:eastAsia="lt-LT"/>
                              </w:rPr>
                            </w:pPr>
                          </w:p>
                        </w:tc>
                        <w:tc>
                          <w:tcPr>
                            <w:tcW w:w="1246" w:type="pct"/>
                            <w:vMerge/>
                            <w:tcBorders>
                              <w:top w:val="nil"/>
                              <w:left w:val="nil"/>
                              <w:bottom w:val="single" w:sz="8" w:space="0" w:color="auto"/>
                              <w:right w:val="single" w:sz="8" w:space="0" w:color="auto"/>
                            </w:tcBorders>
                            <w:vAlign w:val="center"/>
                            <w:hideMark/>
                          </w:tcPr>
                          <w:p>
                            <w:pPr>
                              <w:shd w:val="clear" w:color="000000" w:fill="auto"/>
                              <w:rPr>
                                <w:sz w:val="22"/>
                                <w:szCs w:val="22"/>
                                <w:lang w:eastAsia="lt-LT"/>
                              </w:rPr>
                            </w:pPr>
                          </w:p>
                        </w:tc>
                      </w:tr>
                      <w:tr>
                        <w:trPr>
                          <w:trHeight w:val="243"/>
                        </w:trPr>
                        <w:tc>
                          <w:tcPr>
                            <w:tcW w:w="280" w:type="pct"/>
                            <w:tcBorders>
                              <w:top w:val="nil"/>
                              <w:left w:val="single" w:sz="8" w:space="0" w:color="auto"/>
                              <w:bottom w:val="single" w:sz="8" w:space="0" w:color="auto"/>
                              <w:right w:val="single" w:sz="8" w:space="0" w:color="auto"/>
                            </w:tcBorders>
                          </w:tcPr>
                          <w:p>
                            <w:pPr>
                              <w:shd w:val="clear" w:color="000000" w:fill="auto"/>
                              <w:ind w:firstLine="567"/>
                              <w:jc w:val="both"/>
                              <w:rPr>
                                <w:color w:val="000000"/>
                                <w:szCs w:val="24"/>
                                <w:lang w:eastAsia="lt-LT"/>
                              </w:rPr>
                            </w:pPr>
                          </w:p>
                        </w:tc>
                        <w:tc>
                          <w:tcPr>
                            <w:tcW w:w="439"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shd w:val="clear" w:color="000000" w:fill="auto"/>
                              <w:ind w:firstLine="629"/>
                              <w:jc w:val="both"/>
                              <w:rPr>
                                <w:szCs w:val="24"/>
                                <w:lang w:eastAsia="lt-LT"/>
                              </w:rPr>
                            </w:pPr>
                          </w:p>
                        </w:tc>
                        <w:tc>
                          <w:tcPr>
                            <w:tcW w:w="102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shd w:val="clear" w:color="000000" w:fill="auto"/>
                              <w:ind w:firstLine="629"/>
                              <w:jc w:val="both"/>
                              <w:rPr>
                                <w:szCs w:val="24"/>
                                <w:lang w:eastAsia="lt-LT"/>
                              </w:rPr>
                            </w:pPr>
                          </w:p>
                        </w:tc>
                        <w:tc>
                          <w:tcPr>
                            <w:tcW w:w="2008"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shd w:val="clear" w:color="000000" w:fill="auto"/>
                              <w:ind w:firstLine="629"/>
                              <w:jc w:val="both"/>
                              <w:rPr>
                                <w:szCs w:val="24"/>
                                <w:lang w:eastAsia="lt-LT"/>
                              </w:rPr>
                            </w:pPr>
                          </w:p>
                        </w:tc>
                        <w:tc>
                          <w:tcPr>
                            <w:tcW w:w="1246" w:type="pct"/>
                            <w:vMerge/>
                            <w:tcBorders>
                              <w:top w:val="nil"/>
                              <w:left w:val="nil"/>
                              <w:bottom w:val="single" w:sz="8" w:space="0" w:color="auto"/>
                              <w:right w:val="single" w:sz="8" w:space="0" w:color="auto"/>
                            </w:tcBorders>
                            <w:vAlign w:val="center"/>
                            <w:hideMark/>
                          </w:tcPr>
                          <w:p>
                            <w:pPr>
                              <w:shd w:val="clear" w:color="000000" w:fill="auto"/>
                              <w:rPr>
                                <w:szCs w:val="24"/>
                                <w:lang w:eastAsia="lt-LT"/>
                              </w:rPr>
                            </w:pPr>
                          </w:p>
                        </w:tc>
                      </w:tr>
                    </w:tbl>
                    <w:p>
                      <w:pPr>
                        <w:shd w:val="clear" w:color="000000" w:fill="auto"/>
                        <w:suppressAutoHyphens/>
                        <w:ind w:firstLine="567"/>
                        <w:jc w:val="both"/>
                        <w:textAlignment w:val="baseline"/>
                        <w:rPr>
                          <w:szCs w:val="24"/>
                          <w:lang w:eastAsia="lt-LT"/>
                        </w:rPr>
                      </w:pPr>
                    </w:p>
                  </w:sdtContent>
                </w:sdt>
                <w:sdt>
                  <w:sdtPr>
                    <w:alias w:val="24.2 pp."/>
                    <w:tag w:val="part_0a68e32a13df4513a731b76e9da51ee6"/>
                    <w:lock w:val="sdtLocked"/>
                    <w:richText/>
                  </w:sdtPr>
                  <w:sdtContent>
                    <w:p>
                      <w:pPr>
                        <w:shd w:val="clear" w:color="000000" w:fill="auto"/>
                        <w:suppressAutoHyphens/>
                        <w:ind w:firstLine="567"/>
                        <w:jc w:val="both"/>
                        <w:textAlignment w:val="baseline"/>
                      </w:pPr>
                      <w:sdt>
                        <w:sdtPr>
                          <w:alias w:val="Numeris"/>
                          <w:tag w:val="nr_0a68e32a13df4513a731b76e9da51ee6"/>
                          <w:lock w:val="sdtLocked"/>
                          <w:richText/>
                        </w:sdtPr>
                        <w:sdtContent>
                          <w:r>
                            <w:rPr>
                              <w:color w:val="000000"/>
                            </w:rPr>
                            <w:t>24.2</w:t>
                          </w:r>
                        </w:sdtContent>
                      </w:sdt>
                      <w:r>
                        <w:rPr>
                          <w:color w:val="000000"/>
                        </w:rPr>
                        <w:t>. Pavojingosios atliekos</w:t>
                      </w:r>
                    </w:p>
                    <w:p>
                      <w:pPr>
                        <w:widowControl w:val="0"/>
                        <w:shd w:val="clear" w:color="000000" w:fill="auto"/>
                        <w:suppressAutoHyphens/>
                        <w:ind w:firstLine="567"/>
                        <w:jc w:val="both"/>
                        <w:textAlignment w:val="baseline"/>
                        <w:rPr>
                          <w:b/>
                          <w:color w:val="000000"/>
                          <w:szCs w:val="24"/>
                          <w:lang w:eastAsia="lt-LT"/>
                        </w:rPr>
                      </w:pPr>
                    </w:p>
                    <w:p>
                      <w:pPr>
                        <w:widowControl w:val="0"/>
                        <w:shd w:val="clear" w:color="000000" w:fill="auto"/>
                        <w:suppressAutoHyphens/>
                        <w:ind w:firstLine="567"/>
                        <w:jc w:val="both"/>
                        <w:textAlignment w:val="baseline"/>
                        <w:rPr>
                          <w:szCs w:val="24"/>
                          <w:lang w:eastAsia="lt-LT"/>
                        </w:rPr>
                      </w:pPr>
                      <w:r>
                        <w:rPr>
                          <w:b/>
                          <w:color w:val="000000"/>
                          <w:szCs w:val="24"/>
                          <w:lang w:eastAsia="lt-LT"/>
                        </w:rPr>
                        <w:t xml:space="preserve">28 lentelė. </w:t>
                      </w:r>
                      <w:r>
                        <w:rPr>
                          <w:color w:val="000000"/>
                          <w:szCs w:val="24"/>
                          <w:lang w:eastAsia="lt-LT"/>
                        </w:rPr>
                        <w:t xml:space="preserve">Numatomos naudoti, </w:t>
                      </w:r>
                      <w:r>
                        <w:rPr>
                          <w:szCs w:val="24"/>
                          <w:lang w:eastAsia="lt-LT"/>
                        </w:rPr>
                        <w:t>išskyrus numatomas laikyti ir paruošti naudoti, pavojingosios atliekos</w:t>
                      </w:r>
                    </w:p>
                    <w:p>
                      <w:pPr>
                        <w:widowControl w:val="0"/>
                        <w:shd w:val="clear" w:color="000000" w:fill="auto"/>
                        <w:ind w:firstLine="567"/>
                        <w:jc w:val="both"/>
                        <w:rPr>
                          <w:szCs w:val="24"/>
                          <w:lang w:eastAsia="lt-LT"/>
                        </w:rPr>
                      </w:pPr>
                    </w:p>
                    <w:p>
                      <w:pPr>
                        <w:widowControl w:val="0"/>
                        <w:shd w:val="clear" w:color="000000" w:fill="auto"/>
                        <w:jc w:val="both"/>
                        <w:rPr>
                          <w:szCs w:val="24"/>
                          <w:lang w:eastAsia="lt-LT"/>
                        </w:rPr>
                      </w:pPr>
                      <w:r>
                        <w:rPr>
                          <w:szCs w:val="24"/>
                          <w:lang w:eastAsia="lt-LT"/>
                        </w:rPr>
                        <w:t>Įrenginio pavadinimas</w:t>
                      </w:r>
                      <w:r>
                        <w:rPr>
                          <w:rFonts w:ascii="Symbol" w:eastAsia="Symbol" w:hAnsi="Symbol" w:cs="Symbol"/>
                          <w:szCs w:val="24"/>
                          <w:lang w:eastAsia="lt-LT"/>
                        </w:rPr>
                        <w:t></w:t>
                      </w:r>
                    </w:p>
                    <w:p>
                      <w:pPr>
                        <w:widowControl w:val="0"/>
                        <w:shd w:val="clear" w:color="000000" w:fill="auto"/>
                        <w:ind w:firstLine="567"/>
                        <w:jc w:val="both"/>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6"/>
                        <w:gridCol w:w="1894"/>
                        <w:gridCol w:w="1887"/>
                        <w:gridCol w:w="1262"/>
                        <w:gridCol w:w="1893"/>
                        <w:gridCol w:w="1679"/>
                        <w:gridCol w:w="2743"/>
                        <w:gridCol w:w="2090"/>
                      </w:tblGrid>
                      <w:tr>
                        <w:trPr>
                          <w:cantSplit/>
                        </w:trPr>
                        <w:tc>
                          <w:tcPr>
                            <w:tcW w:w="289" w:type="pct"/>
                            <w:vMerge w:val="restart"/>
                            <w:tcBorders>
                              <w:top w:val="single" w:sz="4" w:space="0" w:color="auto"/>
                              <w:left w:val="single" w:sz="4" w:space="0" w:color="auto"/>
                              <w:right w:val="single" w:sz="4" w:space="0" w:color="auto"/>
                            </w:tcBorders>
                            <w:vAlign w:val="center"/>
                          </w:tcPr>
                          <w:p>
                            <w:pPr>
                              <w:widowControl w:val="0"/>
                              <w:shd w:val="clear" w:color="000000" w:fill="auto"/>
                              <w:jc w:val="center"/>
                              <w:rPr>
                                <w:sz w:val="20"/>
                                <w:lang w:eastAsia="lt-LT"/>
                              </w:rPr>
                            </w:pPr>
                            <w:r>
                              <w:rPr>
                                <w:sz w:val="20"/>
                                <w:lang w:eastAsia="lt-LT"/>
                              </w:rPr>
                              <w:t>Eil. Nr.</w:t>
                            </w:r>
                          </w:p>
                        </w:tc>
                        <w:tc>
                          <w:tcPr>
                            <w:tcW w:w="663"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sz w:val="20"/>
                                <w:lang w:eastAsia="lt-LT"/>
                              </w:rPr>
                            </w:pPr>
                            <w:r>
                              <w:rPr>
                                <w:sz w:val="20"/>
                                <w:lang w:eastAsia="lt-LT"/>
                              </w:rPr>
                              <w:t>Pavojingųjų atliekų technologinio srauto žymėjimas</w:t>
                            </w:r>
                          </w:p>
                        </w:tc>
                        <w:tc>
                          <w:tcPr>
                            <w:tcW w:w="661"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sz w:val="20"/>
                                <w:lang w:eastAsia="lt-LT"/>
                              </w:rPr>
                            </w:pPr>
                            <w:r>
                              <w:rPr>
                                <w:sz w:val="20"/>
                                <w:lang w:eastAsia="lt-LT"/>
                              </w:rPr>
                              <w:t>Pavojingųjų atliekų technologinio srauto pavadinimas</w:t>
                            </w:r>
                          </w:p>
                        </w:tc>
                        <w:tc>
                          <w:tcPr>
                            <w:tcW w:w="442"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sz w:val="20"/>
                                <w:lang w:eastAsia="lt-LT"/>
                              </w:rPr>
                            </w:pPr>
                            <w:r>
                              <w:rPr>
                                <w:sz w:val="20"/>
                                <w:lang w:eastAsia="lt-LT"/>
                              </w:rPr>
                              <w:t>Atliekos kodas</w:t>
                            </w:r>
                          </w:p>
                        </w:tc>
                        <w:tc>
                          <w:tcPr>
                            <w:tcW w:w="663"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jc w:val="center"/>
                              <w:rPr>
                                <w:sz w:val="20"/>
                                <w:lang w:eastAsia="lt-LT"/>
                              </w:rPr>
                            </w:pPr>
                            <w:r>
                              <w:rPr>
                                <w:sz w:val="20"/>
                                <w:lang w:eastAsia="lt-LT"/>
                              </w:rPr>
                              <w:t>Atliekos pavadinimas</w:t>
                            </w:r>
                          </w:p>
                        </w:tc>
                        <w:tc>
                          <w:tcPr>
                            <w:tcW w:w="588"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sz w:val="20"/>
                                <w:lang w:eastAsia="lt-LT"/>
                              </w:rPr>
                            </w:pPr>
                            <w:r>
                              <w:rPr>
                                <w:sz w:val="20"/>
                                <w:lang w:eastAsia="lt-LT"/>
                              </w:rPr>
                              <w:t>Patikslintas atliekos pavadinimas</w:t>
                            </w:r>
                          </w:p>
                        </w:tc>
                        <w:tc>
                          <w:tcPr>
                            <w:tcW w:w="1693" w:type="pct"/>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sz w:val="20"/>
                                <w:lang w:eastAsia="lt-LT"/>
                              </w:rPr>
                            </w:pPr>
                            <w:r>
                              <w:rPr>
                                <w:sz w:val="20"/>
                                <w:lang w:eastAsia="lt-LT"/>
                              </w:rPr>
                              <w:t>Atliekų naudojimas</w:t>
                            </w:r>
                          </w:p>
                        </w:tc>
                      </w:tr>
                      <w:tr>
                        <w:trPr>
                          <w:cantSplit/>
                          <w:trHeight w:val="855"/>
                        </w:trPr>
                        <w:tc>
                          <w:tcPr>
                            <w:tcW w:w="289" w:type="pct"/>
                            <w:vMerge/>
                            <w:tcBorders>
                              <w:left w:val="single" w:sz="4" w:space="0" w:color="auto"/>
                              <w:bottom w:val="single" w:sz="4" w:space="0" w:color="auto"/>
                              <w:right w:val="single" w:sz="4" w:space="0" w:color="auto"/>
                            </w:tcBorders>
                            <w:vAlign w:val="center"/>
                          </w:tcPr>
                          <w:p>
                            <w:pPr>
                              <w:widowControl w:val="0"/>
                              <w:shd w:val="clear" w:color="000000" w:fill="auto"/>
                              <w:ind w:firstLine="567"/>
                              <w:jc w:val="center"/>
                              <w:rPr>
                                <w:sz w:val="20"/>
                                <w:lang w:eastAsia="lt-LT"/>
                              </w:rPr>
                            </w:pPr>
                          </w:p>
                        </w:tc>
                        <w:tc>
                          <w:tcPr>
                            <w:tcW w:w="663"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center"/>
                              <w:rPr>
                                <w:sz w:val="20"/>
                                <w:lang w:eastAsia="lt-LT"/>
                              </w:rPr>
                            </w:pPr>
                          </w:p>
                        </w:tc>
                        <w:tc>
                          <w:tcPr>
                            <w:tcW w:w="661"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center"/>
                              <w:rPr>
                                <w:sz w:val="20"/>
                                <w:lang w:eastAsia="lt-LT"/>
                              </w:rPr>
                            </w:pPr>
                          </w:p>
                        </w:tc>
                        <w:tc>
                          <w:tcPr>
                            <w:tcW w:w="442"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center"/>
                              <w:rPr>
                                <w:sz w:val="20"/>
                                <w:lang w:eastAsia="lt-LT"/>
                              </w:rPr>
                            </w:pPr>
                          </w:p>
                        </w:tc>
                        <w:tc>
                          <w:tcPr>
                            <w:tcW w:w="663"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center"/>
                              <w:rPr>
                                <w:sz w:val="20"/>
                                <w:lang w:eastAsia="lt-LT"/>
                              </w:rPr>
                            </w:pPr>
                          </w:p>
                        </w:tc>
                        <w:tc>
                          <w:tcPr>
                            <w:tcW w:w="588"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center"/>
                              <w:rPr>
                                <w:sz w:val="20"/>
                                <w:lang w:eastAsia="lt-LT"/>
                              </w:rPr>
                            </w:pPr>
                          </w:p>
                        </w:tc>
                        <w:tc>
                          <w:tcPr>
                            <w:tcW w:w="961"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sz w:val="20"/>
                                <w:lang w:eastAsia="lt-LT"/>
                              </w:rPr>
                            </w:pPr>
                            <w:r>
                              <w:rPr>
                                <w:sz w:val="20"/>
                                <w:lang w:eastAsia="lt-LT"/>
                              </w:rPr>
                              <w:t>Atliekos naudojimo veiklos kodas</w:t>
                            </w:r>
                          </w:p>
                          <w:p>
                            <w:pPr>
                              <w:widowControl w:val="0"/>
                              <w:shd w:val="clear" w:color="000000" w:fill="auto"/>
                              <w:jc w:val="center"/>
                              <w:rPr>
                                <w:sz w:val="20"/>
                                <w:lang w:eastAsia="lt-LT"/>
                              </w:rPr>
                            </w:pPr>
                            <w:r>
                              <w:rPr>
                                <w:sz w:val="20"/>
                                <w:lang w:eastAsia="lt-LT"/>
                              </w:rPr>
                              <w:t>(R1–R11)</w:t>
                            </w:r>
                          </w:p>
                        </w:tc>
                        <w:tc>
                          <w:tcPr>
                            <w:tcW w:w="732"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shd w:val="clear" w:color="000000" w:fill="auto"/>
                              <w:jc w:val="center"/>
                              <w:rPr>
                                <w:sz w:val="20"/>
                                <w:lang w:eastAsia="lt-LT"/>
                              </w:rPr>
                            </w:pPr>
                            <w:r>
                              <w:rPr>
                                <w:sz w:val="20"/>
                                <w:lang w:eastAsia="lt-LT"/>
                              </w:rPr>
                              <w:t>Projektinis įrenginio pajėgumas, t/m.</w:t>
                            </w:r>
                          </w:p>
                          <w:p>
                            <w:pPr>
                              <w:widowControl w:val="0"/>
                              <w:shd w:val="clear" w:color="000000" w:fill="auto"/>
                              <w:ind w:firstLine="567"/>
                              <w:jc w:val="center"/>
                              <w:rPr>
                                <w:sz w:val="20"/>
                                <w:lang w:eastAsia="lt-LT"/>
                              </w:rPr>
                            </w:pPr>
                          </w:p>
                        </w:tc>
                      </w:tr>
                      <w:tr>
                        <w:trPr>
                          <w:cantSplit/>
                          <w:trHeight w:val="243"/>
                        </w:trPr>
                        <w:tc>
                          <w:tcPr>
                            <w:tcW w:w="289" w:type="pct"/>
                            <w:tcBorders>
                              <w:top w:val="single" w:sz="4" w:space="0" w:color="auto"/>
                              <w:left w:val="single" w:sz="4" w:space="0" w:color="auto"/>
                              <w:bottom w:val="single" w:sz="4" w:space="0" w:color="auto"/>
                              <w:right w:val="single" w:sz="4" w:space="0" w:color="auto"/>
                            </w:tcBorders>
                          </w:tcPr>
                          <w:p>
                            <w:pPr>
                              <w:widowControl w:val="0"/>
                              <w:shd w:val="clear" w:color="000000" w:fill="auto"/>
                              <w:jc w:val="center"/>
                              <w:rPr>
                                <w:sz w:val="20"/>
                                <w:lang w:eastAsia="lt-LT"/>
                              </w:rPr>
                            </w:pPr>
                            <w:r>
                              <w:rPr>
                                <w:sz w:val="20"/>
                                <w:lang w:eastAsia="lt-LT"/>
                              </w:rPr>
                              <w:t>1</w:t>
                            </w:r>
                          </w:p>
                        </w:tc>
                        <w:tc>
                          <w:tcPr>
                            <w:tcW w:w="663"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sz w:val="20"/>
                                <w:lang w:eastAsia="lt-LT"/>
                              </w:rPr>
                            </w:pPr>
                            <w:r>
                              <w:rPr>
                                <w:sz w:val="20"/>
                                <w:lang w:eastAsia="lt-LT"/>
                              </w:rPr>
                              <w:t>2</w:t>
                            </w:r>
                          </w:p>
                        </w:tc>
                        <w:tc>
                          <w:tcPr>
                            <w:tcW w:w="661"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sz w:val="20"/>
                                <w:lang w:eastAsia="lt-LT"/>
                              </w:rPr>
                            </w:pPr>
                            <w:r>
                              <w:rPr>
                                <w:sz w:val="20"/>
                                <w:lang w:eastAsia="lt-LT"/>
                              </w:rPr>
                              <w:t>3</w:t>
                            </w:r>
                          </w:p>
                        </w:tc>
                        <w:tc>
                          <w:tcPr>
                            <w:tcW w:w="442"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widowControl w:val="0"/>
                              <w:shd w:val="clear" w:color="000000" w:fill="auto"/>
                              <w:jc w:val="center"/>
                              <w:rPr>
                                <w:sz w:val="20"/>
                                <w:lang w:eastAsia="lt-LT"/>
                              </w:rPr>
                            </w:pPr>
                            <w:r>
                              <w:rPr>
                                <w:sz w:val="20"/>
                                <w:lang w:eastAsia="lt-LT"/>
                              </w:rPr>
                              <w:t>4</w:t>
                            </w:r>
                          </w:p>
                        </w:tc>
                        <w:tc>
                          <w:tcPr>
                            <w:tcW w:w="663" w:type="pct"/>
                            <w:tcBorders>
                              <w:top w:val="single" w:sz="4" w:space="0" w:color="auto"/>
                              <w:left w:val="single" w:sz="4" w:space="0" w:color="auto"/>
                              <w:bottom w:val="single" w:sz="4" w:space="0" w:color="auto"/>
                              <w:right w:val="single" w:sz="4" w:space="0" w:color="auto"/>
                            </w:tcBorders>
                            <w:hideMark/>
                          </w:tcPr>
                          <w:p>
                            <w:pPr>
                              <w:widowControl w:val="0"/>
                              <w:shd w:val="clear" w:color="000000" w:fill="auto"/>
                              <w:jc w:val="center"/>
                              <w:rPr>
                                <w:sz w:val="20"/>
                                <w:lang w:eastAsia="lt-LT"/>
                              </w:rPr>
                            </w:pPr>
                            <w:r>
                              <w:rPr>
                                <w:sz w:val="20"/>
                                <w:lang w:eastAsia="lt-LT"/>
                              </w:rPr>
                              <w:t>5</w:t>
                            </w:r>
                          </w:p>
                        </w:tc>
                        <w:tc>
                          <w:tcPr>
                            <w:tcW w:w="588"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widowControl w:val="0"/>
                              <w:shd w:val="clear" w:color="000000" w:fill="auto"/>
                              <w:jc w:val="center"/>
                              <w:rPr>
                                <w:sz w:val="20"/>
                                <w:lang w:eastAsia="lt-LT"/>
                              </w:rPr>
                            </w:pPr>
                            <w:r>
                              <w:rPr>
                                <w:sz w:val="20"/>
                                <w:lang w:eastAsia="lt-LT"/>
                              </w:rPr>
                              <w:t>6</w:t>
                            </w:r>
                          </w:p>
                        </w:tc>
                        <w:tc>
                          <w:tcPr>
                            <w:tcW w:w="961"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sz w:val="20"/>
                                <w:lang w:eastAsia="lt-LT"/>
                              </w:rPr>
                            </w:pPr>
                            <w:r>
                              <w:rPr>
                                <w:sz w:val="20"/>
                                <w:lang w:eastAsia="lt-LT"/>
                              </w:rPr>
                              <w:t>7</w:t>
                            </w:r>
                          </w:p>
                        </w:tc>
                        <w:tc>
                          <w:tcPr>
                            <w:tcW w:w="732"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widowControl w:val="0"/>
                              <w:shd w:val="clear" w:color="000000" w:fill="auto"/>
                              <w:jc w:val="center"/>
                              <w:rPr>
                                <w:sz w:val="20"/>
                                <w:lang w:eastAsia="lt-LT"/>
                              </w:rPr>
                            </w:pPr>
                            <w:r>
                              <w:rPr>
                                <w:sz w:val="20"/>
                                <w:lang w:eastAsia="lt-LT"/>
                              </w:rPr>
                              <w:t>8</w:t>
                            </w:r>
                          </w:p>
                        </w:tc>
                      </w:tr>
                      <w:tr>
                        <w:trPr>
                          <w:cantSplit/>
                          <w:trHeight w:val="243"/>
                        </w:trPr>
                        <w:tc>
                          <w:tcPr>
                            <w:tcW w:w="289"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sz w:val="20"/>
                                <w:lang w:eastAsia="lt-LT"/>
                              </w:rPr>
                            </w:pPr>
                          </w:p>
                        </w:tc>
                        <w:tc>
                          <w:tcPr>
                            <w:tcW w:w="663"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shd w:val="clear" w:color="000000" w:fill="auto"/>
                              <w:ind w:firstLine="567"/>
                              <w:jc w:val="both"/>
                              <w:rPr>
                                <w:sz w:val="20"/>
                                <w:lang w:eastAsia="lt-LT"/>
                              </w:rPr>
                            </w:pPr>
                          </w:p>
                        </w:tc>
                        <w:tc>
                          <w:tcPr>
                            <w:tcW w:w="661"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shd w:val="clear" w:color="000000" w:fill="auto"/>
                              <w:ind w:firstLine="567"/>
                              <w:jc w:val="both"/>
                              <w:rPr>
                                <w:sz w:val="20"/>
                                <w:lang w:eastAsia="lt-LT"/>
                              </w:rPr>
                            </w:pPr>
                          </w:p>
                        </w:tc>
                        <w:tc>
                          <w:tcPr>
                            <w:tcW w:w="442"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ind w:firstLine="567"/>
                              <w:jc w:val="both"/>
                              <w:rPr>
                                <w:sz w:val="20"/>
                                <w:lang w:eastAsia="lt-LT"/>
                              </w:rPr>
                            </w:pPr>
                          </w:p>
                        </w:tc>
                        <w:tc>
                          <w:tcPr>
                            <w:tcW w:w="663"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sz w:val="20"/>
                                <w:lang w:eastAsia="lt-LT"/>
                              </w:rPr>
                            </w:pPr>
                          </w:p>
                        </w:tc>
                        <w:tc>
                          <w:tcPr>
                            <w:tcW w:w="588"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ind w:firstLine="567"/>
                              <w:jc w:val="both"/>
                              <w:rPr>
                                <w:sz w:val="20"/>
                                <w:lang w:eastAsia="lt-LT"/>
                              </w:rPr>
                            </w:pPr>
                          </w:p>
                        </w:tc>
                        <w:tc>
                          <w:tcPr>
                            <w:tcW w:w="961"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shd w:val="clear" w:color="000000" w:fill="auto"/>
                              <w:ind w:firstLine="567"/>
                              <w:jc w:val="both"/>
                              <w:rPr>
                                <w:sz w:val="20"/>
                                <w:lang w:eastAsia="lt-LT"/>
                              </w:rPr>
                            </w:pPr>
                          </w:p>
                        </w:tc>
                        <w:tc>
                          <w:tcPr>
                            <w:tcW w:w="732"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ind w:firstLine="567"/>
                              <w:jc w:val="both"/>
                              <w:rPr>
                                <w:sz w:val="20"/>
                                <w:lang w:eastAsia="lt-LT"/>
                              </w:rPr>
                            </w:pPr>
                          </w:p>
                        </w:tc>
                      </w:tr>
                      <w:tr>
                        <w:trPr>
                          <w:cantSplit/>
                          <w:trHeight w:val="243"/>
                        </w:trPr>
                        <w:tc>
                          <w:tcPr>
                            <w:tcW w:w="289"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sz w:val="20"/>
                                <w:lang w:eastAsia="lt-LT"/>
                              </w:rPr>
                            </w:pPr>
                          </w:p>
                        </w:tc>
                        <w:tc>
                          <w:tcPr>
                            <w:tcW w:w="663"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sz w:val="20"/>
                                <w:lang w:eastAsia="lt-LT"/>
                              </w:rPr>
                            </w:pPr>
                          </w:p>
                        </w:tc>
                        <w:tc>
                          <w:tcPr>
                            <w:tcW w:w="661"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sz w:val="20"/>
                                <w:lang w:eastAsia="lt-LT"/>
                              </w:rPr>
                            </w:pPr>
                          </w:p>
                        </w:tc>
                        <w:tc>
                          <w:tcPr>
                            <w:tcW w:w="442"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ind w:firstLine="567"/>
                              <w:jc w:val="both"/>
                              <w:rPr>
                                <w:sz w:val="20"/>
                                <w:lang w:eastAsia="lt-LT"/>
                              </w:rPr>
                            </w:pPr>
                          </w:p>
                        </w:tc>
                        <w:tc>
                          <w:tcPr>
                            <w:tcW w:w="663"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sz w:val="20"/>
                                <w:lang w:eastAsia="lt-LT"/>
                              </w:rPr>
                            </w:pPr>
                          </w:p>
                        </w:tc>
                        <w:tc>
                          <w:tcPr>
                            <w:tcW w:w="588"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ind w:firstLine="567"/>
                              <w:jc w:val="both"/>
                              <w:rPr>
                                <w:sz w:val="20"/>
                                <w:lang w:eastAsia="lt-LT"/>
                              </w:rPr>
                            </w:pPr>
                          </w:p>
                        </w:tc>
                        <w:tc>
                          <w:tcPr>
                            <w:tcW w:w="961"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shd w:val="clear" w:color="000000" w:fill="auto"/>
                              <w:ind w:firstLine="567"/>
                              <w:jc w:val="both"/>
                              <w:rPr>
                                <w:sz w:val="20"/>
                                <w:lang w:eastAsia="lt-LT"/>
                              </w:rPr>
                            </w:pPr>
                          </w:p>
                        </w:tc>
                        <w:tc>
                          <w:tcPr>
                            <w:tcW w:w="732"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sz w:val="20"/>
                                <w:lang w:eastAsia="lt-LT"/>
                              </w:rPr>
                            </w:pPr>
                          </w:p>
                        </w:tc>
                      </w:tr>
                      <w:tr>
                        <w:trPr>
                          <w:cantSplit/>
                          <w:trHeight w:val="243"/>
                        </w:trPr>
                        <w:tc>
                          <w:tcPr>
                            <w:tcW w:w="289"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sz w:val="20"/>
                                <w:lang w:eastAsia="lt-LT"/>
                              </w:rPr>
                            </w:pPr>
                          </w:p>
                        </w:tc>
                        <w:tc>
                          <w:tcPr>
                            <w:tcW w:w="663"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sz w:val="20"/>
                                <w:lang w:eastAsia="lt-LT"/>
                              </w:rPr>
                            </w:pPr>
                          </w:p>
                        </w:tc>
                        <w:tc>
                          <w:tcPr>
                            <w:tcW w:w="661"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sz w:val="20"/>
                                <w:lang w:eastAsia="lt-LT"/>
                              </w:rPr>
                            </w:pPr>
                          </w:p>
                        </w:tc>
                        <w:tc>
                          <w:tcPr>
                            <w:tcW w:w="442"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ind w:firstLine="567"/>
                              <w:jc w:val="both"/>
                              <w:rPr>
                                <w:sz w:val="20"/>
                                <w:lang w:eastAsia="lt-LT"/>
                              </w:rPr>
                            </w:pPr>
                          </w:p>
                        </w:tc>
                        <w:tc>
                          <w:tcPr>
                            <w:tcW w:w="663"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sz w:val="20"/>
                                <w:lang w:eastAsia="lt-LT"/>
                              </w:rPr>
                            </w:pPr>
                          </w:p>
                        </w:tc>
                        <w:tc>
                          <w:tcPr>
                            <w:tcW w:w="588"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ind w:firstLine="567"/>
                              <w:jc w:val="both"/>
                              <w:rPr>
                                <w:sz w:val="20"/>
                                <w:lang w:eastAsia="lt-LT"/>
                              </w:rPr>
                            </w:pPr>
                          </w:p>
                        </w:tc>
                        <w:tc>
                          <w:tcPr>
                            <w:tcW w:w="961"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shd w:val="clear" w:color="000000" w:fill="auto"/>
                              <w:ind w:firstLine="567"/>
                              <w:jc w:val="both"/>
                              <w:rPr>
                                <w:sz w:val="20"/>
                                <w:lang w:eastAsia="lt-LT"/>
                              </w:rPr>
                            </w:pPr>
                          </w:p>
                        </w:tc>
                        <w:tc>
                          <w:tcPr>
                            <w:tcW w:w="732"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sz w:val="20"/>
                                <w:lang w:eastAsia="lt-LT"/>
                              </w:rPr>
                            </w:pPr>
                          </w:p>
                        </w:tc>
                      </w:tr>
                    </w:tbl>
                    <w:p>
                      <w:pPr>
                        <w:widowControl w:val="0"/>
                        <w:shd w:val="clear" w:color="000000" w:fill="auto"/>
                        <w:suppressAutoHyphens/>
                        <w:ind w:firstLine="567"/>
                        <w:jc w:val="both"/>
                        <w:textAlignment w:val="baseline"/>
                        <w:rPr>
                          <w:b/>
                          <w:szCs w:val="24"/>
                          <w:lang w:eastAsia="lt-LT"/>
                        </w:rPr>
                      </w:pPr>
                    </w:p>
                    <w:p>
                      <w:pPr>
                        <w:widowControl w:val="0"/>
                        <w:shd w:val="clear" w:color="000000" w:fill="auto"/>
                        <w:suppressAutoHyphens/>
                        <w:ind w:firstLine="567"/>
                        <w:jc w:val="both"/>
                        <w:textAlignment w:val="baseline"/>
                        <w:rPr>
                          <w:szCs w:val="24"/>
                          <w:lang w:eastAsia="lt-LT"/>
                        </w:rPr>
                      </w:pPr>
                      <w:r>
                        <w:rPr>
                          <w:b/>
                          <w:szCs w:val="24"/>
                          <w:lang w:eastAsia="lt-LT"/>
                        </w:rPr>
                        <w:t>29 lentelė.</w:t>
                      </w:r>
                      <w:r>
                        <w:rPr>
                          <w:szCs w:val="24"/>
                          <w:lang w:eastAsia="lt-LT"/>
                        </w:rPr>
                        <w:t xml:space="preserve"> Numatomos šalinti, išskyrus numatomas laikyti ir paruošti šalinti, pavojingosios atliekos</w:t>
                      </w:r>
                    </w:p>
                    <w:p>
                      <w:pPr>
                        <w:widowControl w:val="0"/>
                        <w:shd w:val="clear" w:color="000000" w:fill="auto"/>
                        <w:ind w:firstLine="567"/>
                        <w:jc w:val="both"/>
                        <w:rPr>
                          <w:color w:val="000000"/>
                          <w:szCs w:val="24"/>
                          <w:lang w:eastAsia="lt-LT"/>
                        </w:rPr>
                      </w:pPr>
                    </w:p>
                    <w:p>
                      <w:pPr>
                        <w:widowControl w:val="0"/>
                        <w:shd w:val="clear" w:color="000000" w:fill="auto"/>
                        <w:jc w:val="both"/>
                        <w:rPr>
                          <w:color w:val="000000"/>
                          <w:szCs w:val="24"/>
                          <w:lang w:eastAsia="lt-LT"/>
                        </w:rPr>
                      </w:pPr>
                      <w:r>
                        <w:rPr>
                          <w:color w:val="000000"/>
                          <w:szCs w:val="24"/>
                          <w:lang w:eastAsia="lt-LT"/>
                        </w:rPr>
                        <w:t>Įrenginio pavadinimas</w:t>
                      </w:r>
                      <w:r>
                        <w:rPr>
                          <w:rFonts w:ascii="Symbol" w:eastAsia="Symbol" w:hAnsi="Symbol" w:cs="Symbol"/>
                          <w:color w:val="000000"/>
                          <w:szCs w:val="24"/>
                          <w:lang w:eastAsia="lt-LT"/>
                        </w:rPr>
                        <w:t></w:t>
                      </w:r>
                    </w:p>
                    <w:p>
                      <w:pPr>
                        <w:widowControl w:val="0"/>
                        <w:shd w:val="clear" w:color="000000" w:fill="auto"/>
                        <w:ind w:firstLine="567"/>
                        <w:jc w:val="both"/>
                        <w:rPr>
                          <w:color w:val="00000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7"/>
                        <w:gridCol w:w="1773"/>
                        <w:gridCol w:w="1750"/>
                        <w:gridCol w:w="1168"/>
                        <w:gridCol w:w="1907"/>
                        <w:gridCol w:w="1644"/>
                        <w:gridCol w:w="1310"/>
                        <w:gridCol w:w="1447"/>
                        <w:gridCol w:w="2478"/>
                      </w:tblGrid>
                      <w:tr>
                        <w:trPr>
                          <w:cantSplit/>
                          <w:trHeight w:val="300"/>
                        </w:trPr>
                        <w:tc>
                          <w:tcPr>
                            <w:tcW w:w="279" w:type="pct"/>
                            <w:vMerge w:val="restart"/>
                            <w:tcBorders>
                              <w:top w:val="single" w:sz="4" w:space="0" w:color="auto"/>
                              <w:left w:val="single" w:sz="4" w:space="0" w:color="auto"/>
                              <w:right w:val="single" w:sz="4" w:space="0" w:color="auto"/>
                            </w:tcBorders>
                            <w:vAlign w:val="center"/>
                          </w:tcPr>
                          <w:p>
                            <w:pPr>
                              <w:widowControl w:val="0"/>
                              <w:shd w:val="clear" w:color="000000" w:fill="auto"/>
                              <w:jc w:val="center"/>
                              <w:rPr>
                                <w:color w:val="000000"/>
                                <w:sz w:val="20"/>
                                <w:lang w:eastAsia="lt-LT"/>
                              </w:rPr>
                            </w:pPr>
                            <w:r>
                              <w:rPr>
                                <w:color w:val="000000"/>
                                <w:sz w:val="20"/>
                                <w:lang w:eastAsia="lt-LT"/>
                              </w:rPr>
                              <w:t>Eil. Nr.</w:t>
                            </w:r>
                          </w:p>
                        </w:tc>
                        <w:tc>
                          <w:tcPr>
                            <w:tcW w:w="621"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color w:val="000000"/>
                                <w:sz w:val="20"/>
                                <w:lang w:eastAsia="lt-LT"/>
                              </w:rPr>
                            </w:pPr>
                            <w:r>
                              <w:rPr>
                                <w:color w:val="000000"/>
                                <w:sz w:val="20"/>
                                <w:lang w:eastAsia="lt-LT"/>
                              </w:rPr>
                              <w:t>Pavojingųjų atliekų technologinio srauto žymėjimas</w:t>
                            </w:r>
                          </w:p>
                        </w:tc>
                        <w:tc>
                          <w:tcPr>
                            <w:tcW w:w="613"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color w:val="000000"/>
                                <w:sz w:val="20"/>
                                <w:lang w:eastAsia="lt-LT"/>
                              </w:rPr>
                            </w:pPr>
                            <w:r>
                              <w:rPr>
                                <w:color w:val="000000"/>
                                <w:sz w:val="20"/>
                                <w:lang w:eastAsia="lt-LT"/>
                              </w:rPr>
                              <w:t>Pavojingųjų atliekų technologinio srauto pavadinimas</w:t>
                            </w:r>
                          </w:p>
                        </w:tc>
                        <w:tc>
                          <w:tcPr>
                            <w:tcW w:w="409"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color w:val="000000"/>
                                <w:sz w:val="20"/>
                                <w:lang w:eastAsia="lt-LT"/>
                              </w:rPr>
                            </w:pPr>
                            <w:r>
                              <w:rPr>
                                <w:color w:val="000000"/>
                                <w:sz w:val="20"/>
                                <w:lang w:eastAsia="lt-LT"/>
                              </w:rPr>
                              <w:t>Atliekos kodas</w:t>
                            </w:r>
                          </w:p>
                        </w:tc>
                        <w:tc>
                          <w:tcPr>
                            <w:tcW w:w="668"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jc w:val="center"/>
                              <w:rPr>
                                <w:color w:val="000000"/>
                                <w:sz w:val="20"/>
                                <w:lang w:eastAsia="lt-LT"/>
                              </w:rPr>
                            </w:pPr>
                            <w:r>
                              <w:rPr>
                                <w:color w:val="000000"/>
                                <w:sz w:val="20"/>
                                <w:lang w:eastAsia="lt-LT"/>
                              </w:rPr>
                              <w:t>Atliekos pavadinimas</w:t>
                            </w:r>
                          </w:p>
                        </w:tc>
                        <w:tc>
                          <w:tcPr>
                            <w:tcW w:w="576"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color w:val="000000"/>
                                <w:sz w:val="20"/>
                                <w:lang w:eastAsia="lt-LT"/>
                              </w:rPr>
                            </w:pPr>
                            <w:r>
                              <w:rPr>
                                <w:color w:val="000000"/>
                                <w:sz w:val="20"/>
                                <w:lang w:eastAsia="lt-LT"/>
                              </w:rPr>
                              <w:t>Patikslintas atliekos pavadinimas</w:t>
                            </w:r>
                          </w:p>
                        </w:tc>
                        <w:tc>
                          <w:tcPr>
                            <w:tcW w:w="1834" w:type="pct"/>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ind w:firstLine="567"/>
                              <w:jc w:val="center"/>
                              <w:rPr>
                                <w:color w:val="000000"/>
                                <w:sz w:val="20"/>
                                <w:lang w:eastAsia="lt-LT"/>
                              </w:rPr>
                            </w:pPr>
                            <w:r>
                              <w:rPr>
                                <w:color w:val="000000"/>
                                <w:sz w:val="20"/>
                                <w:lang w:eastAsia="lt-LT"/>
                              </w:rPr>
                              <w:t>Atliekų šalinimas</w:t>
                            </w:r>
                          </w:p>
                        </w:tc>
                      </w:tr>
                      <w:tr>
                        <w:trPr>
                          <w:cantSplit/>
                          <w:trHeight w:val="855"/>
                        </w:trPr>
                        <w:tc>
                          <w:tcPr>
                            <w:tcW w:w="279" w:type="pct"/>
                            <w:vMerge/>
                            <w:tcBorders>
                              <w:left w:val="single" w:sz="4" w:space="0" w:color="auto"/>
                              <w:bottom w:val="single" w:sz="4" w:space="0" w:color="auto"/>
                              <w:right w:val="single" w:sz="4" w:space="0" w:color="auto"/>
                            </w:tcBorders>
                            <w:vAlign w:val="center"/>
                          </w:tcPr>
                          <w:p>
                            <w:pPr>
                              <w:widowControl w:val="0"/>
                              <w:shd w:val="clear" w:color="000000" w:fill="auto"/>
                              <w:ind w:firstLine="567"/>
                              <w:jc w:val="center"/>
                              <w:rPr>
                                <w:b/>
                                <w:bCs/>
                                <w:color w:val="000000"/>
                                <w:sz w:val="20"/>
                                <w:lang w:eastAsia="lt-LT"/>
                              </w:rPr>
                            </w:pPr>
                          </w:p>
                        </w:tc>
                        <w:tc>
                          <w:tcPr>
                            <w:tcW w:w="621"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center"/>
                              <w:rPr>
                                <w:color w:val="000000"/>
                                <w:sz w:val="20"/>
                                <w:lang w:eastAsia="lt-LT"/>
                              </w:rPr>
                            </w:pPr>
                          </w:p>
                        </w:tc>
                        <w:tc>
                          <w:tcPr>
                            <w:tcW w:w="613"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center"/>
                              <w:rPr>
                                <w:color w:val="000000"/>
                                <w:sz w:val="20"/>
                                <w:lang w:eastAsia="lt-LT"/>
                              </w:rPr>
                            </w:pPr>
                          </w:p>
                        </w:tc>
                        <w:tc>
                          <w:tcPr>
                            <w:tcW w:w="409"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center"/>
                              <w:rPr>
                                <w:color w:val="000000"/>
                                <w:sz w:val="20"/>
                                <w:lang w:eastAsia="lt-LT"/>
                              </w:rPr>
                            </w:pPr>
                          </w:p>
                        </w:tc>
                        <w:tc>
                          <w:tcPr>
                            <w:tcW w:w="668"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center"/>
                              <w:rPr>
                                <w:color w:val="000000"/>
                                <w:sz w:val="20"/>
                                <w:lang w:eastAsia="lt-LT"/>
                              </w:rPr>
                            </w:pPr>
                          </w:p>
                        </w:tc>
                        <w:tc>
                          <w:tcPr>
                            <w:tcW w:w="576"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center"/>
                              <w:rPr>
                                <w:color w:val="000000"/>
                                <w:sz w:val="20"/>
                                <w:lang w:eastAsia="lt-LT"/>
                              </w:rPr>
                            </w:pPr>
                          </w:p>
                        </w:tc>
                        <w:tc>
                          <w:tcPr>
                            <w:tcW w:w="459"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color w:val="000000"/>
                                <w:sz w:val="20"/>
                                <w:lang w:eastAsia="lt-LT"/>
                              </w:rPr>
                            </w:pPr>
                            <w:r>
                              <w:rPr>
                                <w:color w:val="000000"/>
                                <w:sz w:val="20"/>
                                <w:lang w:eastAsia="lt-LT"/>
                              </w:rPr>
                              <w:t>Atliekos šalinimo veiklos kodas (D1–D7, D10)</w:t>
                            </w:r>
                          </w:p>
                        </w:tc>
                        <w:tc>
                          <w:tcPr>
                            <w:tcW w:w="507"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color w:val="000000"/>
                                <w:sz w:val="20"/>
                                <w:lang w:eastAsia="lt-LT"/>
                              </w:rPr>
                            </w:pPr>
                            <w:r>
                              <w:rPr>
                                <w:color w:val="000000"/>
                                <w:sz w:val="20"/>
                                <w:lang w:eastAsia="lt-LT"/>
                              </w:rPr>
                              <w:t>Projektinis įrenginio pajėgumas</w:t>
                            </w:r>
                          </w:p>
                        </w:tc>
                        <w:tc>
                          <w:tcPr>
                            <w:tcW w:w="868"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color w:val="000000"/>
                                <w:sz w:val="20"/>
                                <w:lang w:eastAsia="lt-LT"/>
                              </w:rPr>
                            </w:pPr>
                            <w:r>
                              <w:rPr>
                                <w:color w:val="000000"/>
                                <w:sz w:val="20"/>
                                <w:lang w:eastAsia="lt-LT"/>
                              </w:rPr>
                              <w:t>Didžiausias numatomas</w:t>
                            </w:r>
                          </w:p>
                          <w:p>
                            <w:pPr>
                              <w:widowControl w:val="0"/>
                              <w:shd w:val="clear" w:color="000000" w:fill="auto"/>
                              <w:jc w:val="center"/>
                              <w:rPr>
                                <w:color w:val="000000"/>
                                <w:sz w:val="20"/>
                                <w:lang w:eastAsia="lt-LT"/>
                              </w:rPr>
                            </w:pPr>
                            <w:r>
                              <w:rPr>
                                <w:color w:val="000000"/>
                                <w:sz w:val="20"/>
                                <w:lang w:eastAsia="lt-LT"/>
                              </w:rPr>
                              <w:t>šalinti bendras atliekų kiekis, t/m.</w:t>
                            </w:r>
                          </w:p>
                        </w:tc>
                      </w:tr>
                      <w:tr>
                        <w:trPr>
                          <w:cantSplit/>
                          <w:trHeight w:val="243"/>
                        </w:trPr>
                        <w:tc>
                          <w:tcPr>
                            <w:tcW w:w="279" w:type="pct"/>
                            <w:tcBorders>
                              <w:top w:val="single" w:sz="4" w:space="0" w:color="auto"/>
                              <w:left w:val="single" w:sz="4" w:space="0" w:color="auto"/>
                              <w:bottom w:val="single" w:sz="4" w:space="0" w:color="auto"/>
                              <w:right w:val="single" w:sz="4" w:space="0" w:color="auto"/>
                            </w:tcBorders>
                          </w:tcPr>
                          <w:p>
                            <w:pPr>
                              <w:widowControl w:val="0"/>
                              <w:shd w:val="clear" w:color="000000" w:fill="auto"/>
                              <w:jc w:val="center"/>
                              <w:rPr>
                                <w:color w:val="000000"/>
                                <w:sz w:val="20"/>
                                <w:lang w:eastAsia="lt-LT"/>
                              </w:rPr>
                            </w:pPr>
                            <w:r>
                              <w:rPr>
                                <w:color w:val="000000"/>
                                <w:sz w:val="20"/>
                                <w:lang w:eastAsia="lt-LT"/>
                              </w:rPr>
                              <w:t>1</w:t>
                            </w:r>
                          </w:p>
                        </w:tc>
                        <w:tc>
                          <w:tcPr>
                            <w:tcW w:w="621"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color w:val="000000"/>
                                <w:sz w:val="20"/>
                                <w:lang w:eastAsia="lt-LT"/>
                              </w:rPr>
                            </w:pPr>
                            <w:r>
                              <w:rPr>
                                <w:color w:val="000000"/>
                                <w:sz w:val="20"/>
                                <w:lang w:eastAsia="lt-LT"/>
                              </w:rPr>
                              <w:t>2</w:t>
                            </w:r>
                          </w:p>
                        </w:tc>
                        <w:tc>
                          <w:tcPr>
                            <w:tcW w:w="613"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color w:val="000000"/>
                                <w:sz w:val="20"/>
                                <w:lang w:eastAsia="lt-LT"/>
                              </w:rPr>
                            </w:pPr>
                            <w:r>
                              <w:rPr>
                                <w:color w:val="000000"/>
                                <w:sz w:val="20"/>
                                <w:lang w:eastAsia="lt-LT"/>
                              </w:rPr>
                              <w:t>3</w:t>
                            </w:r>
                          </w:p>
                        </w:tc>
                        <w:tc>
                          <w:tcPr>
                            <w:tcW w:w="409"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widowControl w:val="0"/>
                              <w:shd w:val="clear" w:color="000000" w:fill="auto"/>
                              <w:jc w:val="center"/>
                              <w:rPr>
                                <w:color w:val="000000"/>
                                <w:sz w:val="20"/>
                                <w:lang w:eastAsia="lt-LT"/>
                              </w:rPr>
                            </w:pPr>
                            <w:r>
                              <w:rPr>
                                <w:color w:val="000000"/>
                                <w:sz w:val="20"/>
                                <w:lang w:eastAsia="lt-LT"/>
                              </w:rPr>
                              <w:t>4</w:t>
                            </w:r>
                          </w:p>
                        </w:tc>
                        <w:tc>
                          <w:tcPr>
                            <w:tcW w:w="668" w:type="pct"/>
                            <w:tcBorders>
                              <w:top w:val="single" w:sz="4" w:space="0" w:color="auto"/>
                              <w:left w:val="single" w:sz="4" w:space="0" w:color="auto"/>
                              <w:bottom w:val="single" w:sz="4" w:space="0" w:color="auto"/>
                              <w:right w:val="single" w:sz="4" w:space="0" w:color="auto"/>
                            </w:tcBorders>
                            <w:hideMark/>
                          </w:tcPr>
                          <w:p>
                            <w:pPr>
                              <w:widowControl w:val="0"/>
                              <w:shd w:val="clear" w:color="000000" w:fill="auto"/>
                              <w:jc w:val="center"/>
                              <w:rPr>
                                <w:color w:val="000000"/>
                                <w:sz w:val="20"/>
                                <w:lang w:eastAsia="lt-LT"/>
                              </w:rPr>
                            </w:pPr>
                            <w:r>
                              <w:rPr>
                                <w:color w:val="000000"/>
                                <w:sz w:val="20"/>
                                <w:lang w:eastAsia="lt-LT"/>
                              </w:rPr>
                              <w:t>5</w:t>
                            </w:r>
                          </w:p>
                        </w:tc>
                        <w:tc>
                          <w:tcPr>
                            <w:tcW w:w="576"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widowControl w:val="0"/>
                              <w:shd w:val="clear" w:color="000000" w:fill="auto"/>
                              <w:jc w:val="center"/>
                              <w:rPr>
                                <w:color w:val="000000"/>
                                <w:sz w:val="20"/>
                                <w:lang w:eastAsia="lt-LT"/>
                              </w:rPr>
                            </w:pPr>
                            <w:r>
                              <w:rPr>
                                <w:color w:val="000000"/>
                                <w:sz w:val="20"/>
                                <w:lang w:eastAsia="lt-LT"/>
                              </w:rPr>
                              <w:t>6</w:t>
                            </w:r>
                          </w:p>
                        </w:tc>
                        <w:tc>
                          <w:tcPr>
                            <w:tcW w:w="459"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color w:val="000000"/>
                                <w:sz w:val="20"/>
                                <w:lang w:eastAsia="lt-LT"/>
                              </w:rPr>
                            </w:pPr>
                            <w:r>
                              <w:rPr>
                                <w:color w:val="000000"/>
                                <w:sz w:val="20"/>
                                <w:lang w:eastAsia="lt-LT"/>
                              </w:rPr>
                              <w:t>7</w:t>
                            </w:r>
                          </w:p>
                        </w:tc>
                        <w:tc>
                          <w:tcPr>
                            <w:tcW w:w="507"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widowControl w:val="0"/>
                              <w:shd w:val="clear" w:color="000000" w:fill="auto"/>
                              <w:jc w:val="center"/>
                              <w:rPr>
                                <w:color w:val="000000"/>
                                <w:sz w:val="20"/>
                                <w:lang w:eastAsia="lt-LT"/>
                              </w:rPr>
                            </w:pPr>
                            <w:r>
                              <w:rPr>
                                <w:color w:val="000000"/>
                                <w:sz w:val="20"/>
                                <w:lang w:eastAsia="lt-LT"/>
                              </w:rPr>
                              <w:t>8</w:t>
                            </w:r>
                          </w:p>
                        </w:tc>
                        <w:tc>
                          <w:tcPr>
                            <w:tcW w:w="868" w:type="pct"/>
                            <w:tcBorders>
                              <w:top w:val="single" w:sz="4" w:space="0" w:color="auto"/>
                              <w:left w:val="single" w:sz="4" w:space="0" w:color="auto"/>
                              <w:bottom w:val="single" w:sz="4" w:space="0" w:color="auto"/>
                              <w:right w:val="single" w:sz="4" w:space="0" w:color="auto"/>
                            </w:tcBorders>
                            <w:hideMark/>
                          </w:tcPr>
                          <w:p>
                            <w:pPr>
                              <w:widowControl w:val="0"/>
                              <w:shd w:val="clear" w:color="000000" w:fill="auto"/>
                              <w:jc w:val="center"/>
                              <w:rPr>
                                <w:color w:val="000000"/>
                                <w:sz w:val="20"/>
                                <w:lang w:eastAsia="lt-LT"/>
                              </w:rPr>
                            </w:pPr>
                            <w:r>
                              <w:rPr>
                                <w:color w:val="000000"/>
                                <w:sz w:val="20"/>
                                <w:lang w:eastAsia="lt-LT"/>
                              </w:rPr>
                              <w:t>9</w:t>
                            </w:r>
                          </w:p>
                        </w:tc>
                      </w:tr>
                      <w:tr>
                        <w:trPr>
                          <w:cantSplit/>
                          <w:trHeight w:val="243"/>
                        </w:trPr>
                        <w:tc>
                          <w:tcPr>
                            <w:tcW w:w="279"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color w:val="000000"/>
                                <w:sz w:val="20"/>
                                <w:lang w:eastAsia="lt-LT"/>
                              </w:rPr>
                            </w:pPr>
                          </w:p>
                        </w:tc>
                        <w:tc>
                          <w:tcPr>
                            <w:tcW w:w="621"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shd w:val="clear" w:color="000000" w:fill="auto"/>
                              <w:ind w:firstLine="567"/>
                              <w:jc w:val="both"/>
                              <w:rPr>
                                <w:color w:val="000000"/>
                                <w:sz w:val="20"/>
                                <w:lang w:eastAsia="lt-LT"/>
                              </w:rPr>
                            </w:pPr>
                          </w:p>
                        </w:tc>
                        <w:tc>
                          <w:tcPr>
                            <w:tcW w:w="613"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shd w:val="clear" w:color="000000" w:fill="auto"/>
                              <w:ind w:firstLine="567"/>
                              <w:jc w:val="both"/>
                              <w:rPr>
                                <w:color w:val="000000"/>
                                <w:sz w:val="20"/>
                                <w:lang w:eastAsia="lt-LT"/>
                              </w:rPr>
                            </w:pPr>
                          </w:p>
                        </w:tc>
                        <w:tc>
                          <w:tcPr>
                            <w:tcW w:w="409"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ind w:firstLine="567"/>
                              <w:jc w:val="both"/>
                              <w:rPr>
                                <w:color w:val="000000"/>
                                <w:sz w:val="20"/>
                                <w:lang w:eastAsia="lt-LT"/>
                              </w:rPr>
                            </w:pPr>
                          </w:p>
                        </w:tc>
                        <w:tc>
                          <w:tcPr>
                            <w:tcW w:w="668"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color w:val="000000"/>
                                <w:sz w:val="20"/>
                                <w:lang w:eastAsia="lt-LT"/>
                              </w:rPr>
                            </w:pPr>
                          </w:p>
                        </w:tc>
                        <w:tc>
                          <w:tcPr>
                            <w:tcW w:w="576"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ind w:firstLine="567"/>
                              <w:jc w:val="both"/>
                              <w:rPr>
                                <w:color w:val="000000"/>
                                <w:sz w:val="20"/>
                                <w:lang w:eastAsia="lt-LT"/>
                              </w:rPr>
                            </w:pPr>
                          </w:p>
                        </w:tc>
                        <w:tc>
                          <w:tcPr>
                            <w:tcW w:w="459"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shd w:val="clear" w:color="000000" w:fill="auto"/>
                              <w:ind w:firstLine="567"/>
                              <w:jc w:val="both"/>
                              <w:rPr>
                                <w:color w:val="000000"/>
                                <w:sz w:val="20"/>
                                <w:lang w:eastAsia="lt-LT"/>
                              </w:rPr>
                            </w:pPr>
                          </w:p>
                        </w:tc>
                        <w:tc>
                          <w:tcPr>
                            <w:tcW w:w="507"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ind w:firstLine="567"/>
                              <w:jc w:val="both"/>
                              <w:rPr>
                                <w:color w:val="000000"/>
                                <w:sz w:val="20"/>
                                <w:lang w:eastAsia="lt-LT"/>
                              </w:rPr>
                            </w:pPr>
                          </w:p>
                        </w:tc>
                        <w:tc>
                          <w:tcPr>
                            <w:tcW w:w="868" w:type="pct"/>
                            <w:vMerge w:val="restar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color w:val="000000"/>
                                <w:sz w:val="20"/>
                                <w:lang w:eastAsia="lt-LT"/>
                              </w:rPr>
                            </w:pPr>
                          </w:p>
                        </w:tc>
                      </w:tr>
                      <w:tr>
                        <w:trPr>
                          <w:cantSplit/>
                          <w:trHeight w:val="243"/>
                        </w:trPr>
                        <w:tc>
                          <w:tcPr>
                            <w:tcW w:w="279"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color w:val="000000"/>
                                <w:sz w:val="20"/>
                                <w:lang w:eastAsia="lt-LT"/>
                              </w:rPr>
                            </w:pPr>
                          </w:p>
                        </w:tc>
                        <w:tc>
                          <w:tcPr>
                            <w:tcW w:w="621"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color w:val="000000"/>
                                <w:sz w:val="20"/>
                                <w:lang w:eastAsia="lt-LT"/>
                              </w:rPr>
                            </w:pPr>
                          </w:p>
                        </w:tc>
                        <w:tc>
                          <w:tcPr>
                            <w:tcW w:w="613"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color w:val="000000"/>
                                <w:sz w:val="20"/>
                                <w:lang w:eastAsia="lt-LT"/>
                              </w:rPr>
                            </w:pPr>
                          </w:p>
                        </w:tc>
                        <w:tc>
                          <w:tcPr>
                            <w:tcW w:w="409"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ind w:firstLine="567"/>
                              <w:jc w:val="both"/>
                              <w:rPr>
                                <w:color w:val="000000"/>
                                <w:sz w:val="20"/>
                                <w:lang w:eastAsia="lt-LT"/>
                              </w:rPr>
                            </w:pPr>
                          </w:p>
                        </w:tc>
                        <w:tc>
                          <w:tcPr>
                            <w:tcW w:w="668"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color w:val="000000"/>
                                <w:sz w:val="20"/>
                                <w:lang w:eastAsia="lt-LT"/>
                              </w:rPr>
                            </w:pPr>
                          </w:p>
                        </w:tc>
                        <w:tc>
                          <w:tcPr>
                            <w:tcW w:w="576"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ind w:firstLine="567"/>
                              <w:jc w:val="both"/>
                              <w:rPr>
                                <w:color w:val="000000"/>
                                <w:sz w:val="20"/>
                                <w:lang w:eastAsia="lt-LT"/>
                              </w:rPr>
                            </w:pPr>
                          </w:p>
                        </w:tc>
                        <w:tc>
                          <w:tcPr>
                            <w:tcW w:w="459"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shd w:val="clear" w:color="000000" w:fill="auto"/>
                              <w:ind w:firstLine="567"/>
                              <w:jc w:val="both"/>
                              <w:rPr>
                                <w:color w:val="000000"/>
                                <w:sz w:val="20"/>
                                <w:lang w:eastAsia="lt-LT"/>
                              </w:rPr>
                            </w:pPr>
                          </w:p>
                        </w:tc>
                        <w:tc>
                          <w:tcPr>
                            <w:tcW w:w="507"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color w:val="000000"/>
                                <w:sz w:val="20"/>
                                <w:lang w:eastAsia="lt-LT"/>
                              </w:rPr>
                            </w:pPr>
                          </w:p>
                        </w:tc>
                        <w:tc>
                          <w:tcPr>
                            <w:tcW w:w="868"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color w:val="000000"/>
                                <w:sz w:val="20"/>
                                <w:lang w:eastAsia="lt-LT"/>
                              </w:rPr>
                            </w:pPr>
                          </w:p>
                        </w:tc>
                      </w:tr>
                      <w:tr>
                        <w:trPr>
                          <w:cantSplit/>
                          <w:trHeight w:val="243"/>
                        </w:trPr>
                        <w:tc>
                          <w:tcPr>
                            <w:tcW w:w="279"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color w:val="000000"/>
                                <w:sz w:val="20"/>
                                <w:lang w:eastAsia="lt-LT"/>
                              </w:rPr>
                            </w:pPr>
                          </w:p>
                        </w:tc>
                        <w:tc>
                          <w:tcPr>
                            <w:tcW w:w="621"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color w:val="000000"/>
                                <w:sz w:val="20"/>
                                <w:lang w:eastAsia="lt-LT"/>
                              </w:rPr>
                            </w:pPr>
                          </w:p>
                        </w:tc>
                        <w:tc>
                          <w:tcPr>
                            <w:tcW w:w="613"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color w:val="000000"/>
                                <w:sz w:val="20"/>
                                <w:lang w:eastAsia="lt-LT"/>
                              </w:rPr>
                            </w:pPr>
                          </w:p>
                        </w:tc>
                        <w:tc>
                          <w:tcPr>
                            <w:tcW w:w="409"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ind w:firstLine="567"/>
                              <w:jc w:val="both"/>
                              <w:rPr>
                                <w:color w:val="000000"/>
                                <w:sz w:val="20"/>
                                <w:lang w:eastAsia="lt-LT"/>
                              </w:rPr>
                            </w:pPr>
                          </w:p>
                        </w:tc>
                        <w:tc>
                          <w:tcPr>
                            <w:tcW w:w="668"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color w:val="000000"/>
                                <w:sz w:val="20"/>
                                <w:lang w:eastAsia="lt-LT"/>
                              </w:rPr>
                            </w:pPr>
                          </w:p>
                        </w:tc>
                        <w:tc>
                          <w:tcPr>
                            <w:tcW w:w="576"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ind w:firstLine="567"/>
                              <w:jc w:val="both"/>
                              <w:rPr>
                                <w:color w:val="000000"/>
                                <w:sz w:val="20"/>
                                <w:lang w:eastAsia="lt-LT"/>
                              </w:rPr>
                            </w:pPr>
                          </w:p>
                        </w:tc>
                        <w:tc>
                          <w:tcPr>
                            <w:tcW w:w="459"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shd w:val="clear" w:color="000000" w:fill="auto"/>
                              <w:ind w:firstLine="567"/>
                              <w:jc w:val="both"/>
                              <w:rPr>
                                <w:color w:val="000000"/>
                                <w:sz w:val="20"/>
                                <w:lang w:eastAsia="lt-LT"/>
                              </w:rPr>
                            </w:pPr>
                          </w:p>
                        </w:tc>
                        <w:tc>
                          <w:tcPr>
                            <w:tcW w:w="507"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color w:val="000000"/>
                                <w:sz w:val="20"/>
                                <w:lang w:eastAsia="lt-LT"/>
                              </w:rPr>
                            </w:pPr>
                          </w:p>
                        </w:tc>
                        <w:tc>
                          <w:tcPr>
                            <w:tcW w:w="868"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color w:val="000000"/>
                                <w:sz w:val="20"/>
                                <w:lang w:eastAsia="lt-LT"/>
                              </w:rPr>
                            </w:pPr>
                          </w:p>
                        </w:tc>
                      </w:tr>
                    </w:tbl>
                    <w:p>
                      <w:pPr>
                        <w:widowControl w:val="0"/>
                        <w:shd w:val="clear" w:color="000000" w:fill="auto"/>
                        <w:suppressAutoHyphens/>
                        <w:ind w:firstLine="567"/>
                        <w:jc w:val="both"/>
                        <w:textAlignment w:val="baseline"/>
                        <w:rPr>
                          <w:b/>
                          <w:color w:val="000000"/>
                          <w:szCs w:val="24"/>
                          <w:lang w:eastAsia="lt-LT"/>
                        </w:rPr>
                      </w:pPr>
                    </w:p>
                    <w:p>
                      <w:pPr>
                        <w:widowControl w:val="0"/>
                        <w:shd w:val="clear" w:color="000000" w:fill="auto"/>
                        <w:suppressAutoHyphens/>
                        <w:ind w:firstLine="567"/>
                        <w:jc w:val="both"/>
                        <w:textAlignment w:val="baseline"/>
                        <w:rPr>
                          <w:color w:val="000000"/>
                          <w:szCs w:val="24"/>
                          <w:lang w:eastAsia="lt-LT"/>
                        </w:rPr>
                      </w:pPr>
                      <w:r>
                        <w:rPr>
                          <w:b/>
                          <w:color w:val="000000"/>
                          <w:szCs w:val="24"/>
                          <w:lang w:eastAsia="lt-LT"/>
                        </w:rPr>
                        <w:t>30 lentelė.</w:t>
                      </w:r>
                      <w:r>
                        <w:rPr>
                          <w:color w:val="000000"/>
                          <w:szCs w:val="24"/>
                          <w:lang w:eastAsia="lt-LT"/>
                        </w:rPr>
                        <w:t xml:space="preserve"> Numatomos paruošti naudoti ir (ar) šalinti pavojingosios atliekos</w:t>
                      </w:r>
                    </w:p>
                    <w:p>
                      <w:pPr>
                        <w:widowControl w:val="0"/>
                        <w:shd w:val="clear" w:color="000000" w:fill="auto"/>
                        <w:ind w:firstLine="567"/>
                        <w:jc w:val="both"/>
                        <w:rPr>
                          <w:color w:val="000000"/>
                          <w:szCs w:val="24"/>
                          <w:lang w:eastAsia="lt-LT"/>
                        </w:rPr>
                      </w:pPr>
                    </w:p>
                    <w:p>
                      <w:pPr>
                        <w:widowControl w:val="0"/>
                        <w:shd w:val="clear" w:color="000000" w:fill="auto"/>
                        <w:jc w:val="both"/>
                        <w:rPr>
                          <w:color w:val="000000"/>
                          <w:szCs w:val="24"/>
                          <w:lang w:eastAsia="lt-LT"/>
                        </w:rPr>
                      </w:pPr>
                      <w:r>
                        <w:rPr>
                          <w:color w:val="000000"/>
                          <w:szCs w:val="24"/>
                          <w:lang w:eastAsia="lt-LT"/>
                        </w:rPr>
                        <w:t>Įrenginio pavadinimas</w:t>
                      </w:r>
                      <w:r>
                        <w:rPr>
                          <w:rFonts w:ascii="Symbol" w:eastAsia="Symbol" w:hAnsi="Symbol" w:cs="Symbol"/>
                          <w:color w:val="000000"/>
                          <w:szCs w:val="24"/>
                          <w:lang w:eastAsia="lt-LT"/>
                        </w:rPr>
                        <w:t></w:t>
                      </w:r>
                    </w:p>
                    <w:p>
                      <w:pPr>
                        <w:widowControl w:val="0"/>
                        <w:shd w:val="clear" w:color="000000" w:fill="auto"/>
                        <w:ind w:firstLine="567"/>
                        <w:jc w:val="both"/>
                        <w:rPr>
                          <w:color w:val="00000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3"/>
                        <w:gridCol w:w="1879"/>
                        <w:gridCol w:w="1894"/>
                        <w:gridCol w:w="1264"/>
                        <w:gridCol w:w="1894"/>
                        <w:gridCol w:w="1682"/>
                        <w:gridCol w:w="2955"/>
                        <w:gridCol w:w="1882"/>
                      </w:tblGrid>
                      <w:tr>
                        <w:trPr>
                          <w:cantSplit/>
                          <w:trHeight w:val="300"/>
                        </w:trPr>
                        <w:tc>
                          <w:tcPr>
                            <w:tcW w:w="298" w:type="pct"/>
                            <w:vMerge w:val="restart"/>
                            <w:tcBorders>
                              <w:top w:val="single" w:sz="4" w:space="0" w:color="auto"/>
                              <w:left w:val="single" w:sz="4" w:space="0" w:color="auto"/>
                              <w:right w:val="single" w:sz="4" w:space="0" w:color="auto"/>
                            </w:tcBorders>
                            <w:vAlign w:val="center"/>
                          </w:tcPr>
                          <w:p>
                            <w:pPr>
                              <w:widowControl w:val="0"/>
                              <w:shd w:val="clear" w:color="000000" w:fill="auto"/>
                              <w:jc w:val="center"/>
                              <w:rPr>
                                <w:sz w:val="20"/>
                                <w:lang w:eastAsia="lt-LT"/>
                              </w:rPr>
                            </w:pPr>
                            <w:r>
                              <w:rPr>
                                <w:sz w:val="20"/>
                                <w:lang w:eastAsia="lt-LT"/>
                              </w:rPr>
                              <w:t>Eil. Nr.</w:t>
                            </w:r>
                          </w:p>
                        </w:tc>
                        <w:tc>
                          <w:tcPr>
                            <w:tcW w:w="657" w:type="pct"/>
                            <w:vMerge w:val="restar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widowControl w:val="0"/>
                              <w:shd w:val="clear" w:color="000000" w:fill="auto"/>
                              <w:jc w:val="center"/>
                              <w:rPr>
                                <w:sz w:val="20"/>
                                <w:lang w:eastAsia="lt-LT"/>
                              </w:rPr>
                            </w:pPr>
                            <w:r>
                              <w:rPr>
                                <w:sz w:val="20"/>
                                <w:lang w:eastAsia="lt-LT"/>
                              </w:rPr>
                              <w:t>Pavojingųjų atliekų technologinio srauto žymėjimas</w:t>
                            </w:r>
                          </w:p>
                        </w:tc>
                        <w:tc>
                          <w:tcPr>
                            <w:tcW w:w="662" w:type="pct"/>
                            <w:vMerge w:val="restar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widowControl w:val="0"/>
                              <w:shd w:val="clear" w:color="000000" w:fill="auto"/>
                              <w:jc w:val="center"/>
                              <w:rPr>
                                <w:sz w:val="20"/>
                                <w:lang w:eastAsia="lt-LT"/>
                              </w:rPr>
                            </w:pPr>
                            <w:r>
                              <w:rPr>
                                <w:sz w:val="20"/>
                                <w:lang w:eastAsia="lt-LT"/>
                              </w:rPr>
                              <w:t>Pavojingųjų atliekų technologinio srauto pavadinimas</w:t>
                            </w:r>
                          </w:p>
                        </w:tc>
                        <w:tc>
                          <w:tcPr>
                            <w:tcW w:w="442" w:type="pct"/>
                            <w:vMerge w:val="restar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widowControl w:val="0"/>
                              <w:shd w:val="clear" w:color="000000" w:fill="auto"/>
                              <w:jc w:val="center"/>
                              <w:rPr>
                                <w:sz w:val="20"/>
                                <w:lang w:eastAsia="lt-LT"/>
                              </w:rPr>
                            </w:pPr>
                            <w:r>
                              <w:rPr>
                                <w:sz w:val="20"/>
                                <w:lang w:eastAsia="lt-LT"/>
                              </w:rPr>
                              <w:t>Atliekos kodas</w:t>
                            </w:r>
                          </w:p>
                        </w:tc>
                        <w:tc>
                          <w:tcPr>
                            <w:tcW w:w="662"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jc w:val="center"/>
                              <w:rPr>
                                <w:sz w:val="20"/>
                                <w:lang w:eastAsia="lt-LT"/>
                              </w:rPr>
                            </w:pPr>
                            <w:r>
                              <w:rPr>
                                <w:sz w:val="20"/>
                                <w:lang w:eastAsia="lt-LT"/>
                              </w:rPr>
                              <w:t>Atliekos pavadinimas</w:t>
                            </w:r>
                          </w:p>
                        </w:tc>
                        <w:tc>
                          <w:tcPr>
                            <w:tcW w:w="588" w:type="pct"/>
                            <w:vMerge w:val="restar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widowControl w:val="0"/>
                              <w:shd w:val="clear" w:color="000000" w:fill="auto"/>
                              <w:jc w:val="center"/>
                              <w:rPr>
                                <w:sz w:val="20"/>
                                <w:lang w:eastAsia="lt-LT"/>
                              </w:rPr>
                            </w:pPr>
                            <w:r>
                              <w:rPr>
                                <w:sz w:val="20"/>
                                <w:lang w:eastAsia="lt-LT"/>
                              </w:rPr>
                              <w:t>Patikslintas atliekos pavadinimas</w:t>
                            </w:r>
                          </w:p>
                        </w:tc>
                        <w:tc>
                          <w:tcPr>
                            <w:tcW w:w="1691" w:type="pct"/>
                            <w:gridSpan w:val="2"/>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widowControl w:val="0"/>
                              <w:shd w:val="clear" w:color="000000" w:fill="auto"/>
                              <w:jc w:val="center"/>
                              <w:rPr>
                                <w:sz w:val="20"/>
                                <w:lang w:eastAsia="lt-LT"/>
                              </w:rPr>
                            </w:pPr>
                            <w:r>
                              <w:rPr>
                                <w:sz w:val="20"/>
                                <w:lang w:eastAsia="lt-LT"/>
                              </w:rPr>
                              <w:t>Atliekų paruošimas naudoti ir (ar) šalinti</w:t>
                            </w:r>
                          </w:p>
                        </w:tc>
                      </w:tr>
                      <w:tr>
                        <w:trPr>
                          <w:cantSplit/>
                          <w:trHeight w:val="855"/>
                        </w:trPr>
                        <w:tc>
                          <w:tcPr>
                            <w:tcW w:w="298" w:type="pct"/>
                            <w:vMerge/>
                            <w:tcBorders>
                              <w:left w:val="single" w:sz="4" w:space="0" w:color="auto"/>
                              <w:bottom w:val="single" w:sz="4" w:space="0" w:color="auto"/>
                              <w:right w:val="single" w:sz="4" w:space="0" w:color="auto"/>
                            </w:tcBorders>
                            <w:vAlign w:val="center"/>
                          </w:tcPr>
                          <w:p>
                            <w:pPr>
                              <w:widowControl w:val="0"/>
                              <w:shd w:val="clear" w:color="000000" w:fill="auto"/>
                              <w:ind w:firstLine="567"/>
                              <w:jc w:val="center"/>
                              <w:rPr>
                                <w:sz w:val="20"/>
                                <w:lang w:eastAsia="lt-LT"/>
                              </w:rPr>
                            </w:pPr>
                          </w:p>
                        </w:tc>
                        <w:tc>
                          <w:tcPr>
                            <w:tcW w:w="657"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center"/>
                              <w:rPr>
                                <w:sz w:val="20"/>
                                <w:lang w:eastAsia="lt-LT"/>
                              </w:rPr>
                            </w:pPr>
                          </w:p>
                        </w:tc>
                        <w:tc>
                          <w:tcPr>
                            <w:tcW w:w="662"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center"/>
                              <w:rPr>
                                <w:sz w:val="20"/>
                                <w:lang w:eastAsia="lt-LT"/>
                              </w:rPr>
                            </w:pPr>
                          </w:p>
                        </w:tc>
                        <w:tc>
                          <w:tcPr>
                            <w:tcW w:w="442"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center"/>
                              <w:rPr>
                                <w:sz w:val="20"/>
                                <w:lang w:eastAsia="lt-LT"/>
                              </w:rPr>
                            </w:pPr>
                          </w:p>
                        </w:tc>
                        <w:tc>
                          <w:tcPr>
                            <w:tcW w:w="662"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center"/>
                              <w:rPr>
                                <w:sz w:val="20"/>
                                <w:lang w:eastAsia="lt-LT"/>
                              </w:rPr>
                            </w:pPr>
                          </w:p>
                        </w:tc>
                        <w:tc>
                          <w:tcPr>
                            <w:tcW w:w="588"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center"/>
                              <w:rPr>
                                <w:sz w:val="20"/>
                                <w:lang w:eastAsia="lt-LT"/>
                              </w:rPr>
                            </w:pPr>
                          </w:p>
                        </w:tc>
                        <w:tc>
                          <w:tcPr>
                            <w:tcW w:w="1033"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widowControl w:val="0"/>
                              <w:shd w:val="clear" w:color="000000" w:fill="auto"/>
                              <w:ind w:firstLine="53"/>
                              <w:jc w:val="center"/>
                              <w:rPr>
                                <w:sz w:val="20"/>
                                <w:vertAlign w:val="superscript"/>
                                <w:lang w:eastAsia="lt-LT"/>
                              </w:rPr>
                            </w:pPr>
                            <w:r>
                              <w:rPr>
                                <w:sz w:val="20"/>
                                <w:lang w:eastAsia="lt-LT"/>
                              </w:rPr>
                              <w:t>Atliekų tvarkymo veiklos kodas (D8, D9, D13, D14, R12, S5)</w:t>
                            </w:r>
                          </w:p>
                        </w:tc>
                        <w:tc>
                          <w:tcPr>
                            <w:tcW w:w="659"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widowControl w:val="0"/>
                              <w:shd w:val="clear" w:color="000000" w:fill="auto"/>
                              <w:jc w:val="center"/>
                              <w:rPr>
                                <w:sz w:val="20"/>
                                <w:lang w:eastAsia="lt-LT"/>
                              </w:rPr>
                            </w:pPr>
                            <w:r>
                              <w:rPr>
                                <w:sz w:val="20"/>
                                <w:lang w:eastAsia="lt-LT"/>
                              </w:rPr>
                              <w:t>Projektinis įrenginio pajėgumas, t/m.</w:t>
                            </w:r>
                          </w:p>
                        </w:tc>
                      </w:tr>
                      <w:tr>
                        <w:trPr>
                          <w:cantSplit/>
                          <w:trHeight w:val="243"/>
                        </w:trPr>
                        <w:tc>
                          <w:tcPr>
                            <w:tcW w:w="298" w:type="pct"/>
                            <w:tcBorders>
                              <w:top w:val="single" w:sz="4" w:space="0" w:color="auto"/>
                              <w:left w:val="single" w:sz="4" w:space="0" w:color="auto"/>
                              <w:bottom w:val="single" w:sz="4" w:space="0" w:color="auto"/>
                              <w:right w:val="single" w:sz="4" w:space="0" w:color="auto"/>
                            </w:tcBorders>
                          </w:tcPr>
                          <w:p>
                            <w:pPr>
                              <w:widowControl w:val="0"/>
                              <w:shd w:val="clear" w:color="000000" w:fill="auto"/>
                              <w:jc w:val="center"/>
                              <w:rPr>
                                <w:sz w:val="20"/>
                                <w:lang w:eastAsia="lt-LT"/>
                              </w:rPr>
                            </w:pPr>
                            <w:r>
                              <w:rPr>
                                <w:sz w:val="20"/>
                                <w:lang w:eastAsia="lt-LT"/>
                              </w:rPr>
                              <w:t>1</w:t>
                            </w:r>
                          </w:p>
                        </w:tc>
                        <w:tc>
                          <w:tcPr>
                            <w:tcW w:w="657"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sz w:val="20"/>
                                <w:lang w:eastAsia="lt-LT"/>
                              </w:rPr>
                            </w:pPr>
                            <w:r>
                              <w:rPr>
                                <w:sz w:val="20"/>
                                <w:lang w:eastAsia="lt-LT"/>
                              </w:rPr>
                              <w:t>2</w:t>
                            </w:r>
                          </w:p>
                        </w:tc>
                        <w:tc>
                          <w:tcPr>
                            <w:tcW w:w="662"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sz w:val="20"/>
                                <w:lang w:eastAsia="lt-LT"/>
                              </w:rPr>
                            </w:pPr>
                            <w:r>
                              <w:rPr>
                                <w:sz w:val="20"/>
                                <w:lang w:eastAsia="lt-LT"/>
                              </w:rPr>
                              <w:t>3</w:t>
                            </w:r>
                          </w:p>
                        </w:tc>
                        <w:tc>
                          <w:tcPr>
                            <w:tcW w:w="442"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widowControl w:val="0"/>
                              <w:shd w:val="clear" w:color="000000" w:fill="auto"/>
                              <w:jc w:val="center"/>
                              <w:rPr>
                                <w:sz w:val="20"/>
                                <w:lang w:eastAsia="lt-LT"/>
                              </w:rPr>
                            </w:pPr>
                            <w:r>
                              <w:rPr>
                                <w:sz w:val="20"/>
                                <w:lang w:eastAsia="lt-LT"/>
                              </w:rPr>
                              <w:t>4</w:t>
                            </w:r>
                          </w:p>
                        </w:tc>
                        <w:tc>
                          <w:tcPr>
                            <w:tcW w:w="662" w:type="pct"/>
                            <w:tcBorders>
                              <w:top w:val="single" w:sz="4" w:space="0" w:color="auto"/>
                              <w:left w:val="single" w:sz="4" w:space="0" w:color="auto"/>
                              <w:bottom w:val="single" w:sz="4" w:space="0" w:color="auto"/>
                              <w:right w:val="single" w:sz="4" w:space="0" w:color="auto"/>
                            </w:tcBorders>
                            <w:hideMark/>
                          </w:tcPr>
                          <w:p>
                            <w:pPr>
                              <w:widowControl w:val="0"/>
                              <w:shd w:val="clear" w:color="000000" w:fill="auto"/>
                              <w:jc w:val="center"/>
                              <w:rPr>
                                <w:sz w:val="20"/>
                                <w:lang w:eastAsia="lt-LT"/>
                              </w:rPr>
                            </w:pPr>
                            <w:r>
                              <w:rPr>
                                <w:sz w:val="20"/>
                                <w:lang w:eastAsia="lt-LT"/>
                              </w:rPr>
                              <w:t>5</w:t>
                            </w:r>
                          </w:p>
                        </w:tc>
                        <w:tc>
                          <w:tcPr>
                            <w:tcW w:w="588"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widowControl w:val="0"/>
                              <w:shd w:val="clear" w:color="000000" w:fill="auto"/>
                              <w:jc w:val="center"/>
                              <w:rPr>
                                <w:sz w:val="20"/>
                                <w:lang w:eastAsia="lt-LT"/>
                              </w:rPr>
                            </w:pPr>
                            <w:r>
                              <w:rPr>
                                <w:sz w:val="20"/>
                                <w:lang w:eastAsia="lt-LT"/>
                              </w:rPr>
                              <w:t>6</w:t>
                            </w:r>
                          </w:p>
                        </w:tc>
                        <w:tc>
                          <w:tcPr>
                            <w:tcW w:w="1033"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sz w:val="20"/>
                                <w:lang w:eastAsia="lt-LT"/>
                              </w:rPr>
                            </w:pPr>
                            <w:r>
                              <w:rPr>
                                <w:sz w:val="20"/>
                                <w:lang w:eastAsia="lt-LT"/>
                              </w:rPr>
                              <w:t>7</w:t>
                            </w:r>
                          </w:p>
                        </w:tc>
                        <w:tc>
                          <w:tcPr>
                            <w:tcW w:w="659"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widowControl w:val="0"/>
                              <w:shd w:val="clear" w:color="000000" w:fill="auto"/>
                              <w:jc w:val="center"/>
                              <w:rPr>
                                <w:sz w:val="20"/>
                                <w:lang w:eastAsia="lt-LT"/>
                              </w:rPr>
                            </w:pPr>
                            <w:r>
                              <w:rPr>
                                <w:sz w:val="20"/>
                                <w:lang w:eastAsia="lt-LT"/>
                              </w:rPr>
                              <w:t>8</w:t>
                            </w:r>
                          </w:p>
                        </w:tc>
                      </w:tr>
                      <w:tr>
                        <w:trPr>
                          <w:cantSplit/>
                          <w:trHeight w:val="243"/>
                        </w:trPr>
                        <w:tc>
                          <w:tcPr>
                            <w:tcW w:w="298"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sz w:val="20"/>
                                <w:lang w:eastAsia="lt-LT"/>
                              </w:rPr>
                            </w:pPr>
                          </w:p>
                        </w:tc>
                        <w:tc>
                          <w:tcPr>
                            <w:tcW w:w="657"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shd w:val="clear" w:color="000000" w:fill="auto"/>
                              <w:ind w:firstLine="567"/>
                              <w:jc w:val="both"/>
                              <w:rPr>
                                <w:sz w:val="20"/>
                                <w:lang w:eastAsia="lt-LT"/>
                              </w:rPr>
                            </w:pPr>
                          </w:p>
                        </w:tc>
                        <w:tc>
                          <w:tcPr>
                            <w:tcW w:w="662"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shd w:val="clear" w:color="000000" w:fill="auto"/>
                              <w:ind w:firstLine="567"/>
                              <w:jc w:val="both"/>
                              <w:rPr>
                                <w:sz w:val="20"/>
                                <w:lang w:eastAsia="lt-LT"/>
                              </w:rPr>
                            </w:pPr>
                          </w:p>
                        </w:tc>
                        <w:tc>
                          <w:tcPr>
                            <w:tcW w:w="442"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ind w:firstLine="567"/>
                              <w:jc w:val="both"/>
                              <w:rPr>
                                <w:sz w:val="20"/>
                                <w:lang w:eastAsia="lt-LT"/>
                              </w:rPr>
                            </w:pPr>
                          </w:p>
                        </w:tc>
                        <w:tc>
                          <w:tcPr>
                            <w:tcW w:w="662"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sz w:val="20"/>
                                <w:lang w:eastAsia="lt-LT"/>
                              </w:rPr>
                            </w:pPr>
                          </w:p>
                        </w:tc>
                        <w:tc>
                          <w:tcPr>
                            <w:tcW w:w="588"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ind w:firstLine="567"/>
                              <w:jc w:val="both"/>
                              <w:rPr>
                                <w:sz w:val="20"/>
                                <w:lang w:eastAsia="lt-LT"/>
                              </w:rPr>
                            </w:pPr>
                          </w:p>
                        </w:tc>
                        <w:tc>
                          <w:tcPr>
                            <w:tcW w:w="1033"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shd w:val="clear" w:color="000000" w:fill="auto"/>
                              <w:ind w:firstLine="567"/>
                              <w:jc w:val="both"/>
                              <w:rPr>
                                <w:sz w:val="20"/>
                                <w:lang w:eastAsia="lt-LT"/>
                              </w:rPr>
                            </w:pPr>
                          </w:p>
                        </w:tc>
                        <w:tc>
                          <w:tcPr>
                            <w:tcW w:w="659"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ind w:firstLine="567"/>
                              <w:jc w:val="both"/>
                              <w:rPr>
                                <w:sz w:val="20"/>
                                <w:lang w:eastAsia="lt-LT"/>
                              </w:rPr>
                            </w:pPr>
                          </w:p>
                        </w:tc>
                      </w:tr>
                      <w:tr>
                        <w:trPr>
                          <w:cantSplit/>
                          <w:trHeight w:val="243"/>
                        </w:trPr>
                        <w:tc>
                          <w:tcPr>
                            <w:tcW w:w="298"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sz w:val="20"/>
                                <w:lang w:eastAsia="lt-LT"/>
                              </w:rPr>
                            </w:pPr>
                          </w:p>
                        </w:tc>
                        <w:tc>
                          <w:tcPr>
                            <w:tcW w:w="657"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sz w:val="20"/>
                                <w:lang w:eastAsia="lt-LT"/>
                              </w:rPr>
                            </w:pPr>
                          </w:p>
                        </w:tc>
                        <w:tc>
                          <w:tcPr>
                            <w:tcW w:w="662"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sz w:val="20"/>
                                <w:lang w:eastAsia="lt-LT"/>
                              </w:rPr>
                            </w:pPr>
                          </w:p>
                        </w:tc>
                        <w:tc>
                          <w:tcPr>
                            <w:tcW w:w="442"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ind w:firstLine="567"/>
                              <w:jc w:val="both"/>
                              <w:rPr>
                                <w:sz w:val="20"/>
                                <w:lang w:eastAsia="lt-LT"/>
                              </w:rPr>
                            </w:pPr>
                          </w:p>
                        </w:tc>
                        <w:tc>
                          <w:tcPr>
                            <w:tcW w:w="662"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sz w:val="20"/>
                                <w:lang w:eastAsia="lt-LT"/>
                              </w:rPr>
                            </w:pPr>
                          </w:p>
                        </w:tc>
                        <w:tc>
                          <w:tcPr>
                            <w:tcW w:w="588"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ind w:firstLine="567"/>
                              <w:jc w:val="both"/>
                              <w:rPr>
                                <w:sz w:val="20"/>
                                <w:lang w:eastAsia="lt-LT"/>
                              </w:rPr>
                            </w:pPr>
                          </w:p>
                        </w:tc>
                        <w:tc>
                          <w:tcPr>
                            <w:tcW w:w="1033"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shd w:val="clear" w:color="000000" w:fill="auto"/>
                              <w:ind w:firstLine="567"/>
                              <w:jc w:val="both"/>
                              <w:rPr>
                                <w:sz w:val="20"/>
                                <w:lang w:eastAsia="lt-LT"/>
                              </w:rPr>
                            </w:pPr>
                          </w:p>
                        </w:tc>
                        <w:tc>
                          <w:tcPr>
                            <w:tcW w:w="659"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sz w:val="20"/>
                                <w:lang w:eastAsia="lt-LT"/>
                              </w:rPr>
                            </w:pPr>
                          </w:p>
                        </w:tc>
                      </w:tr>
                      <w:tr>
                        <w:trPr>
                          <w:cantSplit/>
                          <w:trHeight w:val="243"/>
                        </w:trPr>
                        <w:tc>
                          <w:tcPr>
                            <w:tcW w:w="298"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sz w:val="20"/>
                                <w:lang w:eastAsia="lt-LT"/>
                              </w:rPr>
                            </w:pPr>
                          </w:p>
                        </w:tc>
                        <w:tc>
                          <w:tcPr>
                            <w:tcW w:w="657"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sz w:val="20"/>
                                <w:lang w:eastAsia="lt-LT"/>
                              </w:rPr>
                            </w:pPr>
                          </w:p>
                        </w:tc>
                        <w:tc>
                          <w:tcPr>
                            <w:tcW w:w="662"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sz w:val="20"/>
                                <w:lang w:eastAsia="lt-LT"/>
                              </w:rPr>
                            </w:pPr>
                          </w:p>
                        </w:tc>
                        <w:tc>
                          <w:tcPr>
                            <w:tcW w:w="442"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ind w:firstLine="567"/>
                              <w:jc w:val="both"/>
                              <w:rPr>
                                <w:sz w:val="20"/>
                                <w:lang w:eastAsia="lt-LT"/>
                              </w:rPr>
                            </w:pPr>
                          </w:p>
                        </w:tc>
                        <w:tc>
                          <w:tcPr>
                            <w:tcW w:w="662"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sz w:val="20"/>
                                <w:lang w:eastAsia="lt-LT"/>
                              </w:rPr>
                            </w:pPr>
                          </w:p>
                        </w:tc>
                        <w:tc>
                          <w:tcPr>
                            <w:tcW w:w="588"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ind w:firstLine="567"/>
                              <w:jc w:val="both"/>
                              <w:rPr>
                                <w:sz w:val="20"/>
                                <w:lang w:eastAsia="lt-LT"/>
                              </w:rPr>
                            </w:pPr>
                          </w:p>
                        </w:tc>
                        <w:tc>
                          <w:tcPr>
                            <w:tcW w:w="1033"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shd w:val="clear" w:color="000000" w:fill="auto"/>
                              <w:ind w:firstLine="567"/>
                              <w:jc w:val="both"/>
                              <w:rPr>
                                <w:sz w:val="20"/>
                                <w:lang w:eastAsia="lt-LT"/>
                              </w:rPr>
                            </w:pPr>
                          </w:p>
                        </w:tc>
                        <w:tc>
                          <w:tcPr>
                            <w:tcW w:w="659"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sz w:val="20"/>
                                <w:lang w:eastAsia="lt-LT"/>
                              </w:rPr>
                            </w:pPr>
                          </w:p>
                        </w:tc>
                      </w:tr>
                    </w:tbl>
                    <w:p>
                      <w:pPr>
                        <w:widowControl w:val="0"/>
                        <w:shd w:val="clear" w:color="000000" w:fill="auto"/>
                        <w:suppressAutoHyphens/>
                        <w:ind w:firstLine="567"/>
                        <w:jc w:val="both"/>
                        <w:textAlignment w:val="baseline"/>
                        <w:rPr>
                          <w:b/>
                          <w:szCs w:val="24"/>
                          <w:lang w:eastAsia="lt-LT"/>
                        </w:rPr>
                      </w:pPr>
                    </w:p>
                    <w:p>
                      <w:pPr>
                        <w:widowControl w:val="0"/>
                        <w:shd w:val="clear" w:color="000000" w:fill="auto"/>
                        <w:suppressAutoHyphens/>
                        <w:ind w:firstLine="567"/>
                        <w:jc w:val="both"/>
                        <w:textAlignment w:val="baseline"/>
                        <w:rPr>
                          <w:szCs w:val="24"/>
                          <w:lang w:eastAsia="lt-LT"/>
                        </w:rPr>
                      </w:pPr>
                      <w:r>
                        <w:rPr>
                          <w:b/>
                          <w:szCs w:val="24"/>
                          <w:lang w:eastAsia="lt-LT"/>
                        </w:rPr>
                        <w:t>31 lentelė.</w:t>
                      </w:r>
                      <w:r>
                        <w:rPr>
                          <w:szCs w:val="24"/>
                          <w:lang w:eastAsia="lt-LT"/>
                        </w:rPr>
                        <w:t xml:space="preserve"> Didžiausias n</w:t>
                      </w:r>
                      <w:r>
                        <w:rPr>
                          <w:bCs/>
                          <w:szCs w:val="24"/>
                          <w:lang w:eastAsia="lt-LT"/>
                        </w:rPr>
                        <w:t>umatomas laikyti pavojingųjų atliekų kiekis</w:t>
                      </w:r>
                    </w:p>
                    <w:p>
                      <w:pPr>
                        <w:widowControl w:val="0"/>
                        <w:shd w:val="clear" w:color="000000" w:fill="auto"/>
                        <w:suppressAutoHyphens/>
                        <w:ind w:firstLine="567"/>
                        <w:jc w:val="both"/>
                        <w:textAlignment w:val="baseline"/>
                        <w:rPr>
                          <w:szCs w:val="24"/>
                          <w:lang w:eastAsia="lt-LT"/>
                        </w:rPr>
                      </w:pPr>
                    </w:p>
                    <w:p>
                      <w:pPr>
                        <w:widowControl w:val="0"/>
                        <w:shd w:val="clear" w:color="000000" w:fill="auto"/>
                        <w:suppressAutoHyphens/>
                        <w:jc w:val="both"/>
                        <w:textAlignment w:val="baseline"/>
                        <w:rPr>
                          <w:szCs w:val="24"/>
                          <w:lang w:eastAsia="lt-LT"/>
                        </w:rPr>
                      </w:pPr>
                      <w:r>
                        <w:rPr>
                          <w:szCs w:val="24"/>
                          <w:lang w:eastAsia="lt-LT"/>
                        </w:rPr>
                        <w:t xml:space="preserve">Įrenginio pavadinimas </w:t>
                      </w:r>
                      <w:r>
                        <w:rPr>
                          <w:rFonts w:ascii="Symbol" w:eastAsia="Symbol" w:hAnsi="Symbol" w:cs="Symbol"/>
                          <w:szCs w:val="24"/>
                          <w:lang w:eastAsia="lt-LT"/>
                        </w:rPr>
                        <w:t></w:t>
                      </w:r>
                    </w:p>
                    <w:p>
                      <w:pPr>
                        <w:widowControl w:val="0"/>
                        <w:shd w:val="clear" w:color="000000" w:fill="auto"/>
                        <w:suppressAutoHyphens/>
                        <w:ind w:firstLine="567"/>
                        <w:jc w:val="both"/>
                        <w:textAlignment w:val="baseline"/>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896"/>
                        <w:gridCol w:w="1893"/>
                        <w:gridCol w:w="1259"/>
                        <w:gridCol w:w="1681"/>
                        <w:gridCol w:w="1681"/>
                        <w:gridCol w:w="1893"/>
                        <w:gridCol w:w="3143"/>
                      </w:tblGrid>
                      <w:tr>
                        <w:trPr>
                          <w:cantSplit/>
                        </w:trPr>
                        <w:tc>
                          <w:tcPr>
                            <w:tcW w:w="290" w:type="pct"/>
                            <w:vMerge w:val="restart"/>
                            <w:tcBorders>
                              <w:top w:val="single" w:sz="4" w:space="0" w:color="auto"/>
                              <w:left w:val="single" w:sz="4" w:space="0" w:color="auto"/>
                              <w:right w:val="single" w:sz="4" w:space="0" w:color="auto"/>
                            </w:tcBorders>
                            <w:vAlign w:val="center"/>
                          </w:tcPr>
                          <w:p>
                            <w:pPr>
                              <w:widowControl w:val="0"/>
                              <w:shd w:val="clear" w:color="000000" w:fill="auto"/>
                              <w:suppressAutoHyphens/>
                              <w:jc w:val="center"/>
                              <w:textAlignment w:val="baseline"/>
                              <w:rPr>
                                <w:sz w:val="20"/>
                                <w:lang w:eastAsia="lt-LT"/>
                              </w:rPr>
                            </w:pPr>
                            <w:r>
                              <w:rPr>
                                <w:sz w:val="20"/>
                                <w:lang w:eastAsia="lt-LT"/>
                              </w:rPr>
                              <w:t>Eil. Nr.</w:t>
                            </w:r>
                          </w:p>
                        </w:tc>
                        <w:tc>
                          <w:tcPr>
                            <w:tcW w:w="664"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suppressAutoHyphens/>
                              <w:jc w:val="center"/>
                              <w:textAlignment w:val="baseline"/>
                              <w:rPr>
                                <w:sz w:val="20"/>
                                <w:lang w:eastAsia="lt-LT"/>
                              </w:rPr>
                            </w:pPr>
                            <w:r>
                              <w:rPr>
                                <w:sz w:val="20"/>
                                <w:lang w:eastAsia="lt-LT"/>
                              </w:rPr>
                              <w:t>Pavojingųjų atliekų technologinio srauto žymėjimas</w:t>
                            </w:r>
                          </w:p>
                        </w:tc>
                        <w:tc>
                          <w:tcPr>
                            <w:tcW w:w="663"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suppressAutoHyphens/>
                              <w:jc w:val="center"/>
                              <w:textAlignment w:val="baseline"/>
                              <w:rPr>
                                <w:sz w:val="20"/>
                                <w:lang w:eastAsia="lt-LT"/>
                              </w:rPr>
                            </w:pPr>
                            <w:r>
                              <w:rPr>
                                <w:sz w:val="20"/>
                                <w:lang w:eastAsia="lt-LT"/>
                              </w:rPr>
                              <w:t>Pavojingųjų atliekų technologinio srauto pavadinimas</w:t>
                            </w:r>
                          </w:p>
                        </w:tc>
                        <w:tc>
                          <w:tcPr>
                            <w:tcW w:w="441"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suppressAutoHyphens/>
                              <w:jc w:val="center"/>
                              <w:textAlignment w:val="baseline"/>
                              <w:rPr>
                                <w:sz w:val="20"/>
                                <w:lang w:eastAsia="lt-LT"/>
                              </w:rPr>
                            </w:pPr>
                            <w:r>
                              <w:rPr>
                                <w:sz w:val="20"/>
                                <w:lang w:eastAsia="lt-LT"/>
                              </w:rPr>
                              <w:t>Atliekos kodas</w:t>
                            </w:r>
                          </w:p>
                        </w:tc>
                        <w:tc>
                          <w:tcPr>
                            <w:tcW w:w="589"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suppressAutoHyphens/>
                              <w:jc w:val="center"/>
                              <w:textAlignment w:val="baseline"/>
                              <w:rPr>
                                <w:sz w:val="20"/>
                                <w:lang w:eastAsia="lt-LT"/>
                              </w:rPr>
                            </w:pPr>
                            <w:r>
                              <w:rPr>
                                <w:sz w:val="20"/>
                                <w:lang w:eastAsia="lt-LT"/>
                              </w:rPr>
                              <w:t>Atliekos pavadinimas</w:t>
                            </w:r>
                          </w:p>
                        </w:tc>
                        <w:tc>
                          <w:tcPr>
                            <w:tcW w:w="589"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suppressAutoHyphens/>
                              <w:jc w:val="center"/>
                              <w:textAlignment w:val="baseline"/>
                              <w:rPr>
                                <w:sz w:val="20"/>
                                <w:lang w:eastAsia="lt-LT"/>
                              </w:rPr>
                            </w:pPr>
                            <w:r>
                              <w:rPr>
                                <w:sz w:val="20"/>
                                <w:lang w:eastAsia="lt-LT"/>
                              </w:rPr>
                              <w:t>Patikslintas atliekos pavadinimas</w:t>
                            </w:r>
                          </w:p>
                        </w:tc>
                        <w:tc>
                          <w:tcPr>
                            <w:tcW w:w="1764" w:type="pct"/>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suppressAutoHyphens/>
                              <w:jc w:val="center"/>
                              <w:textAlignment w:val="baseline"/>
                              <w:rPr>
                                <w:sz w:val="20"/>
                                <w:lang w:eastAsia="lt-LT"/>
                              </w:rPr>
                            </w:pPr>
                            <w:r>
                              <w:rPr>
                                <w:sz w:val="20"/>
                                <w:lang w:eastAsia="lt-LT"/>
                              </w:rPr>
                              <w:t>Atliekų laikymas</w:t>
                            </w:r>
                          </w:p>
                        </w:tc>
                      </w:tr>
                      <w:tr>
                        <w:trPr>
                          <w:cantSplit/>
                          <w:trHeight w:val="855"/>
                        </w:trPr>
                        <w:tc>
                          <w:tcPr>
                            <w:tcW w:w="290" w:type="pct"/>
                            <w:vMerge/>
                            <w:tcBorders>
                              <w:left w:val="single" w:sz="4" w:space="0" w:color="auto"/>
                              <w:bottom w:val="single" w:sz="4" w:space="0" w:color="auto"/>
                              <w:right w:val="single" w:sz="4" w:space="0" w:color="auto"/>
                            </w:tcBorders>
                          </w:tcPr>
                          <w:p>
                            <w:pPr>
                              <w:widowControl w:val="0"/>
                              <w:shd w:val="clear" w:color="000000" w:fill="auto"/>
                              <w:suppressAutoHyphens/>
                              <w:ind w:firstLine="567"/>
                              <w:jc w:val="center"/>
                              <w:textAlignment w:val="baseline"/>
                              <w:rPr>
                                <w:sz w:val="20"/>
                                <w:lang w:eastAsia="lt-LT"/>
                              </w:rPr>
                            </w:pPr>
                          </w:p>
                        </w:tc>
                        <w:tc>
                          <w:tcPr>
                            <w:tcW w:w="664"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suppressAutoHyphens/>
                              <w:ind w:firstLine="567"/>
                              <w:jc w:val="center"/>
                              <w:textAlignment w:val="baseline"/>
                              <w:rPr>
                                <w:sz w:val="20"/>
                                <w:lang w:eastAsia="lt-LT"/>
                              </w:rPr>
                            </w:pPr>
                          </w:p>
                        </w:tc>
                        <w:tc>
                          <w:tcPr>
                            <w:tcW w:w="663"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suppressAutoHyphens/>
                              <w:ind w:firstLine="567"/>
                              <w:jc w:val="center"/>
                              <w:textAlignment w:val="baseline"/>
                              <w:rPr>
                                <w:sz w:val="20"/>
                                <w:lang w:eastAsia="lt-LT"/>
                              </w:rPr>
                            </w:pPr>
                          </w:p>
                        </w:tc>
                        <w:tc>
                          <w:tcPr>
                            <w:tcW w:w="441"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suppressAutoHyphens/>
                              <w:ind w:firstLine="567"/>
                              <w:jc w:val="center"/>
                              <w:textAlignment w:val="baseline"/>
                              <w:rPr>
                                <w:sz w:val="20"/>
                                <w:lang w:eastAsia="lt-LT"/>
                              </w:rPr>
                            </w:pPr>
                          </w:p>
                        </w:tc>
                        <w:tc>
                          <w:tcPr>
                            <w:tcW w:w="589"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suppressAutoHyphens/>
                              <w:ind w:firstLine="567"/>
                              <w:jc w:val="center"/>
                              <w:textAlignment w:val="baseline"/>
                              <w:rPr>
                                <w:sz w:val="20"/>
                                <w:lang w:eastAsia="lt-LT"/>
                              </w:rPr>
                            </w:pPr>
                          </w:p>
                        </w:tc>
                        <w:tc>
                          <w:tcPr>
                            <w:tcW w:w="589"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suppressAutoHyphens/>
                              <w:ind w:firstLine="567"/>
                              <w:jc w:val="center"/>
                              <w:textAlignment w:val="baseline"/>
                              <w:rPr>
                                <w:sz w:val="20"/>
                                <w:lang w:eastAsia="lt-LT"/>
                              </w:rPr>
                            </w:pPr>
                          </w:p>
                        </w:tc>
                        <w:tc>
                          <w:tcPr>
                            <w:tcW w:w="663"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widowControl w:val="0"/>
                              <w:shd w:val="clear" w:color="000000" w:fill="auto"/>
                              <w:suppressAutoHyphens/>
                              <w:jc w:val="center"/>
                              <w:textAlignment w:val="baseline"/>
                              <w:rPr>
                                <w:sz w:val="20"/>
                                <w:lang w:eastAsia="lt-LT"/>
                              </w:rPr>
                            </w:pPr>
                            <w:r>
                              <w:rPr>
                                <w:sz w:val="20"/>
                                <w:lang w:eastAsia="lt-LT"/>
                              </w:rPr>
                              <w:t>Atliekų tvarkymo veiklos kodas (R13 ir (ar) D15)</w:t>
                            </w:r>
                          </w:p>
                        </w:tc>
                        <w:tc>
                          <w:tcPr>
                            <w:tcW w:w="1101"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suppressAutoHyphens/>
                              <w:jc w:val="center"/>
                              <w:textAlignment w:val="baseline"/>
                              <w:rPr>
                                <w:sz w:val="20"/>
                                <w:vertAlign w:val="superscript"/>
                                <w:lang w:eastAsia="lt-LT"/>
                              </w:rPr>
                            </w:pPr>
                            <w:r>
                              <w:rPr>
                                <w:sz w:val="20"/>
                                <w:lang w:eastAsia="lt-LT"/>
                              </w:rPr>
                              <w:t>Didžiausias vienu metu numatomas laikyti bendras atliekų, įskaitant susidarančių apdorojimo metu atliekų, kiekis, t</w:t>
                            </w:r>
                          </w:p>
                        </w:tc>
                      </w:tr>
                      <w:tr>
                        <w:trPr>
                          <w:cantSplit/>
                          <w:trHeight w:val="243"/>
                        </w:trPr>
                        <w:tc>
                          <w:tcPr>
                            <w:tcW w:w="290" w:type="pct"/>
                            <w:tcBorders>
                              <w:top w:val="single" w:sz="4" w:space="0" w:color="auto"/>
                              <w:left w:val="single" w:sz="4" w:space="0" w:color="auto"/>
                              <w:bottom w:val="single" w:sz="4" w:space="0" w:color="auto"/>
                              <w:right w:val="single" w:sz="4" w:space="0" w:color="auto"/>
                            </w:tcBorders>
                          </w:tcPr>
                          <w:p>
                            <w:pPr>
                              <w:widowControl w:val="0"/>
                              <w:shd w:val="clear" w:color="000000" w:fill="auto"/>
                              <w:suppressAutoHyphens/>
                              <w:jc w:val="center"/>
                              <w:textAlignment w:val="baseline"/>
                              <w:rPr>
                                <w:color w:val="000000"/>
                                <w:sz w:val="20"/>
                                <w:lang w:eastAsia="lt-LT"/>
                              </w:rPr>
                            </w:pPr>
                            <w:r>
                              <w:rPr>
                                <w:color w:val="000000"/>
                                <w:sz w:val="20"/>
                                <w:lang w:eastAsia="lt-LT"/>
                              </w:rPr>
                              <w:t>1</w:t>
                            </w:r>
                          </w:p>
                        </w:tc>
                        <w:tc>
                          <w:tcPr>
                            <w:tcW w:w="664"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suppressAutoHyphens/>
                              <w:jc w:val="center"/>
                              <w:textAlignment w:val="baseline"/>
                              <w:rPr>
                                <w:color w:val="000000"/>
                                <w:sz w:val="20"/>
                                <w:lang w:eastAsia="lt-LT"/>
                              </w:rPr>
                            </w:pPr>
                            <w:r>
                              <w:rPr>
                                <w:color w:val="000000"/>
                                <w:sz w:val="20"/>
                                <w:lang w:eastAsia="lt-LT"/>
                              </w:rPr>
                              <w:t>2</w:t>
                            </w:r>
                          </w:p>
                        </w:tc>
                        <w:tc>
                          <w:tcPr>
                            <w:tcW w:w="663"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suppressAutoHyphens/>
                              <w:jc w:val="center"/>
                              <w:textAlignment w:val="baseline"/>
                              <w:rPr>
                                <w:color w:val="000000"/>
                                <w:sz w:val="20"/>
                                <w:lang w:eastAsia="lt-LT"/>
                              </w:rPr>
                            </w:pPr>
                            <w:r>
                              <w:rPr>
                                <w:color w:val="000000"/>
                                <w:sz w:val="20"/>
                                <w:lang w:eastAsia="lt-LT"/>
                              </w:rPr>
                              <w:t>3</w:t>
                            </w:r>
                          </w:p>
                        </w:tc>
                        <w:tc>
                          <w:tcPr>
                            <w:tcW w:w="441"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suppressAutoHyphens/>
                              <w:jc w:val="center"/>
                              <w:textAlignment w:val="baseline"/>
                              <w:rPr>
                                <w:color w:val="000000"/>
                                <w:sz w:val="20"/>
                                <w:lang w:eastAsia="lt-LT"/>
                              </w:rPr>
                            </w:pPr>
                            <w:r>
                              <w:rPr>
                                <w:color w:val="000000"/>
                                <w:sz w:val="20"/>
                                <w:lang w:eastAsia="lt-LT"/>
                              </w:rPr>
                              <w:t>4</w:t>
                            </w:r>
                          </w:p>
                        </w:tc>
                        <w:tc>
                          <w:tcPr>
                            <w:tcW w:w="589"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widowControl w:val="0"/>
                              <w:shd w:val="clear" w:color="000000" w:fill="auto"/>
                              <w:suppressAutoHyphens/>
                              <w:jc w:val="center"/>
                              <w:textAlignment w:val="baseline"/>
                              <w:rPr>
                                <w:color w:val="000000"/>
                                <w:sz w:val="20"/>
                                <w:lang w:eastAsia="lt-LT"/>
                              </w:rPr>
                            </w:pPr>
                            <w:r>
                              <w:rPr>
                                <w:color w:val="000000"/>
                                <w:sz w:val="20"/>
                                <w:lang w:eastAsia="lt-LT"/>
                              </w:rPr>
                              <w:t>5</w:t>
                            </w:r>
                          </w:p>
                        </w:tc>
                        <w:tc>
                          <w:tcPr>
                            <w:tcW w:w="589"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widowControl w:val="0"/>
                              <w:shd w:val="clear" w:color="000000" w:fill="auto"/>
                              <w:suppressAutoHyphens/>
                              <w:jc w:val="center"/>
                              <w:textAlignment w:val="baseline"/>
                              <w:rPr>
                                <w:color w:val="000000"/>
                                <w:sz w:val="20"/>
                                <w:lang w:eastAsia="lt-LT"/>
                              </w:rPr>
                            </w:pPr>
                            <w:r>
                              <w:rPr>
                                <w:color w:val="000000"/>
                                <w:sz w:val="20"/>
                                <w:lang w:eastAsia="lt-LT"/>
                              </w:rPr>
                              <w:t>6</w:t>
                            </w:r>
                          </w:p>
                        </w:tc>
                        <w:tc>
                          <w:tcPr>
                            <w:tcW w:w="663"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widowControl w:val="0"/>
                              <w:shd w:val="clear" w:color="000000" w:fill="auto"/>
                              <w:suppressAutoHyphens/>
                              <w:jc w:val="center"/>
                              <w:textAlignment w:val="baseline"/>
                              <w:rPr>
                                <w:color w:val="000000"/>
                                <w:sz w:val="20"/>
                                <w:lang w:eastAsia="lt-LT"/>
                              </w:rPr>
                            </w:pPr>
                            <w:r>
                              <w:rPr>
                                <w:color w:val="000000"/>
                                <w:sz w:val="20"/>
                                <w:lang w:eastAsia="lt-LT"/>
                              </w:rPr>
                              <w:t>7</w:t>
                            </w:r>
                          </w:p>
                        </w:tc>
                        <w:tc>
                          <w:tcPr>
                            <w:tcW w:w="1101"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suppressAutoHyphens/>
                              <w:jc w:val="center"/>
                              <w:textAlignment w:val="baseline"/>
                              <w:rPr>
                                <w:color w:val="000000"/>
                                <w:sz w:val="20"/>
                                <w:lang w:eastAsia="lt-LT"/>
                              </w:rPr>
                            </w:pPr>
                            <w:r>
                              <w:rPr>
                                <w:color w:val="000000"/>
                                <w:sz w:val="20"/>
                                <w:lang w:eastAsia="lt-LT"/>
                              </w:rPr>
                              <w:t>8</w:t>
                            </w:r>
                          </w:p>
                        </w:tc>
                      </w:tr>
                      <w:tr>
                        <w:trPr>
                          <w:cantSplit/>
                          <w:trHeight w:val="243"/>
                        </w:trPr>
                        <w:tc>
                          <w:tcPr>
                            <w:tcW w:w="290" w:type="pct"/>
                            <w:tcBorders>
                              <w:top w:val="single" w:sz="4" w:space="0" w:color="auto"/>
                              <w:left w:val="single" w:sz="4" w:space="0" w:color="auto"/>
                              <w:bottom w:val="single" w:sz="4" w:space="0" w:color="auto"/>
                              <w:right w:val="single" w:sz="4" w:space="0" w:color="auto"/>
                            </w:tcBorders>
                          </w:tcPr>
                          <w:p>
                            <w:pPr>
                              <w:widowControl w:val="0"/>
                              <w:shd w:val="clear" w:color="000000" w:fill="auto"/>
                              <w:suppressAutoHyphens/>
                              <w:ind w:firstLine="567"/>
                              <w:jc w:val="both"/>
                              <w:textAlignment w:val="baseline"/>
                              <w:rPr>
                                <w:color w:val="000000"/>
                                <w:sz w:val="20"/>
                                <w:lang w:eastAsia="lt-LT"/>
                              </w:rPr>
                            </w:pPr>
                          </w:p>
                        </w:tc>
                        <w:tc>
                          <w:tcPr>
                            <w:tcW w:w="664"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shd w:val="clear" w:color="000000" w:fill="auto"/>
                              <w:suppressAutoHyphens/>
                              <w:ind w:firstLine="567"/>
                              <w:jc w:val="both"/>
                              <w:textAlignment w:val="baseline"/>
                              <w:rPr>
                                <w:color w:val="000000"/>
                                <w:sz w:val="20"/>
                                <w:lang w:eastAsia="lt-LT"/>
                              </w:rPr>
                            </w:pPr>
                          </w:p>
                        </w:tc>
                        <w:tc>
                          <w:tcPr>
                            <w:tcW w:w="663"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shd w:val="clear" w:color="000000" w:fill="auto"/>
                              <w:suppressAutoHyphens/>
                              <w:ind w:firstLine="567"/>
                              <w:jc w:val="both"/>
                              <w:textAlignment w:val="baseline"/>
                              <w:rPr>
                                <w:color w:val="000000"/>
                                <w:sz w:val="20"/>
                                <w:lang w:eastAsia="lt-LT"/>
                              </w:rPr>
                            </w:pPr>
                          </w:p>
                        </w:tc>
                        <w:tc>
                          <w:tcPr>
                            <w:tcW w:w="441"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shd w:val="clear" w:color="000000" w:fill="auto"/>
                              <w:suppressAutoHyphens/>
                              <w:ind w:firstLine="567"/>
                              <w:jc w:val="both"/>
                              <w:textAlignment w:val="baseline"/>
                              <w:rPr>
                                <w:color w:val="000000"/>
                                <w:sz w:val="20"/>
                                <w:lang w:eastAsia="lt-LT"/>
                              </w:rPr>
                            </w:pPr>
                          </w:p>
                        </w:tc>
                        <w:tc>
                          <w:tcPr>
                            <w:tcW w:w="589"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suppressAutoHyphens/>
                              <w:ind w:firstLine="567"/>
                              <w:jc w:val="both"/>
                              <w:textAlignment w:val="baseline"/>
                              <w:rPr>
                                <w:color w:val="000000"/>
                                <w:sz w:val="20"/>
                                <w:lang w:eastAsia="lt-LT"/>
                              </w:rPr>
                            </w:pPr>
                          </w:p>
                        </w:tc>
                        <w:tc>
                          <w:tcPr>
                            <w:tcW w:w="589"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suppressAutoHyphens/>
                              <w:ind w:firstLine="567"/>
                              <w:jc w:val="both"/>
                              <w:textAlignment w:val="baseline"/>
                              <w:rPr>
                                <w:color w:val="000000"/>
                                <w:sz w:val="20"/>
                                <w:lang w:eastAsia="lt-LT"/>
                              </w:rPr>
                            </w:pPr>
                          </w:p>
                        </w:tc>
                        <w:tc>
                          <w:tcPr>
                            <w:tcW w:w="663"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suppressAutoHyphens/>
                              <w:ind w:firstLine="567"/>
                              <w:jc w:val="both"/>
                              <w:textAlignment w:val="baseline"/>
                              <w:rPr>
                                <w:color w:val="000000"/>
                                <w:sz w:val="20"/>
                                <w:lang w:eastAsia="lt-LT"/>
                              </w:rPr>
                            </w:pPr>
                          </w:p>
                        </w:tc>
                        <w:tc>
                          <w:tcPr>
                            <w:tcW w:w="1101"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shd w:val="clear" w:color="000000" w:fill="auto"/>
                              <w:suppressAutoHyphens/>
                              <w:ind w:firstLine="567"/>
                              <w:jc w:val="both"/>
                              <w:textAlignment w:val="baseline"/>
                              <w:rPr>
                                <w:color w:val="000000"/>
                                <w:sz w:val="20"/>
                                <w:lang w:eastAsia="lt-LT"/>
                              </w:rPr>
                            </w:pPr>
                          </w:p>
                        </w:tc>
                      </w:tr>
                      <w:tr>
                        <w:trPr>
                          <w:cantSplit/>
                          <w:trHeight w:val="243"/>
                        </w:trPr>
                        <w:tc>
                          <w:tcPr>
                            <w:tcW w:w="290" w:type="pct"/>
                            <w:tcBorders>
                              <w:top w:val="single" w:sz="4" w:space="0" w:color="auto"/>
                              <w:left w:val="single" w:sz="4" w:space="0" w:color="auto"/>
                              <w:bottom w:val="single" w:sz="4" w:space="0" w:color="auto"/>
                              <w:right w:val="single" w:sz="4" w:space="0" w:color="auto"/>
                            </w:tcBorders>
                          </w:tcPr>
                          <w:p>
                            <w:pPr>
                              <w:widowControl w:val="0"/>
                              <w:shd w:val="clear" w:color="000000" w:fill="auto"/>
                              <w:suppressAutoHyphens/>
                              <w:ind w:firstLine="567"/>
                              <w:jc w:val="both"/>
                              <w:textAlignment w:val="baseline"/>
                              <w:rPr>
                                <w:color w:val="000000"/>
                                <w:sz w:val="20"/>
                                <w:lang w:eastAsia="lt-LT"/>
                              </w:rPr>
                            </w:pPr>
                          </w:p>
                        </w:tc>
                        <w:tc>
                          <w:tcPr>
                            <w:tcW w:w="664"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suppressAutoHyphens/>
                              <w:ind w:firstLine="567"/>
                              <w:jc w:val="both"/>
                              <w:textAlignment w:val="baseline"/>
                              <w:rPr>
                                <w:color w:val="000000"/>
                                <w:sz w:val="20"/>
                                <w:lang w:eastAsia="lt-LT"/>
                              </w:rPr>
                            </w:pPr>
                          </w:p>
                        </w:tc>
                        <w:tc>
                          <w:tcPr>
                            <w:tcW w:w="663"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suppressAutoHyphens/>
                              <w:ind w:firstLine="567"/>
                              <w:jc w:val="both"/>
                              <w:textAlignment w:val="baseline"/>
                              <w:rPr>
                                <w:color w:val="000000"/>
                                <w:sz w:val="20"/>
                                <w:lang w:eastAsia="lt-LT"/>
                              </w:rPr>
                            </w:pPr>
                          </w:p>
                        </w:tc>
                        <w:tc>
                          <w:tcPr>
                            <w:tcW w:w="441"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shd w:val="clear" w:color="000000" w:fill="auto"/>
                              <w:suppressAutoHyphens/>
                              <w:ind w:firstLine="567"/>
                              <w:jc w:val="both"/>
                              <w:textAlignment w:val="baseline"/>
                              <w:rPr>
                                <w:color w:val="000000"/>
                                <w:sz w:val="20"/>
                                <w:lang w:eastAsia="lt-LT"/>
                              </w:rPr>
                            </w:pPr>
                          </w:p>
                        </w:tc>
                        <w:tc>
                          <w:tcPr>
                            <w:tcW w:w="589"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suppressAutoHyphens/>
                              <w:ind w:firstLine="567"/>
                              <w:jc w:val="both"/>
                              <w:textAlignment w:val="baseline"/>
                              <w:rPr>
                                <w:color w:val="000000"/>
                                <w:sz w:val="20"/>
                                <w:lang w:eastAsia="lt-LT"/>
                              </w:rPr>
                            </w:pPr>
                          </w:p>
                        </w:tc>
                        <w:tc>
                          <w:tcPr>
                            <w:tcW w:w="589"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suppressAutoHyphens/>
                              <w:ind w:firstLine="567"/>
                              <w:jc w:val="both"/>
                              <w:textAlignment w:val="baseline"/>
                              <w:rPr>
                                <w:color w:val="000000"/>
                                <w:sz w:val="20"/>
                                <w:lang w:eastAsia="lt-LT"/>
                              </w:rPr>
                            </w:pPr>
                          </w:p>
                        </w:tc>
                        <w:tc>
                          <w:tcPr>
                            <w:tcW w:w="663"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suppressAutoHyphens/>
                              <w:ind w:firstLine="567"/>
                              <w:jc w:val="both"/>
                              <w:textAlignment w:val="baseline"/>
                              <w:rPr>
                                <w:color w:val="000000"/>
                                <w:sz w:val="20"/>
                                <w:lang w:eastAsia="lt-LT"/>
                              </w:rPr>
                            </w:pPr>
                          </w:p>
                        </w:tc>
                        <w:tc>
                          <w:tcPr>
                            <w:tcW w:w="1101"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suppressAutoHyphens/>
                              <w:ind w:firstLine="567"/>
                              <w:jc w:val="both"/>
                              <w:textAlignment w:val="baseline"/>
                              <w:rPr>
                                <w:color w:val="000000"/>
                                <w:sz w:val="20"/>
                                <w:lang w:eastAsia="lt-LT"/>
                              </w:rPr>
                            </w:pPr>
                          </w:p>
                        </w:tc>
                      </w:tr>
                      <w:tr>
                        <w:trPr>
                          <w:cantSplit/>
                          <w:trHeight w:val="243"/>
                        </w:trPr>
                        <w:tc>
                          <w:tcPr>
                            <w:tcW w:w="290" w:type="pct"/>
                            <w:tcBorders>
                              <w:top w:val="single" w:sz="4" w:space="0" w:color="auto"/>
                              <w:left w:val="single" w:sz="4" w:space="0" w:color="auto"/>
                              <w:bottom w:val="single" w:sz="4" w:space="0" w:color="auto"/>
                              <w:right w:val="single" w:sz="4" w:space="0" w:color="auto"/>
                            </w:tcBorders>
                          </w:tcPr>
                          <w:p>
                            <w:pPr>
                              <w:widowControl w:val="0"/>
                              <w:shd w:val="clear" w:color="000000" w:fill="auto"/>
                              <w:suppressAutoHyphens/>
                              <w:ind w:firstLine="567"/>
                              <w:jc w:val="both"/>
                              <w:textAlignment w:val="baseline"/>
                              <w:rPr>
                                <w:color w:val="000000"/>
                                <w:sz w:val="20"/>
                                <w:lang w:eastAsia="lt-LT"/>
                              </w:rPr>
                            </w:pPr>
                          </w:p>
                        </w:tc>
                        <w:tc>
                          <w:tcPr>
                            <w:tcW w:w="664"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suppressAutoHyphens/>
                              <w:ind w:firstLine="567"/>
                              <w:jc w:val="both"/>
                              <w:textAlignment w:val="baseline"/>
                              <w:rPr>
                                <w:color w:val="000000"/>
                                <w:sz w:val="20"/>
                                <w:lang w:eastAsia="lt-LT"/>
                              </w:rPr>
                            </w:pPr>
                          </w:p>
                        </w:tc>
                        <w:tc>
                          <w:tcPr>
                            <w:tcW w:w="663"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suppressAutoHyphens/>
                              <w:ind w:firstLine="567"/>
                              <w:jc w:val="both"/>
                              <w:textAlignment w:val="baseline"/>
                              <w:rPr>
                                <w:color w:val="000000"/>
                                <w:sz w:val="20"/>
                                <w:lang w:eastAsia="lt-LT"/>
                              </w:rPr>
                            </w:pPr>
                          </w:p>
                        </w:tc>
                        <w:tc>
                          <w:tcPr>
                            <w:tcW w:w="441"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shd w:val="clear" w:color="000000" w:fill="auto"/>
                              <w:suppressAutoHyphens/>
                              <w:ind w:firstLine="567"/>
                              <w:jc w:val="both"/>
                              <w:textAlignment w:val="baseline"/>
                              <w:rPr>
                                <w:color w:val="000000"/>
                                <w:sz w:val="20"/>
                                <w:lang w:eastAsia="lt-LT"/>
                              </w:rPr>
                            </w:pPr>
                          </w:p>
                        </w:tc>
                        <w:tc>
                          <w:tcPr>
                            <w:tcW w:w="589"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suppressAutoHyphens/>
                              <w:ind w:firstLine="567"/>
                              <w:jc w:val="both"/>
                              <w:textAlignment w:val="baseline"/>
                              <w:rPr>
                                <w:color w:val="000000"/>
                                <w:sz w:val="20"/>
                                <w:lang w:eastAsia="lt-LT"/>
                              </w:rPr>
                            </w:pPr>
                          </w:p>
                        </w:tc>
                        <w:tc>
                          <w:tcPr>
                            <w:tcW w:w="589"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suppressAutoHyphens/>
                              <w:ind w:firstLine="567"/>
                              <w:jc w:val="both"/>
                              <w:textAlignment w:val="baseline"/>
                              <w:rPr>
                                <w:color w:val="000000"/>
                                <w:sz w:val="20"/>
                                <w:lang w:eastAsia="lt-LT"/>
                              </w:rPr>
                            </w:pPr>
                          </w:p>
                        </w:tc>
                        <w:tc>
                          <w:tcPr>
                            <w:tcW w:w="663"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suppressAutoHyphens/>
                              <w:ind w:firstLine="567"/>
                              <w:jc w:val="both"/>
                              <w:textAlignment w:val="baseline"/>
                              <w:rPr>
                                <w:color w:val="000000"/>
                                <w:sz w:val="20"/>
                                <w:lang w:eastAsia="lt-LT"/>
                              </w:rPr>
                            </w:pPr>
                          </w:p>
                        </w:tc>
                        <w:tc>
                          <w:tcPr>
                            <w:tcW w:w="1101"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suppressAutoHyphens/>
                              <w:ind w:firstLine="567"/>
                              <w:jc w:val="both"/>
                              <w:textAlignment w:val="baseline"/>
                              <w:rPr>
                                <w:color w:val="000000"/>
                                <w:sz w:val="20"/>
                                <w:lang w:eastAsia="lt-LT"/>
                              </w:rPr>
                            </w:pPr>
                          </w:p>
                        </w:tc>
                      </w:tr>
                    </w:tbl>
                    <w:p>
                      <w:pPr>
                        <w:widowControl w:val="0"/>
                        <w:shd w:val="clear" w:color="000000" w:fill="auto"/>
                        <w:ind w:firstLine="567"/>
                        <w:jc w:val="both"/>
                        <w:rPr>
                          <w:b/>
                          <w:color w:val="000000"/>
                          <w:szCs w:val="24"/>
                          <w:lang w:eastAsia="lt-LT"/>
                        </w:rPr>
                      </w:pPr>
                    </w:p>
                    <w:p>
                      <w:pPr>
                        <w:widowControl w:val="0"/>
                        <w:shd w:val="clear" w:color="000000" w:fill="auto"/>
                        <w:ind w:firstLine="567"/>
                        <w:jc w:val="both"/>
                        <w:rPr>
                          <w:color w:val="000000"/>
                          <w:szCs w:val="24"/>
                          <w:lang w:eastAsia="lt-LT"/>
                        </w:rPr>
                      </w:pPr>
                      <w:r>
                        <w:rPr>
                          <w:b/>
                          <w:color w:val="000000"/>
                          <w:szCs w:val="24"/>
                          <w:lang w:eastAsia="lt-LT"/>
                        </w:rPr>
                        <w:t>32 lentelė.</w:t>
                      </w:r>
                      <w:r>
                        <w:rPr>
                          <w:color w:val="000000"/>
                          <w:szCs w:val="24"/>
                          <w:lang w:eastAsia="lt-LT"/>
                        </w:rPr>
                        <w:t xml:space="preserve"> Didžiausias numatomas laikyti pavojingųjų atliekų kiekis jų susidarymo vietoje iki surinkimo (S8)</w:t>
                      </w:r>
                    </w:p>
                    <w:p>
                      <w:pPr>
                        <w:widowControl w:val="0"/>
                        <w:shd w:val="clear" w:color="000000" w:fill="auto"/>
                        <w:ind w:firstLine="567"/>
                        <w:jc w:val="both"/>
                        <w:rPr>
                          <w:color w:val="000000"/>
                          <w:szCs w:val="24"/>
                          <w:lang w:eastAsia="lt-LT"/>
                        </w:rPr>
                      </w:pPr>
                    </w:p>
                    <w:p>
                      <w:pPr>
                        <w:widowControl w:val="0"/>
                        <w:shd w:val="clear" w:color="000000" w:fill="auto"/>
                        <w:jc w:val="both"/>
                        <w:rPr>
                          <w:color w:val="000000"/>
                          <w:szCs w:val="24"/>
                          <w:lang w:eastAsia="lt-LT"/>
                        </w:rPr>
                      </w:pPr>
                      <w:r>
                        <w:rPr>
                          <w:color w:val="000000"/>
                          <w:szCs w:val="24"/>
                          <w:lang w:eastAsia="lt-LT"/>
                        </w:rPr>
                        <w:t xml:space="preserve">Įrenginio pavadinimas </w:t>
                      </w:r>
                      <w:r>
                        <w:rPr>
                          <w:rFonts w:ascii="Symbol" w:eastAsia="Symbol" w:hAnsi="Symbol" w:cs="Symbol"/>
                          <w:color w:val="000000"/>
                          <w:szCs w:val="24"/>
                          <w:lang w:eastAsia="lt-LT"/>
                        </w:rPr>
                        <w:t></w:t>
                      </w:r>
                    </w:p>
                    <w:p>
                      <w:pPr>
                        <w:widowControl w:val="0"/>
                        <w:shd w:val="clear" w:color="000000" w:fill="auto"/>
                        <w:ind w:firstLine="567"/>
                        <w:jc w:val="both"/>
                        <w:rPr>
                          <w:color w:val="00000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9"/>
                        <w:gridCol w:w="2239"/>
                        <w:gridCol w:w="2099"/>
                        <w:gridCol w:w="1893"/>
                        <w:gridCol w:w="1890"/>
                        <w:gridCol w:w="2312"/>
                        <w:gridCol w:w="2932"/>
                      </w:tblGrid>
                      <w:tr>
                        <w:trPr>
                          <w:cantSplit/>
                        </w:trPr>
                        <w:tc>
                          <w:tcPr>
                            <w:tcW w:w="318" w:type="pct"/>
                            <w:vMerge w:val="restart"/>
                            <w:tcBorders>
                              <w:top w:val="single" w:sz="4" w:space="0" w:color="auto"/>
                              <w:left w:val="single" w:sz="4" w:space="0" w:color="auto"/>
                              <w:right w:val="single" w:sz="4" w:space="0" w:color="auto"/>
                            </w:tcBorders>
                            <w:vAlign w:val="center"/>
                          </w:tcPr>
                          <w:p>
                            <w:pPr>
                              <w:widowControl w:val="0"/>
                              <w:shd w:val="clear" w:color="000000" w:fill="auto"/>
                              <w:jc w:val="center"/>
                              <w:rPr>
                                <w:color w:val="000000"/>
                                <w:sz w:val="20"/>
                                <w:lang w:eastAsia="lt-LT"/>
                              </w:rPr>
                            </w:pPr>
                            <w:r>
                              <w:rPr>
                                <w:color w:val="000000"/>
                                <w:sz w:val="20"/>
                                <w:lang w:eastAsia="lt-LT"/>
                              </w:rPr>
                              <w:t>Eil. Nr.</w:t>
                            </w:r>
                          </w:p>
                        </w:tc>
                        <w:tc>
                          <w:tcPr>
                            <w:tcW w:w="784"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color w:val="000000"/>
                                <w:sz w:val="20"/>
                                <w:lang w:eastAsia="lt-LT"/>
                              </w:rPr>
                            </w:pPr>
                            <w:r>
                              <w:rPr>
                                <w:color w:val="000000"/>
                                <w:sz w:val="20"/>
                                <w:lang w:eastAsia="lt-LT"/>
                              </w:rPr>
                              <w:t>Pavojingųjų atliekų technologinio srauto žymėjimas</w:t>
                            </w:r>
                          </w:p>
                        </w:tc>
                        <w:tc>
                          <w:tcPr>
                            <w:tcW w:w="735"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color w:val="000000"/>
                                <w:sz w:val="20"/>
                                <w:lang w:eastAsia="lt-LT"/>
                              </w:rPr>
                            </w:pPr>
                            <w:r>
                              <w:rPr>
                                <w:color w:val="000000"/>
                                <w:sz w:val="20"/>
                                <w:lang w:eastAsia="lt-LT"/>
                              </w:rPr>
                              <w:t>Pavojingųjų atliekų technologinio srauto pavadinimas</w:t>
                            </w:r>
                          </w:p>
                        </w:tc>
                        <w:tc>
                          <w:tcPr>
                            <w:tcW w:w="663" w:type="pct"/>
                            <w:vMerge w:val="restart"/>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pPr>
                              <w:widowControl w:val="0"/>
                              <w:shd w:val="clear" w:color="000000" w:fill="auto"/>
                              <w:jc w:val="center"/>
                              <w:rPr>
                                <w:color w:val="000000"/>
                                <w:sz w:val="20"/>
                                <w:lang w:eastAsia="lt-LT"/>
                              </w:rPr>
                            </w:pPr>
                            <w:r>
                              <w:rPr>
                                <w:color w:val="000000"/>
                                <w:sz w:val="20"/>
                                <w:lang w:eastAsia="lt-LT"/>
                              </w:rPr>
                              <w:t>Atliekos kodas</w:t>
                            </w:r>
                          </w:p>
                        </w:tc>
                        <w:tc>
                          <w:tcPr>
                            <w:tcW w:w="662" w:type="pct"/>
                            <w:vMerge w:val="restart"/>
                            <w:tcBorders>
                              <w:top w:val="single" w:sz="4" w:space="0" w:color="auto"/>
                              <w:left w:val="single" w:sz="4" w:space="0" w:color="auto"/>
                              <w:bottom w:val="single" w:sz="4" w:space="0" w:color="auto"/>
                              <w:right w:val="single" w:sz="4" w:space="0" w:color="auto"/>
                            </w:tcBorders>
                            <w:tcMar>
                              <w:left w:w="28" w:type="dxa"/>
                              <w:right w:w="28" w:type="dxa"/>
                            </w:tcMar>
                            <w:vAlign w:val="center"/>
                            <w:hideMark/>
                          </w:tcPr>
                          <w:p>
                            <w:pPr>
                              <w:widowControl w:val="0"/>
                              <w:shd w:val="clear" w:color="000000" w:fill="auto"/>
                              <w:jc w:val="center"/>
                              <w:rPr>
                                <w:color w:val="000000"/>
                                <w:sz w:val="20"/>
                                <w:lang w:eastAsia="lt-LT"/>
                              </w:rPr>
                            </w:pPr>
                            <w:r>
                              <w:rPr>
                                <w:color w:val="000000"/>
                                <w:sz w:val="20"/>
                                <w:lang w:eastAsia="lt-LT"/>
                              </w:rPr>
                              <w:t>Atliekos pavadinimas</w:t>
                            </w:r>
                          </w:p>
                        </w:tc>
                        <w:tc>
                          <w:tcPr>
                            <w:tcW w:w="810"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color w:val="000000"/>
                                <w:sz w:val="20"/>
                                <w:lang w:eastAsia="lt-LT"/>
                              </w:rPr>
                            </w:pPr>
                            <w:r>
                              <w:rPr>
                                <w:color w:val="000000"/>
                                <w:sz w:val="20"/>
                                <w:lang w:eastAsia="lt-LT"/>
                              </w:rPr>
                              <w:t>Patikslintas atliekos pavadinimas</w:t>
                            </w:r>
                          </w:p>
                        </w:tc>
                        <w:tc>
                          <w:tcPr>
                            <w:tcW w:w="1027"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widowControl w:val="0"/>
                              <w:shd w:val="clear" w:color="000000" w:fill="auto"/>
                              <w:ind w:firstLine="52"/>
                              <w:jc w:val="center"/>
                              <w:rPr>
                                <w:color w:val="000000"/>
                                <w:sz w:val="20"/>
                                <w:lang w:eastAsia="lt-LT"/>
                              </w:rPr>
                            </w:pPr>
                            <w:r>
                              <w:rPr>
                                <w:color w:val="000000"/>
                                <w:sz w:val="20"/>
                                <w:lang w:eastAsia="lt-LT"/>
                              </w:rPr>
                              <w:t>Atliekų laikymas</w:t>
                            </w:r>
                          </w:p>
                        </w:tc>
                      </w:tr>
                      <w:tr>
                        <w:trPr>
                          <w:cantSplit/>
                          <w:trHeight w:val="855"/>
                        </w:trPr>
                        <w:tc>
                          <w:tcPr>
                            <w:tcW w:w="318" w:type="pct"/>
                            <w:vMerge/>
                            <w:tcBorders>
                              <w:left w:val="single" w:sz="4" w:space="0" w:color="auto"/>
                              <w:bottom w:val="single" w:sz="4" w:space="0" w:color="auto"/>
                              <w:right w:val="single" w:sz="4" w:space="0" w:color="auto"/>
                            </w:tcBorders>
                          </w:tcPr>
                          <w:p>
                            <w:pPr>
                              <w:widowControl w:val="0"/>
                              <w:shd w:val="clear" w:color="000000" w:fill="auto"/>
                              <w:ind w:firstLine="567"/>
                              <w:jc w:val="both"/>
                              <w:rPr>
                                <w:color w:val="000000"/>
                                <w:sz w:val="20"/>
                                <w:lang w:eastAsia="lt-LT"/>
                              </w:rPr>
                            </w:pPr>
                          </w:p>
                        </w:tc>
                        <w:tc>
                          <w:tcPr>
                            <w:tcW w:w="784"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color w:val="000000"/>
                                <w:sz w:val="20"/>
                                <w:lang w:eastAsia="lt-LT"/>
                              </w:rPr>
                            </w:pPr>
                          </w:p>
                        </w:tc>
                        <w:tc>
                          <w:tcPr>
                            <w:tcW w:w="735"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color w:val="000000"/>
                                <w:sz w:val="20"/>
                                <w:lang w:eastAsia="lt-LT"/>
                              </w:rPr>
                            </w:pPr>
                          </w:p>
                        </w:tc>
                        <w:tc>
                          <w:tcPr>
                            <w:tcW w:w="663"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color w:val="000000"/>
                                <w:sz w:val="20"/>
                                <w:lang w:eastAsia="lt-LT"/>
                              </w:rPr>
                            </w:pPr>
                          </w:p>
                        </w:tc>
                        <w:tc>
                          <w:tcPr>
                            <w:tcW w:w="662"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color w:val="000000"/>
                                <w:sz w:val="20"/>
                                <w:lang w:eastAsia="lt-LT"/>
                              </w:rPr>
                            </w:pPr>
                          </w:p>
                        </w:tc>
                        <w:tc>
                          <w:tcPr>
                            <w:tcW w:w="810"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color w:val="000000"/>
                                <w:sz w:val="20"/>
                                <w:lang w:eastAsia="lt-LT"/>
                              </w:rPr>
                            </w:pPr>
                          </w:p>
                        </w:tc>
                        <w:tc>
                          <w:tcPr>
                            <w:tcW w:w="1027"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color w:val="000000"/>
                                <w:sz w:val="20"/>
                                <w:lang w:eastAsia="lt-LT"/>
                              </w:rPr>
                            </w:pPr>
                            <w:r>
                              <w:rPr>
                                <w:color w:val="000000"/>
                                <w:sz w:val="20"/>
                                <w:lang w:eastAsia="lt-LT"/>
                              </w:rPr>
                              <w:t>Didžiausias vienu metu numatomas laikyti bendras atliekų kiekis, t</w:t>
                            </w:r>
                          </w:p>
                        </w:tc>
                      </w:tr>
                      <w:tr>
                        <w:trPr>
                          <w:cantSplit/>
                          <w:trHeight w:val="243"/>
                        </w:trPr>
                        <w:tc>
                          <w:tcPr>
                            <w:tcW w:w="318" w:type="pct"/>
                            <w:tcBorders>
                              <w:top w:val="single" w:sz="4" w:space="0" w:color="auto"/>
                              <w:left w:val="single" w:sz="4" w:space="0" w:color="auto"/>
                              <w:bottom w:val="single" w:sz="4" w:space="0" w:color="auto"/>
                              <w:right w:val="single" w:sz="4" w:space="0" w:color="auto"/>
                            </w:tcBorders>
                          </w:tcPr>
                          <w:p>
                            <w:pPr>
                              <w:widowControl w:val="0"/>
                              <w:shd w:val="clear" w:color="000000" w:fill="auto"/>
                              <w:jc w:val="center"/>
                              <w:rPr>
                                <w:color w:val="000000"/>
                                <w:sz w:val="20"/>
                                <w:lang w:eastAsia="lt-LT"/>
                              </w:rPr>
                            </w:pPr>
                            <w:r>
                              <w:rPr>
                                <w:color w:val="000000"/>
                                <w:sz w:val="20"/>
                                <w:lang w:eastAsia="lt-LT"/>
                              </w:rPr>
                              <w:t>1</w:t>
                            </w:r>
                          </w:p>
                        </w:tc>
                        <w:tc>
                          <w:tcPr>
                            <w:tcW w:w="784"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color w:val="000000"/>
                                <w:sz w:val="20"/>
                                <w:lang w:eastAsia="lt-LT"/>
                              </w:rPr>
                            </w:pPr>
                            <w:r>
                              <w:rPr>
                                <w:color w:val="000000"/>
                                <w:sz w:val="20"/>
                                <w:lang w:eastAsia="lt-LT"/>
                              </w:rPr>
                              <w:t>2</w:t>
                            </w:r>
                          </w:p>
                        </w:tc>
                        <w:tc>
                          <w:tcPr>
                            <w:tcW w:w="735"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color w:val="000000"/>
                                <w:sz w:val="20"/>
                                <w:lang w:eastAsia="lt-LT"/>
                              </w:rPr>
                            </w:pPr>
                            <w:r>
                              <w:rPr>
                                <w:color w:val="000000"/>
                                <w:sz w:val="20"/>
                                <w:lang w:eastAsia="lt-LT"/>
                              </w:rPr>
                              <w:t>3</w:t>
                            </w:r>
                          </w:p>
                        </w:tc>
                        <w:tc>
                          <w:tcPr>
                            <w:tcW w:w="663"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widowControl w:val="0"/>
                              <w:shd w:val="clear" w:color="000000" w:fill="auto"/>
                              <w:jc w:val="center"/>
                              <w:rPr>
                                <w:color w:val="000000"/>
                                <w:sz w:val="20"/>
                                <w:lang w:eastAsia="lt-LT"/>
                              </w:rPr>
                            </w:pPr>
                            <w:r>
                              <w:rPr>
                                <w:color w:val="000000"/>
                                <w:sz w:val="20"/>
                                <w:lang w:eastAsia="lt-LT"/>
                              </w:rPr>
                              <w:t>4</w:t>
                            </w:r>
                          </w:p>
                        </w:tc>
                        <w:tc>
                          <w:tcPr>
                            <w:tcW w:w="662" w:type="pct"/>
                            <w:tcBorders>
                              <w:top w:val="single" w:sz="4" w:space="0" w:color="auto"/>
                              <w:left w:val="single" w:sz="4" w:space="0" w:color="auto"/>
                              <w:bottom w:val="single" w:sz="4" w:space="0" w:color="auto"/>
                              <w:right w:val="single" w:sz="4" w:space="0" w:color="auto"/>
                            </w:tcBorders>
                            <w:hideMark/>
                          </w:tcPr>
                          <w:p>
                            <w:pPr>
                              <w:widowControl w:val="0"/>
                              <w:shd w:val="clear" w:color="000000" w:fill="auto"/>
                              <w:jc w:val="center"/>
                              <w:rPr>
                                <w:color w:val="000000"/>
                                <w:sz w:val="20"/>
                                <w:lang w:eastAsia="lt-LT"/>
                              </w:rPr>
                            </w:pPr>
                            <w:r>
                              <w:rPr>
                                <w:color w:val="000000"/>
                                <w:sz w:val="20"/>
                                <w:lang w:eastAsia="lt-LT"/>
                              </w:rPr>
                              <w:t>5</w:t>
                            </w:r>
                          </w:p>
                        </w:tc>
                        <w:tc>
                          <w:tcPr>
                            <w:tcW w:w="810"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widowControl w:val="0"/>
                              <w:shd w:val="clear" w:color="000000" w:fill="auto"/>
                              <w:jc w:val="center"/>
                              <w:rPr>
                                <w:color w:val="000000"/>
                                <w:sz w:val="20"/>
                                <w:lang w:eastAsia="lt-LT"/>
                              </w:rPr>
                            </w:pPr>
                            <w:r>
                              <w:rPr>
                                <w:color w:val="000000"/>
                                <w:sz w:val="20"/>
                                <w:lang w:eastAsia="lt-LT"/>
                              </w:rPr>
                              <w:t>6</w:t>
                            </w:r>
                          </w:p>
                        </w:tc>
                        <w:tc>
                          <w:tcPr>
                            <w:tcW w:w="1027"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widowControl w:val="0"/>
                              <w:shd w:val="clear" w:color="000000" w:fill="auto"/>
                              <w:jc w:val="center"/>
                              <w:rPr>
                                <w:color w:val="000000"/>
                                <w:sz w:val="20"/>
                                <w:lang w:eastAsia="lt-LT"/>
                              </w:rPr>
                            </w:pPr>
                            <w:r>
                              <w:rPr>
                                <w:color w:val="000000"/>
                                <w:sz w:val="20"/>
                                <w:lang w:eastAsia="lt-LT"/>
                              </w:rPr>
                              <w:t xml:space="preserve">7 </w:t>
                            </w:r>
                          </w:p>
                        </w:tc>
                      </w:tr>
                      <w:tr>
                        <w:trPr>
                          <w:cantSplit/>
                          <w:trHeight w:val="243"/>
                        </w:trPr>
                        <w:tc>
                          <w:tcPr>
                            <w:tcW w:w="318"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color w:val="000000"/>
                                <w:sz w:val="20"/>
                                <w:lang w:eastAsia="lt-LT"/>
                              </w:rPr>
                            </w:pPr>
                          </w:p>
                        </w:tc>
                        <w:tc>
                          <w:tcPr>
                            <w:tcW w:w="784"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shd w:val="clear" w:color="000000" w:fill="auto"/>
                              <w:ind w:firstLine="567"/>
                              <w:jc w:val="both"/>
                              <w:rPr>
                                <w:color w:val="000000"/>
                                <w:sz w:val="20"/>
                                <w:lang w:eastAsia="lt-LT"/>
                              </w:rPr>
                            </w:pPr>
                          </w:p>
                        </w:tc>
                        <w:tc>
                          <w:tcPr>
                            <w:tcW w:w="735"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shd w:val="clear" w:color="000000" w:fill="auto"/>
                              <w:ind w:firstLine="567"/>
                              <w:jc w:val="both"/>
                              <w:rPr>
                                <w:color w:val="000000"/>
                                <w:sz w:val="20"/>
                                <w:lang w:eastAsia="lt-LT"/>
                              </w:rPr>
                            </w:pPr>
                          </w:p>
                        </w:tc>
                        <w:tc>
                          <w:tcPr>
                            <w:tcW w:w="663"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shd w:val="clear" w:color="000000" w:fill="auto"/>
                              <w:ind w:firstLine="567"/>
                              <w:jc w:val="both"/>
                              <w:rPr>
                                <w:color w:val="000000"/>
                                <w:sz w:val="20"/>
                                <w:lang w:eastAsia="lt-LT"/>
                              </w:rPr>
                            </w:pPr>
                          </w:p>
                        </w:tc>
                        <w:tc>
                          <w:tcPr>
                            <w:tcW w:w="662"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color w:val="000000"/>
                                <w:sz w:val="20"/>
                                <w:lang w:eastAsia="lt-LT"/>
                              </w:rPr>
                            </w:pPr>
                          </w:p>
                        </w:tc>
                        <w:tc>
                          <w:tcPr>
                            <w:tcW w:w="810"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ind w:firstLine="567"/>
                              <w:jc w:val="both"/>
                              <w:rPr>
                                <w:color w:val="000000"/>
                                <w:sz w:val="20"/>
                                <w:lang w:eastAsia="lt-LT"/>
                              </w:rPr>
                            </w:pPr>
                          </w:p>
                        </w:tc>
                        <w:tc>
                          <w:tcPr>
                            <w:tcW w:w="1027"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ind w:firstLine="567"/>
                              <w:jc w:val="both"/>
                              <w:rPr>
                                <w:color w:val="000000"/>
                                <w:sz w:val="20"/>
                                <w:lang w:eastAsia="lt-LT"/>
                              </w:rPr>
                            </w:pPr>
                          </w:p>
                          <w:p>
                            <w:pPr>
                              <w:widowControl w:val="0"/>
                              <w:shd w:val="clear" w:color="000000" w:fill="auto"/>
                              <w:ind w:firstLine="53"/>
                              <w:jc w:val="both"/>
                              <w:rPr>
                                <w:color w:val="000000"/>
                                <w:sz w:val="20"/>
                                <w:lang w:eastAsia="lt-LT"/>
                              </w:rPr>
                            </w:pPr>
                          </w:p>
                          <w:p>
                            <w:pPr>
                              <w:widowControl w:val="0"/>
                              <w:shd w:val="clear" w:color="000000" w:fill="auto"/>
                              <w:ind w:firstLine="1855"/>
                              <w:jc w:val="both"/>
                              <w:rPr>
                                <w:color w:val="000000"/>
                                <w:sz w:val="20"/>
                                <w:lang w:eastAsia="lt-LT"/>
                              </w:rPr>
                            </w:pPr>
                            <w:r>
                              <w:rPr>
                                <w:color w:val="000000"/>
                                <w:sz w:val="20"/>
                                <w:lang w:eastAsia="lt-LT"/>
                              </w:rPr>
                              <w:t>“.</w:t>
                            </w:r>
                          </w:p>
                        </w:tc>
                      </w:tr>
                      <w:tr>
                        <w:trPr>
                          <w:cantSplit/>
                          <w:trHeight w:val="258"/>
                        </w:trPr>
                        <w:tc>
                          <w:tcPr>
                            <w:tcW w:w="318"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color w:val="000000"/>
                                <w:sz w:val="20"/>
                                <w:lang w:eastAsia="lt-LT"/>
                              </w:rPr>
                            </w:pPr>
                          </w:p>
                        </w:tc>
                        <w:tc>
                          <w:tcPr>
                            <w:tcW w:w="784"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color w:val="000000"/>
                                <w:sz w:val="20"/>
                                <w:lang w:eastAsia="lt-LT"/>
                              </w:rPr>
                            </w:pPr>
                          </w:p>
                        </w:tc>
                        <w:tc>
                          <w:tcPr>
                            <w:tcW w:w="735"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color w:val="000000"/>
                                <w:sz w:val="20"/>
                                <w:lang w:eastAsia="lt-LT"/>
                              </w:rPr>
                            </w:pPr>
                          </w:p>
                        </w:tc>
                        <w:tc>
                          <w:tcPr>
                            <w:tcW w:w="663"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shd w:val="clear" w:color="000000" w:fill="auto"/>
                              <w:ind w:firstLine="567"/>
                              <w:jc w:val="both"/>
                              <w:rPr>
                                <w:color w:val="000000"/>
                                <w:sz w:val="20"/>
                                <w:lang w:eastAsia="lt-LT"/>
                              </w:rPr>
                            </w:pPr>
                          </w:p>
                        </w:tc>
                        <w:tc>
                          <w:tcPr>
                            <w:tcW w:w="662"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color w:val="000000"/>
                                <w:sz w:val="20"/>
                                <w:lang w:eastAsia="lt-LT"/>
                              </w:rPr>
                            </w:pPr>
                          </w:p>
                        </w:tc>
                        <w:tc>
                          <w:tcPr>
                            <w:tcW w:w="810"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ind w:firstLine="567"/>
                              <w:jc w:val="both"/>
                              <w:rPr>
                                <w:color w:val="000000"/>
                                <w:sz w:val="20"/>
                                <w:lang w:eastAsia="lt-LT"/>
                              </w:rPr>
                            </w:pPr>
                          </w:p>
                        </w:tc>
                        <w:tc>
                          <w:tcPr>
                            <w:tcW w:w="1027"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color w:val="000000"/>
                                <w:sz w:val="20"/>
                                <w:lang w:eastAsia="lt-LT"/>
                              </w:rPr>
                            </w:pPr>
                          </w:p>
                        </w:tc>
                      </w:tr>
                      <w:tr>
                        <w:trPr>
                          <w:cantSplit/>
                          <w:trHeight w:val="118"/>
                        </w:trPr>
                        <w:tc>
                          <w:tcPr>
                            <w:tcW w:w="318"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color w:val="000000"/>
                                <w:sz w:val="20"/>
                                <w:lang w:eastAsia="lt-LT"/>
                              </w:rPr>
                            </w:pPr>
                          </w:p>
                        </w:tc>
                        <w:tc>
                          <w:tcPr>
                            <w:tcW w:w="784"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color w:val="000000"/>
                                <w:sz w:val="20"/>
                                <w:lang w:eastAsia="lt-LT"/>
                              </w:rPr>
                            </w:pPr>
                          </w:p>
                        </w:tc>
                        <w:tc>
                          <w:tcPr>
                            <w:tcW w:w="735"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color w:val="000000"/>
                                <w:sz w:val="20"/>
                                <w:lang w:eastAsia="lt-LT"/>
                              </w:rPr>
                            </w:pPr>
                          </w:p>
                        </w:tc>
                        <w:tc>
                          <w:tcPr>
                            <w:tcW w:w="663"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widowControl w:val="0"/>
                              <w:shd w:val="clear" w:color="000000" w:fill="auto"/>
                              <w:ind w:firstLine="567"/>
                              <w:jc w:val="both"/>
                              <w:rPr>
                                <w:color w:val="000000"/>
                                <w:sz w:val="20"/>
                                <w:lang w:eastAsia="lt-LT"/>
                              </w:rPr>
                            </w:pPr>
                          </w:p>
                        </w:tc>
                        <w:tc>
                          <w:tcPr>
                            <w:tcW w:w="662" w:type="pct"/>
                            <w:tcBorders>
                              <w:top w:val="single" w:sz="4" w:space="0" w:color="auto"/>
                              <w:left w:val="single" w:sz="4" w:space="0" w:color="auto"/>
                              <w:bottom w:val="single" w:sz="4" w:space="0" w:color="auto"/>
                              <w:right w:val="single" w:sz="4" w:space="0" w:color="auto"/>
                            </w:tcBorders>
                          </w:tcPr>
                          <w:p>
                            <w:pPr>
                              <w:widowControl w:val="0"/>
                              <w:shd w:val="clear" w:color="000000" w:fill="auto"/>
                              <w:ind w:firstLine="567"/>
                              <w:jc w:val="both"/>
                              <w:rPr>
                                <w:color w:val="000000"/>
                                <w:sz w:val="20"/>
                                <w:lang w:eastAsia="lt-LT"/>
                              </w:rPr>
                            </w:pPr>
                          </w:p>
                        </w:tc>
                        <w:tc>
                          <w:tcPr>
                            <w:tcW w:w="810"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widowControl w:val="0"/>
                              <w:shd w:val="clear" w:color="000000" w:fill="auto"/>
                              <w:ind w:firstLine="567"/>
                              <w:jc w:val="both"/>
                              <w:rPr>
                                <w:color w:val="000000"/>
                                <w:sz w:val="20"/>
                                <w:lang w:eastAsia="lt-LT"/>
                              </w:rPr>
                            </w:pPr>
                          </w:p>
                        </w:tc>
                        <w:tc>
                          <w:tcPr>
                            <w:tcW w:w="1027" w:type="pct"/>
                            <w:vMerge/>
                            <w:tcBorders>
                              <w:top w:val="single" w:sz="4" w:space="0" w:color="auto"/>
                              <w:left w:val="single" w:sz="4" w:space="0" w:color="auto"/>
                              <w:bottom w:val="single" w:sz="4" w:space="0" w:color="auto"/>
                              <w:right w:val="single" w:sz="4" w:space="0" w:color="auto"/>
                            </w:tcBorders>
                            <w:vAlign w:val="center"/>
                            <w:hideMark/>
                          </w:tcPr>
                          <w:p>
                            <w:pPr>
                              <w:widowControl w:val="0"/>
                              <w:shd w:val="clear" w:color="000000" w:fill="auto"/>
                              <w:ind w:firstLine="567"/>
                              <w:jc w:val="both"/>
                              <w:rPr>
                                <w:color w:val="000000"/>
                                <w:sz w:val="20"/>
                                <w:lang w:eastAsia="lt-LT"/>
                              </w:rPr>
                            </w:pPr>
                          </w:p>
                        </w:tc>
                      </w:tr>
                    </w:tbl>
                    <w:p>
                      <w:pPr>
                        <w:shd w:val="clear" w:color="000000" w:fill="auto"/>
                        <w:suppressAutoHyphens/>
                        <w:ind w:firstLine="567"/>
                        <w:jc w:val="both"/>
                        <w:textAlignment w:val="baseline"/>
                        <w:rPr>
                          <w:color w:val="000000"/>
                          <w:szCs w:val="24"/>
                          <w:lang w:eastAsia="lt-LT"/>
                        </w:rPr>
                      </w:pP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5344301d2e11edb4cae1b158f98ea5">
                    <w:r w:rsidRPr="00532B9F">
                      <w:rPr>
                        <w:rFonts w:ascii="Arial" w:eastAsia="MS Mincho" w:hAnsi="Arial"/>
                        <w:sz w:val="20"/>
                        <w:i/>
                        <w:iCs/>
                        <w:color w:val="0000FF" w:themeColor="hyperlink"/>
                        <w:u w:val="single"/>
                      </w:rPr>
                      <w:t>D1-263</w:t>
                    </w:r>
                  </w:fldSimple>
                  <w:r>
                    <w:rPr>
                      <w:rFonts w:ascii="Arial" w:eastAsia="MS Mincho" w:hAnsi="Arial"/>
                      <w:sz w:val="20"/>
                      <w:i/>
                      <w:iCs/>
                    </w:rPr>
                    <w:t>,
2022-08-16,
paskelbta TAR 2022-08-16, i. k. 2022-17141            </w:t>
                  </w:r>
                </w:p>
                <w:p/>
              </w:sdtContent>
            </w:sdt>
            <w:sdt>
              <w:sdtPr>
                <w:alias w:val="25 p."/>
                <w:tag w:val="part_b7a898e25e4a40a7a798675cd307045b"/>
                <w:lock w:val="sdtLocked"/>
                <w:richText/>
              </w:sdtPr>
              <w:sdtContent>
                <w:p>
                  <w:pPr>
                    <w:widowControl w:val="0"/>
                    <w:shd w:val="clear" w:color="000000" w:fill="auto"/>
                    <w:ind w:firstLine="567"/>
                    <w:jc w:val="both"/>
                    <w:rPr>
                      <w:color w:val="000000"/>
                      <w:szCs w:val="24"/>
                      <w:lang w:eastAsia="lt-LT"/>
                    </w:rPr>
                  </w:pPr>
                  <w:sdt>
                    <w:sdtPr>
                      <w:alias w:val="Numeris"/>
                      <w:tag w:val="nr_b7a898e25e4a40a7a798675cd307045b"/>
                      <w:lock w:val="sdtLocked"/>
                      <w:richText/>
                    </w:sdtPr>
                    <w:sdtContent>
                      <w:r>
                        <w:rPr>
                          <w:color w:val="000000"/>
                          <w:szCs w:val="24"/>
                          <w:lang w:eastAsia="lt-LT"/>
                        </w:rPr>
                        <w:t>25</w:t>
                      </w:r>
                    </w:sdtContent>
                  </w:sdt>
                  <w:r>
                    <w:rPr>
                      <w:color w:val="000000"/>
                      <w:szCs w:val="24"/>
                      <w:lang w:eastAsia="lt-LT"/>
                    </w:rPr>
                    <w:t>. Papildomi duomenys pagal Atliekų deginimo aplinkosauginių reikalavimų, patvirtintų Lietuvos Respublikos aplinkos ministro 2002 m. gruodžio 31 d. įsakymu Nr. 699 „Dėl Atliekų deginimo aplinkosauginių reikalavimų patvirtinimo“, 8, 8</w:t>
                  </w:r>
                  <w:r>
                    <w:rPr>
                      <w:color w:val="000000"/>
                      <w:szCs w:val="24"/>
                      <w:vertAlign w:val="superscript"/>
                      <w:lang w:eastAsia="lt-LT"/>
                    </w:rPr>
                    <w:t xml:space="preserve">1 </w:t>
                  </w:r>
                  <w:r>
                    <w:rPr>
                      <w:color w:val="000000"/>
                      <w:szCs w:val="24"/>
                      <w:lang w:eastAsia="lt-LT"/>
                    </w:rPr>
                    <w:t>punktuose nustatytus reikalavimus.</w:t>
                  </w:r>
                </w:p>
              </w:sdtContent>
            </w:sdt>
            <w:sdt>
              <w:sdtPr>
                <w:alias w:val="26 p."/>
                <w:tag w:val="part_960657f9b921471aabe594b774bda0f8"/>
                <w:lock w:val="sdtLocked"/>
                <w:richText/>
              </w:sdtPr>
              <w:sdtContent>
                <w:p>
                  <w:pPr>
                    <w:widowControl w:val="0"/>
                    <w:shd w:val="clear" w:color="000000" w:fill="auto"/>
                    <w:ind w:firstLine="567"/>
                    <w:jc w:val="both"/>
                    <w:rPr>
                      <w:b/>
                      <w:sz w:val="22"/>
                      <w:szCs w:val="22"/>
                      <w:lang w:eastAsia="lt-LT"/>
                    </w:rPr>
                  </w:pPr>
                  <w:sdt>
                    <w:sdtPr>
                      <w:alias w:val="Numeris"/>
                      <w:tag w:val="nr_960657f9b921471aabe594b774bda0f8"/>
                      <w:lock w:val="sdtLocked"/>
                      <w:richText/>
                    </w:sdtPr>
                    <w:sdtContent>
                      <w:r>
                        <w:rPr>
                          <w:color w:val="000000"/>
                          <w:szCs w:val="24"/>
                          <w:lang w:eastAsia="lt-LT"/>
                        </w:rPr>
                        <w:t>26</w:t>
                      </w:r>
                    </w:sdtContent>
                  </w:sdt>
                  <w:r>
                    <w:rPr>
                      <w:color w:val="000000"/>
                      <w:szCs w:val="24"/>
                      <w:lang w:eastAsia="lt-LT"/>
                    </w:rPr>
                    <w:t>. Papildomi duomenys pagal Atliekų sąvartynų įrengimo, eksploatavimo, uždarymo ir priežiūros po uždarymo taisyklių, patvirtintų Lietuvos Respublikos aplinkos ministro 2000 m. spalio 18 d. įsakymu Nr. 444 „Dėl Atliekų sąvartynų įrengimo, eksploatavimo, uždarymo ir priežiūros po uždarymo taisyklių patvirtinimo“, 50, 51 ir 52 punktų reikalavimus.</w:t>
                  </w:r>
                  <w:r>
                    <w:t xml:space="preserve"> </w:t>
                  </w:r>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e6e470accc11e78a4c904b1afa0332">
                <w:r w:rsidRPr="00532B9F">
                  <w:rPr>
                    <w:rFonts w:ascii="Arial" w:eastAsia="MS Mincho" w:hAnsi="Arial"/>
                    <w:sz w:val="20"/>
                    <w:i/>
                    <w:iCs/>
                    <w:color w:val="0000FF" w:themeColor="hyperlink"/>
                    <w:u w:val="single"/>
                  </w:rPr>
                  <w:t>D1-798</w:t>
                </w:r>
              </w:fldSimple>
              <w:r>
                <w:rPr>
                  <w:rFonts w:ascii="Arial" w:eastAsia="MS Mincho" w:hAnsi="Arial"/>
                  <w:sz w:val="20"/>
                  <w:i/>
                  <w:iCs/>
                </w:rPr>
                <w:t>,
2017-09-29,
paskelbta TAR 2017-10-09, i. k. 2017-15989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skyrius"/>
            <w:tag w:val="part_f8b4c52021094b1d9e9ec4690a40d1b2"/>
            <w:lock w:val="sdtLocked"/>
            <w:richText/>
          </w:sdtPr>
          <w:sdtContent>
            <w:p>
              <w:pPr>
                <w:shd w:val="clear" w:color="000000" w:fill="auto"/>
                <w:jc w:val="center"/>
                <w:rPr>
                  <w:b/>
                  <w:sz w:val="22"/>
                  <w:szCs w:val="24"/>
                  <w:lang w:eastAsia="lt-LT"/>
                </w:rPr>
              </w:pPr>
              <w:sdt>
                <w:sdtPr>
                  <w:alias w:val="Numeris"/>
                  <w:tag w:val="nr_f8b4c52021094b1d9e9ec4690a40d1b2"/>
                  <w:lock w:val="sdtLocked"/>
                  <w:richText/>
                </w:sdtPr>
                <w:sdtContent>
                  <w:r>
                    <w:rPr>
                      <w:b/>
                      <w:sz w:val="22"/>
                      <w:szCs w:val="24"/>
                      <w:lang w:eastAsia="lt-LT"/>
                    </w:rPr>
                    <w:t>XII</w:t>
                  </w:r>
                </w:sdtContent>
              </w:sdt>
              <w:r>
                <w:rPr>
                  <w:b/>
                  <w:sz w:val="22"/>
                  <w:szCs w:val="24"/>
                  <w:lang w:eastAsia="lt-LT"/>
                </w:rPr>
                <w:t xml:space="preserve">. </w:t>
              </w:r>
              <w:sdt>
                <w:sdtPr>
                  <w:alias w:val="Pavadinimas"/>
                  <w:tag w:val="title_f8b4c52021094b1d9e9ec4690a40d1b2"/>
                  <w:lock w:val="sdtLocked"/>
                  <w:richText/>
                </w:sdtPr>
                <w:sdtContent>
                  <w:r>
                    <w:rPr>
                      <w:b/>
                      <w:sz w:val="22"/>
                      <w:szCs w:val="24"/>
                      <w:lang w:eastAsia="lt-LT"/>
                    </w:rPr>
                    <w:t>TRIUKŠMO SKLIDIMAS IR KVAPŲ KONTROLĖ</w:t>
                  </w:r>
                </w:sdtContent>
              </w:sdt>
            </w:p>
            <w:p>
              <w:pPr>
                <w:shd w:val="clear" w:color="000000" w:fill="auto"/>
                <w:ind w:firstLine="567"/>
                <w:jc w:val="both"/>
                <w:rPr>
                  <w:sz w:val="22"/>
                  <w:szCs w:val="24"/>
                  <w:lang w:eastAsia="lt-LT"/>
                </w:rPr>
              </w:pPr>
            </w:p>
            <w:sdt>
              <w:sdtPr>
                <w:alias w:val="4 pr. 27 p."/>
                <w:tag w:val="part_c44b7ec93d96413c9c69844522f88dd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 w:val="22"/>
                      <w:szCs w:val="24"/>
                      <w:lang w:eastAsia="lt-LT"/>
                    </w:rPr>
                  </w:pPr>
                  <w:sdt>
                    <w:sdtPr>
                      <w:alias w:val="Numeris"/>
                      <w:tag w:val="nr_c44b7ec93d96413c9c69844522f88dd2"/>
                      <w:lock w:val="sdtLocked"/>
                      <w:richText/>
                    </w:sdtPr>
                    <w:sdtContent>
                      <w:r>
                        <w:rPr>
                          <w:sz w:val="22"/>
                          <w:szCs w:val="24"/>
                          <w:lang w:eastAsia="lt-LT"/>
                        </w:rPr>
                        <w:t>27</w:t>
                      </w:r>
                    </w:sdtContent>
                  </w:sdt>
                  <w:r>
                    <w:rPr>
                      <w:sz w:val="22"/>
                      <w:szCs w:val="24"/>
                      <w:lang w:eastAsia="lt-LT"/>
                    </w:rPr>
                    <w:t>. Informacija apie triukšmo šaltinius ir jų skleidžiamą triukšmą.</w:t>
                  </w:r>
                </w:p>
                <w:p>
                  <w:pPr>
                    <w:shd w:val="clear" w:color="000000" w:fill="auto"/>
                    <w:rPr>
                      <w:sz w:val="22"/>
                      <w:szCs w:val="24"/>
                      <w:lang w:eastAsia="lt-LT"/>
                    </w:rPr>
                  </w:pPr>
                </w:p>
              </w:sdtContent>
            </w:sdt>
            <w:sdt>
              <w:sdtPr>
                <w:alias w:val="4 pr. 28 p."/>
                <w:tag w:val="part_52c32cef4e044cbfa5c7ff4ccedeea7e"/>
                <w:lock w:val="sdtLocked"/>
                <w:richText/>
              </w:sdtPr>
              <w:sdtContent>
                <w:p>
                  <w:pPr>
                    <w:shd w:val="clear" w:color="000000" w:fill="auto"/>
                    <w:ind w:firstLine="567"/>
                    <w:jc w:val="both"/>
                    <w:rPr>
                      <w:sz w:val="22"/>
                      <w:szCs w:val="24"/>
                      <w:lang w:eastAsia="lt-LT"/>
                    </w:rPr>
                  </w:pPr>
                  <w:sdt>
                    <w:sdtPr>
                      <w:alias w:val="Numeris"/>
                      <w:tag w:val="nr_52c32cef4e044cbfa5c7ff4ccedeea7e"/>
                      <w:lock w:val="sdtLocked"/>
                      <w:richText/>
                    </w:sdtPr>
                    <w:sdtContent>
                      <w:r>
                        <w:rPr>
                          <w:sz w:val="22"/>
                          <w:szCs w:val="24"/>
                          <w:lang w:eastAsia="lt-LT"/>
                        </w:rPr>
                        <w:t>28</w:t>
                      </w:r>
                    </w:sdtContent>
                  </w:sdt>
                  <w:r>
                    <w:rPr>
                      <w:sz w:val="22"/>
                      <w:szCs w:val="24"/>
                      <w:lang w:eastAsia="lt-LT"/>
                    </w:rPr>
                    <w:t>. Triukšmo mažinimo priemonės.</w:t>
                  </w:r>
                </w:p>
              </w:sdtContent>
            </w:sdt>
            <w:sdt>
              <w:sdtPr>
                <w:alias w:val="4 pr. 29 p."/>
                <w:tag w:val="part_5482981f9eb14c23ae4fa1ac02fd867d"/>
                <w:lock w:val="sdtLocked"/>
                <w:richText/>
              </w:sdtPr>
              <w:sdtContent>
                <w:p>
                  <w:pPr>
                    <w:widowControl w:val="0"/>
                    <w:shd w:val="clear" w:color="000000" w:fill="auto"/>
                    <w:ind w:firstLine="567"/>
                    <w:jc w:val="both"/>
                    <w:rPr>
                      <w:lang w:eastAsia="lt-LT"/>
                    </w:rPr>
                  </w:pPr>
                  <w:sdt>
                    <w:sdtPr>
                      <w:alias w:val="Numeris"/>
                      <w:tag w:val="nr_5482981f9eb14c23ae4fa1ac02fd867d"/>
                      <w:lock w:val="sdtLocked"/>
                      <w:richText/>
                    </w:sdtPr>
                    <w:sdtContent>
                      <w:r>
                        <w:rPr>
                          <w:lang w:eastAsia="lt-LT"/>
                        </w:rPr>
                        <w:t>29</w:t>
                      </w:r>
                    </w:sdtContent>
                  </w:sdt>
                  <w:r>
                    <w:rPr>
                      <w:lang w:eastAsia="lt-LT"/>
                    </w:rPr>
                    <w:t>. Įrenginyje vykdomos veiklos metu skleidžiami kvapai.</w:t>
                  </w:r>
                </w:p>
                <w:p>
                  <w:pPr>
                    <w:widowControl w:val="0"/>
                    <w:shd w:val="clear" w:color="000000" w:fill="auto"/>
                    <w:ind w:firstLine="567"/>
                    <w:jc w:val="both"/>
                    <w:rPr>
                      <w:lang w:eastAsia="lt-LT"/>
                    </w:rPr>
                  </w:pPr>
                </w:p>
                <w:p>
                  <w:pPr>
                    <w:shd w:val="clear" w:color="000000" w:fill="auto"/>
                    <w:suppressAutoHyphens/>
                    <w:ind w:firstLine="567"/>
                    <w:rPr>
                      <w:lang w:eastAsia="lt-LT"/>
                    </w:rPr>
                  </w:pPr>
                  <w:r>
                    <w:rPr>
                      <w:b/>
                      <w:lang w:eastAsia="lt-LT"/>
                    </w:rPr>
                    <w:t xml:space="preserve">33 lentelė. </w:t>
                  </w:r>
                  <w:r>
                    <w:rPr>
                      <w:lang w:eastAsia="lt-LT"/>
                    </w:rPr>
                    <w:t>Stacionarių kvapų šaltinių duomenys</w:t>
                  </w:r>
                </w:p>
                <w:p>
                  <w:pPr>
                    <w:shd w:val="clear" w:color="000000" w:fill="auto"/>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117"/>
                    <w:gridCol w:w="1140"/>
                    <w:gridCol w:w="1679"/>
                    <w:gridCol w:w="1255"/>
                    <w:gridCol w:w="1467"/>
                    <w:gridCol w:w="1464"/>
                    <w:gridCol w:w="1467"/>
                    <w:gridCol w:w="1260"/>
                    <w:gridCol w:w="1751"/>
                    <w:gridCol w:w="1754"/>
                  </w:tblGrid>
                  <w:tr>
                    <w:trPr>
                      <w:trHeight w:val="859"/>
                      <w:jc w:val="center"/>
                    </w:trPr>
                    <w:tc>
                      <w:tcPr>
                        <w:tcW w:w="2319" w:type="pct"/>
                        <w:gridSpan w:val="5"/>
                        <w:vAlign w:val="center"/>
                      </w:tcPr>
                      <w:p>
                        <w:pPr>
                          <w:shd w:val="clear" w:color="000000" w:fill="auto"/>
                          <w:suppressAutoHyphens/>
                          <w:rPr>
                            <w:lang w:eastAsia="lt-LT"/>
                          </w:rPr>
                        </w:pPr>
                        <w:r>
                          <w:rPr>
                            <w:lang w:eastAsia="lt-LT"/>
                          </w:rPr>
                          <w:t>Kvapo šaltinis</w:t>
                        </w:r>
                      </w:p>
                    </w:tc>
                    <w:tc>
                      <w:tcPr>
                        <w:tcW w:w="1460" w:type="pct"/>
                        <w:gridSpan w:val="3"/>
                        <w:shd w:val="clear" w:color="auto" w:fill="auto"/>
                        <w:vAlign w:val="center"/>
                        <w:hideMark/>
                      </w:tcPr>
                      <w:p>
                        <w:pPr>
                          <w:shd w:val="clear" w:color="000000" w:fill="auto"/>
                          <w:suppressAutoHyphens/>
                          <w:rPr>
                            <w:lang w:eastAsia="lt-LT"/>
                          </w:rPr>
                        </w:pPr>
                        <w:r>
                          <w:rPr>
                            <w:lang w:eastAsia="lt-LT"/>
                          </w:rPr>
                          <w:t>Išmetamųjų dujų rodikliai pavyzdžio paėmimo (matavimo) vietoje</w:t>
                        </w:r>
                      </w:p>
                    </w:tc>
                    <w:tc>
                      <w:tcPr>
                        <w:tcW w:w="610" w:type="pct"/>
                        <w:vMerge w:val="restart"/>
                        <w:vAlign w:val="center"/>
                      </w:tcPr>
                      <w:p>
                        <w:pPr>
                          <w:shd w:val="clear" w:color="000000" w:fill="auto"/>
                          <w:suppressAutoHyphens/>
                          <w:rPr>
                            <w:lang w:eastAsia="lt-LT"/>
                          </w:rPr>
                        </w:pPr>
                        <w:r>
                          <w:rPr>
                            <w:lang w:eastAsia="lt-LT"/>
                          </w:rPr>
                          <w:t>Kvapo emisijos rodiklis*, OUE/s, OUE/m/s, OUE/m</w:t>
                        </w:r>
                        <w:r>
                          <w:rPr>
                            <w:vertAlign w:val="superscript"/>
                            <w:lang w:eastAsia="lt-LT"/>
                          </w:rPr>
                          <w:t>2</w:t>
                        </w:r>
                        <w:r>
                          <w:rPr>
                            <w:lang w:eastAsia="lt-LT"/>
                          </w:rPr>
                          <w:t>/s, OUE/m</w:t>
                        </w:r>
                        <w:r>
                          <w:rPr>
                            <w:vertAlign w:val="superscript"/>
                            <w:lang w:eastAsia="lt-LT"/>
                          </w:rPr>
                          <w:t>3</w:t>
                        </w:r>
                        <w:r>
                          <w:rPr>
                            <w:lang w:eastAsia="lt-LT"/>
                          </w:rPr>
                          <w:t xml:space="preserve">/s </w:t>
                        </w:r>
                      </w:p>
                    </w:tc>
                    <w:tc>
                      <w:tcPr>
                        <w:tcW w:w="611" w:type="pct"/>
                        <w:vMerge w:val="restart"/>
                        <w:shd w:val="clear" w:color="auto" w:fill="auto"/>
                        <w:vAlign w:val="center"/>
                        <w:hideMark/>
                      </w:tcPr>
                      <w:p>
                        <w:pPr>
                          <w:shd w:val="clear" w:color="000000" w:fill="auto"/>
                          <w:suppressAutoHyphens/>
                          <w:rPr>
                            <w:lang w:eastAsia="lt-LT"/>
                          </w:rPr>
                        </w:pPr>
                        <w:r>
                          <w:rPr>
                            <w:lang w:eastAsia="lt-LT"/>
                          </w:rPr>
                          <w:t>Kvapų išmetimo (staciona-riųjų taršos šaltinių veikimo) trukmė per parą/savaitę/ metus, nurodant konkre-čias valandas</w:t>
                        </w:r>
                      </w:p>
                    </w:tc>
                  </w:tr>
                  <w:tr>
                    <w:trPr>
                      <w:trHeight w:val="565"/>
                      <w:jc w:val="center"/>
                    </w:trPr>
                    <w:tc>
                      <w:tcPr>
                        <w:tcW w:w="389" w:type="pct"/>
                        <w:shd w:val="clear" w:color="auto" w:fill="auto"/>
                        <w:vAlign w:val="center"/>
                        <w:hideMark/>
                      </w:tcPr>
                      <w:p>
                        <w:pPr>
                          <w:shd w:val="clear" w:color="000000" w:fill="auto"/>
                          <w:suppressAutoHyphens/>
                          <w:rPr>
                            <w:i/>
                            <w:lang w:eastAsia="lt-LT"/>
                          </w:rPr>
                        </w:pPr>
                        <w:r>
                          <w:rPr>
                            <w:i/>
                            <w:lang w:eastAsia="lt-LT"/>
                          </w:rPr>
                          <w:t>Kva-po šalti-nio Nr.</w:t>
                        </w:r>
                      </w:p>
                    </w:tc>
                    <w:tc>
                      <w:tcPr>
                        <w:tcW w:w="397" w:type="pct"/>
                        <w:vAlign w:val="center"/>
                      </w:tcPr>
                      <w:p>
                        <w:pPr>
                          <w:shd w:val="clear" w:color="000000" w:fill="auto"/>
                          <w:suppressAutoHyphens/>
                          <w:rPr>
                            <w:lang w:eastAsia="lt-LT"/>
                          </w:rPr>
                        </w:pPr>
                        <w:r>
                          <w:rPr>
                            <w:lang w:eastAsia="lt-LT"/>
                          </w:rPr>
                          <w:t>Pava-dini-mas</w:t>
                        </w:r>
                      </w:p>
                    </w:tc>
                    <w:tc>
                      <w:tcPr>
                        <w:tcW w:w="585" w:type="pct"/>
                        <w:shd w:val="clear" w:color="auto" w:fill="auto"/>
                        <w:vAlign w:val="center"/>
                        <w:hideMark/>
                      </w:tcPr>
                      <w:p>
                        <w:pPr>
                          <w:shd w:val="clear" w:color="000000" w:fill="auto"/>
                          <w:suppressAutoHyphens/>
                          <w:rPr>
                            <w:lang w:eastAsia="lt-LT"/>
                          </w:rPr>
                        </w:pPr>
                        <w:r>
                          <w:rPr>
                            <w:lang w:eastAsia="lt-LT"/>
                          </w:rPr>
                          <w:t>Koordi-natės (plotinio šaltino perimet-ro koordi-natės) (LKS)</w:t>
                        </w:r>
                      </w:p>
                    </w:tc>
                    <w:tc>
                      <w:tcPr>
                        <w:tcW w:w="437" w:type="pct"/>
                        <w:shd w:val="clear" w:color="auto" w:fill="auto"/>
                        <w:vAlign w:val="center"/>
                        <w:hideMark/>
                      </w:tcPr>
                      <w:p>
                        <w:pPr>
                          <w:shd w:val="clear" w:color="000000" w:fill="auto"/>
                          <w:suppressAutoHyphens/>
                          <w:rPr>
                            <w:lang w:eastAsia="lt-LT"/>
                          </w:rPr>
                        </w:pPr>
                        <w:r>
                          <w:rPr>
                            <w:lang w:eastAsia="lt-LT"/>
                          </w:rPr>
                          <w:t>Aukš-tis nuo žemės pavir-šiaus,</w:t>
                        </w:r>
                      </w:p>
                      <w:p>
                        <w:pPr>
                          <w:shd w:val="clear" w:color="000000" w:fill="auto"/>
                          <w:suppressAutoHyphens/>
                          <w:rPr>
                            <w:lang w:eastAsia="lt-LT"/>
                          </w:rPr>
                        </w:pPr>
                        <w:r>
                          <w:rPr>
                            <w:lang w:eastAsia="lt-LT"/>
                          </w:rPr>
                          <w:t>m</w:t>
                        </w:r>
                      </w:p>
                    </w:tc>
                    <w:tc>
                      <w:tcPr>
                        <w:tcW w:w="511" w:type="pct"/>
                        <w:shd w:val="clear" w:color="auto" w:fill="auto"/>
                        <w:vAlign w:val="center"/>
                        <w:hideMark/>
                      </w:tcPr>
                      <w:p>
                        <w:pPr>
                          <w:shd w:val="clear" w:color="000000" w:fill="auto"/>
                          <w:suppressAutoHyphens/>
                          <w:rPr>
                            <w:lang w:eastAsia="lt-LT"/>
                          </w:rPr>
                        </w:pPr>
                        <w:r>
                          <w:rPr>
                            <w:lang w:eastAsia="lt-LT"/>
                          </w:rPr>
                          <w:t>išėjimo angos matme-nys, m</w:t>
                        </w:r>
                      </w:p>
                    </w:tc>
                    <w:tc>
                      <w:tcPr>
                        <w:tcW w:w="510" w:type="pct"/>
                        <w:shd w:val="clear" w:color="auto" w:fill="auto"/>
                        <w:vAlign w:val="center"/>
                        <w:hideMark/>
                      </w:tcPr>
                      <w:p>
                        <w:pPr>
                          <w:shd w:val="clear" w:color="000000" w:fill="auto"/>
                          <w:suppressAutoHyphens/>
                          <w:rPr>
                            <w:lang w:eastAsia="lt-LT"/>
                          </w:rPr>
                        </w:pPr>
                        <w:r>
                          <w:rPr>
                            <w:lang w:eastAsia="lt-LT"/>
                          </w:rPr>
                          <w:t>srauto greitis,</w:t>
                        </w:r>
                      </w:p>
                      <w:p>
                        <w:pPr>
                          <w:shd w:val="clear" w:color="000000" w:fill="auto"/>
                          <w:suppressAutoHyphens/>
                          <w:rPr>
                            <w:lang w:eastAsia="lt-LT"/>
                          </w:rPr>
                        </w:pPr>
                        <w:r>
                          <w:rPr>
                            <w:lang w:eastAsia="lt-LT"/>
                          </w:rPr>
                          <w:t>m/s</w:t>
                        </w:r>
                      </w:p>
                    </w:tc>
                    <w:tc>
                      <w:tcPr>
                        <w:tcW w:w="511" w:type="pct"/>
                        <w:shd w:val="clear" w:color="auto" w:fill="auto"/>
                        <w:vAlign w:val="center"/>
                        <w:hideMark/>
                      </w:tcPr>
                      <w:p>
                        <w:pPr>
                          <w:shd w:val="clear" w:color="000000" w:fill="auto"/>
                          <w:suppressAutoHyphens/>
                          <w:rPr>
                            <w:lang w:eastAsia="lt-LT"/>
                          </w:rPr>
                        </w:pPr>
                        <w:r>
                          <w:rPr>
                            <w:lang w:eastAsia="lt-LT"/>
                          </w:rPr>
                          <w:t>Tempe-ratūra t,º C</w:t>
                        </w:r>
                      </w:p>
                    </w:tc>
                    <w:tc>
                      <w:tcPr>
                        <w:tcW w:w="439" w:type="pct"/>
                        <w:shd w:val="clear" w:color="auto" w:fill="auto"/>
                        <w:vAlign w:val="center"/>
                        <w:hideMark/>
                      </w:tcPr>
                      <w:p>
                        <w:pPr>
                          <w:shd w:val="clear" w:color="000000" w:fill="auto"/>
                          <w:suppressAutoHyphens/>
                          <w:rPr>
                            <w:lang w:eastAsia="lt-LT"/>
                          </w:rPr>
                        </w:pPr>
                        <w:r>
                          <w:rPr>
                            <w:lang w:eastAsia="lt-LT"/>
                          </w:rPr>
                          <w:t>tūrio debi-tas,</w:t>
                        </w:r>
                      </w:p>
                      <w:p>
                        <w:pPr>
                          <w:shd w:val="clear" w:color="000000" w:fill="auto"/>
                          <w:suppressAutoHyphens/>
                          <w:rPr>
                            <w:lang w:eastAsia="lt-LT"/>
                          </w:rPr>
                        </w:pPr>
                        <w:r>
                          <w:rPr>
                            <w:lang w:eastAsia="lt-LT"/>
                          </w:rPr>
                          <w:t>Nm</w:t>
                        </w:r>
                        <w:r>
                          <w:rPr>
                            <w:vertAlign w:val="superscript"/>
                            <w:lang w:eastAsia="lt-LT"/>
                          </w:rPr>
                          <w:t>3</w:t>
                        </w:r>
                        <w:r>
                          <w:rPr>
                            <w:lang w:eastAsia="lt-LT"/>
                          </w:rPr>
                          <w:t>/s</w:t>
                        </w:r>
                      </w:p>
                    </w:tc>
                    <w:tc>
                      <w:tcPr>
                        <w:tcW w:w="610" w:type="pct"/>
                        <w:vMerge/>
                      </w:tcPr>
                      <w:p>
                        <w:pPr>
                          <w:shd w:val="clear" w:color="000000" w:fill="auto"/>
                        </w:pPr>
                      </w:p>
                    </w:tc>
                    <w:tc>
                      <w:tcPr>
                        <w:tcW w:w="611" w:type="pct"/>
                        <w:vMerge/>
                        <w:shd w:val="clear" w:color="auto" w:fill="auto"/>
                        <w:hideMark/>
                      </w:tcPr>
                      <w:p>
                        <w:pPr>
                          <w:shd w:val="clear" w:color="000000" w:fill="auto"/>
                          <w:suppressAutoHyphens/>
                          <w:rPr>
                            <w:lang w:eastAsia="lt-LT"/>
                          </w:rPr>
                        </w:pPr>
                      </w:p>
                    </w:tc>
                  </w:tr>
                  <w:tr>
                    <w:trPr>
                      <w:trHeight w:val="20"/>
                      <w:jc w:val="center"/>
                    </w:trPr>
                    <w:tc>
                      <w:tcPr>
                        <w:tcW w:w="389" w:type="pct"/>
                        <w:shd w:val="clear" w:color="auto" w:fill="auto"/>
                        <w:vAlign w:val="center"/>
                      </w:tcPr>
                      <w:p>
                        <w:pPr>
                          <w:shd w:val="clear" w:color="000000" w:fill="auto"/>
                          <w:suppressAutoHyphens/>
                          <w:jc w:val="center"/>
                          <w:rPr>
                            <w:lang w:eastAsia="lt-LT"/>
                          </w:rPr>
                        </w:pPr>
                        <w:r>
                          <w:rPr>
                            <w:lang w:eastAsia="lt-LT"/>
                          </w:rPr>
                          <w:t>1</w:t>
                        </w:r>
                      </w:p>
                    </w:tc>
                    <w:tc>
                      <w:tcPr>
                        <w:tcW w:w="397" w:type="pct"/>
                        <w:vAlign w:val="center"/>
                      </w:tcPr>
                      <w:p>
                        <w:pPr>
                          <w:shd w:val="clear" w:color="000000" w:fill="auto"/>
                          <w:suppressAutoHyphens/>
                          <w:jc w:val="center"/>
                          <w:rPr>
                            <w:lang w:eastAsia="lt-LT"/>
                          </w:rPr>
                        </w:pPr>
                        <w:r>
                          <w:rPr>
                            <w:lang w:eastAsia="lt-LT"/>
                          </w:rPr>
                          <w:t>2</w:t>
                        </w:r>
                      </w:p>
                    </w:tc>
                    <w:tc>
                      <w:tcPr>
                        <w:tcW w:w="585" w:type="pct"/>
                        <w:shd w:val="clear" w:color="auto" w:fill="auto"/>
                        <w:vAlign w:val="center"/>
                      </w:tcPr>
                      <w:p>
                        <w:pPr>
                          <w:shd w:val="clear" w:color="000000" w:fill="auto"/>
                          <w:suppressAutoHyphens/>
                          <w:jc w:val="center"/>
                          <w:rPr>
                            <w:lang w:eastAsia="lt-LT"/>
                          </w:rPr>
                        </w:pPr>
                        <w:r>
                          <w:rPr>
                            <w:lang w:eastAsia="lt-LT"/>
                          </w:rPr>
                          <w:t>3</w:t>
                        </w:r>
                      </w:p>
                    </w:tc>
                    <w:tc>
                      <w:tcPr>
                        <w:tcW w:w="437" w:type="pct"/>
                        <w:shd w:val="clear" w:color="auto" w:fill="auto"/>
                        <w:vAlign w:val="center"/>
                      </w:tcPr>
                      <w:p>
                        <w:pPr>
                          <w:shd w:val="clear" w:color="000000" w:fill="auto"/>
                          <w:suppressAutoHyphens/>
                          <w:jc w:val="center"/>
                          <w:rPr>
                            <w:lang w:eastAsia="lt-LT"/>
                          </w:rPr>
                        </w:pPr>
                        <w:r>
                          <w:rPr>
                            <w:lang w:eastAsia="lt-LT"/>
                          </w:rPr>
                          <w:t>4</w:t>
                        </w:r>
                      </w:p>
                    </w:tc>
                    <w:tc>
                      <w:tcPr>
                        <w:tcW w:w="511" w:type="pct"/>
                        <w:shd w:val="clear" w:color="auto" w:fill="auto"/>
                        <w:vAlign w:val="center"/>
                      </w:tcPr>
                      <w:p>
                        <w:pPr>
                          <w:shd w:val="clear" w:color="000000" w:fill="auto"/>
                          <w:suppressAutoHyphens/>
                          <w:jc w:val="center"/>
                          <w:rPr>
                            <w:lang w:eastAsia="lt-LT"/>
                          </w:rPr>
                        </w:pPr>
                        <w:r>
                          <w:rPr>
                            <w:lang w:eastAsia="lt-LT"/>
                          </w:rPr>
                          <w:t>5</w:t>
                        </w:r>
                      </w:p>
                    </w:tc>
                    <w:tc>
                      <w:tcPr>
                        <w:tcW w:w="510" w:type="pct"/>
                        <w:shd w:val="clear" w:color="auto" w:fill="auto"/>
                        <w:vAlign w:val="center"/>
                      </w:tcPr>
                      <w:p>
                        <w:pPr>
                          <w:shd w:val="clear" w:color="000000" w:fill="auto"/>
                          <w:suppressAutoHyphens/>
                          <w:jc w:val="center"/>
                          <w:rPr>
                            <w:lang w:eastAsia="lt-LT"/>
                          </w:rPr>
                        </w:pPr>
                        <w:r>
                          <w:rPr>
                            <w:lang w:eastAsia="lt-LT"/>
                          </w:rPr>
                          <w:t>6</w:t>
                        </w:r>
                      </w:p>
                    </w:tc>
                    <w:tc>
                      <w:tcPr>
                        <w:tcW w:w="511" w:type="pct"/>
                        <w:shd w:val="clear" w:color="auto" w:fill="auto"/>
                        <w:vAlign w:val="center"/>
                      </w:tcPr>
                      <w:p>
                        <w:pPr>
                          <w:shd w:val="clear" w:color="000000" w:fill="auto"/>
                          <w:suppressAutoHyphens/>
                          <w:jc w:val="center"/>
                          <w:rPr>
                            <w:lang w:eastAsia="lt-LT"/>
                          </w:rPr>
                        </w:pPr>
                        <w:r>
                          <w:rPr>
                            <w:lang w:eastAsia="lt-LT"/>
                          </w:rPr>
                          <w:t>7</w:t>
                        </w:r>
                      </w:p>
                    </w:tc>
                    <w:tc>
                      <w:tcPr>
                        <w:tcW w:w="439" w:type="pct"/>
                        <w:shd w:val="clear" w:color="auto" w:fill="auto"/>
                        <w:vAlign w:val="center"/>
                      </w:tcPr>
                      <w:p>
                        <w:pPr>
                          <w:shd w:val="clear" w:color="000000" w:fill="auto"/>
                          <w:suppressAutoHyphens/>
                          <w:jc w:val="center"/>
                          <w:rPr>
                            <w:lang w:eastAsia="lt-LT"/>
                          </w:rPr>
                        </w:pPr>
                        <w:r>
                          <w:rPr>
                            <w:lang w:eastAsia="lt-LT"/>
                          </w:rPr>
                          <w:t>8</w:t>
                        </w:r>
                      </w:p>
                    </w:tc>
                    <w:tc>
                      <w:tcPr>
                        <w:tcW w:w="610" w:type="pct"/>
                        <w:vAlign w:val="center"/>
                      </w:tcPr>
                      <w:p>
                        <w:pPr>
                          <w:shd w:val="clear" w:color="000000" w:fill="auto"/>
                          <w:suppressAutoHyphens/>
                          <w:jc w:val="center"/>
                          <w:rPr>
                            <w:lang w:eastAsia="lt-LT"/>
                          </w:rPr>
                        </w:pPr>
                        <w:r>
                          <w:rPr>
                            <w:lang w:eastAsia="lt-LT"/>
                          </w:rPr>
                          <w:t>9</w:t>
                        </w:r>
                      </w:p>
                    </w:tc>
                    <w:tc>
                      <w:tcPr>
                        <w:tcW w:w="611" w:type="pct"/>
                        <w:shd w:val="clear" w:color="auto" w:fill="auto"/>
                        <w:vAlign w:val="center"/>
                      </w:tcPr>
                      <w:p>
                        <w:pPr>
                          <w:shd w:val="clear" w:color="000000" w:fill="auto"/>
                          <w:suppressAutoHyphens/>
                          <w:jc w:val="center"/>
                          <w:rPr>
                            <w:lang w:eastAsia="lt-LT"/>
                          </w:rPr>
                        </w:pPr>
                        <w:r>
                          <w:rPr>
                            <w:lang w:eastAsia="lt-LT"/>
                          </w:rPr>
                          <w:t>10</w:t>
                        </w:r>
                      </w:p>
                    </w:tc>
                  </w:tr>
                  <w:tr>
                    <w:trPr>
                      <w:trHeight w:val="113"/>
                      <w:jc w:val="center"/>
                    </w:trPr>
                    <w:tc>
                      <w:tcPr>
                        <w:tcW w:w="389" w:type="pct"/>
                        <w:shd w:val="clear" w:color="auto" w:fill="auto"/>
                      </w:tcPr>
                      <w:p>
                        <w:pPr>
                          <w:shd w:val="clear" w:color="000000" w:fill="auto"/>
                        </w:pPr>
                      </w:p>
                    </w:tc>
                    <w:tc>
                      <w:tcPr>
                        <w:tcW w:w="397" w:type="pct"/>
                      </w:tcPr>
                      <w:p>
                        <w:pPr>
                          <w:shd w:val="clear" w:color="000000" w:fill="auto"/>
                          <w:suppressAutoHyphens/>
                          <w:rPr>
                            <w:lang w:eastAsia="lt-LT"/>
                          </w:rPr>
                        </w:pPr>
                      </w:p>
                    </w:tc>
                    <w:tc>
                      <w:tcPr>
                        <w:tcW w:w="585" w:type="pct"/>
                        <w:shd w:val="clear" w:color="auto" w:fill="auto"/>
                      </w:tcPr>
                      <w:p>
                        <w:pPr>
                          <w:shd w:val="clear" w:color="000000" w:fill="auto"/>
                          <w:suppressAutoHyphens/>
                          <w:rPr>
                            <w:lang w:eastAsia="lt-LT"/>
                          </w:rPr>
                        </w:pPr>
                      </w:p>
                    </w:tc>
                    <w:tc>
                      <w:tcPr>
                        <w:tcW w:w="437" w:type="pct"/>
                        <w:shd w:val="clear" w:color="auto" w:fill="auto"/>
                      </w:tcPr>
                      <w:p>
                        <w:pPr>
                          <w:shd w:val="clear" w:color="000000" w:fill="auto"/>
                          <w:suppressAutoHyphens/>
                          <w:rPr>
                            <w:lang w:eastAsia="lt-LT"/>
                          </w:rPr>
                        </w:pPr>
                      </w:p>
                    </w:tc>
                    <w:tc>
                      <w:tcPr>
                        <w:tcW w:w="511" w:type="pct"/>
                        <w:shd w:val="clear" w:color="auto" w:fill="auto"/>
                      </w:tcPr>
                      <w:p>
                        <w:pPr>
                          <w:shd w:val="clear" w:color="000000" w:fill="auto"/>
                          <w:suppressAutoHyphens/>
                          <w:rPr>
                            <w:lang w:eastAsia="lt-LT"/>
                          </w:rPr>
                        </w:pPr>
                      </w:p>
                    </w:tc>
                    <w:tc>
                      <w:tcPr>
                        <w:tcW w:w="510" w:type="pct"/>
                        <w:shd w:val="clear" w:color="auto" w:fill="auto"/>
                      </w:tcPr>
                      <w:p>
                        <w:pPr>
                          <w:shd w:val="clear" w:color="000000" w:fill="auto"/>
                          <w:suppressAutoHyphens/>
                          <w:rPr>
                            <w:lang w:eastAsia="lt-LT"/>
                          </w:rPr>
                        </w:pPr>
                      </w:p>
                    </w:tc>
                    <w:tc>
                      <w:tcPr>
                        <w:tcW w:w="511" w:type="pct"/>
                        <w:shd w:val="clear" w:color="auto" w:fill="auto"/>
                      </w:tcPr>
                      <w:p>
                        <w:pPr>
                          <w:shd w:val="clear" w:color="000000" w:fill="auto"/>
                          <w:suppressAutoHyphens/>
                          <w:rPr>
                            <w:lang w:eastAsia="lt-LT"/>
                          </w:rPr>
                        </w:pPr>
                      </w:p>
                    </w:tc>
                    <w:tc>
                      <w:tcPr>
                        <w:tcW w:w="439" w:type="pct"/>
                        <w:shd w:val="clear" w:color="auto" w:fill="auto"/>
                      </w:tcPr>
                      <w:p>
                        <w:pPr>
                          <w:shd w:val="clear" w:color="000000" w:fill="auto"/>
                          <w:suppressAutoHyphens/>
                          <w:rPr>
                            <w:lang w:eastAsia="lt-LT"/>
                          </w:rPr>
                        </w:pPr>
                      </w:p>
                    </w:tc>
                    <w:tc>
                      <w:tcPr>
                        <w:tcW w:w="610" w:type="pct"/>
                      </w:tcPr>
                      <w:p>
                        <w:pPr>
                          <w:shd w:val="clear" w:color="000000" w:fill="auto"/>
                          <w:suppressAutoHyphens/>
                          <w:rPr>
                            <w:lang w:eastAsia="lt-LT"/>
                          </w:rPr>
                        </w:pPr>
                      </w:p>
                    </w:tc>
                    <w:tc>
                      <w:tcPr>
                        <w:tcW w:w="611" w:type="pct"/>
                        <w:shd w:val="clear" w:color="auto" w:fill="auto"/>
                      </w:tcPr>
                      <w:p>
                        <w:pPr>
                          <w:shd w:val="clear" w:color="000000" w:fill="auto"/>
                          <w:suppressAutoHyphens/>
                          <w:rPr>
                            <w:lang w:eastAsia="lt-LT"/>
                          </w:rPr>
                        </w:pPr>
                      </w:p>
                    </w:tc>
                  </w:tr>
                  <w:tr>
                    <w:trPr>
                      <w:trHeight w:val="113"/>
                      <w:jc w:val="center"/>
                    </w:trPr>
                    <w:tc>
                      <w:tcPr>
                        <w:tcW w:w="389" w:type="pct"/>
                        <w:shd w:val="clear" w:color="auto" w:fill="auto"/>
                      </w:tcPr>
                      <w:p>
                        <w:pPr>
                          <w:shd w:val="clear" w:color="000000" w:fill="auto"/>
                          <w:suppressAutoHyphens/>
                          <w:rPr>
                            <w:b/>
                            <w:lang w:eastAsia="lt-LT"/>
                          </w:rPr>
                        </w:pPr>
                      </w:p>
                    </w:tc>
                    <w:tc>
                      <w:tcPr>
                        <w:tcW w:w="397" w:type="pct"/>
                      </w:tcPr>
                      <w:p>
                        <w:pPr>
                          <w:shd w:val="clear" w:color="000000" w:fill="auto"/>
                          <w:suppressAutoHyphens/>
                          <w:rPr>
                            <w:b/>
                            <w:lang w:eastAsia="lt-LT"/>
                          </w:rPr>
                        </w:pPr>
                      </w:p>
                    </w:tc>
                    <w:tc>
                      <w:tcPr>
                        <w:tcW w:w="585" w:type="pct"/>
                        <w:shd w:val="clear" w:color="auto" w:fill="auto"/>
                      </w:tcPr>
                      <w:p>
                        <w:pPr>
                          <w:shd w:val="clear" w:color="000000" w:fill="auto"/>
                          <w:suppressAutoHyphens/>
                          <w:rPr>
                            <w:b/>
                            <w:lang w:eastAsia="lt-LT"/>
                          </w:rPr>
                        </w:pPr>
                      </w:p>
                    </w:tc>
                    <w:tc>
                      <w:tcPr>
                        <w:tcW w:w="437" w:type="pct"/>
                        <w:shd w:val="clear" w:color="auto" w:fill="auto"/>
                      </w:tcPr>
                      <w:p>
                        <w:pPr>
                          <w:shd w:val="clear" w:color="000000" w:fill="auto"/>
                          <w:suppressAutoHyphens/>
                          <w:rPr>
                            <w:b/>
                            <w:lang w:eastAsia="lt-LT"/>
                          </w:rPr>
                        </w:pPr>
                      </w:p>
                    </w:tc>
                    <w:tc>
                      <w:tcPr>
                        <w:tcW w:w="511" w:type="pct"/>
                        <w:shd w:val="clear" w:color="auto" w:fill="auto"/>
                      </w:tcPr>
                      <w:p>
                        <w:pPr>
                          <w:shd w:val="clear" w:color="000000" w:fill="auto"/>
                          <w:suppressAutoHyphens/>
                          <w:rPr>
                            <w:b/>
                            <w:lang w:eastAsia="lt-LT"/>
                          </w:rPr>
                        </w:pPr>
                      </w:p>
                    </w:tc>
                    <w:tc>
                      <w:tcPr>
                        <w:tcW w:w="510" w:type="pct"/>
                        <w:shd w:val="clear" w:color="auto" w:fill="auto"/>
                      </w:tcPr>
                      <w:p>
                        <w:pPr>
                          <w:shd w:val="clear" w:color="000000" w:fill="auto"/>
                          <w:suppressAutoHyphens/>
                          <w:rPr>
                            <w:b/>
                            <w:lang w:eastAsia="lt-LT"/>
                          </w:rPr>
                        </w:pPr>
                      </w:p>
                    </w:tc>
                    <w:tc>
                      <w:tcPr>
                        <w:tcW w:w="511" w:type="pct"/>
                        <w:shd w:val="clear" w:color="auto" w:fill="auto"/>
                      </w:tcPr>
                      <w:p>
                        <w:pPr>
                          <w:shd w:val="clear" w:color="000000" w:fill="auto"/>
                          <w:suppressAutoHyphens/>
                          <w:rPr>
                            <w:b/>
                            <w:lang w:eastAsia="lt-LT"/>
                          </w:rPr>
                        </w:pPr>
                      </w:p>
                    </w:tc>
                    <w:tc>
                      <w:tcPr>
                        <w:tcW w:w="439" w:type="pct"/>
                        <w:shd w:val="clear" w:color="auto" w:fill="auto"/>
                      </w:tcPr>
                      <w:p>
                        <w:pPr>
                          <w:shd w:val="clear" w:color="000000" w:fill="auto"/>
                          <w:suppressAutoHyphens/>
                          <w:rPr>
                            <w:b/>
                            <w:lang w:eastAsia="lt-LT"/>
                          </w:rPr>
                        </w:pPr>
                      </w:p>
                    </w:tc>
                    <w:tc>
                      <w:tcPr>
                        <w:tcW w:w="610" w:type="pct"/>
                      </w:tcPr>
                      <w:p>
                        <w:pPr>
                          <w:shd w:val="clear" w:color="000000" w:fill="auto"/>
                          <w:suppressAutoHyphens/>
                          <w:rPr>
                            <w:b/>
                            <w:lang w:eastAsia="lt-LT"/>
                          </w:rPr>
                        </w:pPr>
                      </w:p>
                    </w:tc>
                    <w:tc>
                      <w:tcPr>
                        <w:tcW w:w="611" w:type="pct"/>
                        <w:shd w:val="clear" w:color="auto" w:fill="auto"/>
                      </w:tcPr>
                      <w:p>
                        <w:pPr>
                          <w:shd w:val="clear" w:color="000000" w:fill="auto"/>
                          <w:suppressAutoHyphens/>
                          <w:rPr>
                            <w:b/>
                            <w:lang w:eastAsia="lt-LT"/>
                          </w:rPr>
                        </w:pPr>
                      </w:p>
                    </w:tc>
                  </w:tr>
                  <w:tr>
                    <w:trPr>
                      <w:trHeight w:val="113"/>
                      <w:jc w:val="center"/>
                    </w:trPr>
                    <w:tc>
                      <w:tcPr>
                        <w:tcW w:w="389" w:type="pct"/>
                        <w:shd w:val="clear" w:color="auto" w:fill="auto"/>
                      </w:tcPr>
                      <w:p>
                        <w:pPr>
                          <w:shd w:val="clear" w:color="000000" w:fill="auto"/>
                          <w:suppressAutoHyphens/>
                          <w:rPr>
                            <w:b/>
                            <w:lang w:eastAsia="lt-LT"/>
                          </w:rPr>
                        </w:pPr>
                      </w:p>
                    </w:tc>
                    <w:tc>
                      <w:tcPr>
                        <w:tcW w:w="397" w:type="pct"/>
                      </w:tcPr>
                      <w:p>
                        <w:pPr>
                          <w:shd w:val="clear" w:color="000000" w:fill="auto"/>
                          <w:suppressAutoHyphens/>
                          <w:rPr>
                            <w:b/>
                            <w:lang w:eastAsia="lt-LT"/>
                          </w:rPr>
                        </w:pPr>
                      </w:p>
                    </w:tc>
                    <w:tc>
                      <w:tcPr>
                        <w:tcW w:w="585" w:type="pct"/>
                        <w:shd w:val="clear" w:color="auto" w:fill="auto"/>
                      </w:tcPr>
                      <w:p>
                        <w:pPr>
                          <w:shd w:val="clear" w:color="000000" w:fill="auto"/>
                          <w:suppressAutoHyphens/>
                          <w:rPr>
                            <w:b/>
                            <w:lang w:eastAsia="lt-LT"/>
                          </w:rPr>
                        </w:pPr>
                      </w:p>
                    </w:tc>
                    <w:tc>
                      <w:tcPr>
                        <w:tcW w:w="437" w:type="pct"/>
                        <w:shd w:val="clear" w:color="auto" w:fill="auto"/>
                      </w:tcPr>
                      <w:p>
                        <w:pPr>
                          <w:shd w:val="clear" w:color="000000" w:fill="auto"/>
                          <w:suppressAutoHyphens/>
                          <w:rPr>
                            <w:b/>
                            <w:lang w:eastAsia="lt-LT"/>
                          </w:rPr>
                        </w:pPr>
                      </w:p>
                    </w:tc>
                    <w:tc>
                      <w:tcPr>
                        <w:tcW w:w="511" w:type="pct"/>
                        <w:shd w:val="clear" w:color="auto" w:fill="auto"/>
                      </w:tcPr>
                      <w:p>
                        <w:pPr>
                          <w:shd w:val="clear" w:color="000000" w:fill="auto"/>
                          <w:suppressAutoHyphens/>
                          <w:rPr>
                            <w:b/>
                            <w:lang w:eastAsia="lt-LT"/>
                          </w:rPr>
                        </w:pPr>
                      </w:p>
                    </w:tc>
                    <w:tc>
                      <w:tcPr>
                        <w:tcW w:w="510" w:type="pct"/>
                        <w:shd w:val="clear" w:color="auto" w:fill="auto"/>
                      </w:tcPr>
                      <w:p>
                        <w:pPr>
                          <w:shd w:val="clear" w:color="000000" w:fill="auto"/>
                          <w:suppressAutoHyphens/>
                          <w:rPr>
                            <w:b/>
                            <w:lang w:eastAsia="lt-LT"/>
                          </w:rPr>
                        </w:pPr>
                      </w:p>
                    </w:tc>
                    <w:tc>
                      <w:tcPr>
                        <w:tcW w:w="511" w:type="pct"/>
                        <w:shd w:val="clear" w:color="auto" w:fill="auto"/>
                      </w:tcPr>
                      <w:p>
                        <w:pPr>
                          <w:shd w:val="clear" w:color="000000" w:fill="auto"/>
                          <w:suppressAutoHyphens/>
                          <w:rPr>
                            <w:b/>
                            <w:lang w:eastAsia="lt-LT"/>
                          </w:rPr>
                        </w:pPr>
                      </w:p>
                    </w:tc>
                    <w:tc>
                      <w:tcPr>
                        <w:tcW w:w="439" w:type="pct"/>
                        <w:shd w:val="clear" w:color="auto" w:fill="auto"/>
                      </w:tcPr>
                      <w:p>
                        <w:pPr>
                          <w:shd w:val="clear" w:color="000000" w:fill="auto"/>
                          <w:suppressAutoHyphens/>
                          <w:rPr>
                            <w:b/>
                            <w:lang w:eastAsia="lt-LT"/>
                          </w:rPr>
                        </w:pPr>
                      </w:p>
                    </w:tc>
                    <w:tc>
                      <w:tcPr>
                        <w:tcW w:w="610" w:type="pct"/>
                      </w:tcPr>
                      <w:p>
                        <w:pPr>
                          <w:shd w:val="clear" w:color="000000" w:fill="auto"/>
                          <w:suppressAutoHyphens/>
                          <w:rPr>
                            <w:b/>
                            <w:lang w:eastAsia="lt-LT"/>
                          </w:rPr>
                        </w:pPr>
                      </w:p>
                    </w:tc>
                    <w:tc>
                      <w:tcPr>
                        <w:tcW w:w="611" w:type="pct"/>
                        <w:shd w:val="clear" w:color="auto" w:fill="auto"/>
                      </w:tcPr>
                      <w:p>
                        <w:pPr>
                          <w:shd w:val="clear" w:color="000000" w:fill="auto"/>
                          <w:suppressAutoHyphens/>
                          <w:rPr>
                            <w:b/>
                            <w:lang w:eastAsia="lt-LT"/>
                          </w:rPr>
                        </w:pPr>
                      </w:p>
                    </w:tc>
                  </w:tr>
                </w:tbl>
                <w:p>
                  <w:pPr>
                    <w:shd w:val="clear" w:color="000000" w:fill="auto"/>
                    <w:suppressAutoHyphens/>
                    <w:jc w:val="both"/>
                    <w:rPr>
                      <w:sz w:val="22"/>
                      <w:szCs w:val="24"/>
                      <w:lang w:eastAsia="lt-LT"/>
                    </w:rPr>
                  </w:pPr>
                  <w:r>
                    <w:rPr>
                      <w:sz w:val="20"/>
                      <w:lang w:eastAsia="lt-LT"/>
                    </w:rPr>
                    <w:t>* Kvapo emisijos rodiklio apibrėžimas pateiktas Kvapų kontrolės gyvenamosios aplinkos ore taisyklėse, patvirtintose Lietuvos Respublikos sveikatos apsaugos ministro 2010 m. spalio 4 d. įsakymu Nr. V-885 „Dėl Lietuvos higienos normos HN 121:2010 „Kvapo koncentracijos ribinė vertė gyvenamosios aplinkos ore“ ir Kvapų kontrolės gyvenamosios aplinkos ore taisyklių patvirtinimo“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4 pr. 30 p."/>
                <w:tag w:val="part_e27574ade40249279a04df6740c515b7"/>
                <w:lock w:val="sdtLocked"/>
                <w:richText/>
              </w:sdtPr>
              <w:sdtContent>
                <w:p>
                  <w:pPr>
                    <w:widowControl w:val="0"/>
                    <w:shd w:val="clear" w:color="000000" w:fill="auto"/>
                    <w:ind w:firstLine="567"/>
                    <w:jc w:val="both"/>
                    <w:rPr>
                      <w:sz w:val="22"/>
                      <w:lang w:eastAsia="lt-LT"/>
                    </w:rPr>
                  </w:pPr>
                  <w:sdt>
                    <w:sdtPr>
                      <w:alias w:val="Numeris"/>
                      <w:tag w:val="nr_e27574ade40249279a04df6740c515b7"/>
                      <w:lock w:val="sdtLocked"/>
                      <w:richText/>
                    </w:sdtPr>
                    <w:sdtContent>
                      <w:r>
                        <w:rPr>
                          <w:sz w:val="22"/>
                          <w:lang w:eastAsia="lt-LT"/>
                        </w:rPr>
                        <w:t>30</w:t>
                      </w:r>
                    </w:sdtContent>
                  </w:sdt>
                  <w:r>
                    <w:rPr>
                      <w:sz w:val="22"/>
                      <w:lang w:eastAsia="lt-LT"/>
                    </w:rPr>
                    <w:t>. Kvapų valdymo (mažinimo) priemonės, atsižvelgiant į ES GPGB informaciniuose dokumentuose pateiktas rekomendacijas kvapams mažinti.</w:t>
                  </w:r>
                </w:p>
                <w:p>
                  <w:pPr>
                    <w:shd w:val="clear" w:color="000000" w:fill="auto"/>
                    <w:suppressAutoHyphens/>
                    <w:rPr>
                      <w:b/>
                      <w:sz w:val="22"/>
                      <w:lang w:eastAsia="lt-LT"/>
                    </w:rPr>
                  </w:pPr>
                </w:p>
                <w:p>
                  <w:pPr>
                    <w:shd w:val="clear" w:color="000000" w:fill="auto"/>
                    <w:ind w:firstLine="567"/>
                    <w:rPr>
                      <w:bCs/>
                      <w:sz w:val="22"/>
                      <w:szCs w:val="24"/>
                    </w:rPr>
                  </w:pPr>
                  <w:r>
                    <w:rPr>
                      <w:b/>
                      <w:sz w:val="22"/>
                      <w:szCs w:val="24"/>
                    </w:rPr>
                    <w:t>34 lentelė</w:t>
                  </w:r>
                  <w:r>
                    <w:rPr>
                      <w:b/>
                      <w:bCs/>
                      <w:sz w:val="22"/>
                      <w:szCs w:val="24"/>
                    </w:rPr>
                    <w:t xml:space="preserve">. </w:t>
                  </w:r>
                  <w:r>
                    <w:rPr>
                      <w:bCs/>
                      <w:sz w:val="22"/>
                      <w:szCs w:val="24"/>
                    </w:rPr>
                    <w:t>Kvapų valdymo (mažinimo) priemonės, jų efektyvumo rodikliai</w:t>
                  </w:r>
                </w:p>
                <w:p>
                  <w:pPr>
                    <w:shd w:val="clear" w:color="000000" w:fill="auto"/>
                    <w:rPr>
                      <w:bCs/>
                      <w:szCs w:val="24"/>
                    </w:rPr>
                  </w:pPr>
                </w:p>
                <w:tbl>
                  <w:tblPr>
                    <w:tblW w:w="49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1"/>
                    <w:gridCol w:w="2093"/>
                    <w:gridCol w:w="3767"/>
                    <w:gridCol w:w="2182"/>
                    <w:gridCol w:w="4906"/>
                  </w:tblGrid>
                  <w:tr>
                    <w:trPr>
                      <w:trHeight w:val="619"/>
                    </w:trPr>
                    <w:tc>
                      <w:tcPr>
                        <w:tcW w:w="466" w:type="pct"/>
                        <w:vMerge w:val="restart"/>
                        <w:shd w:val="clear" w:color="auto" w:fill="auto"/>
                        <w:vAlign w:val="center"/>
                        <w:hideMark/>
                      </w:tcPr>
                      <w:p>
                        <w:pPr>
                          <w:shd w:val="clear" w:color="000000" w:fill="auto"/>
                          <w:jc w:val="center"/>
                          <w:rPr>
                            <w:bCs/>
                            <w:sz w:val="22"/>
                            <w:szCs w:val="24"/>
                          </w:rPr>
                        </w:pPr>
                        <w:r>
                          <w:rPr>
                            <w:bCs/>
                            <w:sz w:val="22"/>
                            <w:szCs w:val="24"/>
                          </w:rPr>
                          <w:t>Kvapo šaltinio Nr.</w:t>
                        </w:r>
                      </w:p>
                    </w:tc>
                    <w:tc>
                      <w:tcPr>
                        <w:tcW w:w="2816" w:type="pct"/>
                        <w:gridSpan w:val="3"/>
                        <w:shd w:val="clear" w:color="auto" w:fill="auto"/>
                        <w:vAlign w:val="center"/>
                      </w:tcPr>
                      <w:p>
                        <w:pPr>
                          <w:shd w:val="clear" w:color="000000" w:fill="auto"/>
                          <w:jc w:val="center"/>
                          <w:rPr>
                            <w:bCs/>
                            <w:sz w:val="22"/>
                            <w:szCs w:val="24"/>
                          </w:rPr>
                        </w:pPr>
                        <w:r>
                          <w:rPr>
                            <w:bCs/>
                            <w:sz w:val="22"/>
                            <w:szCs w:val="24"/>
                          </w:rPr>
                          <w:t>Kvapų valdymo (mažinimo) priemonės</w:t>
                        </w:r>
                      </w:p>
                    </w:tc>
                    <w:tc>
                      <w:tcPr>
                        <w:tcW w:w="1719" w:type="pct"/>
                        <w:vMerge w:val="restart"/>
                        <w:vAlign w:val="center"/>
                      </w:tcPr>
                      <w:p>
                        <w:pPr>
                          <w:shd w:val="clear" w:color="000000" w:fill="auto"/>
                          <w:jc w:val="center"/>
                          <w:rPr>
                            <w:bCs/>
                            <w:sz w:val="22"/>
                            <w:szCs w:val="24"/>
                          </w:rPr>
                        </w:pPr>
                        <w:r>
                          <w:rPr>
                            <w:bCs/>
                            <w:sz w:val="22"/>
                            <w:szCs w:val="24"/>
                          </w:rPr>
                          <w:t>Numatomas (prašomas leisti) kvapo emisijos rodiklis</w:t>
                        </w:r>
                      </w:p>
                      <w:p>
                        <w:pPr>
                          <w:shd w:val="clear" w:color="000000" w:fill="auto"/>
                          <w:jc w:val="center"/>
                          <w:rPr>
                            <w:bCs/>
                            <w:sz w:val="22"/>
                            <w:szCs w:val="24"/>
                          </w:rPr>
                        </w:pPr>
                        <w:r>
                          <w:rPr>
                            <w:bCs/>
                            <w:sz w:val="22"/>
                            <w:szCs w:val="24"/>
                          </w:rPr>
                          <w:t>OUE/s, OUE/m/s, OUE/m</w:t>
                        </w:r>
                        <w:r>
                          <w:rPr>
                            <w:bCs/>
                            <w:sz w:val="22"/>
                            <w:szCs w:val="24"/>
                            <w:vertAlign w:val="superscript"/>
                          </w:rPr>
                          <w:t>2</w:t>
                        </w:r>
                        <w:r>
                          <w:rPr>
                            <w:bCs/>
                            <w:sz w:val="22"/>
                            <w:szCs w:val="24"/>
                          </w:rPr>
                          <w:t>/s, OUE/m</w:t>
                        </w:r>
                        <w:r>
                          <w:rPr>
                            <w:bCs/>
                            <w:sz w:val="22"/>
                            <w:szCs w:val="24"/>
                            <w:vertAlign w:val="superscript"/>
                          </w:rPr>
                          <w:t>3</w:t>
                        </w:r>
                        <w:r>
                          <w:rPr>
                            <w:bCs/>
                            <w:sz w:val="22"/>
                            <w:szCs w:val="24"/>
                          </w:rPr>
                          <w:t>/s</w:t>
                        </w:r>
                      </w:p>
                    </w:tc>
                  </w:tr>
                  <w:tr>
                    <w:trPr>
                      <w:trHeight w:val="283"/>
                    </w:trPr>
                    <w:tc>
                      <w:tcPr>
                        <w:tcW w:w="466" w:type="pct"/>
                        <w:vMerge/>
                        <w:shd w:val="clear" w:color="auto" w:fill="auto"/>
                        <w:vAlign w:val="center"/>
                        <w:hideMark/>
                      </w:tcPr>
                      <w:p>
                        <w:pPr>
                          <w:shd w:val="clear" w:color="000000" w:fill="auto"/>
                          <w:rPr>
                            <w:bCs/>
                            <w:sz w:val="22"/>
                            <w:szCs w:val="24"/>
                          </w:rPr>
                        </w:pPr>
                      </w:p>
                    </w:tc>
                    <w:tc>
                      <w:tcPr>
                        <w:tcW w:w="733" w:type="pct"/>
                        <w:shd w:val="clear" w:color="auto" w:fill="auto"/>
                        <w:vAlign w:val="center"/>
                      </w:tcPr>
                      <w:p>
                        <w:pPr>
                          <w:shd w:val="clear" w:color="000000" w:fill="auto"/>
                          <w:rPr>
                            <w:bCs/>
                            <w:sz w:val="22"/>
                            <w:szCs w:val="24"/>
                          </w:rPr>
                        </w:pPr>
                        <w:r>
                          <w:rPr>
                            <w:bCs/>
                            <w:sz w:val="22"/>
                            <w:szCs w:val="24"/>
                          </w:rPr>
                          <w:t>pavadinimas</w:t>
                        </w:r>
                      </w:p>
                    </w:tc>
                    <w:tc>
                      <w:tcPr>
                        <w:tcW w:w="1319" w:type="pct"/>
                        <w:shd w:val="clear" w:color="auto" w:fill="auto"/>
                        <w:vAlign w:val="center"/>
                      </w:tcPr>
                      <w:p>
                        <w:pPr>
                          <w:shd w:val="clear" w:color="000000" w:fill="auto"/>
                          <w:rPr>
                            <w:bCs/>
                            <w:sz w:val="22"/>
                            <w:szCs w:val="24"/>
                          </w:rPr>
                        </w:pPr>
                        <w:r>
                          <w:rPr>
                            <w:bCs/>
                            <w:sz w:val="22"/>
                            <w:szCs w:val="24"/>
                          </w:rPr>
                          <w:t>įrengimo vieta, koordinatės, LKS</w:t>
                        </w:r>
                      </w:p>
                    </w:tc>
                    <w:tc>
                      <w:tcPr>
                        <w:tcW w:w="764" w:type="pct"/>
                        <w:vAlign w:val="center"/>
                      </w:tcPr>
                      <w:p>
                        <w:pPr>
                          <w:shd w:val="clear" w:color="000000" w:fill="auto"/>
                          <w:rPr>
                            <w:bCs/>
                            <w:sz w:val="22"/>
                            <w:szCs w:val="24"/>
                          </w:rPr>
                        </w:pPr>
                        <w:r>
                          <w:rPr>
                            <w:bCs/>
                            <w:sz w:val="22"/>
                            <w:szCs w:val="24"/>
                          </w:rPr>
                          <w:t>efektyvumas, proc.</w:t>
                        </w:r>
                      </w:p>
                    </w:tc>
                    <w:tc>
                      <w:tcPr>
                        <w:tcW w:w="1719" w:type="pct"/>
                        <w:vMerge/>
                      </w:tcPr>
                      <w:p>
                        <w:pPr>
                          <w:shd w:val="clear" w:color="000000" w:fill="auto"/>
                          <w:rPr>
                            <w:bCs/>
                            <w:sz w:val="22"/>
                            <w:szCs w:val="24"/>
                          </w:rPr>
                        </w:pPr>
                      </w:p>
                    </w:tc>
                  </w:tr>
                  <w:tr>
                    <w:trPr>
                      <w:trHeight w:val="283"/>
                    </w:trPr>
                    <w:tc>
                      <w:tcPr>
                        <w:tcW w:w="466" w:type="pct"/>
                        <w:shd w:val="clear" w:color="auto" w:fill="auto"/>
                        <w:vAlign w:val="center"/>
                      </w:tcPr>
                      <w:p>
                        <w:pPr>
                          <w:shd w:val="clear" w:color="000000" w:fill="auto"/>
                          <w:jc w:val="center"/>
                          <w:rPr>
                            <w:bCs/>
                            <w:sz w:val="22"/>
                            <w:szCs w:val="24"/>
                          </w:rPr>
                        </w:pPr>
                        <w:r>
                          <w:rPr>
                            <w:bCs/>
                            <w:sz w:val="22"/>
                            <w:szCs w:val="24"/>
                          </w:rPr>
                          <w:t>1</w:t>
                        </w:r>
                      </w:p>
                    </w:tc>
                    <w:tc>
                      <w:tcPr>
                        <w:tcW w:w="733" w:type="pct"/>
                        <w:shd w:val="clear" w:color="auto" w:fill="auto"/>
                        <w:vAlign w:val="center"/>
                      </w:tcPr>
                      <w:p>
                        <w:pPr>
                          <w:shd w:val="clear" w:color="000000" w:fill="auto"/>
                          <w:jc w:val="center"/>
                          <w:rPr>
                            <w:bCs/>
                            <w:sz w:val="22"/>
                            <w:szCs w:val="24"/>
                          </w:rPr>
                        </w:pPr>
                        <w:r>
                          <w:rPr>
                            <w:bCs/>
                            <w:sz w:val="22"/>
                            <w:szCs w:val="24"/>
                          </w:rPr>
                          <w:t>2</w:t>
                        </w:r>
                      </w:p>
                    </w:tc>
                    <w:tc>
                      <w:tcPr>
                        <w:tcW w:w="1319" w:type="pct"/>
                        <w:shd w:val="clear" w:color="auto" w:fill="auto"/>
                        <w:vAlign w:val="center"/>
                      </w:tcPr>
                      <w:p>
                        <w:pPr>
                          <w:shd w:val="clear" w:color="000000" w:fill="auto"/>
                          <w:jc w:val="center"/>
                          <w:rPr>
                            <w:bCs/>
                            <w:sz w:val="22"/>
                            <w:szCs w:val="24"/>
                          </w:rPr>
                        </w:pPr>
                        <w:r>
                          <w:rPr>
                            <w:bCs/>
                            <w:sz w:val="22"/>
                            <w:szCs w:val="24"/>
                          </w:rPr>
                          <w:t>3</w:t>
                        </w:r>
                      </w:p>
                    </w:tc>
                    <w:tc>
                      <w:tcPr>
                        <w:tcW w:w="764" w:type="pct"/>
                        <w:vAlign w:val="center"/>
                      </w:tcPr>
                      <w:p>
                        <w:pPr>
                          <w:shd w:val="clear" w:color="000000" w:fill="auto"/>
                          <w:jc w:val="center"/>
                          <w:rPr>
                            <w:bCs/>
                            <w:sz w:val="22"/>
                            <w:szCs w:val="24"/>
                          </w:rPr>
                        </w:pPr>
                        <w:r>
                          <w:rPr>
                            <w:bCs/>
                            <w:sz w:val="22"/>
                            <w:szCs w:val="24"/>
                          </w:rPr>
                          <w:t>4</w:t>
                        </w:r>
                      </w:p>
                    </w:tc>
                    <w:tc>
                      <w:tcPr>
                        <w:tcW w:w="1719" w:type="pct"/>
                        <w:vAlign w:val="center"/>
                      </w:tcPr>
                      <w:p>
                        <w:pPr>
                          <w:shd w:val="clear" w:color="000000" w:fill="auto"/>
                          <w:jc w:val="center"/>
                          <w:rPr>
                            <w:bCs/>
                            <w:sz w:val="22"/>
                            <w:szCs w:val="24"/>
                          </w:rPr>
                        </w:pPr>
                        <w:r>
                          <w:rPr>
                            <w:bCs/>
                            <w:sz w:val="22"/>
                            <w:szCs w:val="24"/>
                          </w:rPr>
                          <w:t>5</w:t>
                        </w:r>
                      </w:p>
                    </w:tc>
                  </w:tr>
                  <w:tr>
                    <w:trPr>
                      <w:trHeight w:val="283"/>
                    </w:trPr>
                    <w:tc>
                      <w:tcPr>
                        <w:tcW w:w="466" w:type="pct"/>
                        <w:shd w:val="clear" w:color="auto" w:fill="auto"/>
                      </w:tcPr>
                      <w:p>
                        <w:pPr>
                          <w:shd w:val="clear" w:color="000000" w:fill="auto"/>
                          <w:rPr>
                            <w:bCs/>
                            <w:sz w:val="22"/>
                            <w:szCs w:val="24"/>
                          </w:rPr>
                        </w:pPr>
                      </w:p>
                    </w:tc>
                    <w:tc>
                      <w:tcPr>
                        <w:tcW w:w="733" w:type="pct"/>
                        <w:shd w:val="clear" w:color="auto" w:fill="auto"/>
                      </w:tcPr>
                      <w:p>
                        <w:pPr>
                          <w:shd w:val="clear" w:color="000000" w:fill="auto"/>
                          <w:rPr>
                            <w:bCs/>
                            <w:sz w:val="22"/>
                            <w:szCs w:val="24"/>
                          </w:rPr>
                        </w:pPr>
                      </w:p>
                    </w:tc>
                    <w:tc>
                      <w:tcPr>
                        <w:tcW w:w="1319" w:type="pct"/>
                        <w:shd w:val="clear" w:color="auto" w:fill="auto"/>
                      </w:tcPr>
                      <w:p>
                        <w:pPr>
                          <w:shd w:val="clear" w:color="000000" w:fill="auto"/>
                          <w:rPr>
                            <w:bCs/>
                            <w:sz w:val="22"/>
                            <w:szCs w:val="24"/>
                          </w:rPr>
                        </w:pPr>
                      </w:p>
                    </w:tc>
                    <w:tc>
                      <w:tcPr>
                        <w:tcW w:w="764" w:type="pct"/>
                        <w:vAlign w:val="center"/>
                      </w:tcPr>
                      <w:p>
                        <w:pPr>
                          <w:shd w:val="clear" w:color="000000" w:fill="auto"/>
                          <w:rPr>
                            <w:bCs/>
                            <w:sz w:val="22"/>
                            <w:szCs w:val="24"/>
                          </w:rPr>
                        </w:pPr>
                      </w:p>
                    </w:tc>
                    <w:tc>
                      <w:tcPr>
                        <w:tcW w:w="1719" w:type="pct"/>
                      </w:tcPr>
                      <w:p>
                        <w:pPr>
                          <w:shd w:val="clear" w:color="000000" w:fill="auto"/>
                          <w:rPr>
                            <w:bCs/>
                            <w:sz w:val="22"/>
                            <w:szCs w:val="24"/>
                          </w:rPr>
                        </w:pPr>
                      </w:p>
                    </w:tc>
                  </w:tr>
                  <w:tr>
                    <w:trPr>
                      <w:trHeight w:val="283"/>
                    </w:trPr>
                    <w:tc>
                      <w:tcPr>
                        <w:tcW w:w="466" w:type="pct"/>
                        <w:shd w:val="clear" w:color="auto" w:fill="auto"/>
                      </w:tcPr>
                      <w:p>
                        <w:pPr>
                          <w:shd w:val="clear" w:color="000000" w:fill="auto"/>
                          <w:rPr>
                            <w:bCs/>
                            <w:sz w:val="22"/>
                            <w:szCs w:val="24"/>
                          </w:rPr>
                        </w:pPr>
                      </w:p>
                    </w:tc>
                    <w:tc>
                      <w:tcPr>
                        <w:tcW w:w="733" w:type="pct"/>
                        <w:shd w:val="clear" w:color="auto" w:fill="auto"/>
                      </w:tcPr>
                      <w:p>
                        <w:pPr>
                          <w:shd w:val="clear" w:color="000000" w:fill="auto"/>
                          <w:rPr>
                            <w:bCs/>
                            <w:sz w:val="22"/>
                            <w:szCs w:val="24"/>
                          </w:rPr>
                        </w:pPr>
                      </w:p>
                    </w:tc>
                    <w:tc>
                      <w:tcPr>
                        <w:tcW w:w="1319" w:type="pct"/>
                        <w:shd w:val="clear" w:color="auto" w:fill="auto"/>
                      </w:tcPr>
                      <w:p>
                        <w:pPr>
                          <w:shd w:val="clear" w:color="000000" w:fill="auto"/>
                          <w:rPr>
                            <w:bCs/>
                            <w:sz w:val="22"/>
                            <w:szCs w:val="24"/>
                          </w:rPr>
                        </w:pPr>
                      </w:p>
                    </w:tc>
                    <w:tc>
                      <w:tcPr>
                        <w:tcW w:w="764" w:type="pct"/>
                        <w:vAlign w:val="center"/>
                      </w:tcPr>
                      <w:p>
                        <w:pPr>
                          <w:shd w:val="clear" w:color="000000" w:fill="auto"/>
                          <w:rPr>
                            <w:bCs/>
                            <w:sz w:val="22"/>
                            <w:szCs w:val="24"/>
                          </w:rPr>
                        </w:pPr>
                      </w:p>
                    </w:tc>
                    <w:tc>
                      <w:tcPr>
                        <w:tcW w:w="1719" w:type="pct"/>
                      </w:tcPr>
                      <w:p>
                        <w:pPr>
                          <w:shd w:val="clear" w:color="000000" w:fill="auto"/>
                          <w:rPr>
                            <w:bCs/>
                            <w:sz w:val="22"/>
                            <w:szCs w:val="24"/>
                          </w:rPr>
                        </w:pPr>
                      </w:p>
                    </w:tc>
                  </w:tr>
                  <w:tr>
                    <w:trPr>
                      <w:trHeight w:val="283"/>
                    </w:trPr>
                    <w:tc>
                      <w:tcPr>
                        <w:tcW w:w="466" w:type="pct"/>
                        <w:shd w:val="clear" w:color="auto" w:fill="auto"/>
                      </w:tcPr>
                      <w:p>
                        <w:pPr>
                          <w:shd w:val="clear" w:color="000000" w:fill="auto"/>
                          <w:rPr>
                            <w:bCs/>
                            <w:sz w:val="22"/>
                            <w:szCs w:val="24"/>
                          </w:rPr>
                        </w:pPr>
                      </w:p>
                    </w:tc>
                    <w:tc>
                      <w:tcPr>
                        <w:tcW w:w="733" w:type="pct"/>
                        <w:shd w:val="clear" w:color="auto" w:fill="auto"/>
                      </w:tcPr>
                      <w:p>
                        <w:pPr>
                          <w:shd w:val="clear" w:color="000000" w:fill="auto"/>
                          <w:rPr>
                            <w:bCs/>
                            <w:sz w:val="22"/>
                            <w:szCs w:val="24"/>
                          </w:rPr>
                        </w:pPr>
                      </w:p>
                    </w:tc>
                    <w:tc>
                      <w:tcPr>
                        <w:tcW w:w="1319" w:type="pct"/>
                        <w:shd w:val="clear" w:color="auto" w:fill="auto"/>
                      </w:tcPr>
                      <w:p>
                        <w:pPr>
                          <w:shd w:val="clear" w:color="000000" w:fill="auto"/>
                          <w:rPr>
                            <w:bCs/>
                            <w:sz w:val="22"/>
                            <w:szCs w:val="24"/>
                          </w:rPr>
                        </w:pPr>
                      </w:p>
                    </w:tc>
                    <w:tc>
                      <w:tcPr>
                        <w:tcW w:w="764" w:type="pct"/>
                        <w:vAlign w:val="center"/>
                      </w:tcPr>
                      <w:p>
                        <w:pPr>
                          <w:shd w:val="clear" w:color="000000" w:fill="auto"/>
                          <w:rPr>
                            <w:bCs/>
                            <w:sz w:val="22"/>
                            <w:szCs w:val="24"/>
                          </w:rPr>
                        </w:pPr>
                      </w:p>
                    </w:tc>
                    <w:tc>
                      <w:tcPr>
                        <w:tcW w:w="1719" w:type="pct"/>
                      </w:tcPr>
                      <w:p>
                        <w:pPr>
                          <w:shd w:val="clear" w:color="000000" w:fill="auto"/>
                          <w:rPr>
                            <w:bCs/>
                            <w:sz w:val="22"/>
                            <w:szCs w:val="24"/>
                          </w:rPr>
                        </w:pPr>
                      </w:p>
                    </w:tc>
                  </w:tr>
                </w:tbl>
                <w:p>
                  <w:pPr>
                    <w:shd w:val="clear" w:color="000000" w:fill="auto"/>
                    <w:rPr>
                      <w:b/>
                      <w:bCs/>
                      <w:szCs w:val="24"/>
                    </w:rPr>
                  </w:pPr>
                </w:p>
                <w:p>
                  <w:pPr>
                    <w:shd w:val="clear" w:color="000000" w:fill="auto"/>
                    <w:ind w:firstLine="567"/>
                    <w:rPr>
                      <w:bCs/>
                      <w:sz w:val="22"/>
                      <w:szCs w:val="24"/>
                    </w:rPr>
                  </w:pPr>
                  <w:r>
                    <w:rPr>
                      <w:b/>
                      <w:bCs/>
                      <w:sz w:val="22"/>
                      <w:szCs w:val="24"/>
                    </w:rPr>
                    <w:t xml:space="preserve">35 lentelė. </w:t>
                  </w:r>
                  <w:r>
                    <w:rPr>
                      <w:bCs/>
                      <w:sz w:val="22"/>
                      <w:szCs w:val="24"/>
                    </w:rPr>
                    <w:t>Kvapų valdymo (mažinimo) priemonių efektyvumas prie artimiausių jautrių receptorių</w:t>
                  </w:r>
                </w:p>
                <w:p>
                  <w:pPr>
                    <w:shd w:val="clear" w:color="000000" w:fill="auto"/>
                    <w:rPr>
                      <w:bCs/>
                      <w:sz w:val="22"/>
                      <w:szCs w:val="24"/>
                    </w:rPr>
                  </w:pPr>
                </w:p>
                <w:tbl>
                  <w:tblPr>
                    <w:tblW w:w="0" w:type="auto"/>
                    <w:tblLook w:val="04A0" w:firstRow="1" w:lastRow="0" w:firstColumn="1" w:lastColumn="0" w:noHBand="0" w:noVBand="1"/>
                  </w:tblPr>
                  <w:tblGrid>
                    <w:gridCol w:w="4943"/>
                    <w:gridCol w:w="9411"/>
                  </w:tblGrid>
                  <w:tr>
                    <w:tc>
                      <w:tcPr>
                        <w:tcW w:w="5094"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bCs/>
                            <w:sz w:val="22"/>
                            <w:szCs w:val="24"/>
                          </w:rPr>
                        </w:pPr>
                        <w:r>
                          <w:rPr>
                            <w:bCs/>
                            <w:sz w:val="22"/>
                            <w:szCs w:val="24"/>
                          </w:rPr>
                          <w:t>Nustatyta kvapo koncentracija</w:t>
                        </w:r>
                      </w:p>
                      <w:p>
                        <w:pPr>
                          <w:shd w:val="clear" w:color="000000" w:fill="auto"/>
                          <w:jc w:val="center"/>
                          <w:rPr>
                            <w:bCs/>
                            <w:sz w:val="22"/>
                            <w:szCs w:val="24"/>
                          </w:rPr>
                        </w:pPr>
                        <w:r>
                          <w:rPr>
                            <w:bCs/>
                            <w:sz w:val="22"/>
                            <w:szCs w:val="24"/>
                          </w:rPr>
                          <w:t>(OUE/m</w:t>
                        </w:r>
                        <w:r>
                          <w:rPr>
                            <w:bCs/>
                            <w:sz w:val="22"/>
                            <w:szCs w:val="24"/>
                            <w:vertAlign w:val="superscript"/>
                          </w:rPr>
                          <w:t>3</w:t>
                        </w:r>
                        <w:r>
                          <w:rPr>
                            <w:bCs/>
                            <w:sz w:val="22"/>
                            <w:szCs w:val="24"/>
                          </w:rPr>
                          <w:t>) prie artimiausio jautraus receptoriaus*</w:t>
                        </w:r>
                      </w:p>
                    </w:tc>
                    <w:tc>
                      <w:tcPr>
                        <w:tcW w:w="9756"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bCs/>
                            <w:sz w:val="22"/>
                            <w:szCs w:val="24"/>
                          </w:rPr>
                        </w:pPr>
                        <w:r>
                          <w:rPr>
                            <w:bCs/>
                            <w:sz w:val="22"/>
                            <w:szCs w:val="24"/>
                          </w:rPr>
                          <w:t>Artimiausio jautraus receptoriaus adresas ir koordinatės (LKS)</w:t>
                        </w:r>
                      </w:p>
                    </w:tc>
                  </w:tr>
                  <w:tr>
                    <w:tc>
                      <w:tcPr>
                        <w:tcW w:w="5094"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bCs/>
                            <w:sz w:val="22"/>
                            <w:szCs w:val="24"/>
                          </w:rPr>
                        </w:pPr>
                        <w:r>
                          <w:rPr>
                            <w:bCs/>
                            <w:sz w:val="22"/>
                            <w:szCs w:val="24"/>
                            <w:lang w:val="en-US"/>
                          </w:rPr>
                          <w:t>1</w:t>
                        </w:r>
                      </w:p>
                    </w:tc>
                    <w:tc>
                      <w:tcPr>
                        <w:tcW w:w="9756"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bCs/>
                            <w:sz w:val="22"/>
                            <w:szCs w:val="24"/>
                          </w:rPr>
                        </w:pPr>
                        <w:r>
                          <w:rPr>
                            <w:bCs/>
                            <w:sz w:val="22"/>
                            <w:szCs w:val="24"/>
                            <w:lang w:val="en-US"/>
                          </w:rPr>
                          <w:t>2</w:t>
                        </w:r>
                      </w:p>
                    </w:tc>
                  </w:tr>
                  <w:tr>
                    <w:tc>
                      <w:tcPr>
                        <w:tcW w:w="5094" w:type="dxa"/>
                        <w:tcBorders>
                          <w:top w:val="single" w:sz="4" w:space="0" w:color="auto"/>
                          <w:left w:val="single" w:sz="4" w:space="0" w:color="auto"/>
                          <w:bottom w:val="single" w:sz="4" w:space="0" w:color="auto"/>
                          <w:right w:val="single" w:sz="4" w:space="0" w:color="auto"/>
                        </w:tcBorders>
                      </w:tcPr>
                      <w:p>
                        <w:pPr>
                          <w:shd w:val="clear" w:color="000000" w:fill="auto"/>
                          <w:rPr>
                            <w:bCs/>
                            <w:sz w:val="22"/>
                            <w:szCs w:val="24"/>
                          </w:rPr>
                        </w:pPr>
                      </w:p>
                    </w:tc>
                    <w:tc>
                      <w:tcPr>
                        <w:tcW w:w="9756" w:type="dxa"/>
                        <w:tcBorders>
                          <w:top w:val="single" w:sz="4" w:space="0" w:color="auto"/>
                          <w:left w:val="single" w:sz="4" w:space="0" w:color="auto"/>
                          <w:bottom w:val="single" w:sz="4" w:space="0" w:color="auto"/>
                          <w:right w:val="single" w:sz="4" w:space="0" w:color="auto"/>
                        </w:tcBorders>
                      </w:tcPr>
                      <w:p>
                        <w:pPr>
                          <w:shd w:val="clear" w:color="000000" w:fill="auto"/>
                          <w:rPr>
                            <w:bCs/>
                            <w:sz w:val="22"/>
                            <w:szCs w:val="24"/>
                          </w:rPr>
                        </w:pPr>
                      </w:p>
                    </w:tc>
                  </w:tr>
                  <w:tr>
                    <w:tc>
                      <w:tcPr>
                        <w:tcW w:w="5094" w:type="dxa"/>
                        <w:tcBorders>
                          <w:top w:val="single" w:sz="4" w:space="0" w:color="auto"/>
                          <w:left w:val="single" w:sz="4" w:space="0" w:color="auto"/>
                          <w:bottom w:val="single" w:sz="4" w:space="0" w:color="auto"/>
                          <w:right w:val="single" w:sz="4" w:space="0" w:color="auto"/>
                        </w:tcBorders>
                      </w:tcPr>
                      <w:p>
                        <w:pPr>
                          <w:shd w:val="clear" w:color="000000" w:fill="auto"/>
                          <w:rPr>
                            <w:bCs/>
                            <w:sz w:val="22"/>
                            <w:szCs w:val="24"/>
                          </w:rPr>
                        </w:pPr>
                      </w:p>
                    </w:tc>
                    <w:tc>
                      <w:tcPr>
                        <w:tcW w:w="9756" w:type="dxa"/>
                        <w:tcBorders>
                          <w:top w:val="single" w:sz="4" w:space="0" w:color="auto"/>
                          <w:left w:val="single" w:sz="4" w:space="0" w:color="auto"/>
                          <w:bottom w:val="single" w:sz="4" w:space="0" w:color="auto"/>
                          <w:right w:val="single" w:sz="4" w:space="0" w:color="auto"/>
                        </w:tcBorders>
                      </w:tcPr>
                      <w:p>
                        <w:pPr>
                          <w:shd w:val="clear" w:color="000000" w:fill="auto"/>
                          <w:rPr>
                            <w:bCs/>
                            <w:sz w:val="22"/>
                            <w:szCs w:val="24"/>
                          </w:rPr>
                        </w:pPr>
                      </w:p>
                    </w:tc>
                  </w:tr>
                  <w:tr>
                    <w:tc>
                      <w:tcPr>
                        <w:tcW w:w="5094" w:type="dxa"/>
                        <w:tcBorders>
                          <w:top w:val="single" w:sz="4" w:space="0" w:color="auto"/>
                          <w:left w:val="single" w:sz="4" w:space="0" w:color="auto"/>
                          <w:bottom w:val="single" w:sz="4" w:space="0" w:color="auto"/>
                          <w:right w:val="single" w:sz="4" w:space="0" w:color="auto"/>
                        </w:tcBorders>
                      </w:tcPr>
                      <w:p>
                        <w:pPr>
                          <w:shd w:val="clear" w:color="000000" w:fill="auto"/>
                          <w:rPr>
                            <w:bCs/>
                            <w:sz w:val="22"/>
                            <w:szCs w:val="24"/>
                          </w:rPr>
                        </w:pPr>
                      </w:p>
                    </w:tc>
                    <w:tc>
                      <w:tcPr>
                        <w:tcW w:w="9756" w:type="dxa"/>
                        <w:tcBorders>
                          <w:top w:val="single" w:sz="4" w:space="0" w:color="auto"/>
                          <w:left w:val="single" w:sz="4" w:space="0" w:color="auto"/>
                          <w:bottom w:val="single" w:sz="4" w:space="0" w:color="auto"/>
                          <w:right w:val="single" w:sz="4" w:space="0" w:color="auto"/>
                        </w:tcBorders>
                        <w:hideMark/>
                      </w:tcPr>
                      <w:p>
                        <w:pPr>
                          <w:shd w:val="clear" w:color="000000" w:fill="auto"/>
                          <w:rPr>
                            <w:bCs/>
                            <w:sz w:val="22"/>
                            <w:szCs w:val="24"/>
                          </w:rPr>
                        </w:pPr>
                        <w:r>
                          <w:rPr>
                            <w:bCs/>
                            <w:sz w:val="22"/>
                            <w:szCs w:val="24"/>
                            <w:lang w:val="en-US"/>
                          </w:rPr>
                          <w:t>“</w:t>
                        </w:r>
                      </w:p>
                    </w:tc>
                  </w:tr>
                </w:tbl>
                <w:p>
                  <w:pPr>
                    <w:shd w:val="clear" w:color="000000" w:fill="auto"/>
                    <w:rPr>
                      <w:sz w:val="22"/>
                      <w:szCs w:val="24"/>
                      <w:highlight w:val="yellow"/>
                      <w:lang w:eastAsia="lt-LT"/>
                    </w:rPr>
                  </w:pPr>
                  <w:r>
                    <w:rPr>
                      <w:bCs/>
                      <w:sz w:val="18"/>
                    </w:rPr>
                    <w:t>* – jautrus receptorius, – tai statinys ar teritorija, kurioje gyvena, ilsisi žmonės ar laikinai būna jautrios visuomenės grupės (vaikai, pacientai ir pan.), pvz. gyvenamasis namas, vaikų darželis, mokykla, ligoninė, sanatorija, poilsio, globos namai, gyvenamosios ar rekreacinės teritorijos ir pan.</w:t>
                  </w:r>
                  <w:r>
                    <w:rPr>
                      <w:sz w:val="22"/>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Content>
        </w:sdt>
        <w:sdt>
          <w:sdtPr>
            <w:alias w:val="skyrius"/>
            <w:tag w:val="part_089c758ac2b54f17b5ed9577baa84b14"/>
            <w:lock w:val="sdtLocked"/>
            <w:richText/>
          </w:sdtPr>
          <w:sdtContent>
            <w:p>
              <w:pPr>
                <w:shd w:val="clear" w:color="000000" w:fill="auto"/>
                <w:jc w:val="center"/>
                <w:rPr>
                  <w:b/>
                  <w:caps/>
                  <w:sz w:val="22"/>
                  <w:szCs w:val="24"/>
                  <w:lang w:eastAsia="lt-LT"/>
                </w:rPr>
              </w:pPr>
              <w:sdt>
                <w:sdtPr>
                  <w:alias w:val="Numeris"/>
                  <w:tag w:val="nr_089c758ac2b54f17b5ed9577baa84b14"/>
                  <w:lock w:val="sdtLocked"/>
                  <w:richText/>
                </w:sdtPr>
                <w:sdtContent>
                  <w:r>
                    <w:rPr>
                      <w:b/>
                      <w:caps/>
                      <w:sz w:val="22"/>
                      <w:szCs w:val="24"/>
                      <w:lang w:eastAsia="lt-LT"/>
                    </w:rPr>
                    <w:t>XIII</w:t>
                  </w:r>
                </w:sdtContent>
              </w:sdt>
              <w:r>
                <w:rPr>
                  <w:b/>
                  <w:caps/>
                  <w:sz w:val="22"/>
                  <w:szCs w:val="24"/>
                  <w:lang w:eastAsia="lt-LT"/>
                </w:rPr>
                <w:t xml:space="preserve">. </w:t>
              </w:r>
              <w:sdt>
                <w:sdtPr>
                  <w:alias w:val="Pavadinimas"/>
                  <w:tag w:val="title_089c758ac2b54f17b5ed9577baa84b14"/>
                  <w:lock w:val="sdtLocked"/>
                  <w:richText/>
                </w:sdtPr>
                <w:sdtContent>
                  <w:r>
                    <w:rPr>
                      <w:b/>
                      <w:caps/>
                      <w:sz w:val="22"/>
                      <w:szCs w:val="24"/>
                      <w:lang w:eastAsia="lt-LT"/>
                    </w:rPr>
                    <w:t>Aplinkosaugos veiksmų planas</w:t>
                  </w:r>
                </w:sdtContent>
              </w:sdt>
            </w:p>
            <w:p>
              <w:pPr>
                <w:shd w:val="clear" w:color="000000" w:fill="auto"/>
                <w:ind w:firstLine="567"/>
                <w:jc w:val="both"/>
                <w:rPr>
                  <w:sz w:val="22"/>
                  <w:szCs w:val="24"/>
                  <w:lang w:eastAsia="lt-LT"/>
                </w:rPr>
              </w:pPr>
            </w:p>
          </w:sdtContent>
        </w:sdt>
        <w:sdt>
          <w:sdtPr>
            <w:alias w:val="lentele"/>
            <w:tag w:val="part_7eba9a4131be477ba1fa3e2cf50d2ccf"/>
            <w:lock w:val="sdtLocked"/>
            <w:richText/>
          </w:sdtPr>
          <w:sdtContent>
            <w:p>
              <w:pPr>
                <w:widowControl w:val="0"/>
                <w:shd w:val="clear" w:color="000000" w:fill="auto"/>
                <w:ind w:firstLine="567"/>
                <w:jc w:val="both"/>
                <w:rPr>
                  <w:szCs w:val="24"/>
                  <w:lang w:eastAsia="lt-LT"/>
                </w:rPr>
              </w:pPr>
              <w:r>
                <w:rPr>
                  <w:szCs w:val="24"/>
                  <w:lang w:eastAsia="lt-LT"/>
                </w:rPr>
                <w:t xml:space="preserve">36 lentelė. </w:t>
              </w:r>
              <w:sdt>
                <w:sdtPr>
                  <w:alias w:val="Pavadinimas"/>
                  <w:tag w:val="title_7eba9a4131be477ba1fa3e2cf50d2ccf"/>
                  <w:lock w:val="sdtLocked"/>
                  <w:richText/>
                </w:sdtPr>
                <w:sdtContent>
                  <w:r>
                    <w:rPr>
                      <w:szCs w:val="24"/>
                      <w:lang w:eastAsia="lt-LT"/>
                    </w:rPr>
                    <w:t>Aplinkosaugos veiksmų planas</w:t>
                  </w:r>
                </w:sdtContent>
              </w:sdt>
            </w:p>
            <w:p>
              <w:pPr>
                <w:widowControl w:val="0"/>
                <w:shd w:val="clear" w:color="000000" w:fill="auto"/>
                <w:ind w:firstLine="567"/>
                <w:jc w:val="both"/>
                <w:rPr>
                  <w:szCs w:val="24"/>
                  <w:lang w:eastAsia="lt-LT"/>
                </w:rPr>
              </w:pPr>
            </w:p>
            <w:tbl>
              <w:tblPr>
                <w:tblW w:w="132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99" w:type="dxa"/>
                  <w:right w:w="99" w:type="dxa"/>
                </w:tblCellMar>
                <w:tblLook w:val="0000" w:firstRow="0" w:lastRow="0" w:firstColumn="0" w:lastColumn="0" w:noHBand="0" w:noVBand="0"/>
              </w:tblPr>
              <w:tblGrid>
                <w:gridCol w:w="2526"/>
                <w:gridCol w:w="1338"/>
                <w:gridCol w:w="1762"/>
                <w:gridCol w:w="1209"/>
                <w:gridCol w:w="2024"/>
                <w:gridCol w:w="1887"/>
                <w:gridCol w:w="2553"/>
              </w:tblGrid>
              <w:tr>
                <w:trPr>
                  <w:cantSplit/>
                </w:trPr>
                <w:tc>
                  <w:tcPr>
                    <w:tcW w:w="2526" w:type="dxa"/>
                    <w:tcBorders>
                      <w:top w:val="single" w:sz="6" w:space="0" w:color="auto"/>
                      <w:left w:val="single" w:sz="6" w:space="0" w:color="auto"/>
                      <w:bottom w:val="single" w:sz="6" w:space="0" w:color="000000"/>
                      <w:right w:val="single" w:sz="6" w:space="0" w:color="000000"/>
                    </w:tcBorders>
                    <w:vAlign w:val="center"/>
                  </w:tcPr>
                  <w:p>
                    <w:pPr>
                      <w:shd w:val="clear" w:color="000000" w:fill="auto"/>
                      <w:jc w:val="center"/>
                      <w:rPr>
                        <w:sz w:val="18"/>
                        <w:szCs w:val="24"/>
                        <w:vertAlign w:val="superscript"/>
                        <w:lang w:eastAsia="lt-LT"/>
                      </w:rPr>
                    </w:pPr>
                    <w:r>
                      <w:rPr>
                        <w:sz w:val="18"/>
                        <w:szCs w:val="24"/>
                        <w:lang w:eastAsia="lt-LT"/>
                      </w:rPr>
                      <w:t>Parametras</w:t>
                    </w:r>
                  </w:p>
                </w:tc>
                <w:tc>
                  <w:tcPr>
                    <w:tcW w:w="1338" w:type="dxa"/>
                    <w:tcBorders>
                      <w:top w:val="single" w:sz="6" w:space="0" w:color="auto"/>
                      <w:left w:val="single" w:sz="6" w:space="0" w:color="000000"/>
                      <w:bottom w:val="single" w:sz="6" w:space="0" w:color="000000"/>
                      <w:right w:val="single" w:sz="6" w:space="0" w:color="000000"/>
                    </w:tcBorders>
                    <w:vAlign w:val="center"/>
                  </w:tcPr>
                  <w:p>
                    <w:pPr>
                      <w:shd w:val="clear" w:color="000000" w:fill="auto"/>
                      <w:jc w:val="center"/>
                      <w:rPr>
                        <w:sz w:val="18"/>
                        <w:szCs w:val="24"/>
                        <w:lang w:eastAsia="lt-LT"/>
                      </w:rPr>
                    </w:pPr>
                    <w:r>
                      <w:rPr>
                        <w:sz w:val="18"/>
                        <w:szCs w:val="24"/>
                        <w:lang w:eastAsia="lt-LT"/>
                      </w:rPr>
                      <w:t>Vienetai</w:t>
                    </w:r>
                  </w:p>
                </w:tc>
                <w:tc>
                  <w:tcPr>
                    <w:tcW w:w="1762" w:type="dxa"/>
                    <w:tcBorders>
                      <w:top w:val="single" w:sz="6" w:space="0" w:color="auto"/>
                      <w:left w:val="single" w:sz="6" w:space="0" w:color="000000"/>
                      <w:bottom w:val="single" w:sz="6" w:space="0" w:color="000000"/>
                      <w:right w:val="single" w:sz="6" w:space="0" w:color="000000"/>
                    </w:tcBorders>
                    <w:vAlign w:val="center"/>
                  </w:tcPr>
                  <w:p>
                    <w:pPr>
                      <w:shd w:val="clear" w:color="000000" w:fill="auto"/>
                      <w:jc w:val="center"/>
                      <w:rPr>
                        <w:sz w:val="18"/>
                        <w:szCs w:val="24"/>
                        <w:vertAlign w:val="superscript"/>
                        <w:lang w:eastAsia="lt-LT"/>
                      </w:rPr>
                    </w:pPr>
                    <w:r>
                      <w:rPr>
                        <w:sz w:val="18"/>
                        <w:szCs w:val="24"/>
                        <w:lang w:eastAsia="lt-LT"/>
                      </w:rPr>
                      <w:t>Siekiamos ribinės vertės</w:t>
                    </w:r>
                  </w:p>
                  <w:p>
                    <w:pPr>
                      <w:shd w:val="clear" w:color="000000" w:fill="auto"/>
                      <w:jc w:val="center"/>
                      <w:rPr>
                        <w:sz w:val="18"/>
                        <w:szCs w:val="24"/>
                        <w:lang w:eastAsia="lt-LT"/>
                      </w:rPr>
                    </w:pPr>
                    <w:r>
                      <w:rPr>
                        <w:sz w:val="18"/>
                        <w:szCs w:val="24"/>
                        <w:lang w:eastAsia="lt-LT"/>
                      </w:rPr>
                      <w:t>(pagal GPGB)</w:t>
                    </w:r>
                  </w:p>
                </w:tc>
                <w:tc>
                  <w:tcPr>
                    <w:tcW w:w="1209" w:type="dxa"/>
                    <w:tcBorders>
                      <w:top w:val="single" w:sz="6" w:space="0" w:color="auto"/>
                      <w:left w:val="single" w:sz="6" w:space="0" w:color="000000"/>
                      <w:bottom w:val="single" w:sz="6" w:space="0" w:color="000000"/>
                      <w:right w:val="single" w:sz="6" w:space="0" w:color="000000"/>
                    </w:tcBorders>
                    <w:vAlign w:val="center"/>
                  </w:tcPr>
                  <w:p>
                    <w:pPr>
                      <w:shd w:val="clear" w:color="000000" w:fill="auto"/>
                      <w:jc w:val="center"/>
                      <w:rPr>
                        <w:sz w:val="18"/>
                        <w:szCs w:val="24"/>
                        <w:vertAlign w:val="superscript"/>
                        <w:lang w:eastAsia="lt-LT"/>
                      </w:rPr>
                    </w:pPr>
                    <w:r>
                      <w:rPr>
                        <w:sz w:val="18"/>
                        <w:szCs w:val="24"/>
                        <w:lang w:eastAsia="lt-LT"/>
                      </w:rPr>
                      <w:t>Esamos vertės</w:t>
                    </w:r>
                  </w:p>
                </w:tc>
                <w:tc>
                  <w:tcPr>
                    <w:tcW w:w="2024" w:type="dxa"/>
                    <w:tcBorders>
                      <w:top w:val="single" w:sz="6" w:space="0" w:color="auto"/>
                      <w:left w:val="single" w:sz="6" w:space="0" w:color="000000"/>
                      <w:bottom w:val="single" w:sz="6" w:space="0" w:color="000000"/>
                      <w:right w:val="single" w:sz="6" w:space="0" w:color="000000"/>
                    </w:tcBorders>
                    <w:vAlign w:val="center"/>
                  </w:tcPr>
                  <w:p>
                    <w:pPr>
                      <w:shd w:val="clear" w:color="000000" w:fill="auto"/>
                      <w:jc w:val="center"/>
                      <w:rPr>
                        <w:sz w:val="18"/>
                        <w:szCs w:val="24"/>
                        <w:vertAlign w:val="superscript"/>
                        <w:lang w:eastAsia="lt-LT"/>
                      </w:rPr>
                    </w:pPr>
                    <w:r>
                      <w:rPr>
                        <w:sz w:val="18"/>
                        <w:szCs w:val="24"/>
                        <w:lang w:eastAsia="lt-LT"/>
                      </w:rPr>
                      <w:t>Veiksmai tikslui pasiekti</w:t>
                    </w:r>
                  </w:p>
                </w:tc>
                <w:tc>
                  <w:tcPr>
                    <w:tcW w:w="1887" w:type="dxa"/>
                    <w:tcBorders>
                      <w:top w:val="single" w:sz="6" w:space="0" w:color="auto"/>
                      <w:left w:val="single" w:sz="6" w:space="0" w:color="000000"/>
                      <w:bottom w:val="single" w:sz="6" w:space="0" w:color="000000"/>
                      <w:right w:val="single" w:sz="6" w:space="0" w:color="000000"/>
                    </w:tcBorders>
                    <w:vAlign w:val="center"/>
                  </w:tcPr>
                  <w:p>
                    <w:pPr>
                      <w:shd w:val="clear" w:color="000000" w:fill="auto"/>
                      <w:jc w:val="center"/>
                      <w:rPr>
                        <w:sz w:val="18"/>
                        <w:szCs w:val="24"/>
                        <w:vertAlign w:val="superscript"/>
                        <w:lang w:eastAsia="lt-LT"/>
                      </w:rPr>
                    </w:pPr>
                    <w:r>
                      <w:rPr>
                        <w:sz w:val="18"/>
                        <w:szCs w:val="24"/>
                        <w:lang w:eastAsia="lt-LT"/>
                      </w:rPr>
                      <w:t>Laukiami rezultatai</w:t>
                    </w:r>
                  </w:p>
                </w:tc>
                <w:tc>
                  <w:tcPr>
                    <w:tcW w:w="2553" w:type="dxa"/>
                    <w:tcBorders>
                      <w:top w:val="single" w:sz="6" w:space="0" w:color="auto"/>
                      <w:left w:val="single" w:sz="6" w:space="0" w:color="000000"/>
                      <w:bottom w:val="single" w:sz="6" w:space="0" w:color="000000"/>
                      <w:right w:val="single" w:sz="6" w:space="0" w:color="auto"/>
                    </w:tcBorders>
                    <w:vAlign w:val="center"/>
                  </w:tcPr>
                  <w:p>
                    <w:pPr>
                      <w:shd w:val="clear" w:color="000000" w:fill="auto"/>
                      <w:jc w:val="center"/>
                      <w:rPr>
                        <w:sz w:val="18"/>
                        <w:szCs w:val="24"/>
                        <w:lang w:eastAsia="lt-LT"/>
                      </w:rPr>
                    </w:pPr>
                    <w:r>
                      <w:rPr>
                        <w:sz w:val="18"/>
                        <w:szCs w:val="24"/>
                        <w:lang w:eastAsia="lt-LT"/>
                      </w:rPr>
                      <w:t>Įgyvendinimo data</w:t>
                    </w:r>
                  </w:p>
                </w:tc>
              </w:tr>
              <w:tr>
                <w:trPr>
                  <w:cantSplit/>
                </w:trPr>
                <w:tc>
                  <w:tcPr>
                    <w:tcW w:w="2526" w:type="dxa"/>
                    <w:tcBorders>
                      <w:top w:val="nil"/>
                      <w:left w:val="single" w:sz="6" w:space="0" w:color="auto"/>
                      <w:bottom w:val="single" w:sz="4" w:space="0" w:color="auto"/>
                      <w:right w:val="single" w:sz="6" w:space="0" w:color="000000"/>
                    </w:tcBorders>
                    <w:vAlign w:val="center"/>
                  </w:tcPr>
                  <w:p>
                    <w:pPr>
                      <w:shd w:val="clear" w:color="000000" w:fill="auto"/>
                      <w:jc w:val="center"/>
                      <w:rPr>
                        <w:sz w:val="18"/>
                        <w:szCs w:val="24"/>
                        <w:lang w:eastAsia="lt-LT"/>
                      </w:rPr>
                    </w:pPr>
                    <w:r>
                      <w:rPr>
                        <w:sz w:val="18"/>
                        <w:szCs w:val="24"/>
                        <w:lang w:eastAsia="lt-LT"/>
                      </w:rPr>
                      <w:t>1</w:t>
                    </w:r>
                  </w:p>
                </w:tc>
                <w:tc>
                  <w:tcPr>
                    <w:tcW w:w="1338" w:type="dxa"/>
                    <w:tcBorders>
                      <w:top w:val="nil"/>
                      <w:left w:val="single" w:sz="6" w:space="0" w:color="000000"/>
                      <w:bottom w:val="single" w:sz="4" w:space="0" w:color="auto"/>
                      <w:right w:val="single" w:sz="6" w:space="0" w:color="000000"/>
                    </w:tcBorders>
                    <w:vAlign w:val="center"/>
                  </w:tcPr>
                  <w:p>
                    <w:pPr>
                      <w:shd w:val="clear" w:color="000000" w:fill="auto"/>
                      <w:jc w:val="center"/>
                      <w:rPr>
                        <w:sz w:val="18"/>
                        <w:szCs w:val="24"/>
                        <w:lang w:eastAsia="lt-LT"/>
                      </w:rPr>
                    </w:pPr>
                    <w:r>
                      <w:rPr>
                        <w:sz w:val="18"/>
                        <w:szCs w:val="24"/>
                        <w:lang w:eastAsia="lt-LT"/>
                      </w:rPr>
                      <w:t>2</w:t>
                    </w:r>
                  </w:p>
                </w:tc>
                <w:tc>
                  <w:tcPr>
                    <w:tcW w:w="1762" w:type="dxa"/>
                    <w:tcBorders>
                      <w:top w:val="nil"/>
                      <w:left w:val="single" w:sz="6" w:space="0" w:color="000000"/>
                      <w:bottom w:val="single" w:sz="4" w:space="0" w:color="auto"/>
                      <w:right w:val="single" w:sz="6" w:space="0" w:color="000000"/>
                    </w:tcBorders>
                    <w:vAlign w:val="center"/>
                  </w:tcPr>
                  <w:p>
                    <w:pPr>
                      <w:shd w:val="clear" w:color="000000" w:fill="auto"/>
                      <w:jc w:val="center"/>
                      <w:rPr>
                        <w:sz w:val="18"/>
                        <w:szCs w:val="24"/>
                        <w:lang w:eastAsia="lt-LT"/>
                      </w:rPr>
                    </w:pPr>
                    <w:r>
                      <w:rPr>
                        <w:sz w:val="18"/>
                        <w:szCs w:val="24"/>
                        <w:lang w:eastAsia="lt-LT"/>
                      </w:rPr>
                      <w:t>3</w:t>
                    </w:r>
                  </w:p>
                </w:tc>
                <w:tc>
                  <w:tcPr>
                    <w:tcW w:w="1209" w:type="dxa"/>
                    <w:tcBorders>
                      <w:top w:val="nil"/>
                      <w:left w:val="single" w:sz="6" w:space="0" w:color="000000"/>
                      <w:bottom w:val="single" w:sz="4" w:space="0" w:color="auto"/>
                      <w:right w:val="single" w:sz="6" w:space="0" w:color="000000"/>
                    </w:tcBorders>
                    <w:vAlign w:val="center"/>
                  </w:tcPr>
                  <w:p>
                    <w:pPr>
                      <w:shd w:val="clear" w:color="000000" w:fill="auto"/>
                      <w:jc w:val="center"/>
                      <w:rPr>
                        <w:sz w:val="18"/>
                        <w:szCs w:val="24"/>
                        <w:lang w:eastAsia="lt-LT"/>
                      </w:rPr>
                    </w:pPr>
                    <w:r>
                      <w:rPr>
                        <w:sz w:val="18"/>
                        <w:szCs w:val="24"/>
                        <w:lang w:eastAsia="lt-LT"/>
                      </w:rPr>
                      <w:t>4</w:t>
                    </w:r>
                  </w:p>
                </w:tc>
                <w:tc>
                  <w:tcPr>
                    <w:tcW w:w="2024" w:type="dxa"/>
                    <w:tcBorders>
                      <w:top w:val="nil"/>
                      <w:left w:val="single" w:sz="6" w:space="0" w:color="000000"/>
                      <w:bottom w:val="single" w:sz="4" w:space="0" w:color="auto"/>
                      <w:right w:val="single" w:sz="6" w:space="0" w:color="000000"/>
                    </w:tcBorders>
                    <w:vAlign w:val="center"/>
                  </w:tcPr>
                  <w:p>
                    <w:pPr>
                      <w:shd w:val="clear" w:color="000000" w:fill="auto"/>
                      <w:jc w:val="center"/>
                      <w:rPr>
                        <w:sz w:val="18"/>
                        <w:szCs w:val="24"/>
                        <w:lang w:eastAsia="lt-LT"/>
                      </w:rPr>
                    </w:pPr>
                    <w:r>
                      <w:rPr>
                        <w:sz w:val="18"/>
                        <w:szCs w:val="24"/>
                        <w:lang w:eastAsia="lt-LT"/>
                      </w:rPr>
                      <w:t>5</w:t>
                    </w:r>
                  </w:p>
                </w:tc>
                <w:tc>
                  <w:tcPr>
                    <w:tcW w:w="1887" w:type="dxa"/>
                    <w:tcBorders>
                      <w:top w:val="nil"/>
                      <w:left w:val="single" w:sz="6" w:space="0" w:color="000000"/>
                      <w:bottom w:val="single" w:sz="4" w:space="0" w:color="auto"/>
                      <w:right w:val="single" w:sz="6" w:space="0" w:color="000000"/>
                    </w:tcBorders>
                    <w:vAlign w:val="center"/>
                  </w:tcPr>
                  <w:p>
                    <w:pPr>
                      <w:shd w:val="clear" w:color="000000" w:fill="auto"/>
                      <w:jc w:val="center"/>
                      <w:rPr>
                        <w:sz w:val="18"/>
                        <w:szCs w:val="24"/>
                        <w:lang w:eastAsia="lt-LT"/>
                      </w:rPr>
                    </w:pPr>
                    <w:r>
                      <w:rPr>
                        <w:sz w:val="18"/>
                        <w:szCs w:val="24"/>
                        <w:lang w:eastAsia="lt-LT"/>
                      </w:rPr>
                      <w:t>6</w:t>
                    </w:r>
                  </w:p>
                </w:tc>
                <w:tc>
                  <w:tcPr>
                    <w:tcW w:w="2553" w:type="dxa"/>
                    <w:tcBorders>
                      <w:top w:val="single" w:sz="6" w:space="0" w:color="000000"/>
                      <w:left w:val="single" w:sz="6" w:space="0" w:color="000000"/>
                      <w:bottom w:val="single" w:sz="4" w:space="0" w:color="auto"/>
                      <w:right w:val="single" w:sz="6" w:space="0" w:color="auto"/>
                    </w:tcBorders>
                    <w:vAlign w:val="center"/>
                  </w:tcPr>
                  <w:p>
                    <w:pPr>
                      <w:shd w:val="clear" w:color="000000" w:fill="auto"/>
                      <w:jc w:val="center"/>
                      <w:rPr>
                        <w:sz w:val="18"/>
                        <w:szCs w:val="24"/>
                        <w:lang w:eastAsia="lt-LT"/>
                      </w:rPr>
                    </w:pPr>
                    <w:r>
                      <w:rPr>
                        <w:sz w:val="18"/>
                        <w:szCs w:val="24"/>
                        <w:lang w:eastAsia="lt-LT"/>
                      </w:rPr>
                      <w:t>7</w:t>
                    </w:r>
                  </w:p>
                </w:tc>
              </w:tr>
              <w:tr>
                <w:trPr>
                  <w:cantSplit/>
                </w:trPr>
                <w:tc>
                  <w:tcPr>
                    <w:tcW w:w="2526" w:type="dxa"/>
                    <w:tcBorders>
                      <w:top w:val="single" w:sz="4" w:space="0" w:color="auto"/>
                      <w:left w:val="single" w:sz="4" w:space="0" w:color="auto"/>
                      <w:bottom w:val="single" w:sz="6" w:space="0" w:color="000000"/>
                      <w:right w:val="single" w:sz="6" w:space="0" w:color="000000"/>
                    </w:tcBorders>
                    <w:vAlign w:val="center"/>
                  </w:tcPr>
                  <w:p>
                    <w:pPr>
                      <w:shd w:val="clear" w:color="000000" w:fill="auto"/>
                      <w:jc w:val="center"/>
                      <w:rPr>
                        <w:sz w:val="18"/>
                        <w:szCs w:val="24"/>
                        <w:lang w:eastAsia="lt-LT"/>
                      </w:rPr>
                    </w:pPr>
                  </w:p>
                </w:tc>
                <w:tc>
                  <w:tcPr>
                    <w:tcW w:w="1338" w:type="dxa"/>
                    <w:tcBorders>
                      <w:top w:val="single" w:sz="4" w:space="0" w:color="auto"/>
                      <w:left w:val="single" w:sz="6" w:space="0" w:color="000000"/>
                      <w:bottom w:val="single" w:sz="6" w:space="0" w:color="000000"/>
                      <w:right w:val="single" w:sz="6" w:space="0" w:color="000000"/>
                    </w:tcBorders>
                    <w:vAlign w:val="center"/>
                  </w:tcPr>
                  <w:p>
                    <w:pPr>
                      <w:shd w:val="clear" w:color="000000" w:fill="auto"/>
                      <w:jc w:val="center"/>
                      <w:rPr>
                        <w:sz w:val="18"/>
                        <w:szCs w:val="24"/>
                        <w:lang w:eastAsia="lt-LT"/>
                      </w:rPr>
                    </w:pPr>
                  </w:p>
                </w:tc>
                <w:tc>
                  <w:tcPr>
                    <w:tcW w:w="1762" w:type="dxa"/>
                    <w:tcBorders>
                      <w:top w:val="single" w:sz="4" w:space="0" w:color="auto"/>
                      <w:left w:val="single" w:sz="6" w:space="0" w:color="000000"/>
                      <w:bottom w:val="single" w:sz="6" w:space="0" w:color="000000"/>
                      <w:right w:val="single" w:sz="6" w:space="0" w:color="000000"/>
                    </w:tcBorders>
                    <w:vAlign w:val="center"/>
                  </w:tcPr>
                  <w:p>
                    <w:pPr>
                      <w:shd w:val="clear" w:color="000000" w:fill="auto"/>
                      <w:jc w:val="center"/>
                      <w:rPr>
                        <w:sz w:val="18"/>
                        <w:szCs w:val="24"/>
                        <w:lang w:eastAsia="lt-LT"/>
                      </w:rPr>
                    </w:pPr>
                  </w:p>
                </w:tc>
                <w:tc>
                  <w:tcPr>
                    <w:tcW w:w="1209" w:type="dxa"/>
                    <w:tcBorders>
                      <w:top w:val="single" w:sz="4" w:space="0" w:color="auto"/>
                      <w:left w:val="single" w:sz="6" w:space="0" w:color="000000"/>
                      <w:bottom w:val="single" w:sz="6" w:space="0" w:color="000000"/>
                      <w:right w:val="single" w:sz="6" w:space="0" w:color="000000"/>
                    </w:tcBorders>
                    <w:vAlign w:val="center"/>
                  </w:tcPr>
                  <w:p>
                    <w:pPr>
                      <w:shd w:val="clear" w:color="000000" w:fill="auto"/>
                      <w:jc w:val="center"/>
                      <w:rPr>
                        <w:sz w:val="18"/>
                        <w:szCs w:val="24"/>
                        <w:lang w:eastAsia="lt-LT"/>
                      </w:rPr>
                    </w:pPr>
                  </w:p>
                </w:tc>
                <w:tc>
                  <w:tcPr>
                    <w:tcW w:w="2024" w:type="dxa"/>
                    <w:tcBorders>
                      <w:top w:val="single" w:sz="4" w:space="0" w:color="auto"/>
                      <w:left w:val="single" w:sz="6" w:space="0" w:color="000000"/>
                      <w:bottom w:val="single" w:sz="6" w:space="0" w:color="000000"/>
                      <w:right w:val="single" w:sz="6" w:space="0" w:color="000000"/>
                    </w:tcBorders>
                    <w:vAlign w:val="center"/>
                  </w:tcPr>
                  <w:p>
                    <w:pPr>
                      <w:shd w:val="clear" w:color="000000" w:fill="auto"/>
                      <w:jc w:val="center"/>
                      <w:rPr>
                        <w:sz w:val="18"/>
                        <w:szCs w:val="24"/>
                        <w:lang w:eastAsia="lt-LT"/>
                      </w:rPr>
                    </w:pPr>
                  </w:p>
                </w:tc>
                <w:tc>
                  <w:tcPr>
                    <w:tcW w:w="1887" w:type="dxa"/>
                    <w:tcBorders>
                      <w:top w:val="single" w:sz="4" w:space="0" w:color="auto"/>
                      <w:left w:val="single" w:sz="6" w:space="0" w:color="000000"/>
                      <w:bottom w:val="single" w:sz="6" w:space="0" w:color="000000"/>
                      <w:right w:val="single" w:sz="6" w:space="0" w:color="000000"/>
                    </w:tcBorders>
                    <w:vAlign w:val="center"/>
                  </w:tcPr>
                  <w:p>
                    <w:pPr>
                      <w:shd w:val="clear" w:color="000000" w:fill="auto"/>
                      <w:jc w:val="center"/>
                      <w:rPr>
                        <w:sz w:val="18"/>
                        <w:szCs w:val="24"/>
                        <w:lang w:eastAsia="lt-LT"/>
                      </w:rPr>
                    </w:pPr>
                  </w:p>
                </w:tc>
                <w:tc>
                  <w:tcPr>
                    <w:tcW w:w="2553" w:type="dxa"/>
                    <w:tcBorders>
                      <w:top w:val="single" w:sz="4" w:space="0" w:color="auto"/>
                      <w:left w:val="single" w:sz="6" w:space="0" w:color="000000"/>
                      <w:bottom w:val="single" w:sz="6" w:space="0" w:color="000000"/>
                      <w:right w:val="single" w:sz="4" w:space="0" w:color="auto"/>
                    </w:tcBorders>
                    <w:vAlign w:val="center"/>
                  </w:tcPr>
                  <w:p>
                    <w:pPr>
                      <w:shd w:val="clear" w:color="000000" w:fill="auto"/>
                      <w:jc w:val="center"/>
                      <w:rPr>
                        <w:sz w:val="18"/>
                        <w:szCs w:val="24"/>
                        <w:lang w:eastAsia="lt-LT"/>
                      </w:rPr>
                    </w:pPr>
                  </w:p>
                </w:tc>
              </w:tr>
              <w:tr>
                <w:trPr>
                  <w:cantSplit/>
                </w:trPr>
                <w:tc>
                  <w:tcPr>
                    <w:tcW w:w="2526" w:type="dxa"/>
                    <w:tcBorders>
                      <w:top w:val="single" w:sz="6" w:space="0" w:color="000000"/>
                      <w:left w:val="single" w:sz="4" w:space="0" w:color="auto"/>
                      <w:bottom w:val="single" w:sz="6" w:space="0" w:color="000000"/>
                      <w:right w:val="single" w:sz="6" w:space="0" w:color="000000"/>
                    </w:tcBorders>
                    <w:vAlign w:val="center"/>
                  </w:tcPr>
                  <w:p>
                    <w:pPr>
                      <w:shd w:val="clear" w:color="000000" w:fill="auto"/>
                      <w:jc w:val="center"/>
                      <w:rPr>
                        <w:sz w:val="18"/>
                        <w:szCs w:val="24"/>
                        <w:lang w:eastAsia="lt-LT"/>
                      </w:rPr>
                    </w:pPr>
                  </w:p>
                </w:tc>
                <w:tc>
                  <w:tcPr>
                    <w:tcW w:w="1338" w:type="dxa"/>
                    <w:tcBorders>
                      <w:top w:val="single" w:sz="6" w:space="0" w:color="000000"/>
                      <w:left w:val="single" w:sz="6" w:space="0" w:color="000000"/>
                      <w:bottom w:val="single" w:sz="6" w:space="0" w:color="000000"/>
                      <w:right w:val="single" w:sz="6" w:space="0" w:color="000000"/>
                    </w:tcBorders>
                    <w:vAlign w:val="center"/>
                  </w:tcPr>
                  <w:p>
                    <w:pPr>
                      <w:shd w:val="clear" w:color="000000" w:fill="auto"/>
                      <w:jc w:val="center"/>
                      <w:rPr>
                        <w:sz w:val="18"/>
                        <w:szCs w:val="24"/>
                        <w:lang w:eastAsia="lt-LT"/>
                      </w:rPr>
                    </w:pPr>
                  </w:p>
                </w:tc>
                <w:tc>
                  <w:tcPr>
                    <w:tcW w:w="1762" w:type="dxa"/>
                    <w:tcBorders>
                      <w:top w:val="single" w:sz="6" w:space="0" w:color="000000"/>
                      <w:left w:val="single" w:sz="6" w:space="0" w:color="000000"/>
                      <w:bottom w:val="single" w:sz="6" w:space="0" w:color="000000"/>
                      <w:right w:val="single" w:sz="6" w:space="0" w:color="000000"/>
                    </w:tcBorders>
                    <w:vAlign w:val="center"/>
                  </w:tcPr>
                  <w:p>
                    <w:pPr>
                      <w:shd w:val="clear" w:color="000000" w:fill="auto"/>
                      <w:jc w:val="center"/>
                      <w:rPr>
                        <w:sz w:val="18"/>
                        <w:szCs w:val="24"/>
                        <w:lang w:eastAsia="lt-LT"/>
                      </w:rPr>
                    </w:pPr>
                  </w:p>
                </w:tc>
                <w:tc>
                  <w:tcPr>
                    <w:tcW w:w="1209" w:type="dxa"/>
                    <w:tcBorders>
                      <w:top w:val="single" w:sz="6" w:space="0" w:color="000000"/>
                      <w:left w:val="single" w:sz="6" w:space="0" w:color="000000"/>
                      <w:bottom w:val="single" w:sz="6" w:space="0" w:color="000000"/>
                      <w:right w:val="single" w:sz="6" w:space="0" w:color="000000"/>
                    </w:tcBorders>
                    <w:vAlign w:val="center"/>
                  </w:tcPr>
                  <w:p>
                    <w:pPr>
                      <w:shd w:val="clear" w:color="000000" w:fill="auto"/>
                      <w:jc w:val="center"/>
                      <w:rPr>
                        <w:sz w:val="18"/>
                        <w:szCs w:val="24"/>
                        <w:lang w:eastAsia="lt-LT"/>
                      </w:rPr>
                    </w:pPr>
                  </w:p>
                </w:tc>
                <w:tc>
                  <w:tcPr>
                    <w:tcW w:w="2024" w:type="dxa"/>
                    <w:tcBorders>
                      <w:top w:val="single" w:sz="6" w:space="0" w:color="000000"/>
                      <w:left w:val="single" w:sz="6" w:space="0" w:color="000000"/>
                      <w:bottom w:val="single" w:sz="6" w:space="0" w:color="000000"/>
                      <w:right w:val="single" w:sz="6" w:space="0" w:color="000000"/>
                    </w:tcBorders>
                    <w:vAlign w:val="center"/>
                  </w:tcPr>
                  <w:p>
                    <w:pPr>
                      <w:shd w:val="clear" w:color="000000" w:fill="auto"/>
                      <w:jc w:val="center"/>
                      <w:rPr>
                        <w:sz w:val="18"/>
                        <w:szCs w:val="24"/>
                        <w:lang w:eastAsia="lt-LT"/>
                      </w:rPr>
                    </w:pPr>
                  </w:p>
                </w:tc>
                <w:tc>
                  <w:tcPr>
                    <w:tcW w:w="1887" w:type="dxa"/>
                    <w:tcBorders>
                      <w:top w:val="single" w:sz="6" w:space="0" w:color="000000"/>
                      <w:left w:val="single" w:sz="6" w:space="0" w:color="000000"/>
                      <w:bottom w:val="single" w:sz="6" w:space="0" w:color="000000"/>
                      <w:right w:val="single" w:sz="6" w:space="0" w:color="000000"/>
                    </w:tcBorders>
                    <w:vAlign w:val="center"/>
                  </w:tcPr>
                  <w:p>
                    <w:pPr>
                      <w:shd w:val="clear" w:color="000000" w:fill="auto"/>
                      <w:jc w:val="center"/>
                      <w:rPr>
                        <w:sz w:val="18"/>
                        <w:szCs w:val="24"/>
                        <w:lang w:eastAsia="lt-LT"/>
                      </w:rPr>
                    </w:pPr>
                  </w:p>
                </w:tc>
                <w:tc>
                  <w:tcPr>
                    <w:tcW w:w="2553" w:type="dxa"/>
                    <w:tcBorders>
                      <w:top w:val="single" w:sz="6" w:space="0" w:color="000000"/>
                      <w:left w:val="single" w:sz="6" w:space="0" w:color="000000"/>
                      <w:bottom w:val="single" w:sz="6" w:space="0" w:color="000000"/>
                      <w:right w:val="single" w:sz="4" w:space="0" w:color="auto"/>
                    </w:tcBorders>
                    <w:vAlign w:val="center"/>
                  </w:tcPr>
                  <w:p>
                    <w:pPr>
                      <w:shd w:val="clear" w:color="000000" w:fill="auto"/>
                      <w:jc w:val="center"/>
                      <w:rPr>
                        <w:sz w:val="18"/>
                        <w:szCs w:val="24"/>
                        <w:lang w:eastAsia="lt-LT"/>
                      </w:rPr>
                    </w:pPr>
                  </w:p>
                </w:tc>
              </w:tr>
              <w:tr>
                <w:trPr>
                  <w:cantSplit/>
                </w:trPr>
                <w:tc>
                  <w:tcPr>
                    <w:tcW w:w="2526" w:type="dxa"/>
                    <w:tcBorders>
                      <w:top w:val="single" w:sz="6" w:space="0" w:color="000000"/>
                      <w:left w:val="single" w:sz="4" w:space="0" w:color="auto"/>
                      <w:bottom w:val="single" w:sz="4" w:space="0" w:color="auto"/>
                      <w:right w:val="single" w:sz="6" w:space="0" w:color="000000"/>
                    </w:tcBorders>
                    <w:vAlign w:val="center"/>
                  </w:tcPr>
                  <w:p>
                    <w:pPr>
                      <w:shd w:val="clear" w:color="000000" w:fill="auto"/>
                      <w:jc w:val="center"/>
                      <w:rPr>
                        <w:sz w:val="18"/>
                        <w:szCs w:val="24"/>
                        <w:lang w:eastAsia="lt-LT"/>
                      </w:rPr>
                    </w:pPr>
                  </w:p>
                </w:tc>
                <w:tc>
                  <w:tcPr>
                    <w:tcW w:w="1338" w:type="dxa"/>
                    <w:tcBorders>
                      <w:top w:val="single" w:sz="6" w:space="0" w:color="000000"/>
                      <w:left w:val="single" w:sz="6" w:space="0" w:color="000000"/>
                      <w:bottom w:val="single" w:sz="4" w:space="0" w:color="auto"/>
                      <w:right w:val="single" w:sz="6" w:space="0" w:color="000000"/>
                    </w:tcBorders>
                    <w:vAlign w:val="center"/>
                  </w:tcPr>
                  <w:p>
                    <w:pPr>
                      <w:shd w:val="clear" w:color="000000" w:fill="auto"/>
                      <w:jc w:val="center"/>
                      <w:rPr>
                        <w:sz w:val="18"/>
                        <w:szCs w:val="24"/>
                        <w:lang w:eastAsia="lt-LT"/>
                      </w:rPr>
                    </w:pPr>
                  </w:p>
                </w:tc>
                <w:tc>
                  <w:tcPr>
                    <w:tcW w:w="1762" w:type="dxa"/>
                    <w:tcBorders>
                      <w:top w:val="single" w:sz="6" w:space="0" w:color="000000"/>
                      <w:left w:val="single" w:sz="6" w:space="0" w:color="000000"/>
                      <w:bottom w:val="single" w:sz="4" w:space="0" w:color="auto"/>
                      <w:right w:val="single" w:sz="6" w:space="0" w:color="000000"/>
                    </w:tcBorders>
                    <w:vAlign w:val="center"/>
                  </w:tcPr>
                  <w:p>
                    <w:pPr>
                      <w:shd w:val="clear" w:color="000000" w:fill="auto"/>
                      <w:jc w:val="center"/>
                      <w:rPr>
                        <w:sz w:val="18"/>
                        <w:szCs w:val="24"/>
                        <w:lang w:eastAsia="lt-LT"/>
                      </w:rPr>
                    </w:pPr>
                  </w:p>
                </w:tc>
                <w:tc>
                  <w:tcPr>
                    <w:tcW w:w="1209" w:type="dxa"/>
                    <w:tcBorders>
                      <w:top w:val="single" w:sz="6" w:space="0" w:color="000000"/>
                      <w:left w:val="single" w:sz="6" w:space="0" w:color="000000"/>
                      <w:bottom w:val="single" w:sz="4" w:space="0" w:color="auto"/>
                      <w:right w:val="single" w:sz="6" w:space="0" w:color="000000"/>
                    </w:tcBorders>
                    <w:vAlign w:val="center"/>
                  </w:tcPr>
                  <w:p>
                    <w:pPr>
                      <w:shd w:val="clear" w:color="000000" w:fill="auto"/>
                      <w:jc w:val="center"/>
                      <w:rPr>
                        <w:sz w:val="18"/>
                        <w:szCs w:val="24"/>
                        <w:lang w:eastAsia="lt-LT"/>
                      </w:rPr>
                    </w:pPr>
                  </w:p>
                </w:tc>
                <w:tc>
                  <w:tcPr>
                    <w:tcW w:w="2024" w:type="dxa"/>
                    <w:tcBorders>
                      <w:top w:val="single" w:sz="6" w:space="0" w:color="000000"/>
                      <w:left w:val="single" w:sz="6" w:space="0" w:color="000000"/>
                      <w:bottom w:val="single" w:sz="4" w:space="0" w:color="auto"/>
                      <w:right w:val="single" w:sz="6" w:space="0" w:color="000000"/>
                    </w:tcBorders>
                    <w:vAlign w:val="center"/>
                  </w:tcPr>
                  <w:p>
                    <w:pPr>
                      <w:shd w:val="clear" w:color="000000" w:fill="auto"/>
                      <w:jc w:val="center"/>
                      <w:rPr>
                        <w:sz w:val="18"/>
                        <w:szCs w:val="24"/>
                        <w:lang w:eastAsia="lt-LT"/>
                      </w:rPr>
                    </w:pPr>
                  </w:p>
                </w:tc>
                <w:tc>
                  <w:tcPr>
                    <w:tcW w:w="1887" w:type="dxa"/>
                    <w:tcBorders>
                      <w:top w:val="single" w:sz="6" w:space="0" w:color="000000"/>
                      <w:left w:val="single" w:sz="6" w:space="0" w:color="000000"/>
                      <w:bottom w:val="single" w:sz="4" w:space="0" w:color="auto"/>
                      <w:right w:val="single" w:sz="6" w:space="0" w:color="000000"/>
                    </w:tcBorders>
                    <w:vAlign w:val="center"/>
                  </w:tcPr>
                  <w:p>
                    <w:pPr>
                      <w:shd w:val="clear" w:color="000000" w:fill="auto"/>
                      <w:jc w:val="center"/>
                      <w:rPr>
                        <w:sz w:val="18"/>
                        <w:szCs w:val="24"/>
                        <w:lang w:eastAsia="lt-LT"/>
                      </w:rPr>
                    </w:pPr>
                  </w:p>
                </w:tc>
                <w:tc>
                  <w:tcPr>
                    <w:tcW w:w="2553" w:type="dxa"/>
                    <w:tcBorders>
                      <w:top w:val="single" w:sz="6" w:space="0" w:color="000000"/>
                      <w:left w:val="single" w:sz="6" w:space="0" w:color="000000"/>
                      <w:bottom w:val="single" w:sz="4" w:space="0" w:color="auto"/>
                      <w:right w:val="single" w:sz="4" w:space="0" w:color="auto"/>
                    </w:tcBorders>
                    <w:vAlign w:val="center"/>
                  </w:tcPr>
                  <w:p>
                    <w:pPr>
                      <w:shd w:val="clear" w:color="000000" w:fill="auto"/>
                      <w:jc w:val="center"/>
                      <w:rPr>
                        <w:sz w:val="18"/>
                        <w:szCs w:val="24"/>
                        <w:lang w:eastAsia="lt-LT"/>
                      </w:rPr>
                    </w:pPr>
                  </w:p>
                </w:tc>
              </w:tr>
            </w:tbl>
            <w:p>
              <w:pPr>
                <w:shd w:val="clear" w:color="000000" w:fill="auto"/>
                <w:ind w:firstLine="567"/>
                <w:jc w:val="both"/>
                <w:rPr>
                  <w:sz w:val="22"/>
                  <w:szCs w:val="24"/>
                  <w:lang w:eastAsia="lt-LT"/>
                </w:rPr>
              </w:pPr>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skyrius"/>
            <w:tag w:val="part_262d5876d92d4ed68653344cb99952e8"/>
            <w:lock w:val="sdtLocked"/>
            <w:richText/>
          </w:sdtPr>
          <w:sdtContent>
            <w:p>
              <w:pPr>
                <w:shd w:val="clear" w:color="000000" w:fill="auto"/>
                <w:jc w:val="center"/>
                <w:rPr>
                  <w:b/>
                  <w:sz w:val="22"/>
                  <w:szCs w:val="24"/>
                  <w:lang w:eastAsia="lt-LT"/>
                </w:rPr>
              </w:pPr>
              <w:sdt>
                <w:sdtPr>
                  <w:alias w:val="Numeris"/>
                  <w:tag w:val="nr_262d5876d92d4ed68653344cb99952e8"/>
                  <w:lock w:val="sdtLocked"/>
                  <w:richText/>
                </w:sdtPr>
                <w:sdtContent>
                  <w:r>
                    <w:rPr>
                      <w:b/>
                      <w:sz w:val="22"/>
                      <w:szCs w:val="24"/>
                      <w:lang w:eastAsia="lt-LT"/>
                    </w:rPr>
                    <w:t>XIV</w:t>
                  </w:r>
                </w:sdtContent>
              </w:sdt>
              <w:r>
                <w:rPr>
                  <w:b/>
                  <w:sz w:val="22"/>
                  <w:szCs w:val="24"/>
                  <w:lang w:eastAsia="lt-LT"/>
                </w:rPr>
                <w:t xml:space="preserve">. </w:t>
              </w:r>
              <w:sdt>
                <w:sdtPr>
                  <w:alias w:val="Pavadinimas"/>
                  <w:tag w:val="title_262d5876d92d4ed68653344cb99952e8"/>
                  <w:lock w:val="sdtLocked"/>
                  <w:richText/>
                </w:sdtPr>
                <w:sdtContent>
                  <w:r>
                    <w:rPr>
                      <w:b/>
                      <w:sz w:val="22"/>
                      <w:szCs w:val="24"/>
                      <w:lang w:eastAsia="lt-LT"/>
                    </w:rPr>
                    <w:t xml:space="preserve">PARAIŠKOS DOKUMENTAI, KITI PRIEDAI, INFORMACIJA IR DUOMENYS </w:t>
                  </w:r>
                </w:sdtContent>
              </w:sdt>
            </w:p>
            <w:p>
              <w:pPr>
                <w:shd w:val="clear" w:color="000000" w:fill="auto"/>
                <w:jc w:val="center"/>
                <w:rPr>
                  <w:szCs w:val="24"/>
                  <w:lang w:eastAsia="lt-LT"/>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sdtContent>
        </w:sdt>
        <w:sdt>
          <w:sdtPr>
            <w:alias w:val="1 pr."/>
            <w:tag w:val="part_455c5a3455a94b89938cc1adc4b916ed"/>
            <w:lock w:val="sdtLocked"/>
            <w:richText/>
          </w:sdtPr>
          <w:sdtContent>
            <w:p>
              <w:pPr>
                <w:keepNext/>
                <w:keepLines/>
                <w:widowControl w:val="0"/>
                <w:suppressAutoHyphens/>
                <w:ind w:left="4535"/>
                <w:sectPr>
                  <w:pgSz w:w="15840" w:h="12240" w:orient="landscape" w:code="1"/>
                  <w:pgMar w:top="1701" w:right="851" w:bottom="1134" w:left="851" w:header="720" w:footer="720" w:gutter="0"/>
                  <w:cols w:space="720"/>
                  <w:noEndnote/>
                  <w:docGrid w:linePitch="326"/>
                </w:sectPr>
              </w:pPr>
            </w:p>
            <w:p>
              <w:pPr>
                <w:keepNext/>
                <w:keepLines/>
                <w:widowControl w:val="0"/>
                <w:suppressAutoHyphens/>
                <w:ind w:left="8080"/>
                <w:rPr>
                  <w:bCs/>
                  <w:szCs w:val="24"/>
                  <w:lang w:eastAsia="lt-LT"/>
                </w:rPr>
              </w:pPr>
              <w:r>
                <w:rPr>
                  <w:bCs/>
                  <w:szCs w:val="24"/>
                  <w:lang w:eastAsia="lt-LT"/>
                </w:rPr>
                <w:t xml:space="preserve">4 priedo </w:t>
              </w:r>
            </w:p>
            <w:p>
              <w:pPr>
                <w:keepNext/>
                <w:keepLines/>
                <w:widowControl w:val="0"/>
                <w:suppressAutoHyphens/>
                <w:ind w:left="8080"/>
                <w:rPr>
                  <w:bCs/>
                  <w:szCs w:val="24"/>
                  <w:lang w:eastAsia="lt-LT"/>
                </w:rPr>
              </w:pPr>
              <w:sdt>
                <w:sdtPr>
                  <w:alias w:val="Numeris"/>
                  <w:tag w:val="nr_455c5a3455a94b89938cc1adc4b916ed"/>
                  <w:lock w:val="sdtLocked"/>
                  <w:richText/>
                </w:sdtPr>
                <w:sdtContent>
                  <w:r>
                    <w:rPr>
                      <w:bCs/>
                      <w:szCs w:val="24"/>
                      <w:lang w:eastAsia="lt-LT"/>
                    </w:rPr>
                    <w:t>1</w:t>
                  </w:r>
                </w:sdtContent>
              </w:sdt>
              <w:r>
                <w:rPr>
                  <w:bCs/>
                  <w:szCs w:val="24"/>
                  <w:lang w:eastAsia="lt-LT"/>
                </w:rPr>
                <w:t xml:space="preserve"> priedėlis</w:t>
              </w:r>
            </w:p>
            <w:p>
              <w:pPr>
                <w:keepNext/>
                <w:keepLines/>
                <w:widowControl w:val="0"/>
                <w:suppressAutoHyphens/>
                <w:rPr>
                  <w:b/>
                  <w:bCs/>
                  <w:szCs w:val="24"/>
                  <w:lang w:eastAsia="lt-LT"/>
                </w:rPr>
              </w:pPr>
            </w:p>
            <w:p>
              <w:pPr>
                <w:jc w:val="center"/>
                <w:rPr>
                  <w:b/>
                  <w:szCs w:val="24"/>
                  <w:lang w:eastAsia="lt-LT"/>
                </w:rPr>
              </w:pPr>
              <w:sdt>
                <w:sdtPr>
                  <w:alias w:val="Pavadinimas"/>
                  <w:tag w:val="title_455c5a3455a94b89938cc1adc4b916ed"/>
                  <w:lock w:val="sdtLocked"/>
                  <w:richText/>
                </w:sdtPr>
                <w:sdtContent>
                  <w:r>
                    <w:rPr>
                      <w:b/>
                      <w:szCs w:val="24"/>
                      <w:lang w:eastAsia="lt-LT"/>
                    </w:rPr>
                    <w:t>DEKLARACIJA</w:t>
                  </w:r>
                </w:sdtContent>
              </w:sdt>
            </w:p>
            <w:p>
              <w:pPr>
                <w:ind w:firstLine="567"/>
                <w:jc w:val="both"/>
                <w:rPr>
                  <w:color w:val="000000"/>
                  <w:szCs w:val="24"/>
                  <w:lang w:eastAsia="lt-LT"/>
                </w:rPr>
              </w:pPr>
            </w:p>
            <w:p>
              <w:pPr>
                <w:ind w:firstLine="567"/>
                <w:jc w:val="both"/>
                <w:rPr>
                  <w:color w:val="000000"/>
                  <w:szCs w:val="24"/>
                  <w:lang w:eastAsia="lt-LT"/>
                </w:rPr>
              </w:pPr>
            </w:p>
            <w:p>
              <w:pPr>
                <w:ind w:firstLine="567"/>
                <w:jc w:val="both"/>
                <w:rPr>
                  <w:color w:val="000000"/>
                  <w:szCs w:val="24"/>
                  <w:lang w:eastAsia="lt-LT"/>
                </w:rPr>
              </w:pPr>
              <w:r>
                <w:rPr>
                  <w:color w:val="000000"/>
                  <w:szCs w:val="24"/>
                  <w:lang w:eastAsia="lt-LT"/>
                </w:rPr>
                <w:t>Teikiu paraišką Taršos integruotos prevencijos ir kontrolės leidimui gauti (pakeisti).</w:t>
              </w:r>
            </w:p>
            <w:p>
              <w:pPr>
                <w:ind w:firstLine="567"/>
                <w:jc w:val="both"/>
                <w:rPr>
                  <w:color w:val="000000"/>
                  <w:szCs w:val="24"/>
                  <w:lang w:eastAsia="lt-LT"/>
                </w:rPr>
              </w:pPr>
            </w:p>
            <w:p>
              <w:pPr>
                <w:ind w:firstLine="567"/>
                <w:jc w:val="both"/>
                <w:rPr>
                  <w:color w:val="000000"/>
                  <w:szCs w:val="24"/>
                  <w:lang w:eastAsia="lt-LT"/>
                </w:rPr>
              </w:pPr>
              <w:r>
                <w:rPr>
                  <w:color w:val="000000"/>
                  <w:szCs w:val="24"/>
                  <w:lang w:eastAsia="lt-LT"/>
                </w:rPr>
                <w:t>Patvirtinu, kad šioje paraiškoje pateikta informacija yra teisinga, tiksli ir visa.</w:t>
              </w:r>
            </w:p>
            <w:p>
              <w:pPr>
                <w:ind w:firstLine="567"/>
                <w:jc w:val="both"/>
                <w:rPr>
                  <w:color w:val="000000"/>
                  <w:szCs w:val="24"/>
                  <w:lang w:eastAsia="lt-LT"/>
                </w:rPr>
              </w:pPr>
            </w:p>
            <w:p>
              <w:pPr>
                <w:ind w:firstLine="567"/>
                <w:jc w:val="both"/>
                <w:rPr>
                  <w:szCs w:val="24"/>
                  <w:lang w:eastAsia="lt-LT"/>
                </w:rPr>
              </w:pPr>
              <w:r>
                <w:rPr>
                  <w:color w:val="000000"/>
                  <w:szCs w:val="24"/>
                  <w:lang w:eastAsia="lt-LT"/>
                </w:rPr>
                <w:t xml:space="preserve">Neprieštarauju, kad leidimą išduodanti institucija paraiškos ar jos dalies kopiją, išskyrus informaciją, kuri šioje paraiškoje </w:t>
              </w:r>
              <w:r>
                <w:rPr>
                  <w:szCs w:val="24"/>
                  <w:lang w:eastAsia="lt-LT"/>
                </w:rPr>
                <w:t>nurodyta kaip komercinė (gamybinė) paslaptis, pateiktų bet kuriam asmeniui.</w:t>
              </w:r>
            </w:p>
            <w:p>
              <w:pPr>
                <w:ind w:firstLine="567"/>
                <w:jc w:val="both"/>
                <w:rPr>
                  <w:szCs w:val="24"/>
                  <w:lang w:eastAsia="lt-LT"/>
                </w:rPr>
              </w:pPr>
            </w:p>
            <w:p>
              <w:pPr>
                <w:ind w:firstLine="567"/>
                <w:jc w:val="both"/>
                <w:rPr>
                  <w:szCs w:val="24"/>
                  <w:lang w:eastAsia="lt-LT"/>
                </w:rPr>
              </w:pPr>
              <w:r>
                <w:rPr>
                  <w:szCs w:val="24"/>
                  <w:lang w:eastAsia="lt-LT"/>
                </w:rPr>
                <w:t>Įsipareigoju nustatytais terminais:</w:t>
              </w:r>
            </w:p>
            <w:p>
              <w:pPr>
                <w:ind w:firstLine="567"/>
                <w:jc w:val="both"/>
                <w:rPr>
                  <w:szCs w:val="24"/>
                  <w:lang w:eastAsia="lt-LT"/>
                </w:rPr>
              </w:pPr>
              <w:r>
                <w:rPr>
                  <w:szCs w:val="24"/>
                  <w:lang w:eastAsia="lt-LT"/>
                </w:rPr>
                <w:t>1) deklaruoti per praėjusius kalendorinius metus į aplinkos orą išmestą ir su nuotekomis išleistą teršalų kiekį;</w:t>
              </w:r>
            </w:p>
            <w:p>
              <w:pPr>
                <w:ind w:firstLine="567"/>
                <w:jc w:val="both"/>
                <w:rPr>
                  <w:szCs w:val="24"/>
                  <w:lang w:eastAsia="lt-LT"/>
                </w:rPr>
              </w:pPr>
              <w:r>
                <w:rPr>
                  <w:szCs w:val="24"/>
                  <w:lang w:eastAsia="lt-LT"/>
                </w:rPr>
                <w:t>2) raštu pranešti apie bet kokius įrenginio pobūdžio arba veikimo pakeitimus ar išplėtimą, kurie gali daryti neigiamą poveikį aplinkai;</w:t>
              </w:r>
            </w:p>
            <w:p>
              <w:pPr>
                <w:ind w:firstLine="567"/>
                <w:jc w:val="both"/>
                <w:rPr>
                  <w:szCs w:val="24"/>
                  <w:lang w:eastAsia="lt-LT"/>
                </w:rPr>
              </w:pPr>
              <w:r>
                <w:rPr>
                  <w:szCs w:val="24"/>
                  <w:lang w:eastAsia="lt-LT"/>
                </w:rPr>
                <w:t>3) kiekvienais kalendoriniais metais iki rugsėjo 30 d. atsisakyti tokio ŠESD apyvartinių taršos leidimų kiekio, kuris yra lygiavertis per praėjusius kalendorinius metus išmestam į atmosferą anglies dioksido kiekiui, išreikštam tonomis, ir (ar) anglies dioksido ekvivalento kiekiui.</w:t>
              </w:r>
            </w:p>
            <w:p>
              <w:pPr>
                <w:jc w:val="both"/>
                <w:rPr>
                  <w:szCs w:val="24"/>
                  <w:lang w:eastAsia="lt-LT"/>
                </w:rPr>
              </w:pPr>
            </w:p>
            <w:p>
              <w:pPr>
                <w:jc w:val="both"/>
                <w:rPr>
                  <w:szCs w:val="24"/>
                  <w:lang w:eastAsia="lt-LT"/>
                </w:rPr>
              </w:pPr>
            </w:p>
            <w:p>
              <w:pPr>
                <w:tabs>
                  <w:tab w:val="right" w:pos="9071"/>
                </w:tabs>
                <w:jc w:val="both"/>
                <w:rPr>
                  <w:szCs w:val="24"/>
                  <w:u w:val="single"/>
                  <w:lang w:eastAsia="lt-LT"/>
                </w:rPr>
              </w:pPr>
              <w:r>
                <w:rPr>
                  <w:szCs w:val="24"/>
                  <w:lang w:eastAsia="lt-LT"/>
                </w:rPr>
                <w:t>Parašas _____________________________</w:t>
                <w:tab/>
                <w:t>Data __________________</w:t>
              </w:r>
            </w:p>
            <w:p>
              <w:pPr>
                <w:ind w:firstLine="840"/>
                <w:jc w:val="both"/>
                <w:rPr>
                  <w:sz w:val="20"/>
                  <w:szCs w:val="24"/>
                  <w:lang w:eastAsia="lt-LT"/>
                </w:rPr>
              </w:pPr>
              <w:r>
                <w:rPr>
                  <w:sz w:val="20"/>
                  <w:szCs w:val="24"/>
                  <w:lang w:eastAsia="lt-LT"/>
                </w:rPr>
                <w:t>(veiklos vykdytojas ar jo įgaliotas asmuo)</w:t>
              </w:r>
            </w:p>
            <w:p>
              <w:pPr>
                <w:jc w:val="both"/>
                <w:rPr>
                  <w:sz w:val="20"/>
                  <w:szCs w:val="24"/>
                  <w:lang w:eastAsia="lt-LT"/>
                </w:rPr>
              </w:pPr>
            </w:p>
            <w:p>
              <w:pPr>
                <w:jc w:val="both"/>
                <w:rPr>
                  <w:szCs w:val="24"/>
                  <w:lang w:eastAsia="lt-LT"/>
                </w:rPr>
              </w:pPr>
            </w:p>
            <w:p>
              <w:pPr>
                <w:jc w:val="both"/>
                <w:rPr>
                  <w:szCs w:val="24"/>
                  <w:lang w:eastAsia="lt-LT"/>
                </w:rPr>
              </w:pPr>
            </w:p>
            <w:p>
              <w:pPr>
                <w:tabs>
                  <w:tab w:val="left" w:leader="underscore" w:pos="8901"/>
                </w:tabs>
                <w:rPr>
                  <w:szCs w:val="24"/>
                  <w:lang w:eastAsia="lt-LT"/>
                </w:rPr>
              </w:pPr>
              <w:r>
                <w:rPr>
                  <w:szCs w:val="24"/>
                  <w:lang w:eastAsia="lt-LT"/>
                </w:rPr>
                <w:t>_</w:t>
                <w:tab/>
              </w:r>
            </w:p>
            <w:p>
              <w:pPr>
                <w:jc w:val="center"/>
                <w:rPr>
                  <w:sz w:val="20"/>
                  <w:szCs w:val="24"/>
                  <w:lang w:eastAsia="lt-LT"/>
                </w:rPr>
              </w:pPr>
              <w:r>
                <w:rPr>
                  <w:sz w:val="20"/>
                  <w:szCs w:val="24"/>
                  <w:lang w:eastAsia="lt-LT"/>
                </w:rPr>
                <w:t>(pasirašančiojo vardas, pavardė, parašas, pareigos; pildoma didžiosiomis raidėmis)</w:t>
              </w:r>
            </w:p>
            <w:p>
              <w:pPr>
                <w:jc w:val="both"/>
                <w:rPr>
                  <w:szCs w:val="24"/>
                  <w:u w:val="single"/>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rPr>
                  <w:szCs w:val="24"/>
                  <w:u w:val="single"/>
                  <w:lang w:eastAsia="lt-LT"/>
                </w:rPr>
                <w:t>_________________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bba30608cfa11eea5a28c81c82193a8">
                <w:r w:rsidRPr="00532B9F">
                  <w:rPr>
                    <w:rFonts w:ascii="Arial" w:eastAsia="MS Mincho" w:hAnsi="Arial"/>
                    <w:sz w:val="20"/>
                    <w:i/>
                    <w:iCs/>
                    <w:color w:val="0000FF" w:themeColor="hyperlink"/>
                    <w:u w:val="single"/>
                  </w:rPr>
                  <w:t>D1-381</w:t>
                </w:r>
              </w:fldSimple>
              <w:r>
                <w:rPr>
                  <w:rFonts w:ascii="Arial" w:eastAsia="MS Mincho" w:hAnsi="Arial"/>
                  <w:sz w:val="20"/>
                  <w:i/>
                  <w:iCs/>
                </w:rPr>
                <w:t>,
2023-11-27,
paskelbta TAR 2023-11-27, i. k. 2023-22748            </w:t>
              </w:r>
            </w:p>
            <w:p/>
          </w:sdtContent>
        </w:sdt>
      </w:sdtContent>
    </w:sdt>
    <w:sdt>
      <w:sdtPr>
        <w:alias w:val="5 pr."/>
        <w:tag w:val="part_a0f52f77899a46d7bacb414125614699"/>
        <w:lock w:val="sdtLocked"/>
        <w:richText/>
      </w:sdtPr>
      <w:sdtContent>
        <w:p>
          <w:pPr>
            <w:ind w:left="4535"/>
            <w:sectPr>
              <w:pgSz w:w="12240" w:h="15840" w:code="1"/>
              <w:pgMar w:top="851" w:right="1134" w:bottom="851" w:left="1701" w:header="720" w:footer="720" w:gutter="0"/>
              <w:pgNumType w:start="1"/>
              <w:cols w:space="720"/>
              <w:noEndnote/>
              <w:titlePg/>
              <w:docGrid w:linePitch="326"/>
            </w:sectPr>
          </w:pPr>
        </w:p>
        <w:p>
          <w:pPr>
            <w:ind w:left="5103"/>
            <w:rPr>
              <w:szCs w:val="24"/>
              <w:lang w:eastAsia="lt-LT"/>
            </w:rPr>
          </w:pPr>
          <w:r>
            <w:rPr>
              <w:szCs w:val="24"/>
              <w:lang w:eastAsia="lt-LT"/>
            </w:rPr>
            <w:t xml:space="preserve">Taršos integruotos prevencijos ir kontrolės </w:t>
          </w:r>
        </w:p>
        <w:p>
          <w:pPr>
            <w:ind w:left="5103"/>
            <w:rPr>
              <w:bCs/>
              <w:szCs w:val="24"/>
              <w:lang w:eastAsia="lt-LT"/>
            </w:rPr>
          </w:pPr>
          <w:r>
            <w:rPr>
              <w:szCs w:val="24"/>
              <w:lang w:eastAsia="lt-LT"/>
            </w:rPr>
            <w:t xml:space="preserve">leidimų išdavimo, pakeitimo ir </w:t>
          </w:r>
          <w:r>
            <w:rPr>
              <w:bCs/>
              <w:szCs w:val="24"/>
              <w:lang w:eastAsia="lt-LT"/>
            </w:rPr>
            <w:t xml:space="preserve">galiojimo </w:t>
          </w:r>
        </w:p>
        <w:p>
          <w:pPr>
            <w:ind w:left="5103"/>
            <w:rPr>
              <w:szCs w:val="24"/>
              <w:lang w:eastAsia="lt-LT"/>
            </w:rPr>
          </w:pPr>
          <w:r>
            <w:rPr>
              <w:szCs w:val="24"/>
              <w:lang w:eastAsia="lt-LT"/>
            </w:rPr>
            <w:t xml:space="preserve">panaikinimo taisyklių </w:t>
          </w:r>
        </w:p>
        <w:p>
          <w:pPr>
            <w:ind w:left="5103"/>
            <w:rPr>
              <w:szCs w:val="24"/>
              <w:lang w:eastAsia="lt-LT"/>
            </w:rPr>
          </w:pPr>
          <w:sdt>
            <w:sdtPr>
              <w:alias w:val="Numeris"/>
              <w:tag w:val="nr_a0f52f77899a46d7bacb414125614699"/>
              <w:lock w:val="sdtLocked"/>
              <w:richText/>
            </w:sdtPr>
            <w:sdtContent>
              <w:r>
                <w:rPr>
                  <w:szCs w:val="24"/>
                  <w:lang w:eastAsia="lt-LT"/>
                </w:rPr>
                <w:t>5</w:t>
              </w:r>
            </w:sdtContent>
          </w:sdt>
          <w:r>
            <w:rPr>
              <w:szCs w:val="24"/>
              <w:lang w:eastAsia="lt-LT"/>
            </w:rPr>
            <w:t xml:space="preserve"> priedas</w:t>
          </w:r>
        </w:p>
        <w:p>
          <w:pPr>
            <w:jc w:val="center"/>
            <w:rPr>
              <w:b/>
              <w:szCs w:val="24"/>
              <w:lang w:eastAsia="lt-LT"/>
            </w:rPr>
          </w:pPr>
          <w:sdt>
            <w:sdtPr>
              <w:alias w:val="Pavadinimas"/>
              <w:tag w:val="title_a0f52f77899a46d7bacb414125614699"/>
              <w:lock w:val="sdtLocked"/>
              <w:richText/>
            </w:sdtPr>
            <w:sdtContent>
              <w:r>
                <w:t xml:space="preserve">     </w:t>
              </w:r>
            </w:sdtContent>
          </w:sdt>
        </w:p>
        <w:p>
          <w:pPr>
            <w:spacing w:line="360" w:lineRule="auto"/>
            <w:jc w:val="center"/>
            <w:rPr>
              <w:szCs w:val="24"/>
              <w:lang w:eastAsia="lt-LT"/>
            </w:rPr>
          </w:pPr>
          <w:r>
            <w:rPr>
              <w:szCs w:val="24"/>
              <w:lang w:eastAsia="lt-LT"/>
            </w:rPr>
            <w:drawing>
              <wp:inline distT="0" distB="0" distL="0" distR="0">
                <wp:extent cx="526415" cy="621030"/>
                <wp:effectExtent l="19050" t="0" r="6985"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srcRect/>
                        <a:stretch>
                          <a:fillRect/>
                        </a:stretch>
                      </pic:blipFill>
                      <pic:spPr bwMode="auto">
                        <a:xfrm>
                          <a:off x="0" y="0"/>
                          <a:ext cx="526415" cy="621030"/>
                        </a:xfrm>
                        <a:prstGeom prst="rect">
                          <a:avLst/>
                        </a:prstGeom>
                        <a:solidFill>
                          <a:srgbClr val="FFFFFF">
                            <a:alpha val="0"/>
                          </a:srgbClr>
                        </a:solidFill>
                        <a:ln w="9525">
                          <a:noFill/>
                          <a:miter lim="800000"/>
                          <a:headEnd/>
                          <a:tailEnd/>
                        </a:ln>
                      </pic:spPr>
                    </pic:pic>
                  </a:graphicData>
                </a:graphic>
              </wp:inline>
            </w:drawing>
          </w:r>
        </w:p>
        <w:p>
          <w:pPr>
            <w:spacing w:line="360" w:lineRule="auto"/>
            <w:jc w:val="center"/>
            <w:rPr>
              <w:b/>
              <w:szCs w:val="24"/>
              <w:lang w:eastAsia="lt-LT"/>
            </w:rPr>
          </w:pPr>
          <w:sdt>
            <w:sdtPr>
              <w:alias w:val="Pavadinimas"/>
              <w:tag w:val="title_a0f52f77899a46d7bacb414125614699"/>
              <w:lock w:val="sdtLocked"/>
              <w:richText/>
            </w:sdtPr>
            <w:sdtContent>
              <w:r>
                <w:rPr>
                  <w:b/>
                  <w:szCs w:val="24"/>
                  <w:lang w:eastAsia="lt-LT"/>
                </w:rPr>
                <w:t>APLINKOS APSAUGOS AGENTŪRA</w:t>
              </w:r>
            </w:sdtContent>
          </w:sdt>
        </w:p>
        <w:p>
          <w:pPr>
            <w:jc w:val="center"/>
            <w:rPr>
              <w:szCs w:val="24"/>
              <w:lang w:eastAsia="lt-LT"/>
            </w:rPr>
          </w:pPr>
        </w:p>
        <w:p>
          <w:pPr>
            <w:spacing w:line="360" w:lineRule="auto"/>
            <w:jc w:val="center"/>
            <w:rPr>
              <w:b/>
              <w:szCs w:val="24"/>
              <w:lang w:eastAsia="lt-LT"/>
            </w:rPr>
          </w:pPr>
          <w:r>
            <w:rPr>
              <w:b/>
              <w:szCs w:val="24"/>
              <w:lang w:eastAsia="lt-LT"/>
            </w:rPr>
            <w:t>TARŠOS INTEGRUOTOS PREVENCIJOS IR KONTROLĖS</w:t>
          </w:r>
        </w:p>
        <w:p>
          <w:pPr>
            <w:spacing w:line="360" w:lineRule="auto"/>
            <w:jc w:val="center"/>
            <w:rPr>
              <w:szCs w:val="24"/>
              <w:lang w:eastAsia="lt-LT"/>
            </w:rPr>
          </w:pPr>
          <w:r>
            <w:rPr>
              <w:b/>
              <w:szCs w:val="24"/>
              <w:lang w:eastAsia="lt-LT"/>
            </w:rPr>
            <w:t>LEIDIMAS Nr</w:t>
          </w:r>
          <w:r>
            <w:rPr>
              <w:szCs w:val="24"/>
              <w:lang w:eastAsia="lt-LT"/>
            </w:rPr>
            <w:t>._____________________</w:t>
          </w:r>
        </w:p>
        <w:p>
          <w:pPr>
            <w:jc w:val="center"/>
            <w:rPr>
              <w:b/>
              <w:sz w:val="16"/>
              <w:szCs w:val="16"/>
              <w:lang w:eastAsia="lt-LT"/>
            </w:rPr>
          </w:pPr>
        </w:p>
        <w:p>
          <w:pPr>
            <w:suppressAutoHyphens/>
            <w:spacing w:line="360" w:lineRule="atLeast"/>
            <w:ind w:left="5760" w:firstLine="720"/>
            <w:textAlignment w:val="baseline"/>
            <w:rPr>
              <w:lang w:eastAsia="lt-LT"/>
            </w:rPr>
          </w:pPr>
          <w:r>
            <w:rPr>
              <w:lang w:eastAsia="lt-LT"/>
            </w:rPr>
            <w:t>[ ] [ ] [ ] [ ] [ ] [ ] [ ] [ ] [ ]</w:t>
          </w:r>
        </w:p>
        <w:p>
          <w:pPr>
            <w:suppressAutoHyphens/>
            <w:spacing w:line="360" w:lineRule="atLeast"/>
            <w:ind w:firstLine="6663"/>
            <w:textAlignment w:val="baseline"/>
            <w:rPr>
              <w:sz w:val="20"/>
              <w:lang w:eastAsia="lt-LT"/>
            </w:rPr>
          </w:pPr>
          <w:r>
            <w:rPr>
              <w:sz w:val="20"/>
              <w:lang w:eastAsia="lt-LT"/>
            </w:rPr>
            <w:t>(Juridinio asmens kodas)</w:t>
          </w:r>
        </w:p>
        <w:p>
          <w:pPr>
            <w:rPr>
              <w:szCs w:val="24"/>
              <w:lang w:eastAsia="lt-LT"/>
            </w:rPr>
          </w:pPr>
          <w:r>
            <w:rPr>
              <w:szCs w:val="24"/>
              <w:lang w:eastAsia="lt-LT"/>
            </w:rPr>
            <w:t>___________________________________________________________________________</w:t>
          </w:r>
        </w:p>
        <w:p>
          <w:pPr>
            <w:jc w:val="center"/>
            <w:rPr>
              <w:sz w:val="20"/>
              <w:szCs w:val="24"/>
              <w:lang w:eastAsia="lt-LT"/>
            </w:rPr>
          </w:pPr>
          <w:r>
            <w:rPr>
              <w:sz w:val="20"/>
              <w:szCs w:val="24"/>
              <w:lang w:eastAsia="lt-LT"/>
            </w:rPr>
            <w:t>(Ūkinės veiklos objekto pavadinimas, adresas, telefonas)</w:t>
          </w:r>
        </w:p>
        <w:p>
          <w:pPr>
            <w:rPr>
              <w:szCs w:val="24"/>
              <w:lang w:eastAsia="lt-LT"/>
            </w:rPr>
          </w:pPr>
        </w:p>
        <w:p>
          <w:pPr>
            <w:rPr>
              <w:szCs w:val="24"/>
              <w:lang w:eastAsia="lt-LT"/>
            </w:rPr>
          </w:pPr>
          <w:r>
            <w:rPr>
              <w:szCs w:val="24"/>
              <w:lang w:eastAsia="lt-LT"/>
            </w:rPr>
            <w:t>___________________________________________________________________________</w:t>
          </w:r>
        </w:p>
        <w:p>
          <w:pPr>
            <w:rPr>
              <w:szCs w:val="24"/>
              <w:lang w:eastAsia="lt-LT"/>
            </w:rPr>
          </w:pPr>
        </w:p>
        <w:p>
          <w:pPr>
            <w:rPr>
              <w:szCs w:val="24"/>
              <w:lang w:eastAsia="lt-LT"/>
            </w:rPr>
          </w:pPr>
        </w:p>
        <w:p>
          <w:pPr>
            <w:rPr>
              <w:szCs w:val="24"/>
              <w:lang w:eastAsia="lt-LT"/>
            </w:rPr>
          </w:pPr>
          <w:r>
            <w:rPr>
              <w:szCs w:val="24"/>
              <w:lang w:eastAsia="lt-LT"/>
            </w:rPr>
            <w:t>___________________________________________________________________________</w:t>
          </w:r>
        </w:p>
        <w:p>
          <w:pPr>
            <w:jc w:val="center"/>
            <w:rPr>
              <w:sz w:val="20"/>
              <w:szCs w:val="24"/>
              <w:lang w:eastAsia="lt-LT"/>
            </w:rPr>
          </w:pPr>
          <w:r>
            <w:rPr>
              <w:sz w:val="20"/>
              <w:szCs w:val="24"/>
              <w:lang w:eastAsia="lt-LT"/>
            </w:rPr>
            <w:t>(Veiklos vykdytojas, jo adresas, telefono, fakso Nr., elektroninio pašto adresas)</w:t>
          </w:r>
        </w:p>
        <w:p>
          <w:pPr>
            <w:rPr>
              <w:szCs w:val="24"/>
              <w:lang w:eastAsia="lt-LT"/>
            </w:rPr>
          </w:pPr>
        </w:p>
        <w:p>
          <w:pPr>
            <w:rPr>
              <w:szCs w:val="24"/>
              <w:lang w:eastAsia="lt-LT"/>
            </w:rPr>
          </w:pPr>
          <w:r>
            <w:rPr>
              <w:szCs w:val="24"/>
              <w:lang w:eastAsia="lt-LT"/>
            </w:rPr>
            <w:t>Leidimą (be priedų) sudaro ...…….................. lapų.</w:t>
          </w:r>
        </w:p>
        <w:p>
          <w:pPr>
            <w:rPr>
              <w:szCs w:val="24"/>
              <w:lang w:eastAsia="lt-LT"/>
            </w:rPr>
          </w:pPr>
        </w:p>
        <w:p>
          <w:pPr>
            <w:rPr>
              <w:szCs w:val="24"/>
              <w:lang w:eastAsia="lt-LT"/>
            </w:rPr>
          </w:pPr>
        </w:p>
        <w:p>
          <w:pPr>
            <w:rPr>
              <w:szCs w:val="24"/>
              <w:lang w:eastAsia="lt-LT"/>
            </w:rPr>
          </w:pPr>
          <w:r>
            <w:rPr>
              <w:szCs w:val="24"/>
              <w:lang w:eastAsia="lt-LT"/>
            </w:rPr>
            <w:t>Išduotas ..............m. .......................................d.</w:t>
            <w:tab/>
            <w:tab/>
            <w:tab/>
          </w:r>
          <w:r>
            <w:rPr>
              <w:strike/>
              <w:szCs w:val="24"/>
              <w:lang w:eastAsia="lt-LT"/>
            </w:rPr>
            <w:t>A.V.</w:t>
          </w:r>
          <w:r>
            <w:rPr>
              <w:szCs w:val="24"/>
              <w:lang w:eastAsia="lt-LT"/>
            </w:rPr>
            <w:tab/>
            <w:tab/>
          </w:r>
        </w:p>
        <w:p>
          <w:pPr>
            <w:rPr>
              <w:szCs w:val="24"/>
              <w:lang w:eastAsia="lt-LT"/>
            </w:rPr>
          </w:pPr>
        </w:p>
        <w:p>
          <w:pPr>
            <w:rPr>
              <w:szCs w:val="24"/>
              <w:lang w:eastAsia="lt-LT"/>
            </w:rPr>
          </w:pPr>
          <w:r>
            <w:rPr>
              <w:szCs w:val="24"/>
              <w:lang w:eastAsia="lt-LT"/>
            </w:rPr>
            <w:t>Leidimą išdavusio regiono aplinkos apsaugos departamento pavadinimas, leidimo išdavimo, atnaujinimo ir (ar) koregavimo (jei tokie buvo) datos:</w:t>
          </w:r>
        </w:p>
        <w:p>
          <w:pPr>
            <w:ind w:firstLine="60"/>
            <w:rPr>
              <w:szCs w:val="24"/>
              <w:lang w:eastAsia="lt-LT"/>
            </w:rPr>
          </w:pPr>
          <w:r>
            <w:rPr>
              <w:szCs w:val="24"/>
              <w:lang w:eastAsia="lt-LT"/>
            </w:rPr>
            <w:t>......................................................................................................................................................</w:t>
          </w:r>
        </w:p>
        <w:p>
          <w:pPr>
            <w:rPr>
              <w:szCs w:val="24"/>
              <w:lang w:eastAsia="lt-LT"/>
            </w:rPr>
          </w:pPr>
        </w:p>
        <w:p>
          <w:pPr>
            <w:rPr>
              <w:szCs w:val="24"/>
              <w:lang w:eastAsia="lt-LT"/>
            </w:rPr>
          </w:pPr>
          <w:r>
            <w:rPr>
              <w:szCs w:val="24"/>
              <w:lang w:eastAsia="lt-LT"/>
            </w:rPr>
            <w:t>Pakeistas ..............m. .......................................d.</w:t>
            <w:tab/>
            <w:tab/>
            <w:tab/>
          </w:r>
          <w:r>
            <w:rPr>
              <w:strike/>
              <w:szCs w:val="24"/>
              <w:lang w:eastAsia="lt-LT"/>
            </w:rPr>
            <w:t>A.V.</w:t>
          </w:r>
        </w:p>
        <w:p>
          <w:pPr>
            <w:rPr>
              <w:szCs w:val="24"/>
              <w:lang w:eastAsia="lt-LT"/>
            </w:rPr>
          </w:pPr>
        </w:p>
        <w:p>
          <w:pPr>
            <w:rPr>
              <w:szCs w:val="24"/>
              <w:lang w:eastAsia="lt-LT"/>
            </w:rPr>
          </w:pPr>
        </w:p>
        <w:p>
          <w:pPr>
            <w:tabs>
              <w:tab w:val="left" w:pos="6237"/>
            </w:tabs>
            <w:rPr>
              <w:szCs w:val="24"/>
              <w:lang w:eastAsia="lt-LT"/>
            </w:rPr>
          </w:pPr>
          <w:r>
            <w:rPr>
              <w:szCs w:val="24"/>
              <w:lang w:eastAsia="lt-LT"/>
            </w:rPr>
            <w:t>Direktorius______________________________</w:t>
            <w:tab/>
            <w:t>_______________________</w:t>
          </w:r>
        </w:p>
        <w:p>
          <w:pPr>
            <w:tabs>
              <w:tab w:val="center" w:pos="4819"/>
              <w:tab w:val="right" w:pos="6946"/>
              <w:tab w:val="center" w:pos="7370"/>
              <w:tab w:val="right" w:pos="9638"/>
            </w:tabs>
            <w:ind w:firstLine="1450"/>
            <w:rPr>
              <w:sz w:val="20"/>
            </w:rPr>
          </w:pPr>
          <w:r>
            <w:rPr>
              <w:sz w:val="20"/>
            </w:rPr>
            <w:t>(Vardas, pavardė)</w:t>
            <w:tab/>
            <w:tab/>
            <w:tab/>
            <w:t>(Parašas)</w:t>
          </w:r>
        </w:p>
        <w:p>
          <w:pPr>
            <w:ind w:firstLine="2160"/>
            <w:rPr>
              <w:szCs w:val="24"/>
              <w:lang w:eastAsia="lt-LT"/>
            </w:rPr>
          </w:pPr>
          <w:r>
            <w:rPr>
              <w:szCs w:val="24"/>
              <w:lang w:eastAsia="lt-LT"/>
            </w:rPr>
            <w:t>A. V.</w:t>
          </w:r>
        </w:p>
        <w:p>
          <w:pPr>
            <w:rPr>
              <w:szCs w:val="24"/>
              <w:lang w:eastAsia="lt-LT"/>
            </w:rPr>
          </w:pPr>
        </w:p>
        <w:p>
          <w:pPr>
            <w:rPr>
              <w:szCs w:val="24"/>
              <w:lang w:eastAsia="lt-LT"/>
            </w:rPr>
          </w:pPr>
          <w:r>
            <w:rPr>
              <w:szCs w:val="24"/>
              <w:lang w:eastAsia="lt-LT"/>
            </w:rPr>
            <w:t>Šio leidimo parengti ……..............…egzemplioriai.</w:t>
          </w:r>
        </w:p>
        <w:p>
          <w:pPr>
            <w:rPr>
              <w:szCs w:val="24"/>
              <w:lang w:eastAsia="lt-LT"/>
            </w:rPr>
          </w:pPr>
        </w:p>
        <w:p>
          <w:pPr>
            <w:rPr>
              <w:szCs w:val="24"/>
              <w:lang w:eastAsia="lt-LT"/>
            </w:rPr>
          </w:pPr>
          <w:r>
            <w:rPr>
              <w:szCs w:val="24"/>
              <w:lang w:eastAsia="lt-LT"/>
            </w:rPr>
            <w:t xml:space="preserve">Paraiška leidimui gauti ar pakeisti suderinta su: </w:t>
          </w:r>
        </w:p>
        <w:p>
          <w:pPr>
            <w:tabs>
              <w:tab w:val="num" w:pos="567"/>
            </w:tabs>
            <w:jc w:val="both"/>
            <w:rPr>
              <w:szCs w:val="24"/>
              <w:lang w:eastAsia="lt-LT"/>
            </w:rPr>
          </w:pPr>
        </w:p>
        <w:p>
          <w:pPr>
            <w:rPr>
              <w:szCs w:val="24"/>
              <w:lang w:eastAsia="lt-LT"/>
            </w:rPr>
          </w:pPr>
          <w:r>
            <w:rPr>
              <w:szCs w:val="24"/>
              <w:lang w:eastAsia="lt-LT"/>
            </w:rPr>
            <w:t>___________________________________________________________________________</w:t>
          </w:r>
        </w:p>
        <w:p>
          <w:pPr>
            <w:tabs>
              <w:tab w:val="num" w:pos="567"/>
            </w:tabs>
            <w:jc w:val="center"/>
            <w:rPr>
              <w:sz w:val="20"/>
            </w:rPr>
          </w:pPr>
          <w:r>
            <w:rPr>
              <w:sz w:val="20"/>
              <w:szCs w:val="24"/>
              <w:lang w:eastAsia="lt-LT"/>
            </w:rPr>
            <w:t>(Derinusios institucijos pavadinimas, suderinimo data)</w:t>
          </w:r>
        </w:p>
        <w:p>
          <w:pPr>
            <w:widowControl w:val="0"/>
            <w:ind w:firstLine="567"/>
            <w:jc w:val="both"/>
            <w:rPr>
              <w:bCs/>
              <w:color w:val="000000"/>
              <w:szCs w:val="24"/>
              <w:lang w:eastAsia="lt-LT"/>
            </w:rPr>
          </w:pPr>
        </w:p>
        <w:p>
          <w:pPr>
            <w:widowControl w:val="0"/>
            <w:ind w:firstLine="567"/>
            <w:jc w:val="both"/>
            <w:rPr>
              <w:bCs/>
              <w:color w:val="000000"/>
              <w:szCs w:val="24"/>
              <w:lang w:eastAsia="lt-LT"/>
            </w:rPr>
            <w:sectPr>
              <w:pgSz w:w="12240" w:h="15840" w:code="1"/>
              <w:pgMar w:top="851" w:right="1134" w:bottom="851" w:left="1701" w:header="720" w:footer="720" w:gutter="0"/>
              <w:pgNumType w:start="1"/>
              <w:cols w:space="720"/>
              <w:noEndnote/>
              <w:titlePg/>
              <w:docGrid w:linePitch="326"/>
            </w:sectPr>
          </w:pPr>
        </w:p>
        <w:p>
          <w:pPr>
            <w:widowControl w:val="0"/>
            <w:ind w:firstLine="567"/>
            <w:jc w:val="both"/>
            <w:rPr>
              <w:bCs/>
              <w:color w:val="000000"/>
              <w:szCs w:val="24"/>
              <w:lang w:eastAsia="lt-LT"/>
            </w:rPr>
          </w:pPr>
        </w:p>
        <w:sdt>
          <w:sdtPr>
            <w:alias w:val="skyrius"/>
            <w:tag w:val="part_fe8f0502c3e042ba8687790554d5c63f"/>
            <w:lock w:val="sdtLocked"/>
            <w:richText/>
          </w:sdtPr>
          <w:sdtContent>
            <w:p>
              <w:pPr>
                <w:jc w:val="center"/>
                <w:rPr>
                  <w:b/>
                  <w:sz w:val="22"/>
                  <w:szCs w:val="24"/>
                  <w:lang w:eastAsia="lt-LT"/>
                </w:rPr>
              </w:pPr>
              <w:r>
                <w:rPr>
                  <w:b/>
                  <w:sz w:val="22"/>
                  <w:szCs w:val="24"/>
                  <w:lang w:eastAsia="lt-LT"/>
                </w:rPr>
                <w:t xml:space="preserve">I. </w:t>
              </w:r>
              <w:sdt>
                <w:sdtPr>
                  <w:alias w:val="Pavadinimas"/>
                  <w:tag w:val="title_fe8f0502c3e042ba8687790554d5c63f"/>
                  <w:lock w:val="sdtLocked"/>
                  <w:richText/>
                </w:sdtPr>
                <w:sdtContent>
                  <w:r>
                    <w:rPr>
                      <w:b/>
                      <w:sz w:val="22"/>
                      <w:szCs w:val="24"/>
                      <w:lang w:eastAsia="lt-LT"/>
                    </w:rPr>
                    <w:t>BENDROJI DALIS</w:t>
                  </w:r>
                </w:sdtContent>
              </w:sdt>
            </w:p>
            <w:p>
              <w:pPr>
                <w:jc w:val="center"/>
                <w:rPr>
                  <w:b/>
                  <w:sz w:val="22"/>
                  <w:szCs w:val="24"/>
                  <w:lang w:eastAsia="lt-LT"/>
                </w:rPr>
              </w:pPr>
            </w:p>
            <w:sdt>
              <w:sdtPr>
                <w:alias w:val="5 pr. 1 p."/>
                <w:tag w:val="part_1743cc99315240b7835c501f64af8677"/>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 w:val="20"/>
                      <w:szCs w:val="24"/>
                      <w:lang w:eastAsia="lt-LT"/>
                    </w:rPr>
                  </w:pPr>
                  <w:sdt>
                    <w:sdtPr>
                      <w:alias w:val="Numeris"/>
                      <w:tag w:val="nr_1743cc99315240b7835c501f64af8677"/>
                      <w:lock w:val="sdtLocked"/>
                      <w:richText/>
                    </w:sdtPr>
                    <w:sdtContent>
                      <w:r>
                        <w:rPr>
                          <w:sz w:val="22"/>
                          <w:szCs w:val="24"/>
                          <w:lang w:eastAsia="lt-LT"/>
                        </w:rPr>
                        <w:t>1</w:t>
                      </w:r>
                    </w:sdtContent>
                  </w:sdt>
                  <w:r>
                    <w:rPr>
                      <w:sz w:val="22"/>
                      <w:szCs w:val="24"/>
                      <w:lang w:eastAsia="lt-LT"/>
                    </w:rPr>
                    <w:t>. Įrenginio pavadinimas, gamybos (projektinis) pajėgumas arba vardinė (nominali) šiluminė galia, vieta (adresas).</w:t>
                  </w:r>
                  <w:r>
                    <w:rPr>
                      <w:sz w:val="22"/>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5 pr. 2 p."/>
                <w:tag w:val="part_48af961830ce4540b51b3a0b031ce3d8"/>
                <w:lock w:val="sdtLocked"/>
                <w:richText/>
              </w:sdtPr>
              <w:sdtContent>
                <w:p>
                  <w:pPr>
                    <w:ind w:firstLine="567"/>
                    <w:jc w:val="both"/>
                    <w:rPr>
                      <w:sz w:val="22"/>
                      <w:szCs w:val="24"/>
                      <w:lang w:eastAsia="lt-LT"/>
                    </w:rPr>
                  </w:pPr>
                  <w:sdt>
                    <w:sdtPr>
                      <w:alias w:val="Numeris"/>
                      <w:tag w:val="nr_48af961830ce4540b51b3a0b031ce3d8"/>
                      <w:lock w:val="sdtLocked"/>
                      <w:richText/>
                    </w:sdtPr>
                    <w:sdtContent>
                      <w:r>
                        <w:rPr>
                          <w:sz w:val="22"/>
                          <w:szCs w:val="24"/>
                          <w:lang w:eastAsia="lt-LT"/>
                        </w:rPr>
                        <w:t>2</w:t>
                      </w:r>
                    </w:sdtContent>
                  </w:sdt>
                  <w:r>
                    <w:rPr>
                      <w:sz w:val="22"/>
                      <w:szCs w:val="24"/>
                      <w:lang w:eastAsia="lt-LT"/>
                    </w:rPr>
                    <w:t>. Ūkinės veiklos aprašymas.</w:t>
                  </w:r>
                </w:p>
              </w:sdtContent>
            </w:sdt>
            <w:sdt>
              <w:sdtPr>
                <w:alias w:val="5 pr. 3 p."/>
                <w:tag w:val="part_c50ea24da8b74eddb56d470d16b05e79"/>
                <w:lock w:val="sdtLocked"/>
                <w:richText/>
              </w:sdtPr>
              <w:sdtContent>
                <w:p>
                  <w:pPr>
                    <w:ind w:firstLine="567"/>
                    <w:jc w:val="both"/>
                    <w:rPr>
                      <w:sz w:val="22"/>
                      <w:szCs w:val="24"/>
                      <w:lang w:eastAsia="lt-LT"/>
                    </w:rPr>
                  </w:pPr>
                  <w:sdt>
                    <w:sdtPr>
                      <w:alias w:val="Numeris"/>
                      <w:tag w:val="nr_c50ea24da8b74eddb56d470d16b05e79"/>
                      <w:lock w:val="sdtLocked"/>
                      <w:richText/>
                    </w:sdtPr>
                    <w:sdtContent>
                      <w:r>
                        <w:rPr>
                          <w:sz w:val="22"/>
                          <w:szCs w:val="24"/>
                          <w:lang w:eastAsia="lt-LT"/>
                        </w:rPr>
                        <w:t>3</w:t>
                      </w:r>
                    </w:sdtContent>
                  </w:sdt>
                  <w:r>
                    <w:rPr>
                      <w:sz w:val="22"/>
                      <w:szCs w:val="24"/>
                      <w:lang w:eastAsia="lt-LT"/>
                    </w:rPr>
                    <w:t>. Veiklos rūšys, kurioms išduodamas leidimas:</w:t>
                  </w:r>
                </w:p>
                <w:p>
                  <w:pPr>
                    <w:ind w:firstLine="567"/>
                    <w:jc w:val="both"/>
                    <w:rPr>
                      <w:sz w:val="22"/>
                      <w:szCs w:val="24"/>
                      <w:lang w:eastAsia="lt-LT"/>
                    </w:rPr>
                  </w:pPr>
                </w:p>
                <w:p>
                  <w:pPr>
                    <w:suppressAutoHyphens/>
                    <w:ind w:firstLine="567"/>
                    <w:jc w:val="both"/>
                    <w:textAlignment w:val="baseline"/>
                    <w:rPr>
                      <w:sz w:val="22"/>
                      <w:szCs w:val="24"/>
                      <w:lang w:eastAsia="lt-LT"/>
                    </w:rPr>
                  </w:pPr>
                  <w:r>
                    <w:rPr>
                      <w:sz w:val="22"/>
                      <w:szCs w:val="24"/>
                      <w:lang w:eastAsia="lt-LT"/>
                    </w:rPr>
                    <w:t xml:space="preserve">1 lentelė. Įrenginyje leidžiama vykdyti ūkinė veikla </w:t>
                  </w:r>
                </w:p>
                <w:p>
                  <w:pPr>
                    <w:suppressAutoHyphens/>
                    <w:ind w:firstLine="567"/>
                    <w:jc w:val="both"/>
                    <w:textAlignment w:val="baseline"/>
                    <w:rPr>
                      <w:sz w:val="22"/>
                      <w:szCs w:val="24"/>
                      <w:lang w:eastAsia="lt-LT"/>
                    </w:rPr>
                  </w:pPr>
                </w:p>
                <w:tbl>
                  <w:tblPr>
                    <w:tblW w:w="13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716"/>
                    <w:gridCol w:w="6472"/>
                  </w:tblGrid>
                  <w:tr>
                    <w:tc>
                      <w:tcPr>
                        <w:tcW w:w="6716" w:type="dxa"/>
                        <w:tcBorders>
                          <w:top w:val="single" w:sz="4" w:space="0" w:color="auto"/>
                          <w:left w:val="single" w:sz="4" w:space="0" w:color="auto"/>
                          <w:bottom w:val="single" w:sz="4" w:space="0" w:color="auto"/>
                          <w:right w:val="single" w:sz="4" w:space="0" w:color="auto"/>
                        </w:tcBorders>
                      </w:tcPr>
                      <w:p>
                        <w:pPr>
                          <w:suppressAutoHyphens/>
                          <w:jc w:val="center"/>
                          <w:textAlignment w:val="baseline"/>
                          <w:rPr>
                            <w:sz w:val="18"/>
                            <w:lang w:eastAsia="lt-LT"/>
                          </w:rPr>
                        </w:pPr>
                        <w:r>
                          <w:rPr>
                            <w:sz w:val="18"/>
                            <w:lang w:eastAsia="lt-LT"/>
                          </w:rPr>
                          <w:t>Įrenginio pavadinimas</w:t>
                        </w:r>
                      </w:p>
                    </w:tc>
                    <w:tc>
                      <w:tcPr>
                        <w:tcW w:w="6472" w:type="dxa"/>
                        <w:tcBorders>
                          <w:top w:val="single" w:sz="4" w:space="0" w:color="auto"/>
                          <w:left w:val="single" w:sz="4" w:space="0" w:color="auto"/>
                          <w:bottom w:val="single" w:sz="4" w:space="0" w:color="auto"/>
                          <w:right w:val="single" w:sz="4" w:space="0" w:color="auto"/>
                        </w:tcBorders>
                      </w:tcPr>
                      <w:p>
                        <w:pPr>
                          <w:tabs>
                            <w:tab w:val="left" w:pos="615"/>
                            <w:tab w:val="center" w:pos="4357"/>
                          </w:tabs>
                          <w:suppressAutoHyphens/>
                          <w:textAlignment w:val="baseline"/>
                          <w:rPr>
                            <w:sz w:val="18"/>
                            <w:lang w:eastAsia="lt-LT"/>
                          </w:rPr>
                        </w:pPr>
                        <w:r>
                          <w:rPr>
                            <w:sz w:val="18"/>
                            <w:lang w:eastAsia="lt-LT"/>
                          </w:rPr>
                          <w:t xml:space="preserve">Įrenginyje leidžiamos vykdyti veiklos rūšies pavadinimas pagal Taisyklių 1 priedą </w:t>
                        </w:r>
                      </w:p>
                      <w:p>
                        <w:pPr>
                          <w:tabs>
                            <w:tab w:val="left" w:pos="615"/>
                            <w:tab w:val="center" w:pos="4357"/>
                          </w:tabs>
                          <w:suppressAutoHyphens/>
                          <w:jc w:val="center"/>
                          <w:textAlignment w:val="baseline"/>
                          <w:rPr>
                            <w:sz w:val="18"/>
                            <w:lang w:eastAsia="lt-LT"/>
                          </w:rPr>
                        </w:pPr>
                        <w:r>
                          <w:rPr>
                            <w:sz w:val="18"/>
                            <w:lang w:eastAsia="lt-LT"/>
                          </w:rPr>
                          <w:t>ir kita tiesiogiai susijusi veikla</w:t>
                        </w:r>
                      </w:p>
                    </w:tc>
                  </w:tr>
                  <w:tr>
                    <w:tc>
                      <w:tcPr>
                        <w:tcW w:w="6716" w:type="dxa"/>
                        <w:tcBorders>
                          <w:top w:val="single" w:sz="4" w:space="0" w:color="auto"/>
                          <w:left w:val="single" w:sz="4" w:space="0" w:color="auto"/>
                          <w:bottom w:val="single" w:sz="4" w:space="0" w:color="auto"/>
                          <w:right w:val="single" w:sz="4" w:space="0" w:color="auto"/>
                        </w:tcBorders>
                      </w:tcPr>
                      <w:p>
                        <w:pPr>
                          <w:suppressAutoHyphens/>
                          <w:jc w:val="center"/>
                          <w:textAlignment w:val="baseline"/>
                          <w:rPr>
                            <w:sz w:val="18"/>
                            <w:lang w:eastAsia="lt-LT"/>
                          </w:rPr>
                        </w:pPr>
                        <w:r>
                          <w:rPr>
                            <w:sz w:val="18"/>
                            <w:lang w:eastAsia="lt-LT"/>
                          </w:rPr>
                          <w:t>1</w:t>
                        </w:r>
                      </w:p>
                    </w:tc>
                    <w:tc>
                      <w:tcPr>
                        <w:tcW w:w="6472" w:type="dxa"/>
                        <w:tcBorders>
                          <w:top w:val="single" w:sz="4" w:space="0" w:color="auto"/>
                          <w:left w:val="single" w:sz="4" w:space="0" w:color="auto"/>
                          <w:bottom w:val="single" w:sz="4" w:space="0" w:color="auto"/>
                          <w:right w:val="single" w:sz="4" w:space="0" w:color="auto"/>
                        </w:tcBorders>
                      </w:tcPr>
                      <w:p>
                        <w:pPr>
                          <w:suppressAutoHyphens/>
                          <w:jc w:val="center"/>
                          <w:textAlignment w:val="baseline"/>
                          <w:rPr>
                            <w:sz w:val="18"/>
                            <w:lang w:eastAsia="lt-LT"/>
                          </w:rPr>
                        </w:pPr>
                        <w:r>
                          <w:rPr>
                            <w:sz w:val="18"/>
                            <w:lang w:eastAsia="lt-LT"/>
                          </w:rPr>
                          <w:t>2</w:t>
                        </w:r>
                      </w:p>
                    </w:tc>
                  </w:tr>
                  <w:tr>
                    <w:tc>
                      <w:tcPr>
                        <w:tcW w:w="6716"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sz w:val="18"/>
                            <w:lang w:eastAsia="lt-LT"/>
                          </w:rPr>
                        </w:pPr>
                      </w:p>
                    </w:tc>
                    <w:tc>
                      <w:tcPr>
                        <w:tcW w:w="6472"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sz w:val="18"/>
                            <w:lang w:eastAsia="lt-LT"/>
                          </w:rPr>
                        </w:pPr>
                      </w:p>
                    </w:tc>
                  </w:tr>
                  <w:tr>
                    <w:tc>
                      <w:tcPr>
                        <w:tcW w:w="6716"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sz w:val="18"/>
                            <w:lang w:eastAsia="lt-LT"/>
                          </w:rPr>
                        </w:pPr>
                      </w:p>
                    </w:tc>
                    <w:tc>
                      <w:tcPr>
                        <w:tcW w:w="6472"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sz w:val="18"/>
                            <w:lang w:eastAsia="lt-LT"/>
                          </w:rPr>
                        </w:pPr>
                      </w:p>
                    </w:tc>
                  </w:tr>
                  <w:tr>
                    <w:tc>
                      <w:tcPr>
                        <w:tcW w:w="6716"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sz w:val="18"/>
                            <w:lang w:eastAsia="lt-LT"/>
                          </w:rPr>
                        </w:pPr>
                      </w:p>
                    </w:tc>
                    <w:tc>
                      <w:tcPr>
                        <w:tcW w:w="6472"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sz w:val="18"/>
                            <w:lang w:eastAsia="lt-LT"/>
                          </w:rPr>
                        </w:pPr>
                      </w:p>
                    </w:tc>
                  </w:tr>
                </w:tbl>
                <w:p>
                  <w:pPr>
                    <w:ind w:firstLine="567"/>
                    <w:jc w:val="both"/>
                    <w:rPr>
                      <w:sz w:val="22"/>
                      <w:szCs w:val="24"/>
                      <w:lang w:eastAsia="lt-LT"/>
                    </w:rPr>
                  </w:pPr>
                </w:p>
              </w:sdtContent>
            </w:sdt>
            <w:sdt>
              <w:sdtPr>
                <w:alias w:val="5 pr. 4 p."/>
                <w:tag w:val="part_96baeb528f954757bea55f3a46805bbb"/>
                <w:lock w:val="sdtLocked"/>
                <w:richText/>
              </w:sdtPr>
              <w:sdtContent>
                <w:p>
                  <w:pPr>
                    <w:ind w:firstLine="567"/>
                    <w:jc w:val="both"/>
                    <w:rPr>
                      <w:sz w:val="22"/>
                      <w:szCs w:val="24"/>
                      <w:lang w:eastAsia="lt-LT"/>
                    </w:rPr>
                  </w:pPr>
                  <w:sdt>
                    <w:sdtPr>
                      <w:alias w:val="Numeris"/>
                      <w:tag w:val="nr_96baeb528f954757bea55f3a46805bbb"/>
                      <w:lock w:val="sdtLocked"/>
                      <w:richText/>
                    </w:sdtPr>
                    <w:sdtContent>
                      <w:r>
                        <w:rPr>
                          <w:sz w:val="22"/>
                          <w:szCs w:val="24"/>
                          <w:lang w:eastAsia="lt-LT"/>
                        </w:rPr>
                        <w:t>4</w:t>
                      </w:r>
                    </w:sdtContent>
                  </w:sdt>
                  <w:r>
                    <w:rPr>
                      <w:sz w:val="22"/>
                      <w:szCs w:val="24"/>
                      <w:lang w:eastAsia="lt-LT"/>
                    </w:rPr>
                    <w:t xml:space="preserve">. Veiklos rūšys, kurioms priskirta šiltnamio dujas išmetanti ūkinė veikla, įrenginio gamybos (projektinis) pajėgumas. </w:t>
                  </w:r>
                </w:p>
              </w:sdtContent>
            </w:sdt>
            <w:sdt>
              <w:sdtPr>
                <w:alias w:val="5 pr. 5 p."/>
                <w:tag w:val="part_ed9b35ad2827475983f2dcc09d0294e1"/>
                <w:lock w:val="sdtLocked"/>
                <w:richText/>
              </w:sdtPr>
              <w:sdtContent>
                <w:p>
                  <w:pPr>
                    <w:widowControl w:val="0"/>
                    <w:ind w:firstLine="567"/>
                    <w:jc w:val="both"/>
                    <w:rPr>
                      <w:sz w:val="22"/>
                      <w:szCs w:val="24"/>
                      <w:lang w:eastAsia="lt-LT"/>
                    </w:rPr>
                  </w:pPr>
                  <w:sdt>
                    <w:sdtPr>
                      <w:alias w:val="Numeris"/>
                      <w:tag w:val="nr_ed9b35ad2827475983f2dcc09d0294e1"/>
                      <w:lock w:val="sdtLocked"/>
                      <w:richText/>
                    </w:sdtPr>
                    <w:sdtContent>
                      <w:r>
                        <w:rPr>
                          <w:sz w:val="22"/>
                          <w:szCs w:val="24"/>
                          <w:lang w:eastAsia="lt-LT"/>
                        </w:rPr>
                        <w:t>5</w:t>
                      </w:r>
                    </w:sdtContent>
                  </w:sdt>
                  <w:r>
                    <w:rPr>
                      <w:sz w:val="22"/>
                      <w:szCs w:val="24"/>
                      <w:lang w:eastAsia="lt-LT"/>
                    </w:rPr>
                    <w:t>. Informacija apie įdiegtą vadybos sistemą.</w:t>
                  </w:r>
                </w:p>
              </w:sdtContent>
            </w:sdt>
            <w:sdt>
              <w:sdtPr>
                <w:alias w:val="5 pr. 6 p."/>
                <w:tag w:val="part_35b99a34fe05447ab6d8040b31ee2f1e"/>
                <w:lock w:val="sdtLocked"/>
                <w:richText/>
              </w:sdtPr>
              <w:sdtContent>
                <w:p>
                  <w:pPr>
                    <w:widowControl w:val="0"/>
                    <w:ind w:firstLine="567"/>
                    <w:jc w:val="both"/>
                    <w:rPr>
                      <w:sz w:val="22"/>
                      <w:szCs w:val="24"/>
                      <w:lang w:eastAsia="lt-LT"/>
                    </w:rPr>
                  </w:pPr>
                  <w:sdt>
                    <w:sdtPr>
                      <w:alias w:val="Numeris"/>
                      <w:tag w:val="nr_35b99a34fe05447ab6d8040b31ee2f1e"/>
                      <w:lock w:val="sdtLocked"/>
                      <w:richText/>
                    </w:sdtPr>
                    <w:sdtContent>
                      <w:r>
                        <w:rPr>
                          <w:sz w:val="22"/>
                          <w:szCs w:val="24"/>
                          <w:lang w:eastAsia="lt-LT"/>
                        </w:rPr>
                        <w:t>6</w:t>
                      </w:r>
                    </w:sdtContent>
                  </w:sdt>
                  <w:r>
                    <w:rPr>
                      <w:sz w:val="22"/>
                      <w:szCs w:val="24"/>
                      <w:lang w:eastAsia="lt-LT"/>
                    </w:rPr>
                    <w:t>. Asmenų atsakomybė pagal pateiktą deklaraciją.</w:t>
                  </w:r>
                </w:p>
                <w:p>
                  <w:pPr>
                    <w:widowControl w:val="0"/>
                    <w:jc w:val="both"/>
                    <w:rPr>
                      <w:sz w:val="18"/>
                      <w:szCs w:val="24"/>
                      <w:lang w:eastAsia="lt-LT"/>
                    </w:rPr>
                  </w:pPr>
                </w:p>
                <w:p>
                  <w:pPr>
                    <w:ind w:firstLine="567"/>
                    <w:jc w:val="both"/>
                    <w:rPr>
                      <w:sz w:val="22"/>
                      <w:szCs w:val="24"/>
                      <w:lang w:eastAsia="lt-LT"/>
                    </w:rPr>
                  </w:pPr>
                  <w:r>
                    <w:rPr>
                      <w:sz w:val="22"/>
                      <w:szCs w:val="24"/>
                      <w:lang w:eastAsia="lt-LT"/>
                    </w:rPr>
                    <w:t>2 lentelė. Įrenginio atitikties GPGB palyginamasis įvertinimas</w:t>
                  </w:r>
                </w:p>
                <w:p>
                  <w:pPr>
                    <w:ind w:firstLine="567"/>
                    <w:jc w:val="both"/>
                    <w:rPr>
                      <w:sz w:val="22"/>
                      <w:szCs w:val="24"/>
                      <w:lang w:eastAsia="lt-LT"/>
                    </w:rPr>
                  </w:pPr>
                </w:p>
                <w:tbl>
                  <w:tblPr>
                    <w:tblW w:w="13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300"/>
                    <w:gridCol w:w="2687"/>
                    <w:gridCol w:w="2389"/>
                    <w:gridCol w:w="1687"/>
                    <w:gridCol w:w="2389"/>
                    <w:gridCol w:w="908"/>
                  </w:tblGrid>
                  <w:tr>
                    <w:tc>
                      <w:tcPr>
                        <w:tcW w:w="828"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Eil. Nr.</w:t>
                        </w:r>
                      </w:p>
                    </w:tc>
                    <w:tc>
                      <w:tcPr>
                        <w:tcW w:w="2300" w:type="dxa"/>
                        <w:tcBorders>
                          <w:top w:val="single" w:sz="4" w:space="0" w:color="auto"/>
                          <w:left w:val="single" w:sz="4" w:space="0" w:color="auto"/>
                          <w:bottom w:val="single" w:sz="4" w:space="0" w:color="auto"/>
                          <w:right w:val="single" w:sz="4" w:space="0" w:color="auto"/>
                        </w:tcBorders>
                        <w:vAlign w:val="center"/>
                      </w:tcPr>
                      <w:p>
                        <w:pPr>
                          <w:jc w:val="center"/>
                          <w:rPr>
                            <w:sz w:val="18"/>
                            <w:szCs w:val="24"/>
                            <w:vertAlign w:val="subscript"/>
                            <w:lang w:eastAsia="lt-LT"/>
                          </w:rPr>
                        </w:pPr>
                        <w:r>
                          <w:rPr>
                            <w:sz w:val="18"/>
                            <w:szCs w:val="24"/>
                            <w:lang w:eastAsia="lt-LT"/>
                          </w:rPr>
                          <w:t>Poveikio aplinkai kategorija</w:t>
                        </w:r>
                      </w:p>
                    </w:tc>
                    <w:tc>
                      <w:tcPr>
                        <w:tcW w:w="2687"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Nuoroda į ES GPGB informacinius dokumentus, anotacijas</w:t>
                        </w:r>
                      </w:p>
                    </w:tc>
                    <w:tc>
                      <w:tcPr>
                        <w:tcW w:w="2389"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GPGB technologija</w:t>
                        </w:r>
                      </w:p>
                    </w:tc>
                    <w:tc>
                      <w:tcPr>
                        <w:tcW w:w="1687"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Su GPGB taikymu susijusios vertės, vnt.</w:t>
                        </w:r>
                      </w:p>
                    </w:tc>
                    <w:tc>
                      <w:tcPr>
                        <w:tcW w:w="2389"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Atitiktis</w:t>
                        </w:r>
                      </w:p>
                    </w:tc>
                    <w:tc>
                      <w:tcPr>
                        <w:tcW w:w="908"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Pastabos</w:t>
                        </w:r>
                      </w:p>
                    </w:tc>
                  </w:tr>
                  <w:tr>
                    <w:tc>
                      <w:tcPr>
                        <w:tcW w:w="828"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1</w:t>
                        </w:r>
                      </w:p>
                    </w:tc>
                    <w:tc>
                      <w:tcPr>
                        <w:tcW w:w="2300"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2</w:t>
                        </w:r>
                      </w:p>
                    </w:tc>
                    <w:tc>
                      <w:tcPr>
                        <w:tcW w:w="2687"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3</w:t>
                        </w:r>
                      </w:p>
                    </w:tc>
                    <w:tc>
                      <w:tcPr>
                        <w:tcW w:w="2389"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4</w:t>
                        </w:r>
                      </w:p>
                    </w:tc>
                    <w:tc>
                      <w:tcPr>
                        <w:tcW w:w="1687"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5</w:t>
                        </w:r>
                      </w:p>
                    </w:tc>
                    <w:tc>
                      <w:tcPr>
                        <w:tcW w:w="2389"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6</w:t>
                        </w:r>
                      </w:p>
                    </w:tc>
                    <w:tc>
                      <w:tcPr>
                        <w:tcW w:w="908"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7</w:t>
                        </w:r>
                      </w:p>
                    </w:tc>
                  </w:tr>
                  <w:tr>
                    <w:tc>
                      <w:tcPr>
                        <w:tcW w:w="828"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2300"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2687"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2389"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1687"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2389"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908"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r>
                  <w:tr>
                    <w:tc>
                      <w:tcPr>
                        <w:tcW w:w="828"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2300"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2687"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2389"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1687"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2389"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908"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r>
                  <w:tr>
                    <w:tc>
                      <w:tcPr>
                        <w:tcW w:w="828"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2300"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2687"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2389"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1687"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2389"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908"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r>
                </w:tbl>
                <w:p>
                  <w:pPr>
                    <w:widowControl w:val="0"/>
                    <w:ind w:firstLine="567"/>
                    <w:jc w:val="both"/>
                    <w:rPr>
                      <w:b/>
                      <w:sz w:val="22"/>
                      <w:szCs w:val="24"/>
                      <w:lang w:eastAsia="lt-LT"/>
                    </w:rPr>
                  </w:pPr>
                </w:p>
              </w:sdtContent>
            </w:sdt>
          </w:sdtContent>
        </w:sdt>
        <w:sdt>
          <w:sdtPr>
            <w:alias w:val="skyrius"/>
            <w:tag w:val="part_86340098fd77476caa0d8ae9519bf4b6"/>
            <w:lock w:val="sdtLocked"/>
            <w:richText/>
          </w:sdtPr>
          <w:sdtContent>
            <w:p>
              <w:pPr>
                <w:widowControl w:val="0"/>
                <w:jc w:val="center"/>
                <w:rPr>
                  <w:b/>
                  <w:sz w:val="22"/>
                  <w:szCs w:val="24"/>
                  <w:lang w:eastAsia="lt-LT"/>
                </w:rPr>
              </w:pPr>
              <w:sdt>
                <w:sdtPr>
                  <w:alias w:val="Numeris"/>
                  <w:tag w:val="nr_86340098fd77476caa0d8ae9519bf4b6"/>
                  <w:lock w:val="sdtLocked"/>
                  <w:richText/>
                </w:sdtPr>
                <w:sdtContent>
                  <w:r>
                    <w:rPr>
                      <w:b/>
                      <w:sz w:val="22"/>
                      <w:szCs w:val="24"/>
                      <w:lang w:eastAsia="lt-LT"/>
                    </w:rPr>
                    <w:t>II</w:t>
                  </w:r>
                </w:sdtContent>
              </w:sdt>
              <w:r>
                <w:rPr>
                  <w:b/>
                  <w:sz w:val="22"/>
                  <w:szCs w:val="24"/>
                  <w:lang w:eastAsia="lt-LT"/>
                </w:rPr>
                <w:t xml:space="preserve">. </w:t>
              </w:r>
              <w:sdt>
                <w:sdtPr>
                  <w:alias w:val="Pavadinimas"/>
                  <w:tag w:val="title_86340098fd77476caa0d8ae9519bf4b6"/>
                  <w:lock w:val="sdtLocked"/>
                  <w:richText/>
                </w:sdtPr>
                <w:sdtContent>
                  <w:r>
                    <w:rPr>
                      <w:b/>
                      <w:sz w:val="22"/>
                      <w:szCs w:val="24"/>
                      <w:lang w:eastAsia="lt-LT"/>
                    </w:rPr>
                    <w:t>LEIDIMO SĄLYGOS</w:t>
                  </w:r>
                </w:sdtContent>
              </w:sdt>
            </w:p>
            <w:p>
              <w:pPr>
                <w:ind w:firstLine="567"/>
                <w:jc w:val="both"/>
                <w:rPr>
                  <w:sz w:val="22"/>
                  <w:szCs w:val="24"/>
                  <w:lang w:eastAsia="lt-LT"/>
                </w:rPr>
              </w:pPr>
            </w:p>
            <w:p>
              <w:pPr>
                <w:widowControl w:val="0"/>
                <w:ind w:firstLine="567"/>
                <w:jc w:val="both"/>
                <w:rPr>
                  <w:sz w:val="22"/>
                  <w:szCs w:val="24"/>
                  <w:lang w:eastAsia="lt-LT"/>
                </w:rPr>
              </w:pPr>
              <w:r>
                <w:rPr>
                  <w:sz w:val="22"/>
                  <w:szCs w:val="24"/>
                  <w:lang w:eastAsia="lt-LT"/>
                </w:rPr>
                <w:t>3 lentelė. Aplinkosaugos veiksmų planas</w:t>
              </w:r>
            </w:p>
            <w:p>
              <w:pPr>
                <w:widowControl w:val="0"/>
                <w:ind w:firstLine="567"/>
                <w:jc w:val="both"/>
                <w:rPr>
                  <w:sz w:val="22"/>
                  <w:szCs w:val="24"/>
                  <w:lang w:eastAsia="lt-LT"/>
                </w:rPr>
              </w:pPr>
            </w:p>
            <w:tbl>
              <w:tblPr>
                <w:tblW w:w="1317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99" w:type="dxa"/>
                  <w:right w:w="99" w:type="dxa"/>
                </w:tblCellMar>
                <w:tblLook w:val="0000" w:firstRow="0" w:lastRow="0" w:firstColumn="0" w:lastColumn="0" w:noHBand="0" w:noVBand="0"/>
              </w:tblPr>
              <w:tblGrid>
                <w:gridCol w:w="2526"/>
                <w:gridCol w:w="1338"/>
                <w:gridCol w:w="1762"/>
                <w:gridCol w:w="1209"/>
                <w:gridCol w:w="2940"/>
                <w:gridCol w:w="1887"/>
                <w:gridCol w:w="1517"/>
              </w:tblGrid>
              <w:tr>
                <w:trPr>
                  <w:cantSplit/>
                </w:trPr>
                <w:tc>
                  <w:tcPr>
                    <w:tcW w:w="2526" w:type="dxa"/>
                    <w:tcBorders>
                      <w:top w:val="single" w:sz="6" w:space="0" w:color="auto"/>
                      <w:left w:val="single" w:sz="6" w:space="0" w:color="auto"/>
                      <w:bottom w:val="single" w:sz="6" w:space="0" w:color="000000"/>
                      <w:right w:val="single" w:sz="6" w:space="0" w:color="000000"/>
                    </w:tcBorders>
                    <w:vAlign w:val="center"/>
                  </w:tcPr>
                  <w:p>
                    <w:pPr>
                      <w:jc w:val="center"/>
                      <w:rPr>
                        <w:sz w:val="18"/>
                        <w:szCs w:val="24"/>
                        <w:vertAlign w:val="superscript"/>
                        <w:lang w:eastAsia="lt-LT"/>
                      </w:rPr>
                    </w:pPr>
                    <w:r>
                      <w:rPr>
                        <w:sz w:val="18"/>
                        <w:szCs w:val="24"/>
                        <w:lang w:eastAsia="lt-LT"/>
                      </w:rPr>
                      <w:t>Parametras</w:t>
                    </w:r>
                  </w:p>
                </w:tc>
                <w:tc>
                  <w:tcPr>
                    <w:tcW w:w="1338" w:type="dxa"/>
                    <w:tcBorders>
                      <w:top w:val="single" w:sz="6" w:space="0" w:color="auto"/>
                      <w:left w:val="single" w:sz="6" w:space="0" w:color="000000"/>
                      <w:bottom w:val="single" w:sz="6" w:space="0" w:color="000000"/>
                      <w:right w:val="single" w:sz="6" w:space="0" w:color="000000"/>
                    </w:tcBorders>
                    <w:vAlign w:val="center"/>
                  </w:tcPr>
                  <w:p>
                    <w:pPr>
                      <w:jc w:val="center"/>
                      <w:rPr>
                        <w:sz w:val="18"/>
                        <w:szCs w:val="24"/>
                        <w:lang w:eastAsia="lt-LT"/>
                      </w:rPr>
                    </w:pPr>
                    <w:r>
                      <w:rPr>
                        <w:sz w:val="18"/>
                        <w:szCs w:val="24"/>
                        <w:lang w:eastAsia="lt-LT"/>
                      </w:rPr>
                      <w:t>Vienetai</w:t>
                    </w:r>
                  </w:p>
                </w:tc>
                <w:tc>
                  <w:tcPr>
                    <w:tcW w:w="1762" w:type="dxa"/>
                    <w:tcBorders>
                      <w:top w:val="single" w:sz="6" w:space="0" w:color="auto"/>
                      <w:left w:val="single" w:sz="6" w:space="0" w:color="000000"/>
                      <w:bottom w:val="single" w:sz="6" w:space="0" w:color="000000"/>
                      <w:right w:val="single" w:sz="6" w:space="0" w:color="000000"/>
                    </w:tcBorders>
                    <w:vAlign w:val="center"/>
                  </w:tcPr>
                  <w:p>
                    <w:pPr>
                      <w:jc w:val="center"/>
                      <w:rPr>
                        <w:sz w:val="18"/>
                        <w:szCs w:val="24"/>
                        <w:vertAlign w:val="superscript"/>
                        <w:lang w:eastAsia="lt-LT"/>
                      </w:rPr>
                    </w:pPr>
                    <w:r>
                      <w:rPr>
                        <w:sz w:val="18"/>
                        <w:szCs w:val="24"/>
                        <w:lang w:eastAsia="lt-LT"/>
                      </w:rPr>
                      <w:t>Siekiamos ribinės vertės</w:t>
                    </w:r>
                  </w:p>
                  <w:p>
                    <w:pPr>
                      <w:jc w:val="center"/>
                      <w:rPr>
                        <w:sz w:val="18"/>
                        <w:szCs w:val="24"/>
                        <w:lang w:eastAsia="lt-LT"/>
                      </w:rPr>
                    </w:pPr>
                    <w:r>
                      <w:rPr>
                        <w:sz w:val="18"/>
                        <w:szCs w:val="24"/>
                        <w:lang w:eastAsia="lt-LT"/>
                      </w:rPr>
                      <w:t>(pagal GPGB)</w:t>
                    </w:r>
                  </w:p>
                </w:tc>
                <w:tc>
                  <w:tcPr>
                    <w:tcW w:w="1209" w:type="dxa"/>
                    <w:tcBorders>
                      <w:top w:val="single" w:sz="6" w:space="0" w:color="auto"/>
                      <w:left w:val="single" w:sz="6" w:space="0" w:color="000000"/>
                      <w:bottom w:val="single" w:sz="6" w:space="0" w:color="000000"/>
                      <w:right w:val="single" w:sz="6" w:space="0" w:color="000000"/>
                    </w:tcBorders>
                    <w:vAlign w:val="center"/>
                  </w:tcPr>
                  <w:p>
                    <w:pPr>
                      <w:jc w:val="center"/>
                      <w:rPr>
                        <w:sz w:val="18"/>
                        <w:szCs w:val="24"/>
                        <w:vertAlign w:val="superscript"/>
                        <w:lang w:eastAsia="lt-LT"/>
                      </w:rPr>
                    </w:pPr>
                    <w:r>
                      <w:rPr>
                        <w:sz w:val="18"/>
                        <w:szCs w:val="24"/>
                        <w:lang w:eastAsia="lt-LT"/>
                      </w:rPr>
                      <w:t>Esamos vertės</w:t>
                    </w:r>
                  </w:p>
                </w:tc>
                <w:tc>
                  <w:tcPr>
                    <w:tcW w:w="2940" w:type="dxa"/>
                    <w:tcBorders>
                      <w:top w:val="single" w:sz="6" w:space="0" w:color="auto"/>
                      <w:left w:val="single" w:sz="6" w:space="0" w:color="000000"/>
                      <w:bottom w:val="single" w:sz="6" w:space="0" w:color="000000"/>
                      <w:right w:val="single" w:sz="6" w:space="0" w:color="000000"/>
                    </w:tcBorders>
                    <w:vAlign w:val="center"/>
                  </w:tcPr>
                  <w:p>
                    <w:pPr>
                      <w:jc w:val="center"/>
                      <w:rPr>
                        <w:sz w:val="18"/>
                        <w:szCs w:val="24"/>
                        <w:vertAlign w:val="superscript"/>
                        <w:lang w:eastAsia="lt-LT"/>
                      </w:rPr>
                    </w:pPr>
                    <w:r>
                      <w:rPr>
                        <w:sz w:val="18"/>
                        <w:szCs w:val="24"/>
                        <w:lang w:eastAsia="lt-LT"/>
                      </w:rPr>
                      <w:t>Veiksmai tikslui pasiekti</w:t>
                    </w:r>
                  </w:p>
                </w:tc>
                <w:tc>
                  <w:tcPr>
                    <w:tcW w:w="1887" w:type="dxa"/>
                    <w:tcBorders>
                      <w:top w:val="single" w:sz="6" w:space="0" w:color="auto"/>
                      <w:left w:val="single" w:sz="6" w:space="0" w:color="000000"/>
                      <w:bottom w:val="single" w:sz="6" w:space="0" w:color="000000"/>
                      <w:right w:val="single" w:sz="6" w:space="0" w:color="000000"/>
                    </w:tcBorders>
                    <w:vAlign w:val="center"/>
                  </w:tcPr>
                  <w:p>
                    <w:pPr>
                      <w:jc w:val="center"/>
                      <w:rPr>
                        <w:sz w:val="18"/>
                        <w:szCs w:val="24"/>
                        <w:vertAlign w:val="superscript"/>
                        <w:lang w:eastAsia="lt-LT"/>
                      </w:rPr>
                    </w:pPr>
                    <w:r>
                      <w:rPr>
                        <w:sz w:val="18"/>
                        <w:szCs w:val="24"/>
                        <w:lang w:eastAsia="lt-LT"/>
                      </w:rPr>
                      <w:t>Laukiami rezultatai</w:t>
                    </w:r>
                  </w:p>
                </w:tc>
                <w:tc>
                  <w:tcPr>
                    <w:tcW w:w="1517" w:type="dxa"/>
                    <w:tcBorders>
                      <w:top w:val="single" w:sz="6" w:space="0" w:color="auto"/>
                      <w:left w:val="single" w:sz="6" w:space="0" w:color="000000"/>
                      <w:bottom w:val="single" w:sz="6" w:space="0" w:color="000000"/>
                      <w:right w:val="single" w:sz="6" w:space="0" w:color="auto"/>
                    </w:tcBorders>
                    <w:vAlign w:val="center"/>
                  </w:tcPr>
                  <w:p>
                    <w:pPr>
                      <w:jc w:val="center"/>
                      <w:rPr>
                        <w:sz w:val="18"/>
                        <w:szCs w:val="24"/>
                        <w:lang w:eastAsia="lt-LT"/>
                      </w:rPr>
                    </w:pPr>
                    <w:r>
                      <w:rPr>
                        <w:sz w:val="18"/>
                        <w:szCs w:val="24"/>
                        <w:lang w:eastAsia="lt-LT"/>
                      </w:rPr>
                      <w:t>Įgyvendinimo data</w:t>
                    </w:r>
                  </w:p>
                </w:tc>
              </w:tr>
              <w:tr>
                <w:trPr>
                  <w:cantSplit/>
                </w:trPr>
                <w:tc>
                  <w:tcPr>
                    <w:tcW w:w="2526" w:type="dxa"/>
                    <w:tcBorders>
                      <w:top w:val="nil"/>
                      <w:left w:val="single" w:sz="6" w:space="0" w:color="auto"/>
                      <w:bottom w:val="single" w:sz="4" w:space="0" w:color="auto"/>
                      <w:right w:val="single" w:sz="6" w:space="0" w:color="000000"/>
                    </w:tcBorders>
                    <w:vAlign w:val="center"/>
                  </w:tcPr>
                  <w:p>
                    <w:pPr>
                      <w:jc w:val="center"/>
                      <w:rPr>
                        <w:sz w:val="18"/>
                        <w:szCs w:val="24"/>
                        <w:lang w:eastAsia="lt-LT"/>
                      </w:rPr>
                    </w:pPr>
                    <w:r>
                      <w:rPr>
                        <w:sz w:val="18"/>
                        <w:szCs w:val="24"/>
                        <w:lang w:eastAsia="lt-LT"/>
                      </w:rPr>
                      <w:t>1</w:t>
                    </w:r>
                  </w:p>
                </w:tc>
                <w:tc>
                  <w:tcPr>
                    <w:tcW w:w="1338" w:type="dxa"/>
                    <w:tcBorders>
                      <w:top w:val="nil"/>
                      <w:left w:val="single" w:sz="6" w:space="0" w:color="000000"/>
                      <w:bottom w:val="single" w:sz="4" w:space="0" w:color="auto"/>
                      <w:right w:val="single" w:sz="6" w:space="0" w:color="000000"/>
                    </w:tcBorders>
                    <w:vAlign w:val="center"/>
                  </w:tcPr>
                  <w:p>
                    <w:pPr>
                      <w:jc w:val="center"/>
                      <w:rPr>
                        <w:sz w:val="18"/>
                        <w:szCs w:val="24"/>
                        <w:lang w:eastAsia="lt-LT"/>
                      </w:rPr>
                    </w:pPr>
                    <w:r>
                      <w:rPr>
                        <w:sz w:val="18"/>
                        <w:szCs w:val="24"/>
                        <w:lang w:eastAsia="lt-LT"/>
                      </w:rPr>
                      <w:t>2</w:t>
                    </w:r>
                  </w:p>
                </w:tc>
                <w:tc>
                  <w:tcPr>
                    <w:tcW w:w="1762" w:type="dxa"/>
                    <w:tcBorders>
                      <w:top w:val="nil"/>
                      <w:left w:val="single" w:sz="6" w:space="0" w:color="000000"/>
                      <w:bottom w:val="single" w:sz="4" w:space="0" w:color="auto"/>
                      <w:right w:val="single" w:sz="6" w:space="0" w:color="000000"/>
                    </w:tcBorders>
                    <w:vAlign w:val="center"/>
                  </w:tcPr>
                  <w:p>
                    <w:pPr>
                      <w:jc w:val="center"/>
                      <w:rPr>
                        <w:sz w:val="18"/>
                        <w:szCs w:val="24"/>
                        <w:lang w:eastAsia="lt-LT"/>
                      </w:rPr>
                    </w:pPr>
                    <w:r>
                      <w:rPr>
                        <w:sz w:val="18"/>
                        <w:szCs w:val="24"/>
                        <w:lang w:eastAsia="lt-LT"/>
                      </w:rPr>
                      <w:t>3</w:t>
                    </w:r>
                  </w:p>
                </w:tc>
                <w:tc>
                  <w:tcPr>
                    <w:tcW w:w="1209" w:type="dxa"/>
                    <w:tcBorders>
                      <w:top w:val="nil"/>
                      <w:left w:val="single" w:sz="6" w:space="0" w:color="000000"/>
                      <w:bottom w:val="single" w:sz="4" w:space="0" w:color="auto"/>
                      <w:right w:val="single" w:sz="6" w:space="0" w:color="000000"/>
                    </w:tcBorders>
                    <w:vAlign w:val="center"/>
                  </w:tcPr>
                  <w:p>
                    <w:pPr>
                      <w:jc w:val="center"/>
                      <w:rPr>
                        <w:sz w:val="18"/>
                        <w:szCs w:val="24"/>
                        <w:lang w:eastAsia="lt-LT"/>
                      </w:rPr>
                    </w:pPr>
                    <w:r>
                      <w:rPr>
                        <w:sz w:val="18"/>
                        <w:szCs w:val="24"/>
                        <w:lang w:eastAsia="lt-LT"/>
                      </w:rPr>
                      <w:t>4</w:t>
                    </w:r>
                  </w:p>
                </w:tc>
                <w:tc>
                  <w:tcPr>
                    <w:tcW w:w="2940" w:type="dxa"/>
                    <w:tcBorders>
                      <w:top w:val="nil"/>
                      <w:left w:val="single" w:sz="6" w:space="0" w:color="000000"/>
                      <w:bottom w:val="single" w:sz="4" w:space="0" w:color="auto"/>
                      <w:right w:val="single" w:sz="6" w:space="0" w:color="000000"/>
                    </w:tcBorders>
                    <w:vAlign w:val="center"/>
                  </w:tcPr>
                  <w:p>
                    <w:pPr>
                      <w:jc w:val="center"/>
                      <w:rPr>
                        <w:sz w:val="18"/>
                        <w:szCs w:val="24"/>
                        <w:lang w:eastAsia="lt-LT"/>
                      </w:rPr>
                    </w:pPr>
                    <w:r>
                      <w:rPr>
                        <w:sz w:val="18"/>
                        <w:szCs w:val="24"/>
                        <w:lang w:eastAsia="lt-LT"/>
                      </w:rPr>
                      <w:t>5</w:t>
                    </w:r>
                  </w:p>
                </w:tc>
                <w:tc>
                  <w:tcPr>
                    <w:tcW w:w="1887" w:type="dxa"/>
                    <w:tcBorders>
                      <w:top w:val="nil"/>
                      <w:left w:val="single" w:sz="6" w:space="0" w:color="000000"/>
                      <w:bottom w:val="single" w:sz="4" w:space="0" w:color="auto"/>
                      <w:right w:val="single" w:sz="6" w:space="0" w:color="000000"/>
                    </w:tcBorders>
                    <w:vAlign w:val="center"/>
                  </w:tcPr>
                  <w:p>
                    <w:pPr>
                      <w:jc w:val="center"/>
                      <w:rPr>
                        <w:sz w:val="18"/>
                        <w:szCs w:val="24"/>
                        <w:lang w:eastAsia="lt-LT"/>
                      </w:rPr>
                    </w:pPr>
                    <w:r>
                      <w:rPr>
                        <w:sz w:val="18"/>
                        <w:szCs w:val="24"/>
                        <w:lang w:eastAsia="lt-LT"/>
                      </w:rPr>
                      <w:t>6</w:t>
                    </w:r>
                  </w:p>
                </w:tc>
                <w:tc>
                  <w:tcPr>
                    <w:tcW w:w="1517" w:type="dxa"/>
                    <w:tcBorders>
                      <w:top w:val="single" w:sz="6" w:space="0" w:color="000000"/>
                      <w:left w:val="single" w:sz="6" w:space="0" w:color="000000"/>
                      <w:bottom w:val="single" w:sz="4" w:space="0" w:color="auto"/>
                      <w:right w:val="single" w:sz="6" w:space="0" w:color="auto"/>
                    </w:tcBorders>
                    <w:vAlign w:val="center"/>
                  </w:tcPr>
                  <w:p>
                    <w:pPr>
                      <w:jc w:val="center"/>
                      <w:rPr>
                        <w:sz w:val="18"/>
                        <w:szCs w:val="24"/>
                        <w:lang w:eastAsia="lt-LT"/>
                      </w:rPr>
                    </w:pPr>
                    <w:r>
                      <w:rPr>
                        <w:sz w:val="18"/>
                        <w:szCs w:val="24"/>
                        <w:lang w:eastAsia="lt-LT"/>
                      </w:rPr>
                      <w:t>7</w:t>
                    </w:r>
                  </w:p>
                </w:tc>
              </w:tr>
              <w:tr>
                <w:trPr>
                  <w:cantSplit/>
                </w:trPr>
                <w:tc>
                  <w:tcPr>
                    <w:tcW w:w="2526" w:type="dxa"/>
                    <w:tcBorders>
                      <w:top w:val="single" w:sz="4" w:space="0" w:color="auto"/>
                      <w:left w:val="single" w:sz="4" w:space="0" w:color="auto"/>
                      <w:bottom w:val="single" w:sz="6" w:space="0" w:color="000000"/>
                      <w:right w:val="single" w:sz="6" w:space="0" w:color="000000"/>
                    </w:tcBorders>
                    <w:vAlign w:val="center"/>
                  </w:tcPr>
                  <w:p>
                    <w:pPr>
                      <w:jc w:val="center"/>
                      <w:rPr>
                        <w:sz w:val="18"/>
                        <w:szCs w:val="24"/>
                        <w:lang w:eastAsia="lt-LT"/>
                      </w:rPr>
                    </w:pPr>
                  </w:p>
                </w:tc>
                <w:tc>
                  <w:tcPr>
                    <w:tcW w:w="1338" w:type="dxa"/>
                    <w:tcBorders>
                      <w:top w:val="single" w:sz="4" w:space="0" w:color="auto"/>
                      <w:left w:val="single" w:sz="6" w:space="0" w:color="000000"/>
                      <w:bottom w:val="single" w:sz="6" w:space="0" w:color="000000"/>
                      <w:right w:val="single" w:sz="6" w:space="0" w:color="000000"/>
                    </w:tcBorders>
                    <w:vAlign w:val="center"/>
                  </w:tcPr>
                  <w:p>
                    <w:pPr>
                      <w:jc w:val="center"/>
                      <w:rPr>
                        <w:sz w:val="18"/>
                        <w:szCs w:val="24"/>
                        <w:lang w:eastAsia="lt-LT"/>
                      </w:rPr>
                    </w:pPr>
                  </w:p>
                </w:tc>
                <w:tc>
                  <w:tcPr>
                    <w:tcW w:w="1762" w:type="dxa"/>
                    <w:tcBorders>
                      <w:top w:val="single" w:sz="4" w:space="0" w:color="auto"/>
                      <w:left w:val="single" w:sz="6" w:space="0" w:color="000000"/>
                      <w:bottom w:val="single" w:sz="6" w:space="0" w:color="000000"/>
                      <w:right w:val="single" w:sz="6" w:space="0" w:color="000000"/>
                    </w:tcBorders>
                    <w:vAlign w:val="center"/>
                  </w:tcPr>
                  <w:p>
                    <w:pPr>
                      <w:jc w:val="center"/>
                      <w:rPr>
                        <w:sz w:val="18"/>
                        <w:szCs w:val="24"/>
                        <w:lang w:eastAsia="lt-LT"/>
                      </w:rPr>
                    </w:pPr>
                  </w:p>
                </w:tc>
                <w:tc>
                  <w:tcPr>
                    <w:tcW w:w="1209" w:type="dxa"/>
                    <w:tcBorders>
                      <w:top w:val="single" w:sz="4" w:space="0" w:color="auto"/>
                      <w:left w:val="single" w:sz="6" w:space="0" w:color="000000"/>
                      <w:bottom w:val="single" w:sz="6" w:space="0" w:color="000000"/>
                      <w:right w:val="single" w:sz="6" w:space="0" w:color="000000"/>
                    </w:tcBorders>
                    <w:vAlign w:val="center"/>
                  </w:tcPr>
                  <w:p>
                    <w:pPr>
                      <w:jc w:val="center"/>
                      <w:rPr>
                        <w:sz w:val="18"/>
                        <w:szCs w:val="24"/>
                        <w:lang w:eastAsia="lt-LT"/>
                      </w:rPr>
                    </w:pPr>
                  </w:p>
                </w:tc>
                <w:tc>
                  <w:tcPr>
                    <w:tcW w:w="2940" w:type="dxa"/>
                    <w:tcBorders>
                      <w:top w:val="single" w:sz="4" w:space="0" w:color="auto"/>
                      <w:left w:val="single" w:sz="6" w:space="0" w:color="000000"/>
                      <w:bottom w:val="single" w:sz="6" w:space="0" w:color="000000"/>
                      <w:right w:val="single" w:sz="6" w:space="0" w:color="000000"/>
                    </w:tcBorders>
                    <w:vAlign w:val="center"/>
                  </w:tcPr>
                  <w:p>
                    <w:pPr>
                      <w:jc w:val="center"/>
                      <w:rPr>
                        <w:sz w:val="18"/>
                        <w:szCs w:val="24"/>
                        <w:lang w:eastAsia="lt-LT"/>
                      </w:rPr>
                    </w:pPr>
                  </w:p>
                </w:tc>
                <w:tc>
                  <w:tcPr>
                    <w:tcW w:w="1887" w:type="dxa"/>
                    <w:tcBorders>
                      <w:top w:val="single" w:sz="4" w:space="0" w:color="auto"/>
                      <w:left w:val="single" w:sz="6" w:space="0" w:color="000000"/>
                      <w:bottom w:val="single" w:sz="6" w:space="0" w:color="000000"/>
                      <w:right w:val="single" w:sz="6" w:space="0" w:color="000000"/>
                    </w:tcBorders>
                    <w:vAlign w:val="center"/>
                  </w:tcPr>
                  <w:p>
                    <w:pPr>
                      <w:jc w:val="center"/>
                      <w:rPr>
                        <w:sz w:val="18"/>
                        <w:szCs w:val="24"/>
                        <w:lang w:eastAsia="lt-LT"/>
                      </w:rPr>
                    </w:pPr>
                  </w:p>
                </w:tc>
                <w:tc>
                  <w:tcPr>
                    <w:tcW w:w="1517" w:type="dxa"/>
                    <w:tcBorders>
                      <w:top w:val="single" w:sz="4" w:space="0" w:color="auto"/>
                      <w:left w:val="single" w:sz="6" w:space="0" w:color="000000"/>
                      <w:bottom w:val="single" w:sz="6" w:space="0" w:color="000000"/>
                      <w:right w:val="single" w:sz="4" w:space="0" w:color="auto"/>
                    </w:tcBorders>
                    <w:vAlign w:val="center"/>
                  </w:tcPr>
                  <w:p>
                    <w:pPr>
                      <w:jc w:val="center"/>
                      <w:rPr>
                        <w:sz w:val="18"/>
                        <w:szCs w:val="24"/>
                        <w:lang w:eastAsia="lt-LT"/>
                      </w:rPr>
                    </w:pPr>
                  </w:p>
                </w:tc>
              </w:tr>
              <w:tr>
                <w:trPr>
                  <w:cantSplit/>
                </w:trPr>
                <w:tc>
                  <w:tcPr>
                    <w:tcW w:w="2526" w:type="dxa"/>
                    <w:tcBorders>
                      <w:top w:val="single" w:sz="6" w:space="0" w:color="000000"/>
                      <w:left w:val="single" w:sz="4" w:space="0" w:color="auto"/>
                      <w:bottom w:val="single" w:sz="6" w:space="0" w:color="000000"/>
                      <w:right w:val="single" w:sz="6" w:space="0" w:color="000000"/>
                    </w:tcBorders>
                    <w:vAlign w:val="center"/>
                  </w:tcPr>
                  <w:p>
                    <w:pPr>
                      <w:jc w:val="center"/>
                      <w:rPr>
                        <w:sz w:val="18"/>
                        <w:szCs w:val="24"/>
                        <w:lang w:eastAsia="lt-LT"/>
                      </w:rPr>
                    </w:pPr>
                  </w:p>
                </w:tc>
                <w:tc>
                  <w:tcPr>
                    <w:tcW w:w="1338" w:type="dxa"/>
                    <w:tcBorders>
                      <w:top w:val="single" w:sz="6" w:space="0" w:color="000000"/>
                      <w:left w:val="single" w:sz="6" w:space="0" w:color="000000"/>
                      <w:bottom w:val="single" w:sz="6" w:space="0" w:color="000000"/>
                      <w:right w:val="single" w:sz="6" w:space="0" w:color="000000"/>
                    </w:tcBorders>
                    <w:vAlign w:val="center"/>
                  </w:tcPr>
                  <w:p>
                    <w:pPr>
                      <w:jc w:val="center"/>
                      <w:rPr>
                        <w:sz w:val="18"/>
                        <w:szCs w:val="24"/>
                        <w:lang w:eastAsia="lt-LT"/>
                      </w:rPr>
                    </w:pPr>
                  </w:p>
                </w:tc>
                <w:tc>
                  <w:tcPr>
                    <w:tcW w:w="1762" w:type="dxa"/>
                    <w:tcBorders>
                      <w:top w:val="single" w:sz="6" w:space="0" w:color="000000"/>
                      <w:left w:val="single" w:sz="6" w:space="0" w:color="000000"/>
                      <w:bottom w:val="single" w:sz="6" w:space="0" w:color="000000"/>
                      <w:right w:val="single" w:sz="6" w:space="0" w:color="000000"/>
                    </w:tcBorders>
                    <w:vAlign w:val="center"/>
                  </w:tcPr>
                  <w:p>
                    <w:pPr>
                      <w:jc w:val="center"/>
                      <w:rPr>
                        <w:sz w:val="18"/>
                        <w:szCs w:val="24"/>
                        <w:lang w:eastAsia="lt-LT"/>
                      </w:rPr>
                    </w:pPr>
                  </w:p>
                </w:tc>
                <w:tc>
                  <w:tcPr>
                    <w:tcW w:w="1209" w:type="dxa"/>
                    <w:tcBorders>
                      <w:top w:val="single" w:sz="6" w:space="0" w:color="000000"/>
                      <w:left w:val="single" w:sz="6" w:space="0" w:color="000000"/>
                      <w:bottom w:val="single" w:sz="6" w:space="0" w:color="000000"/>
                      <w:right w:val="single" w:sz="6" w:space="0" w:color="000000"/>
                    </w:tcBorders>
                    <w:vAlign w:val="center"/>
                  </w:tcPr>
                  <w:p>
                    <w:pPr>
                      <w:jc w:val="center"/>
                      <w:rPr>
                        <w:sz w:val="18"/>
                        <w:szCs w:val="24"/>
                        <w:lang w:eastAsia="lt-LT"/>
                      </w:rPr>
                    </w:pPr>
                  </w:p>
                </w:tc>
                <w:tc>
                  <w:tcPr>
                    <w:tcW w:w="2940" w:type="dxa"/>
                    <w:tcBorders>
                      <w:top w:val="single" w:sz="6" w:space="0" w:color="000000"/>
                      <w:left w:val="single" w:sz="6" w:space="0" w:color="000000"/>
                      <w:bottom w:val="single" w:sz="6" w:space="0" w:color="000000"/>
                      <w:right w:val="single" w:sz="6" w:space="0" w:color="000000"/>
                    </w:tcBorders>
                    <w:vAlign w:val="center"/>
                  </w:tcPr>
                  <w:p>
                    <w:pPr>
                      <w:jc w:val="center"/>
                      <w:rPr>
                        <w:sz w:val="18"/>
                        <w:szCs w:val="24"/>
                        <w:lang w:eastAsia="lt-LT"/>
                      </w:rPr>
                    </w:pPr>
                  </w:p>
                </w:tc>
                <w:tc>
                  <w:tcPr>
                    <w:tcW w:w="1887" w:type="dxa"/>
                    <w:tcBorders>
                      <w:top w:val="single" w:sz="6" w:space="0" w:color="000000"/>
                      <w:left w:val="single" w:sz="6" w:space="0" w:color="000000"/>
                      <w:bottom w:val="single" w:sz="6" w:space="0" w:color="000000"/>
                      <w:right w:val="single" w:sz="6" w:space="0" w:color="000000"/>
                    </w:tcBorders>
                    <w:vAlign w:val="center"/>
                  </w:tcPr>
                  <w:p>
                    <w:pPr>
                      <w:jc w:val="center"/>
                      <w:rPr>
                        <w:sz w:val="18"/>
                        <w:szCs w:val="24"/>
                        <w:lang w:eastAsia="lt-LT"/>
                      </w:rPr>
                    </w:pPr>
                  </w:p>
                </w:tc>
                <w:tc>
                  <w:tcPr>
                    <w:tcW w:w="1517" w:type="dxa"/>
                    <w:tcBorders>
                      <w:top w:val="single" w:sz="6" w:space="0" w:color="000000"/>
                      <w:left w:val="single" w:sz="6" w:space="0" w:color="000000"/>
                      <w:bottom w:val="single" w:sz="6" w:space="0" w:color="000000"/>
                      <w:right w:val="single" w:sz="4" w:space="0" w:color="auto"/>
                    </w:tcBorders>
                    <w:vAlign w:val="center"/>
                  </w:tcPr>
                  <w:p>
                    <w:pPr>
                      <w:jc w:val="center"/>
                      <w:rPr>
                        <w:sz w:val="18"/>
                        <w:szCs w:val="24"/>
                        <w:lang w:eastAsia="lt-LT"/>
                      </w:rPr>
                    </w:pPr>
                  </w:p>
                </w:tc>
              </w:tr>
              <w:tr>
                <w:trPr>
                  <w:cantSplit/>
                </w:trPr>
                <w:tc>
                  <w:tcPr>
                    <w:tcW w:w="2526" w:type="dxa"/>
                    <w:tcBorders>
                      <w:top w:val="single" w:sz="6" w:space="0" w:color="000000"/>
                      <w:left w:val="single" w:sz="4" w:space="0" w:color="auto"/>
                      <w:bottom w:val="single" w:sz="4" w:space="0" w:color="auto"/>
                      <w:right w:val="single" w:sz="6" w:space="0" w:color="000000"/>
                    </w:tcBorders>
                    <w:vAlign w:val="center"/>
                  </w:tcPr>
                  <w:p>
                    <w:pPr>
                      <w:jc w:val="center"/>
                      <w:rPr>
                        <w:sz w:val="18"/>
                        <w:szCs w:val="24"/>
                        <w:lang w:eastAsia="lt-LT"/>
                      </w:rPr>
                    </w:pPr>
                  </w:p>
                </w:tc>
                <w:tc>
                  <w:tcPr>
                    <w:tcW w:w="1338" w:type="dxa"/>
                    <w:tcBorders>
                      <w:top w:val="single" w:sz="6" w:space="0" w:color="000000"/>
                      <w:left w:val="single" w:sz="6" w:space="0" w:color="000000"/>
                      <w:bottom w:val="single" w:sz="4" w:space="0" w:color="auto"/>
                      <w:right w:val="single" w:sz="6" w:space="0" w:color="000000"/>
                    </w:tcBorders>
                    <w:vAlign w:val="center"/>
                  </w:tcPr>
                  <w:p>
                    <w:pPr>
                      <w:jc w:val="center"/>
                      <w:rPr>
                        <w:sz w:val="18"/>
                        <w:szCs w:val="24"/>
                        <w:lang w:eastAsia="lt-LT"/>
                      </w:rPr>
                    </w:pPr>
                  </w:p>
                </w:tc>
                <w:tc>
                  <w:tcPr>
                    <w:tcW w:w="1762" w:type="dxa"/>
                    <w:tcBorders>
                      <w:top w:val="single" w:sz="6" w:space="0" w:color="000000"/>
                      <w:left w:val="single" w:sz="6" w:space="0" w:color="000000"/>
                      <w:bottom w:val="single" w:sz="4" w:space="0" w:color="auto"/>
                      <w:right w:val="single" w:sz="6" w:space="0" w:color="000000"/>
                    </w:tcBorders>
                    <w:vAlign w:val="center"/>
                  </w:tcPr>
                  <w:p>
                    <w:pPr>
                      <w:jc w:val="center"/>
                      <w:rPr>
                        <w:sz w:val="18"/>
                        <w:szCs w:val="24"/>
                        <w:lang w:eastAsia="lt-LT"/>
                      </w:rPr>
                    </w:pPr>
                  </w:p>
                </w:tc>
                <w:tc>
                  <w:tcPr>
                    <w:tcW w:w="1209" w:type="dxa"/>
                    <w:tcBorders>
                      <w:top w:val="single" w:sz="6" w:space="0" w:color="000000"/>
                      <w:left w:val="single" w:sz="6" w:space="0" w:color="000000"/>
                      <w:bottom w:val="single" w:sz="4" w:space="0" w:color="auto"/>
                      <w:right w:val="single" w:sz="6" w:space="0" w:color="000000"/>
                    </w:tcBorders>
                    <w:vAlign w:val="center"/>
                  </w:tcPr>
                  <w:p>
                    <w:pPr>
                      <w:jc w:val="center"/>
                      <w:rPr>
                        <w:sz w:val="18"/>
                        <w:szCs w:val="24"/>
                        <w:lang w:eastAsia="lt-LT"/>
                      </w:rPr>
                    </w:pPr>
                  </w:p>
                </w:tc>
                <w:tc>
                  <w:tcPr>
                    <w:tcW w:w="2940" w:type="dxa"/>
                    <w:tcBorders>
                      <w:top w:val="single" w:sz="6" w:space="0" w:color="000000"/>
                      <w:left w:val="single" w:sz="6" w:space="0" w:color="000000"/>
                      <w:bottom w:val="single" w:sz="4" w:space="0" w:color="auto"/>
                      <w:right w:val="single" w:sz="6" w:space="0" w:color="000000"/>
                    </w:tcBorders>
                    <w:vAlign w:val="center"/>
                  </w:tcPr>
                  <w:p>
                    <w:pPr>
                      <w:jc w:val="center"/>
                      <w:rPr>
                        <w:sz w:val="18"/>
                        <w:szCs w:val="24"/>
                        <w:lang w:eastAsia="lt-LT"/>
                      </w:rPr>
                    </w:pPr>
                  </w:p>
                </w:tc>
                <w:tc>
                  <w:tcPr>
                    <w:tcW w:w="1887" w:type="dxa"/>
                    <w:tcBorders>
                      <w:top w:val="single" w:sz="6" w:space="0" w:color="000000"/>
                      <w:left w:val="single" w:sz="6" w:space="0" w:color="000000"/>
                      <w:bottom w:val="single" w:sz="4" w:space="0" w:color="auto"/>
                      <w:right w:val="single" w:sz="6" w:space="0" w:color="000000"/>
                    </w:tcBorders>
                    <w:vAlign w:val="center"/>
                  </w:tcPr>
                  <w:p>
                    <w:pPr>
                      <w:jc w:val="center"/>
                      <w:rPr>
                        <w:sz w:val="18"/>
                        <w:szCs w:val="24"/>
                        <w:lang w:eastAsia="lt-LT"/>
                      </w:rPr>
                    </w:pPr>
                  </w:p>
                </w:tc>
                <w:tc>
                  <w:tcPr>
                    <w:tcW w:w="1517" w:type="dxa"/>
                    <w:tcBorders>
                      <w:top w:val="single" w:sz="6" w:space="0" w:color="000000"/>
                      <w:left w:val="single" w:sz="6" w:space="0" w:color="000000"/>
                      <w:bottom w:val="single" w:sz="4" w:space="0" w:color="auto"/>
                      <w:right w:val="single" w:sz="4" w:space="0" w:color="auto"/>
                    </w:tcBorders>
                    <w:vAlign w:val="center"/>
                  </w:tcPr>
                  <w:p>
                    <w:pPr>
                      <w:jc w:val="center"/>
                      <w:rPr>
                        <w:sz w:val="18"/>
                        <w:szCs w:val="24"/>
                        <w:lang w:eastAsia="lt-LT"/>
                      </w:rPr>
                    </w:pPr>
                  </w:p>
                </w:tc>
              </w:tr>
            </w:tbl>
            <w:p>
              <w:pPr>
                <w:ind w:firstLine="567"/>
                <w:jc w:val="both"/>
                <w:rPr>
                  <w:sz w:val="22"/>
                  <w:szCs w:val="24"/>
                  <w:lang w:eastAsia="lt-LT"/>
                </w:rPr>
              </w:pPr>
            </w:p>
            <w:sdt>
              <w:sdtPr>
                <w:alias w:val="5 pr. 7 p."/>
                <w:tag w:val="part_b6675a3dab824f95836931f259769bfb"/>
                <w:lock w:val="sdtLocked"/>
                <w:richText/>
              </w:sdtPr>
              <w:sdtContent>
                <w:p>
                  <w:pPr>
                    <w:ind w:firstLine="567"/>
                    <w:jc w:val="both"/>
                    <w:rPr>
                      <w:sz w:val="22"/>
                      <w:szCs w:val="24"/>
                      <w:lang w:eastAsia="lt-LT"/>
                    </w:rPr>
                  </w:pPr>
                  <w:sdt>
                    <w:sdtPr>
                      <w:alias w:val="Numeris"/>
                      <w:tag w:val="nr_b6675a3dab824f95836931f259769bfb"/>
                      <w:lock w:val="sdtLocked"/>
                      <w:richText/>
                    </w:sdtPr>
                    <w:sdtContent>
                      <w:r>
                        <w:rPr>
                          <w:sz w:val="22"/>
                          <w:szCs w:val="24"/>
                          <w:lang w:eastAsia="lt-LT"/>
                        </w:rPr>
                        <w:t>7</w:t>
                      </w:r>
                    </w:sdtContent>
                  </w:sdt>
                  <w:r>
                    <w:rPr>
                      <w:sz w:val="22"/>
                      <w:szCs w:val="24"/>
                      <w:lang w:eastAsia="lt-LT"/>
                    </w:rPr>
                    <w:t>. Vandens išgavimas.</w:t>
                  </w:r>
                </w:p>
                <w:p>
                  <w:pPr>
                    <w:ind w:firstLine="567"/>
                    <w:jc w:val="both"/>
                    <w:rPr>
                      <w:strike/>
                      <w:sz w:val="22"/>
                      <w:szCs w:val="24"/>
                      <w:lang w:eastAsia="lt-LT"/>
                    </w:rPr>
                  </w:pPr>
                </w:p>
                <w:p>
                  <w:pPr>
                    <w:ind w:firstLine="567"/>
                    <w:jc w:val="both"/>
                    <w:rPr>
                      <w:sz w:val="22"/>
                      <w:szCs w:val="24"/>
                      <w:lang w:eastAsia="lt-LT"/>
                    </w:rPr>
                  </w:pPr>
                  <w:r>
                    <w:rPr>
                      <w:sz w:val="22"/>
                      <w:szCs w:val="24"/>
                      <w:lang w:eastAsia="lt-LT"/>
                    </w:rPr>
                    <w:t>4 lentelė. Duomenys apie paviršinį vandens telkinį, iš kurio leidžiama išgauti vandenį, vandens išgavimo vietą ir leidžiamą išgauti vandens kiekį</w:t>
                  </w:r>
                </w:p>
                <w:p>
                  <w:pPr>
                    <w:jc w:val="both"/>
                    <w:rPr>
                      <w:sz w:val="18"/>
                      <w:lang w:eastAsia="lt-LT"/>
                    </w:rPr>
                  </w:pPr>
                </w:p>
                <w:tbl>
                  <w:tblPr>
                    <w:tblW w:w="13251" w:type="dxa"/>
                    <w:tblLook w:val="00A0" w:firstRow="1" w:lastRow="0" w:firstColumn="1" w:lastColumn="0" w:noHBand="0" w:noVBand="0"/>
                  </w:tblPr>
                  <w:tblGrid>
                    <w:gridCol w:w="1417"/>
                    <w:gridCol w:w="5171"/>
                    <w:gridCol w:w="1134"/>
                    <w:gridCol w:w="1134"/>
                    <w:gridCol w:w="1063"/>
                    <w:gridCol w:w="1064"/>
                    <w:gridCol w:w="1134"/>
                    <w:gridCol w:w="1134"/>
                  </w:tblGrid>
                  <w:tr>
                    <w:tc>
                      <w:tcPr>
                        <w:tcW w:w="1417" w:type="dxa"/>
                        <w:tcBorders>
                          <w:top w:val="single" w:sz="4" w:space="0" w:color="auto"/>
                          <w:left w:val="single" w:sz="4" w:space="0" w:color="auto"/>
                          <w:bottom w:val="single" w:sz="4" w:space="0" w:color="auto"/>
                          <w:right w:val="single" w:sz="4" w:space="0" w:color="auto"/>
                        </w:tcBorders>
                      </w:tcPr>
                      <w:p>
                        <w:pPr>
                          <w:jc w:val="center"/>
                          <w:rPr>
                            <w:sz w:val="18"/>
                            <w:lang w:eastAsia="lt-LT"/>
                          </w:rPr>
                        </w:pPr>
                      </w:p>
                    </w:tc>
                    <w:tc>
                      <w:tcPr>
                        <w:tcW w:w="5171" w:type="dxa"/>
                        <w:tcBorders>
                          <w:top w:val="single" w:sz="4" w:space="0" w:color="auto"/>
                          <w:left w:val="single" w:sz="4" w:space="0" w:color="auto"/>
                          <w:bottom w:val="single" w:sz="4" w:space="0" w:color="auto"/>
                          <w:right w:val="single" w:sz="4" w:space="0" w:color="auto"/>
                        </w:tcBorders>
                      </w:tcPr>
                      <w:p>
                        <w:pPr>
                          <w:rPr>
                            <w:sz w:val="18"/>
                            <w:lang w:eastAsia="lt-LT"/>
                          </w:rPr>
                        </w:pPr>
                        <w:r>
                          <w:rPr>
                            <w:sz w:val="18"/>
                            <w:lang w:eastAsia="lt-LT"/>
                          </w:rPr>
                          <w:t>Vandens išgavimo vietos Nr.</w:t>
                        </w:r>
                      </w:p>
                    </w:tc>
                    <w:tc>
                      <w:tcPr>
                        <w:tcW w:w="2268" w:type="dxa"/>
                        <w:gridSpan w:val="2"/>
                        <w:tcBorders>
                          <w:top w:val="single" w:sz="4" w:space="0" w:color="auto"/>
                          <w:left w:val="single" w:sz="4" w:space="0" w:color="auto"/>
                          <w:bottom w:val="single" w:sz="4" w:space="0" w:color="auto"/>
                          <w:right w:val="single" w:sz="4" w:space="0" w:color="auto"/>
                        </w:tcBorders>
                      </w:tcPr>
                      <w:p>
                        <w:pPr>
                          <w:jc w:val="center"/>
                          <w:rPr>
                            <w:sz w:val="18"/>
                            <w:lang w:eastAsia="lt-LT"/>
                          </w:rPr>
                        </w:pPr>
                      </w:p>
                    </w:tc>
                    <w:tc>
                      <w:tcPr>
                        <w:tcW w:w="2127" w:type="dxa"/>
                        <w:gridSpan w:val="2"/>
                        <w:tcBorders>
                          <w:top w:val="single" w:sz="4" w:space="0" w:color="auto"/>
                          <w:left w:val="single" w:sz="4" w:space="0" w:color="auto"/>
                          <w:bottom w:val="single" w:sz="4" w:space="0" w:color="auto"/>
                          <w:right w:val="single" w:sz="4" w:space="0" w:color="auto"/>
                        </w:tcBorders>
                      </w:tcPr>
                      <w:p>
                        <w:pPr>
                          <w:jc w:val="center"/>
                          <w:rPr>
                            <w:sz w:val="18"/>
                            <w:lang w:eastAsia="lt-LT"/>
                          </w:rPr>
                        </w:pPr>
                      </w:p>
                    </w:tc>
                    <w:tc>
                      <w:tcPr>
                        <w:tcW w:w="2268" w:type="dxa"/>
                        <w:gridSpan w:val="2"/>
                        <w:tcBorders>
                          <w:top w:val="single" w:sz="4" w:space="0" w:color="auto"/>
                          <w:left w:val="single" w:sz="4" w:space="0" w:color="auto"/>
                          <w:bottom w:val="single" w:sz="4" w:space="0" w:color="auto"/>
                          <w:right w:val="single" w:sz="4" w:space="0" w:color="auto"/>
                        </w:tcBorders>
                      </w:tcPr>
                      <w:p>
                        <w:pPr>
                          <w:jc w:val="center"/>
                          <w:rPr>
                            <w:sz w:val="18"/>
                            <w:lang w:eastAsia="lt-LT"/>
                          </w:rPr>
                        </w:pPr>
                      </w:p>
                    </w:tc>
                  </w:tr>
                  <w:tr>
                    <w:tc>
                      <w:tcPr>
                        <w:tcW w:w="1417" w:type="dxa"/>
                        <w:tcBorders>
                          <w:top w:val="single" w:sz="4" w:space="0" w:color="auto"/>
                          <w:left w:val="single" w:sz="4" w:space="0" w:color="auto"/>
                          <w:bottom w:val="single" w:sz="4" w:space="0" w:color="auto"/>
                          <w:right w:val="single" w:sz="4" w:space="0" w:color="auto"/>
                        </w:tcBorders>
                      </w:tcPr>
                      <w:p>
                        <w:pPr>
                          <w:jc w:val="center"/>
                          <w:rPr>
                            <w:sz w:val="18"/>
                            <w:lang w:eastAsia="lt-LT"/>
                          </w:rPr>
                        </w:pPr>
                        <w:r>
                          <w:rPr>
                            <w:sz w:val="18"/>
                            <w:lang w:eastAsia="lt-LT"/>
                          </w:rPr>
                          <w:t>1.</w:t>
                        </w:r>
                      </w:p>
                    </w:tc>
                    <w:tc>
                      <w:tcPr>
                        <w:tcW w:w="5171" w:type="dxa"/>
                        <w:tcBorders>
                          <w:top w:val="single" w:sz="4" w:space="0" w:color="auto"/>
                          <w:left w:val="single" w:sz="4" w:space="0" w:color="auto"/>
                          <w:bottom w:val="single" w:sz="4" w:space="0" w:color="auto"/>
                          <w:right w:val="single" w:sz="4" w:space="0" w:color="auto"/>
                        </w:tcBorders>
                      </w:tcPr>
                      <w:p>
                        <w:pPr>
                          <w:rPr>
                            <w:sz w:val="18"/>
                            <w:lang w:eastAsia="lt-LT"/>
                          </w:rPr>
                        </w:pPr>
                        <w:r>
                          <w:rPr>
                            <w:sz w:val="18"/>
                            <w:lang w:eastAsia="lt-LT"/>
                          </w:rPr>
                          <w:t>Vandens telkinio kategorija (upė, ežeras, tvenkinys, kt.)</w:t>
                        </w:r>
                      </w:p>
                    </w:tc>
                    <w:tc>
                      <w:tcPr>
                        <w:tcW w:w="2268" w:type="dxa"/>
                        <w:gridSpan w:val="2"/>
                        <w:tcBorders>
                          <w:top w:val="single" w:sz="4" w:space="0" w:color="auto"/>
                          <w:left w:val="single" w:sz="4" w:space="0" w:color="auto"/>
                          <w:bottom w:val="single" w:sz="4" w:space="0" w:color="auto"/>
                          <w:right w:val="single" w:sz="4" w:space="0" w:color="auto"/>
                        </w:tcBorders>
                      </w:tcPr>
                      <w:p>
                        <w:pPr>
                          <w:jc w:val="center"/>
                          <w:rPr>
                            <w:sz w:val="18"/>
                            <w:lang w:eastAsia="lt-LT"/>
                          </w:rPr>
                        </w:pPr>
                      </w:p>
                    </w:tc>
                    <w:tc>
                      <w:tcPr>
                        <w:tcW w:w="2127" w:type="dxa"/>
                        <w:gridSpan w:val="2"/>
                        <w:tcBorders>
                          <w:top w:val="single" w:sz="4" w:space="0" w:color="auto"/>
                          <w:left w:val="single" w:sz="4" w:space="0" w:color="auto"/>
                          <w:bottom w:val="single" w:sz="4" w:space="0" w:color="auto"/>
                          <w:right w:val="single" w:sz="4" w:space="0" w:color="auto"/>
                        </w:tcBorders>
                      </w:tcPr>
                      <w:p>
                        <w:pPr>
                          <w:jc w:val="center"/>
                          <w:rPr>
                            <w:sz w:val="18"/>
                            <w:lang w:eastAsia="lt-LT"/>
                          </w:rPr>
                        </w:pPr>
                      </w:p>
                    </w:tc>
                    <w:tc>
                      <w:tcPr>
                        <w:tcW w:w="2268" w:type="dxa"/>
                        <w:gridSpan w:val="2"/>
                        <w:tcBorders>
                          <w:top w:val="single" w:sz="4" w:space="0" w:color="auto"/>
                          <w:left w:val="single" w:sz="4" w:space="0" w:color="auto"/>
                          <w:bottom w:val="single" w:sz="4" w:space="0" w:color="auto"/>
                          <w:right w:val="single" w:sz="4" w:space="0" w:color="auto"/>
                        </w:tcBorders>
                      </w:tcPr>
                      <w:p>
                        <w:pPr>
                          <w:jc w:val="center"/>
                          <w:rPr>
                            <w:sz w:val="18"/>
                            <w:lang w:eastAsia="lt-LT"/>
                          </w:rPr>
                        </w:pPr>
                      </w:p>
                    </w:tc>
                  </w:tr>
                  <w:tr>
                    <w:tc>
                      <w:tcPr>
                        <w:tcW w:w="1417" w:type="dxa"/>
                        <w:tcBorders>
                          <w:top w:val="single" w:sz="4" w:space="0" w:color="auto"/>
                          <w:left w:val="single" w:sz="4" w:space="0" w:color="auto"/>
                          <w:bottom w:val="single" w:sz="4" w:space="0" w:color="auto"/>
                          <w:right w:val="single" w:sz="4" w:space="0" w:color="auto"/>
                        </w:tcBorders>
                      </w:tcPr>
                      <w:p>
                        <w:pPr>
                          <w:jc w:val="center"/>
                          <w:rPr>
                            <w:sz w:val="18"/>
                            <w:lang w:eastAsia="lt-LT"/>
                          </w:rPr>
                        </w:pPr>
                        <w:r>
                          <w:rPr>
                            <w:sz w:val="18"/>
                            <w:lang w:eastAsia="lt-LT"/>
                          </w:rPr>
                          <w:t>2.</w:t>
                        </w:r>
                      </w:p>
                    </w:tc>
                    <w:tc>
                      <w:tcPr>
                        <w:tcW w:w="5171" w:type="dxa"/>
                        <w:tcBorders>
                          <w:top w:val="single" w:sz="4" w:space="0" w:color="auto"/>
                          <w:left w:val="single" w:sz="4" w:space="0" w:color="auto"/>
                          <w:bottom w:val="single" w:sz="4" w:space="0" w:color="auto"/>
                          <w:right w:val="single" w:sz="4" w:space="0" w:color="auto"/>
                        </w:tcBorders>
                      </w:tcPr>
                      <w:p>
                        <w:pPr>
                          <w:rPr>
                            <w:sz w:val="18"/>
                            <w:lang w:eastAsia="lt-LT"/>
                          </w:rPr>
                        </w:pPr>
                        <w:r>
                          <w:rPr>
                            <w:sz w:val="18"/>
                            <w:lang w:eastAsia="lt-LT"/>
                          </w:rPr>
                          <w:t>Vandens telkinio pavadinimas</w:t>
                        </w:r>
                      </w:p>
                    </w:tc>
                    <w:tc>
                      <w:tcPr>
                        <w:tcW w:w="2268" w:type="dxa"/>
                        <w:gridSpan w:val="2"/>
                        <w:tcBorders>
                          <w:top w:val="single" w:sz="4" w:space="0" w:color="auto"/>
                          <w:left w:val="single" w:sz="4" w:space="0" w:color="auto"/>
                          <w:bottom w:val="single" w:sz="4" w:space="0" w:color="auto"/>
                          <w:right w:val="single" w:sz="4" w:space="0" w:color="auto"/>
                        </w:tcBorders>
                      </w:tcPr>
                      <w:p>
                        <w:pPr>
                          <w:jc w:val="center"/>
                          <w:rPr>
                            <w:sz w:val="18"/>
                            <w:lang w:eastAsia="lt-LT"/>
                          </w:rPr>
                        </w:pPr>
                      </w:p>
                    </w:tc>
                    <w:tc>
                      <w:tcPr>
                        <w:tcW w:w="2127" w:type="dxa"/>
                        <w:gridSpan w:val="2"/>
                        <w:tcBorders>
                          <w:top w:val="single" w:sz="4" w:space="0" w:color="auto"/>
                          <w:left w:val="single" w:sz="4" w:space="0" w:color="auto"/>
                          <w:bottom w:val="single" w:sz="4" w:space="0" w:color="auto"/>
                          <w:right w:val="single" w:sz="4" w:space="0" w:color="auto"/>
                        </w:tcBorders>
                      </w:tcPr>
                      <w:p>
                        <w:pPr>
                          <w:jc w:val="center"/>
                          <w:rPr>
                            <w:sz w:val="18"/>
                            <w:lang w:eastAsia="lt-LT"/>
                          </w:rPr>
                        </w:pPr>
                      </w:p>
                    </w:tc>
                    <w:tc>
                      <w:tcPr>
                        <w:tcW w:w="2268" w:type="dxa"/>
                        <w:gridSpan w:val="2"/>
                        <w:tcBorders>
                          <w:top w:val="single" w:sz="4" w:space="0" w:color="auto"/>
                          <w:left w:val="single" w:sz="4" w:space="0" w:color="auto"/>
                          <w:bottom w:val="single" w:sz="4" w:space="0" w:color="auto"/>
                          <w:right w:val="single" w:sz="4" w:space="0" w:color="auto"/>
                        </w:tcBorders>
                      </w:tcPr>
                      <w:p>
                        <w:pPr>
                          <w:jc w:val="center"/>
                          <w:rPr>
                            <w:sz w:val="18"/>
                            <w:lang w:eastAsia="lt-LT"/>
                          </w:rPr>
                        </w:pPr>
                      </w:p>
                    </w:tc>
                  </w:tr>
                  <w:tr>
                    <w:tc>
                      <w:tcPr>
                        <w:tcW w:w="1417" w:type="dxa"/>
                        <w:tcBorders>
                          <w:top w:val="single" w:sz="4" w:space="0" w:color="auto"/>
                          <w:left w:val="single" w:sz="4" w:space="0" w:color="auto"/>
                          <w:bottom w:val="single" w:sz="4" w:space="0" w:color="auto"/>
                          <w:right w:val="single" w:sz="4" w:space="0" w:color="auto"/>
                        </w:tcBorders>
                      </w:tcPr>
                      <w:p>
                        <w:pPr>
                          <w:jc w:val="center"/>
                          <w:rPr>
                            <w:sz w:val="18"/>
                            <w:lang w:eastAsia="lt-LT"/>
                          </w:rPr>
                        </w:pPr>
                        <w:r>
                          <w:rPr>
                            <w:sz w:val="18"/>
                            <w:lang w:eastAsia="lt-LT"/>
                          </w:rPr>
                          <w:t>3.</w:t>
                        </w:r>
                      </w:p>
                    </w:tc>
                    <w:tc>
                      <w:tcPr>
                        <w:tcW w:w="5171" w:type="dxa"/>
                        <w:tcBorders>
                          <w:top w:val="single" w:sz="4" w:space="0" w:color="auto"/>
                          <w:left w:val="single" w:sz="4" w:space="0" w:color="auto"/>
                          <w:bottom w:val="single" w:sz="4" w:space="0" w:color="auto"/>
                          <w:right w:val="single" w:sz="4" w:space="0" w:color="auto"/>
                        </w:tcBorders>
                      </w:tcPr>
                      <w:p>
                        <w:pPr>
                          <w:rPr>
                            <w:sz w:val="18"/>
                            <w:lang w:eastAsia="lt-LT"/>
                          </w:rPr>
                        </w:pPr>
                        <w:r>
                          <w:rPr>
                            <w:sz w:val="18"/>
                            <w:lang w:eastAsia="lt-LT"/>
                          </w:rPr>
                          <w:t>Vandens telkinio identifikavimo kodas</w:t>
                        </w:r>
                      </w:p>
                    </w:tc>
                    <w:tc>
                      <w:tcPr>
                        <w:tcW w:w="2268" w:type="dxa"/>
                        <w:gridSpan w:val="2"/>
                        <w:tcBorders>
                          <w:top w:val="single" w:sz="4" w:space="0" w:color="auto"/>
                          <w:left w:val="single" w:sz="4" w:space="0" w:color="auto"/>
                          <w:bottom w:val="single" w:sz="4" w:space="0" w:color="auto"/>
                          <w:right w:val="single" w:sz="4" w:space="0" w:color="auto"/>
                        </w:tcBorders>
                      </w:tcPr>
                      <w:p>
                        <w:pPr>
                          <w:jc w:val="center"/>
                          <w:rPr>
                            <w:sz w:val="18"/>
                            <w:lang w:eastAsia="lt-LT"/>
                          </w:rPr>
                        </w:pPr>
                      </w:p>
                    </w:tc>
                    <w:tc>
                      <w:tcPr>
                        <w:tcW w:w="2127" w:type="dxa"/>
                        <w:gridSpan w:val="2"/>
                        <w:tcBorders>
                          <w:top w:val="single" w:sz="4" w:space="0" w:color="auto"/>
                          <w:left w:val="single" w:sz="4" w:space="0" w:color="auto"/>
                          <w:bottom w:val="single" w:sz="4" w:space="0" w:color="auto"/>
                          <w:right w:val="single" w:sz="4" w:space="0" w:color="auto"/>
                        </w:tcBorders>
                      </w:tcPr>
                      <w:p>
                        <w:pPr>
                          <w:jc w:val="center"/>
                          <w:rPr>
                            <w:sz w:val="18"/>
                            <w:lang w:eastAsia="lt-LT"/>
                          </w:rPr>
                        </w:pPr>
                      </w:p>
                    </w:tc>
                    <w:tc>
                      <w:tcPr>
                        <w:tcW w:w="2268" w:type="dxa"/>
                        <w:gridSpan w:val="2"/>
                        <w:tcBorders>
                          <w:top w:val="single" w:sz="4" w:space="0" w:color="auto"/>
                          <w:left w:val="single" w:sz="4" w:space="0" w:color="auto"/>
                          <w:bottom w:val="single" w:sz="4" w:space="0" w:color="auto"/>
                          <w:right w:val="single" w:sz="4" w:space="0" w:color="auto"/>
                        </w:tcBorders>
                      </w:tcPr>
                      <w:p>
                        <w:pPr>
                          <w:jc w:val="center"/>
                          <w:rPr>
                            <w:sz w:val="18"/>
                            <w:lang w:eastAsia="lt-LT"/>
                          </w:rPr>
                        </w:pPr>
                      </w:p>
                    </w:tc>
                  </w:tr>
                  <w:tr>
                    <w:tc>
                      <w:tcPr>
                        <w:tcW w:w="1417" w:type="dxa"/>
                        <w:tcBorders>
                          <w:top w:val="single" w:sz="4" w:space="0" w:color="auto"/>
                          <w:left w:val="single" w:sz="4" w:space="0" w:color="auto"/>
                          <w:bottom w:val="single" w:sz="4" w:space="0" w:color="auto"/>
                          <w:right w:val="single" w:sz="4" w:space="0" w:color="auto"/>
                        </w:tcBorders>
                      </w:tcPr>
                      <w:p>
                        <w:pPr>
                          <w:jc w:val="center"/>
                          <w:rPr>
                            <w:sz w:val="18"/>
                            <w:lang w:eastAsia="lt-LT"/>
                          </w:rPr>
                        </w:pPr>
                        <w:r>
                          <w:rPr>
                            <w:sz w:val="18"/>
                            <w:lang w:eastAsia="lt-LT"/>
                          </w:rPr>
                          <w:t>4.</w:t>
                        </w:r>
                      </w:p>
                    </w:tc>
                    <w:tc>
                      <w:tcPr>
                        <w:tcW w:w="5171" w:type="dxa"/>
                        <w:tcBorders>
                          <w:top w:val="single" w:sz="4" w:space="0" w:color="auto"/>
                          <w:left w:val="single" w:sz="4" w:space="0" w:color="auto"/>
                          <w:bottom w:val="single" w:sz="4" w:space="0" w:color="auto"/>
                          <w:right w:val="single" w:sz="4" w:space="0" w:color="auto"/>
                        </w:tcBorders>
                      </w:tcPr>
                      <w:p>
                        <w:pPr>
                          <w:rPr>
                            <w:sz w:val="18"/>
                            <w:lang w:eastAsia="lt-LT"/>
                          </w:rPr>
                        </w:pPr>
                        <w:r>
                          <w:rPr>
                            <w:sz w:val="18"/>
                            <w:lang w:eastAsia="lt-LT"/>
                          </w:rPr>
                          <w:t>Vandens išgavimo vietos koordinatės</w:t>
                        </w:r>
                      </w:p>
                    </w:tc>
                    <w:tc>
                      <w:tcPr>
                        <w:tcW w:w="2268" w:type="dxa"/>
                        <w:gridSpan w:val="2"/>
                        <w:tcBorders>
                          <w:top w:val="single" w:sz="4" w:space="0" w:color="auto"/>
                          <w:left w:val="single" w:sz="4" w:space="0" w:color="auto"/>
                          <w:bottom w:val="single" w:sz="4" w:space="0" w:color="auto"/>
                          <w:right w:val="single" w:sz="4" w:space="0" w:color="auto"/>
                        </w:tcBorders>
                      </w:tcPr>
                      <w:p>
                        <w:pPr>
                          <w:jc w:val="center"/>
                          <w:rPr>
                            <w:sz w:val="18"/>
                            <w:lang w:eastAsia="lt-LT"/>
                          </w:rPr>
                        </w:pPr>
                      </w:p>
                    </w:tc>
                    <w:tc>
                      <w:tcPr>
                        <w:tcW w:w="2127" w:type="dxa"/>
                        <w:gridSpan w:val="2"/>
                        <w:tcBorders>
                          <w:top w:val="single" w:sz="4" w:space="0" w:color="auto"/>
                          <w:left w:val="single" w:sz="4" w:space="0" w:color="auto"/>
                          <w:bottom w:val="single" w:sz="4" w:space="0" w:color="auto"/>
                          <w:right w:val="single" w:sz="4" w:space="0" w:color="auto"/>
                        </w:tcBorders>
                      </w:tcPr>
                      <w:p>
                        <w:pPr>
                          <w:jc w:val="center"/>
                          <w:rPr>
                            <w:sz w:val="18"/>
                            <w:lang w:eastAsia="lt-LT"/>
                          </w:rPr>
                        </w:pPr>
                      </w:p>
                    </w:tc>
                    <w:tc>
                      <w:tcPr>
                        <w:tcW w:w="2268" w:type="dxa"/>
                        <w:gridSpan w:val="2"/>
                        <w:tcBorders>
                          <w:top w:val="single" w:sz="4" w:space="0" w:color="auto"/>
                          <w:left w:val="single" w:sz="4" w:space="0" w:color="auto"/>
                          <w:bottom w:val="single" w:sz="4" w:space="0" w:color="auto"/>
                          <w:right w:val="single" w:sz="4" w:space="0" w:color="auto"/>
                        </w:tcBorders>
                      </w:tcPr>
                      <w:p>
                        <w:pPr>
                          <w:jc w:val="center"/>
                          <w:rPr>
                            <w:sz w:val="18"/>
                            <w:lang w:eastAsia="lt-LT"/>
                          </w:rPr>
                        </w:pPr>
                      </w:p>
                    </w:tc>
                  </w:tr>
                  <w:tr>
                    <w:tc>
                      <w:tcPr>
                        <w:tcW w:w="1417" w:type="dxa"/>
                        <w:vMerge w:val="restart"/>
                        <w:tcBorders>
                          <w:top w:val="single" w:sz="4" w:space="0" w:color="auto"/>
                          <w:left w:val="single" w:sz="4" w:space="0" w:color="auto"/>
                          <w:right w:val="single" w:sz="4" w:space="0" w:color="auto"/>
                        </w:tcBorders>
                      </w:tcPr>
                      <w:p>
                        <w:pPr>
                          <w:jc w:val="center"/>
                          <w:rPr>
                            <w:sz w:val="18"/>
                            <w:lang w:eastAsia="lt-LT"/>
                          </w:rPr>
                        </w:pPr>
                        <w:r>
                          <w:rPr>
                            <w:sz w:val="18"/>
                            <w:lang w:eastAsia="lt-LT"/>
                          </w:rPr>
                          <w:t>5.</w:t>
                        </w:r>
                      </w:p>
                    </w:tc>
                    <w:tc>
                      <w:tcPr>
                        <w:tcW w:w="5171" w:type="dxa"/>
                        <w:vMerge w:val="restart"/>
                        <w:tcBorders>
                          <w:top w:val="single" w:sz="4" w:space="0" w:color="auto"/>
                          <w:left w:val="single" w:sz="4" w:space="0" w:color="auto"/>
                          <w:right w:val="single" w:sz="4" w:space="0" w:color="auto"/>
                        </w:tcBorders>
                      </w:tcPr>
                      <w:p>
                        <w:pPr>
                          <w:rPr>
                            <w:sz w:val="18"/>
                            <w:lang w:eastAsia="lt-LT"/>
                          </w:rPr>
                        </w:pPr>
                        <w:r>
                          <w:rPr>
                            <w:sz w:val="18"/>
                            <w:lang w:eastAsia="lt-LT"/>
                          </w:rPr>
                          <w:t>Didžiausias leidžiamas išgauti vandens kiekis</w:t>
                        </w:r>
                      </w:p>
                    </w:tc>
                    <w:tc>
                      <w:tcPr>
                        <w:tcW w:w="1134" w:type="dxa"/>
                        <w:tcBorders>
                          <w:top w:val="single" w:sz="4" w:space="0" w:color="auto"/>
                          <w:left w:val="single" w:sz="4" w:space="0" w:color="auto"/>
                          <w:bottom w:val="single" w:sz="4" w:space="0" w:color="auto"/>
                          <w:right w:val="single" w:sz="4" w:space="0" w:color="auto"/>
                        </w:tcBorders>
                      </w:tcPr>
                      <w:p>
                        <w:pPr>
                          <w:jc w:val="center"/>
                          <w:rPr>
                            <w:sz w:val="18"/>
                            <w:lang w:eastAsia="lt-LT"/>
                          </w:rPr>
                        </w:pPr>
                        <w:r>
                          <w:rPr>
                            <w:sz w:val="18"/>
                            <w:lang w:eastAsia="lt-LT"/>
                          </w:rPr>
                          <w:t>m</w:t>
                        </w:r>
                        <w:r>
                          <w:rPr>
                            <w:sz w:val="18"/>
                            <w:vertAlign w:val="superscript"/>
                            <w:lang w:eastAsia="lt-LT"/>
                          </w:rPr>
                          <w:t>3</w:t>
                        </w:r>
                        <w:r>
                          <w:rPr>
                            <w:sz w:val="18"/>
                            <w:lang w:eastAsia="lt-LT"/>
                          </w:rPr>
                          <w:t>/m.</w:t>
                        </w:r>
                      </w:p>
                    </w:tc>
                    <w:tc>
                      <w:tcPr>
                        <w:tcW w:w="1134" w:type="dxa"/>
                        <w:tcBorders>
                          <w:top w:val="single" w:sz="4" w:space="0" w:color="auto"/>
                          <w:left w:val="single" w:sz="4" w:space="0" w:color="auto"/>
                          <w:bottom w:val="single" w:sz="4" w:space="0" w:color="auto"/>
                          <w:right w:val="single" w:sz="4" w:space="0" w:color="auto"/>
                        </w:tcBorders>
                      </w:tcPr>
                      <w:p>
                        <w:pPr>
                          <w:jc w:val="center"/>
                          <w:rPr>
                            <w:sz w:val="18"/>
                            <w:lang w:eastAsia="lt-LT"/>
                          </w:rPr>
                        </w:pPr>
                        <w:r>
                          <w:rPr>
                            <w:sz w:val="18"/>
                            <w:lang w:eastAsia="lt-LT"/>
                          </w:rPr>
                          <w:t>m</w:t>
                        </w:r>
                        <w:r>
                          <w:rPr>
                            <w:sz w:val="18"/>
                            <w:vertAlign w:val="superscript"/>
                            <w:lang w:eastAsia="lt-LT"/>
                          </w:rPr>
                          <w:t>3</w:t>
                        </w:r>
                        <w:r>
                          <w:rPr>
                            <w:sz w:val="18"/>
                            <w:lang w:eastAsia="lt-LT"/>
                          </w:rPr>
                          <w:t>/p.</w:t>
                        </w:r>
                      </w:p>
                    </w:tc>
                    <w:tc>
                      <w:tcPr>
                        <w:tcW w:w="1063" w:type="dxa"/>
                        <w:tcBorders>
                          <w:top w:val="single" w:sz="4" w:space="0" w:color="auto"/>
                          <w:left w:val="single" w:sz="4" w:space="0" w:color="auto"/>
                          <w:bottom w:val="single" w:sz="4" w:space="0" w:color="auto"/>
                          <w:right w:val="single" w:sz="4" w:space="0" w:color="auto"/>
                        </w:tcBorders>
                      </w:tcPr>
                      <w:p>
                        <w:pPr>
                          <w:jc w:val="center"/>
                          <w:rPr>
                            <w:sz w:val="18"/>
                            <w:lang w:eastAsia="lt-LT"/>
                          </w:rPr>
                        </w:pPr>
                        <w:r>
                          <w:rPr>
                            <w:sz w:val="18"/>
                            <w:lang w:eastAsia="lt-LT"/>
                          </w:rPr>
                          <w:t>m</w:t>
                        </w:r>
                        <w:r>
                          <w:rPr>
                            <w:sz w:val="18"/>
                            <w:vertAlign w:val="superscript"/>
                            <w:lang w:eastAsia="lt-LT"/>
                          </w:rPr>
                          <w:t>3</w:t>
                        </w:r>
                        <w:r>
                          <w:rPr>
                            <w:sz w:val="18"/>
                            <w:lang w:eastAsia="lt-LT"/>
                          </w:rPr>
                          <w:t>/m.</w:t>
                        </w:r>
                      </w:p>
                    </w:tc>
                    <w:tc>
                      <w:tcPr>
                        <w:tcW w:w="1064" w:type="dxa"/>
                        <w:tcBorders>
                          <w:top w:val="single" w:sz="4" w:space="0" w:color="auto"/>
                          <w:left w:val="single" w:sz="4" w:space="0" w:color="auto"/>
                          <w:bottom w:val="single" w:sz="4" w:space="0" w:color="auto"/>
                          <w:right w:val="single" w:sz="4" w:space="0" w:color="auto"/>
                        </w:tcBorders>
                      </w:tcPr>
                      <w:p>
                        <w:pPr>
                          <w:jc w:val="center"/>
                          <w:rPr>
                            <w:sz w:val="18"/>
                            <w:lang w:eastAsia="lt-LT"/>
                          </w:rPr>
                        </w:pPr>
                        <w:r>
                          <w:rPr>
                            <w:sz w:val="18"/>
                            <w:lang w:eastAsia="lt-LT"/>
                          </w:rPr>
                          <w:t>m</w:t>
                        </w:r>
                        <w:r>
                          <w:rPr>
                            <w:sz w:val="18"/>
                            <w:vertAlign w:val="superscript"/>
                            <w:lang w:eastAsia="lt-LT"/>
                          </w:rPr>
                          <w:t>3</w:t>
                        </w:r>
                        <w:r>
                          <w:rPr>
                            <w:sz w:val="18"/>
                            <w:lang w:eastAsia="lt-LT"/>
                          </w:rPr>
                          <w:t>/p.</w:t>
                        </w:r>
                      </w:p>
                    </w:tc>
                    <w:tc>
                      <w:tcPr>
                        <w:tcW w:w="1134" w:type="dxa"/>
                        <w:tcBorders>
                          <w:top w:val="single" w:sz="4" w:space="0" w:color="auto"/>
                          <w:left w:val="single" w:sz="4" w:space="0" w:color="auto"/>
                          <w:bottom w:val="single" w:sz="4" w:space="0" w:color="auto"/>
                          <w:right w:val="single" w:sz="4" w:space="0" w:color="auto"/>
                        </w:tcBorders>
                      </w:tcPr>
                      <w:p>
                        <w:pPr>
                          <w:jc w:val="center"/>
                          <w:rPr>
                            <w:sz w:val="18"/>
                            <w:lang w:eastAsia="lt-LT"/>
                          </w:rPr>
                        </w:pPr>
                        <w:r>
                          <w:rPr>
                            <w:sz w:val="18"/>
                            <w:lang w:eastAsia="lt-LT"/>
                          </w:rPr>
                          <w:t>m</w:t>
                        </w:r>
                        <w:r>
                          <w:rPr>
                            <w:sz w:val="18"/>
                            <w:vertAlign w:val="superscript"/>
                            <w:lang w:eastAsia="lt-LT"/>
                          </w:rPr>
                          <w:t>3</w:t>
                        </w:r>
                        <w:r>
                          <w:rPr>
                            <w:sz w:val="18"/>
                            <w:lang w:eastAsia="lt-LT"/>
                          </w:rPr>
                          <w:t>/m.</w:t>
                        </w:r>
                      </w:p>
                    </w:tc>
                    <w:tc>
                      <w:tcPr>
                        <w:tcW w:w="1134" w:type="dxa"/>
                        <w:tcBorders>
                          <w:top w:val="single" w:sz="4" w:space="0" w:color="auto"/>
                          <w:left w:val="single" w:sz="4" w:space="0" w:color="auto"/>
                          <w:bottom w:val="single" w:sz="4" w:space="0" w:color="auto"/>
                          <w:right w:val="single" w:sz="4" w:space="0" w:color="auto"/>
                        </w:tcBorders>
                      </w:tcPr>
                      <w:p>
                        <w:pPr>
                          <w:jc w:val="center"/>
                          <w:rPr>
                            <w:sz w:val="18"/>
                            <w:lang w:eastAsia="lt-LT"/>
                          </w:rPr>
                        </w:pPr>
                        <w:r>
                          <w:rPr>
                            <w:sz w:val="18"/>
                            <w:lang w:eastAsia="lt-LT"/>
                          </w:rPr>
                          <w:t>m</w:t>
                        </w:r>
                        <w:r>
                          <w:rPr>
                            <w:sz w:val="18"/>
                            <w:vertAlign w:val="superscript"/>
                            <w:lang w:eastAsia="lt-LT"/>
                          </w:rPr>
                          <w:t>3</w:t>
                        </w:r>
                        <w:r>
                          <w:rPr>
                            <w:sz w:val="18"/>
                            <w:lang w:eastAsia="lt-LT"/>
                          </w:rPr>
                          <w:t>/p.</w:t>
                        </w:r>
                      </w:p>
                    </w:tc>
                  </w:tr>
                  <w:tr>
                    <w:tc>
                      <w:tcPr>
                        <w:tcW w:w="1417" w:type="dxa"/>
                        <w:vMerge/>
                        <w:tcBorders>
                          <w:left w:val="single" w:sz="4" w:space="0" w:color="auto"/>
                          <w:bottom w:val="single" w:sz="4" w:space="0" w:color="auto"/>
                          <w:right w:val="single" w:sz="4" w:space="0" w:color="auto"/>
                        </w:tcBorders>
                      </w:tcPr>
                      <w:p>
                        <w:pPr>
                          <w:jc w:val="center"/>
                          <w:rPr>
                            <w:sz w:val="18"/>
                            <w:lang w:eastAsia="lt-LT"/>
                          </w:rPr>
                        </w:pPr>
                      </w:p>
                    </w:tc>
                    <w:tc>
                      <w:tcPr>
                        <w:tcW w:w="5171" w:type="dxa"/>
                        <w:vMerge/>
                        <w:tcBorders>
                          <w:left w:val="single" w:sz="4" w:space="0" w:color="auto"/>
                          <w:bottom w:val="single" w:sz="4" w:space="0" w:color="auto"/>
                          <w:right w:val="single" w:sz="4" w:space="0" w:color="auto"/>
                        </w:tcBorders>
                      </w:tcPr>
                      <w:p>
                        <w:pPr>
                          <w:jc w:val="both"/>
                          <w:rPr>
                            <w:sz w:val="18"/>
                            <w:lang w:eastAsia="lt-LT"/>
                          </w:rPr>
                        </w:pPr>
                      </w:p>
                    </w:tc>
                    <w:tc>
                      <w:tcPr>
                        <w:tcW w:w="1134" w:type="dxa"/>
                        <w:tcBorders>
                          <w:top w:val="single" w:sz="4" w:space="0" w:color="auto"/>
                          <w:left w:val="single" w:sz="4" w:space="0" w:color="auto"/>
                          <w:bottom w:val="single" w:sz="4" w:space="0" w:color="auto"/>
                          <w:right w:val="single" w:sz="4" w:space="0" w:color="auto"/>
                        </w:tcBorders>
                      </w:tcPr>
                      <w:p>
                        <w:pPr>
                          <w:jc w:val="center"/>
                          <w:rPr>
                            <w:sz w:val="18"/>
                            <w:lang w:eastAsia="lt-LT"/>
                          </w:rPr>
                        </w:pPr>
                      </w:p>
                    </w:tc>
                    <w:tc>
                      <w:tcPr>
                        <w:tcW w:w="1134" w:type="dxa"/>
                        <w:tcBorders>
                          <w:top w:val="single" w:sz="4" w:space="0" w:color="auto"/>
                          <w:left w:val="single" w:sz="4" w:space="0" w:color="auto"/>
                          <w:bottom w:val="single" w:sz="4" w:space="0" w:color="auto"/>
                          <w:right w:val="single" w:sz="4" w:space="0" w:color="auto"/>
                        </w:tcBorders>
                      </w:tcPr>
                      <w:p>
                        <w:pPr>
                          <w:jc w:val="center"/>
                          <w:rPr>
                            <w:sz w:val="18"/>
                            <w:lang w:eastAsia="lt-LT"/>
                          </w:rPr>
                        </w:pPr>
                      </w:p>
                    </w:tc>
                    <w:tc>
                      <w:tcPr>
                        <w:tcW w:w="1063" w:type="dxa"/>
                        <w:tcBorders>
                          <w:top w:val="single" w:sz="4" w:space="0" w:color="auto"/>
                          <w:left w:val="single" w:sz="4" w:space="0" w:color="auto"/>
                          <w:bottom w:val="single" w:sz="4" w:space="0" w:color="auto"/>
                          <w:right w:val="single" w:sz="4" w:space="0" w:color="auto"/>
                        </w:tcBorders>
                      </w:tcPr>
                      <w:p>
                        <w:pPr>
                          <w:jc w:val="center"/>
                          <w:rPr>
                            <w:sz w:val="18"/>
                            <w:lang w:eastAsia="lt-LT"/>
                          </w:rPr>
                        </w:pPr>
                      </w:p>
                    </w:tc>
                    <w:tc>
                      <w:tcPr>
                        <w:tcW w:w="1064" w:type="dxa"/>
                        <w:tcBorders>
                          <w:top w:val="single" w:sz="4" w:space="0" w:color="auto"/>
                          <w:left w:val="single" w:sz="4" w:space="0" w:color="auto"/>
                          <w:bottom w:val="single" w:sz="4" w:space="0" w:color="auto"/>
                          <w:right w:val="single" w:sz="4" w:space="0" w:color="auto"/>
                        </w:tcBorders>
                      </w:tcPr>
                      <w:p>
                        <w:pPr>
                          <w:jc w:val="center"/>
                          <w:rPr>
                            <w:sz w:val="18"/>
                            <w:lang w:eastAsia="lt-LT"/>
                          </w:rPr>
                        </w:pPr>
                      </w:p>
                    </w:tc>
                    <w:tc>
                      <w:tcPr>
                        <w:tcW w:w="1134" w:type="dxa"/>
                        <w:tcBorders>
                          <w:top w:val="single" w:sz="4" w:space="0" w:color="auto"/>
                          <w:left w:val="single" w:sz="4" w:space="0" w:color="auto"/>
                          <w:bottom w:val="single" w:sz="4" w:space="0" w:color="auto"/>
                          <w:right w:val="single" w:sz="4" w:space="0" w:color="auto"/>
                        </w:tcBorders>
                      </w:tcPr>
                      <w:p>
                        <w:pPr>
                          <w:jc w:val="center"/>
                          <w:rPr>
                            <w:sz w:val="18"/>
                            <w:lang w:eastAsia="lt-LT"/>
                          </w:rPr>
                        </w:pPr>
                      </w:p>
                    </w:tc>
                    <w:tc>
                      <w:tcPr>
                        <w:tcW w:w="1134" w:type="dxa"/>
                        <w:tcBorders>
                          <w:top w:val="single" w:sz="4" w:space="0" w:color="auto"/>
                          <w:left w:val="single" w:sz="4" w:space="0" w:color="auto"/>
                          <w:bottom w:val="single" w:sz="4" w:space="0" w:color="auto"/>
                          <w:right w:val="single" w:sz="4" w:space="0" w:color="auto"/>
                        </w:tcBorders>
                      </w:tcPr>
                      <w:p>
                        <w:pPr>
                          <w:jc w:val="center"/>
                          <w:rPr>
                            <w:sz w:val="18"/>
                            <w:lang w:eastAsia="lt-LT"/>
                          </w:rPr>
                        </w:pPr>
                      </w:p>
                    </w:tc>
                  </w:tr>
                </w:tbl>
                <w:p>
                  <w:pPr>
                    <w:jc w:val="center"/>
                    <w:rPr>
                      <w:b/>
                      <w:sz w:val="22"/>
                      <w:szCs w:val="24"/>
                      <w:lang w:eastAsia="lt-LT"/>
                    </w:rPr>
                  </w:pPr>
                </w:p>
                <w:p>
                  <w:pPr>
                    <w:ind w:firstLine="567"/>
                    <w:jc w:val="both"/>
                    <w:rPr>
                      <w:sz w:val="22"/>
                      <w:szCs w:val="24"/>
                      <w:lang w:eastAsia="lt-LT"/>
                    </w:rPr>
                  </w:pPr>
                  <w:r>
                    <w:rPr>
                      <w:sz w:val="22"/>
                      <w:szCs w:val="24"/>
                      <w:lang w:eastAsia="lt-LT"/>
                    </w:rPr>
                    <w:t>5 lentelė. Duomenys apie leidžiamą išgauti požeminio vandens kiekį</w:t>
                  </w:r>
                </w:p>
                <w:p>
                  <w:pPr>
                    <w:ind w:firstLine="567"/>
                    <w:jc w:val="both"/>
                    <w:rPr>
                      <w:sz w:val="22"/>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10"/>
                    <w:gridCol w:w="1627"/>
                    <w:gridCol w:w="1514"/>
                    <w:gridCol w:w="1828"/>
                    <w:gridCol w:w="2231"/>
                    <w:gridCol w:w="2639"/>
                    <w:gridCol w:w="3039"/>
                  </w:tblGrid>
                  <w:tr>
                    <w:tc>
                      <w:tcPr>
                        <w:tcW w:w="330" w:type="pct"/>
                        <w:tcBorders>
                          <w:top w:val="single" w:sz="4" w:space="0" w:color="auto"/>
                          <w:left w:val="single" w:sz="4" w:space="0" w:color="auto"/>
                          <w:bottom w:val="single" w:sz="4" w:space="0" w:color="auto"/>
                          <w:right w:val="single" w:sz="4" w:space="0" w:color="auto"/>
                        </w:tcBorders>
                      </w:tcPr>
                      <w:p>
                        <w:pPr>
                          <w:suppressAutoHyphens/>
                          <w:textAlignment w:val="baseline"/>
                          <w:rPr>
                            <w:sz w:val="18"/>
                            <w:lang w:eastAsia="lt-LT"/>
                          </w:rPr>
                        </w:pPr>
                        <w:r>
                          <w:rPr>
                            <w:sz w:val="18"/>
                            <w:lang w:eastAsia="lt-LT"/>
                          </w:rPr>
                          <w:t>Eil. Nr.</w:t>
                        </w:r>
                      </w:p>
                    </w:tc>
                    <w:tc>
                      <w:tcPr>
                        <w:tcW w:w="2611" w:type="pct"/>
                        <w:gridSpan w:val="4"/>
                        <w:tcBorders>
                          <w:top w:val="single" w:sz="4" w:space="0" w:color="auto"/>
                          <w:left w:val="single" w:sz="4" w:space="0" w:color="auto"/>
                          <w:bottom w:val="single" w:sz="4" w:space="0" w:color="auto"/>
                          <w:right w:val="single" w:sz="4" w:space="0" w:color="auto"/>
                        </w:tcBorders>
                      </w:tcPr>
                      <w:p>
                        <w:pPr>
                          <w:suppressAutoHyphens/>
                          <w:ind w:left="284"/>
                          <w:jc w:val="center"/>
                          <w:textAlignment w:val="baseline"/>
                          <w:rPr>
                            <w:sz w:val="18"/>
                            <w:lang w:eastAsia="lt-LT"/>
                          </w:rPr>
                        </w:pPr>
                        <w:r>
                          <w:rPr>
                            <w:sz w:val="18"/>
                            <w:lang w:eastAsia="lt-LT"/>
                          </w:rPr>
                          <w:t>Vandenvietės</w:t>
                        </w:r>
                      </w:p>
                    </w:tc>
                    <w:tc>
                      <w:tcPr>
                        <w:tcW w:w="2060" w:type="pct"/>
                        <w:gridSpan w:val="2"/>
                        <w:tcBorders>
                          <w:top w:val="single" w:sz="4" w:space="0" w:color="auto"/>
                          <w:left w:val="single" w:sz="4" w:space="0" w:color="auto"/>
                          <w:bottom w:val="single" w:sz="4" w:space="0" w:color="auto"/>
                          <w:right w:val="single" w:sz="4" w:space="0" w:color="auto"/>
                        </w:tcBorders>
                      </w:tcPr>
                      <w:p>
                        <w:pPr>
                          <w:suppressAutoHyphens/>
                          <w:ind w:left="284"/>
                          <w:jc w:val="center"/>
                          <w:textAlignment w:val="baseline"/>
                          <w:rPr>
                            <w:sz w:val="18"/>
                            <w:lang w:eastAsia="lt-LT"/>
                          </w:rPr>
                        </w:pPr>
                        <w:r>
                          <w:rPr>
                            <w:sz w:val="18"/>
                            <w:lang w:eastAsia="lt-LT"/>
                          </w:rPr>
                          <w:t>Eksploataciniai gręžiniai</w:t>
                        </w:r>
                      </w:p>
                    </w:tc>
                  </w:tr>
                  <w:tr>
                    <w:tc>
                      <w:tcPr>
                        <w:tcW w:w="330" w:type="pct"/>
                        <w:tcBorders>
                          <w:top w:val="single" w:sz="4" w:space="0" w:color="auto"/>
                          <w:left w:val="single" w:sz="4" w:space="0" w:color="auto"/>
                          <w:bottom w:val="single" w:sz="4" w:space="0" w:color="auto"/>
                          <w:right w:val="single" w:sz="4" w:space="0" w:color="auto"/>
                        </w:tcBorders>
                      </w:tcPr>
                      <w:p>
                        <w:pPr>
                          <w:suppressAutoHyphens/>
                          <w:jc w:val="center"/>
                          <w:textAlignment w:val="baseline"/>
                          <w:rPr>
                            <w:sz w:val="18"/>
                            <w:lang w:eastAsia="lt-LT"/>
                          </w:rPr>
                        </w:pPr>
                      </w:p>
                    </w:tc>
                    <w:tc>
                      <w:tcPr>
                        <w:tcW w:w="590" w:type="pct"/>
                        <w:tcBorders>
                          <w:top w:val="single" w:sz="4" w:space="0" w:color="auto"/>
                          <w:left w:val="single" w:sz="4" w:space="0" w:color="auto"/>
                          <w:bottom w:val="single" w:sz="4" w:space="0" w:color="auto"/>
                          <w:right w:val="single" w:sz="4" w:space="0" w:color="auto"/>
                        </w:tcBorders>
                      </w:tcPr>
                      <w:p>
                        <w:pPr>
                          <w:suppressAutoHyphens/>
                          <w:textAlignment w:val="baseline"/>
                          <w:rPr>
                            <w:sz w:val="18"/>
                            <w:lang w:eastAsia="lt-LT"/>
                          </w:rPr>
                        </w:pPr>
                        <w:r>
                          <w:rPr>
                            <w:sz w:val="18"/>
                            <w:lang w:eastAsia="lt-LT"/>
                          </w:rPr>
                          <w:t>Pavadinimas</w:t>
                        </w:r>
                      </w:p>
                    </w:tc>
                    <w:tc>
                      <w:tcPr>
                        <w:tcW w:w="549" w:type="pct"/>
                        <w:tcBorders>
                          <w:top w:val="single" w:sz="4" w:space="0" w:color="auto"/>
                          <w:left w:val="single" w:sz="4" w:space="0" w:color="auto"/>
                          <w:bottom w:val="single" w:sz="4" w:space="0" w:color="auto"/>
                          <w:right w:val="single" w:sz="4" w:space="0" w:color="auto"/>
                        </w:tcBorders>
                      </w:tcPr>
                      <w:p>
                        <w:pPr>
                          <w:suppressAutoHyphens/>
                          <w:textAlignment w:val="baseline"/>
                          <w:rPr>
                            <w:sz w:val="18"/>
                            <w:lang w:eastAsia="lt-LT"/>
                          </w:rPr>
                        </w:pPr>
                        <w:r>
                          <w:rPr>
                            <w:sz w:val="18"/>
                            <w:lang w:eastAsia="lt-LT"/>
                          </w:rPr>
                          <w:t>Adresas</w:t>
                        </w:r>
                      </w:p>
                    </w:tc>
                    <w:tc>
                      <w:tcPr>
                        <w:tcW w:w="663" w:type="pct"/>
                        <w:tcBorders>
                          <w:top w:val="single" w:sz="4" w:space="0" w:color="auto"/>
                          <w:left w:val="single" w:sz="4" w:space="0" w:color="auto"/>
                          <w:bottom w:val="single" w:sz="4" w:space="0" w:color="auto"/>
                          <w:right w:val="single" w:sz="4" w:space="0" w:color="auto"/>
                        </w:tcBorders>
                      </w:tcPr>
                      <w:p>
                        <w:pPr>
                          <w:suppressAutoHyphens/>
                          <w:jc w:val="center"/>
                          <w:textAlignment w:val="baseline"/>
                          <w:rPr>
                            <w:sz w:val="18"/>
                            <w:lang w:eastAsia="lt-LT"/>
                          </w:rPr>
                        </w:pPr>
                        <w:r>
                          <w:rPr>
                            <w:sz w:val="18"/>
                            <w:lang w:eastAsia="lt-LT"/>
                          </w:rPr>
                          <w:t>Pogrupis</w:t>
                        </w:r>
                      </w:p>
                    </w:tc>
                    <w:tc>
                      <w:tcPr>
                        <w:tcW w:w="809" w:type="pct"/>
                        <w:tcBorders>
                          <w:top w:val="single" w:sz="4" w:space="0" w:color="auto"/>
                          <w:left w:val="single" w:sz="4" w:space="0" w:color="auto"/>
                          <w:bottom w:val="single" w:sz="4" w:space="0" w:color="auto"/>
                          <w:right w:val="single" w:sz="4" w:space="0" w:color="auto"/>
                        </w:tcBorders>
                      </w:tcPr>
                      <w:p>
                        <w:pPr>
                          <w:suppressAutoHyphens/>
                          <w:jc w:val="center"/>
                          <w:textAlignment w:val="baseline"/>
                          <w:rPr>
                            <w:sz w:val="18"/>
                            <w:lang w:eastAsia="lt-LT"/>
                          </w:rPr>
                        </w:pPr>
                        <w:r>
                          <w:rPr>
                            <w:sz w:val="18"/>
                            <w:lang w:eastAsia="lt-LT"/>
                          </w:rPr>
                          <w:t>Kodas Žemės gelmių registre</w:t>
                        </w:r>
                      </w:p>
                    </w:tc>
                    <w:tc>
                      <w:tcPr>
                        <w:tcW w:w="957" w:type="pct"/>
                        <w:tcBorders>
                          <w:top w:val="single" w:sz="4" w:space="0" w:color="auto"/>
                          <w:left w:val="single" w:sz="4" w:space="0" w:color="auto"/>
                          <w:bottom w:val="single" w:sz="4" w:space="0" w:color="auto"/>
                          <w:right w:val="single" w:sz="4" w:space="0" w:color="auto"/>
                        </w:tcBorders>
                      </w:tcPr>
                      <w:p>
                        <w:pPr>
                          <w:suppressAutoHyphens/>
                          <w:jc w:val="center"/>
                          <w:textAlignment w:val="baseline"/>
                          <w:rPr>
                            <w:sz w:val="18"/>
                            <w:lang w:eastAsia="lt-LT"/>
                          </w:rPr>
                        </w:pPr>
                        <w:r>
                          <w:rPr>
                            <w:sz w:val="18"/>
                            <w:lang w:eastAsia="lt-LT"/>
                          </w:rPr>
                          <w:t>Nr. žemės gelmių registre</w:t>
                        </w:r>
                      </w:p>
                    </w:tc>
                    <w:tc>
                      <w:tcPr>
                        <w:tcW w:w="1103" w:type="pct"/>
                        <w:tcBorders>
                          <w:top w:val="single" w:sz="4" w:space="0" w:color="auto"/>
                          <w:left w:val="single" w:sz="4" w:space="0" w:color="auto"/>
                          <w:bottom w:val="single" w:sz="4" w:space="0" w:color="auto"/>
                          <w:right w:val="single" w:sz="4" w:space="0" w:color="auto"/>
                        </w:tcBorders>
                      </w:tcPr>
                      <w:p>
                        <w:pPr>
                          <w:suppressAutoHyphens/>
                          <w:jc w:val="center"/>
                          <w:textAlignment w:val="baseline"/>
                          <w:rPr>
                            <w:sz w:val="18"/>
                            <w:lang w:eastAsia="lt-LT"/>
                          </w:rPr>
                        </w:pPr>
                        <w:r>
                          <w:rPr>
                            <w:sz w:val="18"/>
                            <w:lang w:eastAsia="lt-LT"/>
                          </w:rPr>
                          <w:t>Leidžiamas našumas m</w:t>
                        </w:r>
                        <w:r>
                          <w:rPr>
                            <w:sz w:val="18"/>
                            <w:vertAlign w:val="superscript"/>
                            <w:lang w:eastAsia="lt-LT"/>
                          </w:rPr>
                          <w:t>3</w:t>
                        </w:r>
                        <w:r>
                          <w:rPr>
                            <w:sz w:val="18"/>
                            <w:lang w:eastAsia="lt-LT"/>
                          </w:rPr>
                          <w:t>/h</w:t>
                        </w:r>
                      </w:p>
                    </w:tc>
                  </w:tr>
                  <w:tr>
                    <w:tc>
                      <w:tcPr>
                        <w:tcW w:w="330" w:type="pct"/>
                        <w:tcBorders>
                          <w:top w:val="single" w:sz="4" w:space="0" w:color="auto"/>
                          <w:left w:val="single" w:sz="4" w:space="0" w:color="auto"/>
                          <w:bottom w:val="single" w:sz="4" w:space="0" w:color="auto"/>
                          <w:right w:val="single" w:sz="4" w:space="0" w:color="auto"/>
                        </w:tcBorders>
                      </w:tcPr>
                      <w:p>
                        <w:pPr>
                          <w:suppressAutoHyphens/>
                          <w:jc w:val="center"/>
                          <w:textAlignment w:val="baseline"/>
                          <w:rPr>
                            <w:sz w:val="18"/>
                            <w:lang w:eastAsia="lt-LT"/>
                          </w:rPr>
                        </w:pPr>
                        <w:r>
                          <w:rPr>
                            <w:sz w:val="18"/>
                            <w:lang w:eastAsia="lt-LT"/>
                          </w:rPr>
                          <w:t>1</w:t>
                        </w:r>
                      </w:p>
                    </w:tc>
                    <w:tc>
                      <w:tcPr>
                        <w:tcW w:w="590" w:type="pct"/>
                        <w:tcBorders>
                          <w:top w:val="single" w:sz="4" w:space="0" w:color="auto"/>
                          <w:left w:val="single" w:sz="4" w:space="0" w:color="auto"/>
                          <w:bottom w:val="single" w:sz="4" w:space="0" w:color="auto"/>
                          <w:right w:val="single" w:sz="4" w:space="0" w:color="auto"/>
                        </w:tcBorders>
                      </w:tcPr>
                      <w:p>
                        <w:pPr>
                          <w:suppressAutoHyphens/>
                          <w:jc w:val="center"/>
                          <w:textAlignment w:val="baseline"/>
                          <w:rPr>
                            <w:sz w:val="18"/>
                            <w:lang w:eastAsia="lt-LT"/>
                          </w:rPr>
                        </w:pPr>
                        <w:r>
                          <w:rPr>
                            <w:sz w:val="18"/>
                            <w:lang w:eastAsia="lt-LT"/>
                          </w:rPr>
                          <w:t>2</w:t>
                        </w:r>
                      </w:p>
                    </w:tc>
                    <w:tc>
                      <w:tcPr>
                        <w:tcW w:w="549" w:type="pct"/>
                        <w:tcBorders>
                          <w:top w:val="single" w:sz="4" w:space="0" w:color="auto"/>
                          <w:left w:val="single" w:sz="4" w:space="0" w:color="auto"/>
                          <w:bottom w:val="single" w:sz="4" w:space="0" w:color="auto"/>
                          <w:right w:val="single" w:sz="4" w:space="0" w:color="auto"/>
                        </w:tcBorders>
                      </w:tcPr>
                      <w:p>
                        <w:pPr>
                          <w:suppressAutoHyphens/>
                          <w:jc w:val="center"/>
                          <w:textAlignment w:val="baseline"/>
                          <w:rPr>
                            <w:sz w:val="18"/>
                            <w:lang w:eastAsia="lt-LT"/>
                          </w:rPr>
                        </w:pPr>
                        <w:r>
                          <w:rPr>
                            <w:sz w:val="18"/>
                            <w:lang w:eastAsia="lt-LT"/>
                          </w:rPr>
                          <w:t>3</w:t>
                        </w:r>
                      </w:p>
                    </w:tc>
                    <w:tc>
                      <w:tcPr>
                        <w:tcW w:w="663" w:type="pct"/>
                        <w:tcBorders>
                          <w:top w:val="single" w:sz="4" w:space="0" w:color="auto"/>
                          <w:left w:val="single" w:sz="4" w:space="0" w:color="auto"/>
                          <w:bottom w:val="single" w:sz="4" w:space="0" w:color="auto"/>
                          <w:right w:val="single" w:sz="4" w:space="0" w:color="auto"/>
                        </w:tcBorders>
                      </w:tcPr>
                      <w:p>
                        <w:pPr>
                          <w:suppressAutoHyphens/>
                          <w:jc w:val="center"/>
                          <w:textAlignment w:val="baseline"/>
                          <w:rPr>
                            <w:sz w:val="18"/>
                            <w:lang w:eastAsia="lt-LT"/>
                          </w:rPr>
                        </w:pPr>
                        <w:r>
                          <w:rPr>
                            <w:sz w:val="18"/>
                            <w:lang w:eastAsia="lt-LT"/>
                          </w:rPr>
                          <w:t>4</w:t>
                        </w:r>
                      </w:p>
                    </w:tc>
                    <w:tc>
                      <w:tcPr>
                        <w:tcW w:w="809" w:type="pct"/>
                        <w:tcBorders>
                          <w:top w:val="single" w:sz="4" w:space="0" w:color="auto"/>
                          <w:left w:val="single" w:sz="4" w:space="0" w:color="auto"/>
                          <w:bottom w:val="single" w:sz="4" w:space="0" w:color="auto"/>
                          <w:right w:val="single" w:sz="4" w:space="0" w:color="auto"/>
                        </w:tcBorders>
                      </w:tcPr>
                      <w:p>
                        <w:pPr>
                          <w:suppressAutoHyphens/>
                          <w:jc w:val="center"/>
                          <w:textAlignment w:val="baseline"/>
                          <w:rPr>
                            <w:sz w:val="18"/>
                            <w:lang w:eastAsia="lt-LT"/>
                          </w:rPr>
                        </w:pPr>
                        <w:r>
                          <w:rPr>
                            <w:sz w:val="18"/>
                            <w:lang w:eastAsia="lt-LT"/>
                          </w:rPr>
                          <w:t>5</w:t>
                        </w:r>
                      </w:p>
                    </w:tc>
                    <w:tc>
                      <w:tcPr>
                        <w:tcW w:w="957" w:type="pct"/>
                        <w:tcBorders>
                          <w:top w:val="single" w:sz="4" w:space="0" w:color="auto"/>
                          <w:left w:val="single" w:sz="4" w:space="0" w:color="auto"/>
                          <w:bottom w:val="single" w:sz="4" w:space="0" w:color="auto"/>
                          <w:right w:val="single" w:sz="4" w:space="0" w:color="auto"/>
                        </w:tcBorders>
                      </w:tcPr>
                      <w:p>
                        <w:pPr>
                          <w:suppressAutoHyphens/>
                          <w:jc w:val="center"/>
                          <w:textAlignment w:val="baseline"/>
                          <w:rPr>
                            <w:sz w:val="18"/>
                            <w:lang w:eastAsia="lt-LT"/>
                          </w:rPr>
                        </w:pPr>
                        <w:r>
                          <w:rPr>
                            <w:sz w:val="18"/>
                            <w:lang w:eastAsia="lt-LT"/>
                          </w:rPr>
                          <w:t>6</w:t>
                        </w:r>
                      </w:p>
                    </w:tc>
                    <w:tc>
                      <w:tcPr>
                        <w:tcW w:w="1103" w:type="pct"/>
                        <w:tcBorders>
                          <w:top w:val="single" w:sz="4" w:space="0" w:color="auto"/>
                          <w:left w:val="single" w:sz="4" w:space="0" w:color="auto"/>
                          <w:bottom w:val="single" w:sz="4" w:space="0" w:color="auto"/>
                          <w:right w:val="single" w:sz="4" w:space="0" w:color="auto"/>
                        </w:tcBorders>
                      </w:tcPr>
                      <w:p>
                        <w:pPr>
                          <w:suppressAutoHyphens/>
                          <w:jc w:val="center"/>
                          <w:textAlignment w:val="baseline"/>
                          <w:rPr>
                            <w:sz w:val="18"/>
                            <w:lang w:eastAsia="lt-LT"/>
                          </w:rPr>
                        </w:pPr>
                        <w:r>
                          <w:rPr>
                            <w:sz w:val="18"/>
                            <w:lang w:eastAsia="lt-LT"/>
                          </w:rPr>
                          <w:t>7</w:t>
                        </w:r>
                      </w:p>
                    </w:tc>
                  </w:tr>
                  <w:tr>
                    <w:trPr>
                      <w:trHeight w:val="228"/>
                    </w:trPr>
                    <w:tc>
                      <w:tcPr>
                        <w:tcW w:w="330" w:type="pct"/>
                        <w:vMerge w:val="restart"/>
                        <w:tcBorders>
                          <w:top w:val="single" w:sz="4" w:space="0" w:color="auto"/>
                          <w:left w:val="single" w:sz="4" w:space="0" w:color="auto"/>
                          <w:bottom w:val="single" w:sz="4" w:space="0" w:color="auto"/>
                          <w:right w:val="single" w:sz="4" w:space="0" w:color="auto"/>
                        </w:tcBorders>
                      </w:tcPr>
                      <w:p>
                        <w:pPr>
                          <w:suppressAutoHyphens/>
                          <w:ind w:left="284"/>
                          <w:textAlignment w:val="baseline"/>
                          <w:rPr>
                            <w:sz w:val="18"/>
                            <w:lang w:eastAsia="lt-LT"/>
                          </w:rPr>
                        </w:pPr>
                        <w:r>
                          <w:rPr>
                            <w:sz w:val="18"/>
                            <w:lang w:eastAsia="lt-LT"/>
                          </w:rPr>
                          <w:t>1.</w:t>
                        </w:r>
                      </w:p>
                    </w:tc>
                    <w:tc>
                      <w:tcPr>
                        <w:tcW w:w="590" w:type="pct"/>
                        <w:vMerge w:val="restart"/>
                        <w:tcBorders>
                          <w:top w:val="single" w:sz="4" w:space="0" w:color="auto"/>
                          <w:left w:val="single" w:sz="4" w:space="0" w:color="auto"/>
                          <w:bottom w:val="single" w:sz="4" w:space="0" w:color="auto"/>
                          <w:right w:val="single" w:sz="4" w:space="0" w:color="auto"/>
                        </w:tcBorders>
                      </w:tcPr>
                      <w:p>
                        <w:pPr>
                          <w:suppressAutoHyphens/>
                          <w:ind w:left="284"/>
                          <w:textAlignment w:val="baseline"/>
                          <w:rPr>
                            <w:sz w:val="18"/>
                            <w:lang w:eastAsia="lt-LT"/>
                          </w:rPr>
                        </w:pPr>
                      </w:p>
                    </w:tc>
                    <w:tc>
                      <w:tcPr>
                        <w:tcW w:w="549" w:type="pct"/>
                        <w:vMerge w:val="restart"/>
                        <w:tcBorders>
                          <w:top w:val="single" w:sz="4" w:space="0" w:color="auto"/>
                          <w:left w:val="single" w:sz="4" w:space="0" w:color="auto"/>
                          <w:bottom w:val="single" w:sz="4" w:space="0" w:color="auto"/>
                          <w:right w:val="single" w:sz="4" w:space="0" w:color="auto"/>
                        </w:tcBorders>
                      </w:tcPr>
                      <w:p>
                        <w:pPr>
                          <w:suppressAutoHyphens/>
                          <w:ind w:left="284"/>
                          <w:textAlignment w:val="baseline"/>
                          <w:rPr>
                            <w:sz w:val="18"/>
                            <w:lang w:eastAsia="lt-LT"/>
                          </w:rPr>
                        </w:pPr>
                      </w:p>
                    </w:tc>
                    <w:tc>
                      <w:tcPr>
                        <w:tcW w:w="663" w:type="pct"/>
                        <w:vMerge w:val="restart"/>
                        <w:tcBorders>
                          <w:top w:val="single" w:sz="4" w:space="0" w:color="auto"/>
                          <w:left w:val="single" w:sz="4" w:space="0" w:color="auto"/>
                          <w:bottom w:val="single" w:sz="4" w:space="0" w:color="auto"/>
                          <w:right w:val="single" w:sz="4" w:space="0" w:color="auto"/>
                        </w:tcBorders>
                      </w:tcPr>
                      <w:p>
                        <w:pPr>
                          <w:suppressAutoHyphens/>
                          <w:ind w:left="284"/>
                          <w:textAlignment w:val="baseline"/>
                          <w:rPr>
                            <w:sz w:val="18"/>
                            <w:lang w:eastAsia="lt-LT"/>
                          </w:rPr>
                        </w:pPr>
                      </w:p>
                    </w:tc>
                    <w:tc>
                      <w:tcPr>
                        <w:tcW w:w="809" w:type="pct"/>
                        <w:vMerge w:val="restart"/>
                        <w:tcBorders>
                          <w:top w:val="single" w:sz="4" w:space="0" w:color="auto"/>
                          <w:left w:val="single" w:sz="4" w:space="0" w:color="auto"/>
                          <w:bottom w:val="single" w:sz="4" w:space="0" w:color="auto"/>
                          <w:right w:val="single" w:sz="4" w:space="0" w:color="auto"/>
                        </w:tcBorders>
                      </w:tcPr>
                      <w:p>
                        <w:pPr>
                          <w:suppressAutoHyphens/>
                          <w:ind w:left="284"/>
                          <w:textAlignment w:val="baseline"/>
                          <w:rPr>
                            <w:sz w:val="18"/>
                            <w:lang w:eastAsia="lt-LT"/>
                          </w:rPr>
                        </w:pPr>
                      </w:p>
                    </w:tc>
                    <w:tc>
                      <w:tcPr>
                        <w:tcW w:w="957" w:type="pct"/>
                        <w:tcBorders>
                          <w:top w:val="single" w:sz="4" w:space="0" w:color="auto"/>
                          <w:left w:val="single" w:sz="4" w:space="0" w:color="auto"/>
                          <w:bottom w:val="single" w:sz="4" w:space="0" w:color="auto"/>
                          <w:right w:val="single" w:sz="4" w:space="0" w:color="auto"/>
                        </w:tcBorders>
                      </w:tcPr>
                      <w:p>
                        <w:pPr>
                          <w:suppressAutoHyphens/>
                          <w:ind w:left="284"/>
                          <w:textAlignment w:val="baseline"/>
                          <w:rPr>
                            <w:sz w:val="18"/>
                            <w:lang w:eastAsia="lt-LT"/>
                          </w:rPr>
                        </w:pPr>
                      </w:p>
                    </w:tc>
                    <w:tc>
                      <w:tcPr>
                        <w:tcW w:w="1103" w:type="pct"/>
                        <w:tcBorders>
                          <w:top w:val="single" w:sz="4" w:space="0" w:color="auto"/>
                          <w:left w:val="single" w:sz="4" w:space="0" w:color="auto"/>
                          <w:bottom w:val="single" w:sz="4" w:space="0" w:color="auto"/>
                          <w:right w:val="single" w:sz="4" w:space="0" w:color="auto"/>
                        </w:tcBorders>
                      </w:tcPr>
                      <w:p>
                        <w:pPr>
                          <w:suppressAutoHyphens/>
                          <w:ind w:left="284"/>
                          <w:textAlignment w:val="baseline"/>
                          <w:rPr>
                            <w:sz w:val="18"/>
                            <w:lang w:eastAsia="lt-LT"/>
                          </w:rPr>
                        </w:pPr>
                      </w:p>
                    </w:tc>
                  </w:tr>
                  <w:tr>
                    <w:trPr>
                      <w:trHeight w:val="266"/>
                    </w:trPr>
                    <w:tc>
                      <w:tcPr>
                        <w:tcW w:w="330" w:type="pct"/>
                        <w:vMerge/>
                        <w:tcBorders>
                          <w:top w:val="single" w:sz="4" w:space="0" w:color="auto"/>
                          <w:left w:val="single" w:sz="4" w:space="0" w:color="auto"/>
                          <w:bottom w:val="single" w:sz="4" w:space="0" w:color="auto"/>
                          <w:right w:val="single" w:sz="4" w:space="0" w:color="auto"/>
                        </w:tcBorders>
                      </w:tcPr>
                      <w:p>
                        <w:pPr>
                          <w:suppressAutoHyphens/>
                          <w:ind w:left="283"/>
                          <w:textAlignment w:val="baseline"/>
                          <w:rPr>
                            <w:sz w:val="18"/>
                            <w:lang w:eastAsia="lt-LT"/>
                          </w:rPr>
                        </w:pPr>
                      </w:p>
                    </w:tc>
                    <w:tc>
                      <w:tcPr>
                        <w:tcW w:w="590" w:type="pct"/>
                        <w:vMerge/>
                        <w:tcBorders>
                          <w:top w:val="single" w:sz="4" w:space="0" w:color="auto"/>
                          <w:left w:val="single" w:sz="4" w:space="0" w:color="auto"/>
                          <w:bottom w:val="single" w:sz="4" w:space="0" w:color="auto"/>
                          <w:right w:val="single" w:sz="4" w:space="0" w:color="auto"/>
                        </w:tcBorders>
                      </w:tcPr>
                      <w:p>
                        <w:pPr>
                          <w:suppressAutoHyphens/>
                          <w:ind w:left="283"/>
                          <w:textAlignment w:val="baseline"/>
                          <w:rPr>
                            <w:sz w:val="18"/>
                            <w:lang w:eastAsia="lt-LT"/>
                          </w:rPr>
                        </w:pPr>
                      </w:p>
                    </w:tc>
                    <w:tc>
                      <w:tcPr>
                        <w:tcW w:w="549" w:type="pct"/>
                        <w:vMerge/>
                        <w:tcBorders>
                          <w:top w:val="single" w:sz="4" w:space="0" w:color="auto"/>
                          <w:left w:val="single" w:sz="4" w:space="0" w:color="auto"/>
                          <w:bottom w:val="single" w:sz="4" w:space="0" w:color="auto"/>
                          <w:right w:val="single" w:sz="4" w:space="0" w:color="auto"/>
                        </w:tcBorders>
                      </w:tcPr>
                      <w:p>
                        <w:pPr>
                          <w:suppressAutoHyphens/>
                          <w:ind w:left="283"/>
                          <w:textAlignment w:val="baseline"/>
                          <w:rPr>
                            <w:sz w:val="18"/>
                            <w:lang w:eastAsia="lt-LT"/>
                          </w:rPr>
                        </w:pPr>
                      </w:p>
                    </w:tc>
                    <w:tc>
                      <w:tcPr>
                        <w:tcW w:w="663" w:type="pct"/>
                        <w:vMerge/>
                        <w:tcBorders>
                          <w:top w:val="single" w:sz="4" w:space="0" w:color="auto"/>
                          <w:left w:val="single" w:sz="4" w:space="0" w:color="auto"/>
                          <w:bottom w:val="single" w:sz="4" w:space="0" w:color="auto"/>
                          <w:right w:val="single" w:sz="4" w:space="0" w:color="auto"/>
                        </w:tcBorders>
                      </w:tcPr>
                      <w:p>
                        <w:pPr>
                          <w:suppressAutoHyphens/>
                          <w:ind w:left="283"/>
                          <w:textAlignment w:val="baseline"/>
                          <w:rPr>
                            <w:sz w:val="18"/>
                            <w:lang w:eastAsia="lt-LT"/>
                          </w:rPr>
                        </w:pPr>
                      </w:p>
                    </w:tc>
                    <w:tc>
                      <w:tcPr>
                        <w:tcW w:w="809" w:type="pct"/>
                        <w:vMerge/>
                        <w:tcBorders>
                          <w:top w:val="single" w:sz="4" w:space="0" w:color="auto"/>
                          <w:left w:val="single" w:sz="4" w:space="0" w:color="auto"/>
                          <w:bottom w:val="single" w:sz="4" w:space="0" w:color="auto"/>
                          <w:right w:val="single" w:sz="4" w:space="0" w:color="auto"/>
                        </w:tcBorders>
                      </w:tcPr>
                      <w:p>
                        <w:pPr>
                          <w:suppressAutoHyphens/>
                          <w:ind w:left="283"/>
                          <w:textAlignment w:val="baseline"/>
                          <w:rPr>
                            <w:sz w:val="18"/>
                            <w:lang w:eastAsia="lt-LT"/>
                          </w:rPr>
                        </w:pPr>
                      </w:p>
                    </w:tc>
                    <w:tc>
                      <w:tcPr>
                        <w:tcW w:w="957" w:type="pct"/>
                        <w:tcBorders>
                          <w:top w:val="single" w:sz="4" w:space="0" w:color="auto"/>
                          <w:left w:val="single" w:sz="4" w:space="0" w:color="auto"/>
                          <w:bottom w:val="single" w:sz="4" w:space="0" w:color="auto"/>
                          <w:right w:val="single" w:sz="4" w:space="0" w:color="auto"/>
                        </w:tcBorders>
                      </w:tcPr>
                      <w:p>
                        <w:pPr>
                          <w:suppressAutoHyphens/>
                          <w:ind w:left="284"/>
                          <w:textAlignment w:val="baseline"/>
                          <w:rPr>
                            <w:sz w:val="18"/>
                            <w:lang w:eastAsia="lt-LT"/>
                          </w:rPr>
                        </w:pPr>
                      </w:p>
                    </w:tc>
                    <w:tc>
                      <w:tcPr>
                        <w:tcW w:w="1103" w:type="pct"/>
                        <w:tcBorders>
                          <w:top w:val="single" w:sz="4" w:space="0" w:color="auto"/>
                          <w:left w:val="single" w:sz="4" w:space="0" w:color="auto"/>
                          <w:bottom w:val="single" w:sz="4" w:space="0" w:color="auto"/>
                          <w:right w:val="single" w:sz="4" w:space="0" w:color="auto"/>
                        </w:tcBorders>
                      </w:tcPr>
                      <w:p>
                        <w:pPr>
                          <w:suppressAutoHyphens/>
                          <w:ind w:left="284"/>
                          <w:textAlignment w:val="baseline"/>
                          <w:rPr>
                            <w:sz w:val="18"/>
                            <w:lang w:eastAsia="lt-LT"/>
                          </w:rPr>
                        </w:pPr>
                      </w:p>
                    </w:tc>
                  </w:tr>
                  <w:tr>
                    <w:trPr>
                      <w:trHeight w:val="269"/>
                    </w:trPr>
                    <w:tc>
                      <w:tcPr>
                        <w:tcW w:w="330" w:type="pct"/>
                        <w:vMerge/>
                        <w:tcBorders>
                          <w:top w:val="single" w:sz="4" w:space="0" w:color="auto"/>
                          <w:left w:val="single" w:sz="4" w:space="0" w:color="auto"/>
                          <w:bottom w:val="single" w:sz="4" w:space="0" w:color="auto"/>
                          <w:right w:val="single" w:sz="4" w:space="0" w:color="auto"/>
                        </w:tcBorders>
                      </w:tcPr>
                      <w:p>
                        <w:pPr>
                          <w:suppressAutoHyphens/>
                          <w:ind w:left="283"/>
                          <w:textAlignment w:val="baseline"/>
                          <w:rPr>
                            <w:sz w:val="18"/>
                            <w:lang w:eastAsia="lt-LT"/>
                          </w:rPr>
                        </w:pPr>
                      </w:p>
                    </w:tc>
                    <w:tc>
                      <w:tcPr>
                        <w:tcW w:w="590" w:type="pct"/>
                        <w:vMerge/>
                        <w:tcBorders>
                          <w:top w:val="single" w:sz="4" w:space="0" w:color="auto"/>
                          <w:left w:val="single" w:sz="4" w:space="0" w:color="auto"/>
                          <w:bottom w:val="single" w:sz="4" w:space="0" w:color="auto"/>
                          <w:right w:val="single" w:sz="4" w:space="0" w:color="auto"/>
                        </w:tcBorders>
                      </w:tcPr>
                      <w:p>
                        <w:pPr>
                          <w:suppressAutoHyphens/>
                          <w:ind w:left="283"/>
                          <w:textAlignment w:val="baseline"/>
                          <w:rPr>
                            <w:sz w:val="18"/>
                            <w:lang w:eastAsia="lt-LT"/>
                          </w:rPr>
                        </w:pPr>
                      </w:p>
                    </w:tc>
                    <w:tc>
                      <w:tcPr>
                        <w:tcW w:w="549" w:type="pct"/>
                        <w:vMerge/>
                        <w:tcBorders>
                          <w:top w:val="single" w:sz="4" w:space="0" w:color="auto"/>
                          <w:left w:val="single" w:sz="4" w:space="0" w:color="auto"/>
                          <w:bottom w:val="single" w:sz="4" w:space="0" w:color="auto"/>
                          <w:right w:val="single" w:sz="4" w:space="0" w:color="auto"/>
                        </w:tcBorders>
                      </w:tcPr>
                      <w:p>
                        <w:pPr>
                          <w:suppressAutoHyphens/>
                          <w:ind w:left="283"/>
                          <w:textAlignment w:val="baseline"/>
                          <w:rPr>
                            <w:sz w:val="18"/>
                            <w:lang w:eastAsia="lt-LT"/>
                          </w:rPr>
                        </w:pPr>
                      </w:p>
                    </w:tc>
                    <w:tc>
                      <w:tcPr>
                        <w:tcW w:w="663" w:type="pct"/>
                        <w:vMerge/>
                        <w:tcBorders>
                          <w:top w:val="single" w:sz="4" w:space="0" w:color="auto"/>
                          <w:left w:val="single" w:sz="4" w:space="0" w:color="auto"/>
                          <w:bottom w:val="single" w:sz="4" w:space="0" w:color="auto"/>
                          <w:right w:val="single" w:sz="4" w:space="0" w:color="auto"/>
                        </w:tcBorders>
                      </w:tcPr>
                      <w:p>
                        <w:pPr>
                          <w:suppressAutoHyphens/>
                          <w:ind w:left="283"/>
                          <w:textAlignment w:val="baseline"/>
                          <w:rPr>
                            <w:sz w:val="18"/>
                            <w:lang w:eastAsia="lt-LT"/>
                          </w:rPr>
                        </w:pPr>
                      </w:p>
                    </w:tc>
                    <w:tc>
                      <w:tcPr>
                        <w:tcW w:w="809" w:type="pct"/>
                        <w:vMerge/>
                        <w:tcBorders>
                          <w:top w:val="single" w:sz="4" w:space="0" w:color="auto"/>
                          <w:left w:val="single" w:sz="4" w:space="0" w:color="auto"/>
                          <w:bottom w:val="single" w:sz="4" w:space="0" w:color="auto"/>
                          <w:right w:val="single" w:sz="4" w:space="0" w:color="auto"/>
                        </w:tcBorders>
                      </w:tcPr>
                      <w:p>
                        <w:pPr>
                          <w:suppressAutoHyphens/>
                          <w:ind w:left="283"/>
                          <w:textAlignment w:val="baseline"/>
                          <w:rPr>
                            <w:sz w:val="18"/>
                            <w:lang w:eastAsia="lt-LT"/>
                          </w:rPr>
                        </w:pPr>
                      </w:p>
                    </w:tc>
                    <w:tc>
                      <w:tcPr>
                        <w:tcW w:w="957" w:type="pct"/>
                        <w:tcBorders>
                          <w:top w:val="single" w:sz="4" w:space="0" w:color="auto"/>
                          <w:left w:val="single" w:sz="4" w:space="0" w:color="auto"/>
                          <w:bottom w:val="single" w:sz="4" w:space="0" w:color="auto"/>
                          <w:right w:val="single" w:sz="4" w:space="0" w:color="auto"/>
                        </w:tcBorders>
                      </w:tcPr>
                      <w:p>
                        <w:pPr>
                          <w:suppressAutoHyphens/>
                          <w:ind w:left="284"/>
                          <w:textAlignment w:val="baseline"/>
                          <w:rPr>
                            <w:sz w:val="18"/>
                            <w:lang w:eastAsia="lt-LT"/>
                          </w:rPr>
                        </w:pPr>
                      </w:p>
                    </w:tc>
                    <w:tc>
                      <w:tcPr>
                        <w:tcW w:w="1103" w:type="pct"/>
                        <w:tcBorders>
                          <w:top w:val="single" w:sz="4" w:space="0" w:color="auto"/>
                          <w:left w:val="single" w:sz="4" w:space="0" w:color="auto"/>
                          <w:bottom w:val="single" w:sz="4" w:space="0" w:color="auto"/>
                          <w:right w:val="single" w:sz="4" w:space="0" w:color="auto"/>
                        </w:tcBorders>
                      </w:tcPr>
                      <w:p>
                        <w:pPr>
                          <w:suppressAutoHyphens/>
                          <w:ind w:left="284"/>
                          <w:textAlignment w:val="baseline"/>
                          <w:rPr>
                            <w:sz w:val="18"/>
                            <w:lang w:eastAsia="lt-LT"/>
                          </w:rPr>
                        </w:pPr>
                      </w:p>
                    </w:tc>
                  </w:tr>
                  <w:tr>
                    <w:trPr>
                      <w:trHeight w:val="274"/>
                    </w:trPr>
                    <w:tc>
                      <w:tcPr>
                        <w:tcW w:w="330" w:type="pct"/>
                        <w:vMerge w:val="restart"/>
                        <w:tcBorders>
                          <w:top w:val="single" w:sz="4" w:space="0" w:color="auto"/>
                          <w:left w:val="single" w:sz="4" w:space="0" w:color="auto"/>
                          <w:bottom w:val="single" w:sz="4" w:space="0" w:color="auto"/>
                          <w:right w:val="single" w:sz="4" w:space="0" w:color="auto"/>
                        </w:tcBorders>
                      </w:tcPr>
                      <w:p>
                        <w:pPr>
                          <w:suppressAutoHyphens/>
                          <w:ind w:left="283"/>
                          <w:textAlignment w:val="baseline"/>
                          <w:rPr>
                            <w:sz w:val="18"/>
                            <w:lang w:eastAsia="lt-LT"/>
                          </w:rPr>
                        </w:pPr>
                        <w:r>
                          <w:rPr>
                            <w:sz w:val="18"/>
                            <w:lang w:eastAsia="lt-LT"/>
                          </w:rPr>
                          <w:t>2.</w:t>
                        </w:r>
                      </w:p>
                    </w:tc>
                    <w:tc>
                      <w:tcPr>
                        <w:tcW w:w="590" w:type="pct"/>
                        <w:vMerge w:val="restart"/>
                        <w:tcBorders>
                          <w:top w:val="single" w:sz="4" w:space="0" w:color="auto"/>
                          <w:left w:val="single" w:sz="4" w:space="0" w:color="auto"/>
                          <w:bottom w:val="single" w:sz="4" w:space="0" w:color="auto"/>
                          <w:right w:val="single" w:sz="4" w:space="0" w:color="auto"/>
                        </w:tcBorders>
                      </w:tcPr>
                      <w:p>
                        <w:pPr>
                          <w:suppressAutoHyphens/>
                          <w:ind w:left="283"/>
                          <w:textAlignment w:val="baseline"/>
                          <w:rPr>
                            <w:sz w:val="18"/>
                            <w:lang w:eastAsia="lt-LT"/>
                          </w:rPr>
                        </w:pPr>
                      </w:p>
                    </w:tc>
                    <w:tc>
                      <w:tcPr>
                        <w:tcW w:w="549" w:type="pct"/>
                        <w:vMerge w:val="restart"/>
                        <w:tcBorders>
                          <w:top w:val="single" w:sz="4" w:space="0" w:color="auto"/>
                          <w:left w:val="single" w:sz="4" w:space="0" w:color="auto"/>
                          <w:bottom w:val="single" w:sz="4" w:space="0" w:color="auto"/>
                          <w:right w:val="single" w:sz="4" w:space="0" w:color="auto"/>
                        </w:tcBorders>
                      </w:tcPr>
                      <w:p>
                        <w:pPr>
                          <w:suppressAutoHyphens/>
                          <w:ind w:left="283"/>
                          <w:textAlignment w:val="baseline"/>
                          <w:rPr>
                            <w:sz w:val="18"/>
                            <w:lang w:eastAsia="lt-LT"/>
                          </w:rPr>
                        </w:pPr>
                      </w:p>
                    </w:tc>
                    <w:tc>
                      <w:tcPr>
                        <w:tcW w:w="663" w:type="pct"/>
                        <w:vMerge w:val="restart"/>
                        <w:tcBorders>
                          <w:top w:val="single" w:sz="4" w:space="0" w:color="auto"/>
                          <w:left w:val="single" w:sz="4" w:space="0" w:color="auto"/>
                          <w:bottom w:val="single" w:sz="4" w:space="0" w:color="auto"/>
                          <w:right w:val="single" w:sz="4" w:space="0" w:color="auto"/>
                        </w:tcBorders>
                      </w:tcPr>
                      <w:p>
                        <w:pPr>
                          <w:suppressAutoHyphens/>
                          <w:ind w:left="283"/>
                          <w:textAlignment w:val="baseline"/>
                          <w:rPr>
                            <w:sz w:val="18"/>
                            <w:lang w:eastAsia="lt-LT"/>
                          </w:rPr>
                        </w:pPr>
                      </w:p>
                    </w:tc>
                    <w:tc>
                      <w:tcPr>
                        <w:tcW w:w="809" w:type="pct"/>
                        <w:vMerge w:val="restart"/>
                        <w:tcBorders>
                          <w:top w:val="single" w:sz="4" w:space="0" w:color="auto"/>
                          <w:left w:val="single" w:sz="4" w:space="0" w:color="auto"/>
                          <w:bottom w:val="single" w:sz="4" w:space="0" w:color="auto"/>
                          <w:right w:val="single" w:sz="4" w:space="0" w:color="auto"/>
                        </w:tcBorders>
                      </w:tcPr>
                      <w:p>
                        <w:pPr>
                          <w:suppressAutoHyphens/>
                          <w:ind w:left="283"/>
                          <w:textAlignment w:val="baseline"/>
                          <w:rPr>
                            <w:sz w:val="18"/>
                            <w:lang w:eastAsia="lt-LT"/>
                          </w:rPr>
                        </w:pPr>
                      </w:p>
                    </w:tc>
                    <w:tc>
                      <w:tcPr>
                        <w:tcW w:w="957" w:type="pct"/>
                        <w:tcBorders>
                          <w:top w:val="single" w:sz="4" w:space="0" w:color="auto"/>
                          <w:left w:val="single" w:sz="4" w:space="0" w:color="auto"/>
                          <w:bottom w:val="single" w:sz="4" w:space="0" w:color="auto"/>
                          <w:right w:val="single" w:sz="4" w:space="0" w:color="auto"/>
                        </w:tcBorders>
                      </w:tcPr>
                      <w:p>
                        <w:pPr>
                          <w:suppressAutoHyphens/>
                          <w:ind w:left="284"/>
                          <w:textAlignment w:val="baseline"/>
                          <w:rPr>
                            <w:sz w:val="18"/>
                            <w:lang w:eastAsia="lt-LT"/>
                          </w:rPr>
                        </w:pPr>
                      </w:p>
                    </w:tc>
                    <w:tc>
                      <w:tcPr>
                        <w:tcW w:w="1103" w:type="pct"/>
                        <w:tcBorders>
                          <w:top w:val="single" w:sz="4" w:space="0" w:color="auto"/>
                          <w:left w:val="single" w:sz="4" w:space="0" w:color="auto"/>
                          <w:bottom w:val="single" w:sz="4" w:space="0" w:color="auto"/>
                          <w:right w:val="single" w:sz="4" w:space="0" w:color="auto"/>
                        </w:tcBorders>
                      </w:tcPr>
                      <w:p>
                        <w:pPr>
                          <w:suppressAutoHyphens/>
                          <w:ind w:left="284"/>
                          <w:textAlignment w:val="baseline"/>
                          <w:rPr>
                            <w:sz w:val="18"/>
                            <w:lang w:eastAsia="lt-LT"/>
                          </w:rPr>
                        </w:pPr>
                      </w:p>
                    </w:tc>
                  </w:tr>
                  <w:tr>
                    <w:trPr>
                      <w:trHeight w:val="270"/>
                    </w:trPr>
                    <w:tc>
                      <w:tcPr>
                        <w:tcW w:w="330" w:type="pct"/>
                        <w:vMerge/>
                        <w:tcBorders>
                          <w:top w:val="single" w:sz="4" w:space="0" w:color="auto"/>
                          <w:left w:val="single" w:sz="4" w:space="0" w:color="auto"/>
                          <w:bottom w:val="single" w:sz="4" w:space="0" w:color="auto"/>
                          <w:right w:val="single" w:sz="4" w:space="0" w:color="auto"/>
                        </w:tcBorders>
                      </w:tcPr>
                      <w:p>
                        <w:pPr>
                          <w:suppressAutoHyphens/>
                          <w:ind w:left="283"/>
                          <w:textAlignment w:val="baseline"/>
                          <w:rPr>
                            <w:sz w:val="18"/>
                            <w:lang w:eastAsia="lt-LT"/>
                          </w:rPr>
                        </w:pPr>
                      </w:p>
                    </w:tc>
                    <w:tc>
                      <w:tcPr>
                        <w:tcW w:w="590" w:type="pct"/>
                        <w:vMerge/>
                        <w:tcBorders>
                          <w:top w:val="single" w:sz="4" w:space="0" w:color="auto"/>
                          <w:left w:val="single" w:sz="4" w:space="0" w:color="auto"/>
                          <w:bottom w:val="single" w:sz="4" w:space="0" w:color="auto"/>
                          <w:right w:val="single" w:sz="4" w:space="0" w:color="auto"/>
                        </w:tcBorders>
                      </w:tcPr>
                      <w:p>
                        <w:pPr>
                          <w:suppressAutoHyphens/>
                          <w:ind w:left="283"/>
                          <w:textAlignment w:val="baseline"/>
                          <w:rPr>
                            <w:sz w:val="18"/>
                            <w:lang w:eastAsia="lt-LT"/>
                          </w:rPr>
                        </w:pPr>
                      </w:p>
                    </w:tc>
                    <w:tc>
                      <w:tcPr>
                        <w:tcW w:w="549" w:type="pct"/>
                        <w:vMerge/>
                        <w:tcBorders>
                          <w:top w:val="single" w:sz="4" w:space="0" w:color="auto"/>
                          <w:left w:val="single" w:sz="4" w:space="0" w:color="auto"/>
                          <w:bottom w:val="single" w:sz="4" w:space="0" w:color="auto"/>
                          <w:right w:val="single" w:sz="4" w:space="0" w:color="auto"/>
                        </w:tcBorders>
                      </w:tcPr>
                      <w:p>
                        <w:pPr>
                          <w:suppressAutoHyphens/>
                          <w:ind w:left="283"/>
                          <w:textAlignment w:val="baseline"/>
                          <w:rPr>
                            <w:sz w:val="18"/>
                            <w:lang w:eastAsia="lt-LT"/>
                          </w:rPr>
                        </w:pPr>
                      </w:p>
                    </w:tc>
                    <w:tc>
                      <w:tcPr>
                        <w:tcW w:w="663" w:type="pct"/>
                        <w:vMerge/>
                        <w:tcBorders>
                          <w:top w:val="single" w:sz="4" w:space="0" w:color="auto"/>
                          <w:left w:val="single" w:sz="4" w:space="0" w:color="auto"/>
                          <w:bottom w:val="single" w:sz="4" w:space="0" w:color="auto"/>
                          <w:right w:val="single" w:sz="4" w:space="0" w:color="auto"/>
                        </w:tcBorders>
                      </w:tcPr>
                      <w:p>
                        <w:pPr>
                          <w:suppressAutoHyphens/>
                          <w:ind w:left="283"/>
                          <w:textAlignment w:val="baseline"/>
                          <w:rPr>
                            <w:sz w:val="18"/>
                            <w:lang w:eastAsia="lt-LT"/>
                          </w:rPr>
                        </w:pPr>
                      </w:p>
                    </w:tc>
                    <w:tc>
                      <w:tcPr>
                        <w:tcW w:w="809" w:type="pct"/>
                        <w:vMerge/>
                        <w:tcBorders>
                          <w:top w:val="single" w:sz="4" w:space="0" w:color="auto"/>
                          <w:left w:val="single" w:sz="4" w:space="0" w:color="auto"/>
                          <w:bottom w:val="single" w:sz="4" w:space="0" w:color="auto"/>
                          <w:right w:val="single" w:sz="4" w:space="0" w:color="auto"/>
                        </w:tcBorders>
                      </w:tcPr>
                      <w:p>
                        <w:pPr>
                          <w:suppressAutoHyphens/>
                          <w:ind w:left="283"/>
                          <w:textAlignment w:val="baseline"/>
                          <w:rPr>
                            <w:sz w:val="18"/>
                            <w:lang w:eastAsia="lt-LT"/>
                          </w:rPr>
                        </w:pPr>
                      </w:p>
                    </w:tc>
                    <w:tc>
                      <w:tcPr>
                        <w:tcW w:w="957" w:type="pct"/>
                        <w:tcBorders>
                          <w:top w:val="single" w:sz="4" w:space="0" w:color="auto"/>
                          <w:left w:val="single" w:sz="4" w:space="0" w:color="auto"/>
                          <w:bottom w:val="single" w:sz="4" w:space="0" w:color="auto"/>
                          <w:right w:val="single" w:sz="4" w:space="0" w:color="auto"/>
                        </w:tcBorders>
                      </w:tcPr>
                      <w:p>
                        <w:pPr>
                          <w:suppressAutoHyphens/>
                          <w:ind w:left="284"/>
                          <w:textAlignment w:val="baseline"/>
                          <w:rPr>
                            <w:sz w:val="18"/>
                            <w:lang w:eastAsia="lt-LT"/>
                          </w:rPr>
                        </w:pPr>
                      </w:p>
                    </w:tc>
                    <w:tc>
                      <w:tcPr>
                        <w:tcW w:w="1103" w:type="pct"/>
                        <w:tcBorders>
                          <w:top w:val="single" w:sz="4" w:space="0" w:color="auto"/>
                          <w:left w:val="single" w:sz="4" w:space="0" w:color="auto"/>
                          <w:bottom w:val="single" w:sz="4" w:space="0" w:color="auto"/>
                          <w:right w:val="single" w:sz="4" w:space="0" w:color="auto"/>
                        </w:tcBorders>
                      </w:tcPr>
                      <w:p>
                        <w:pPr>
                          <w:suppressAutoHyphens/>
                          <w:ind w:left="284"/>
                          <w:textAlignment w:val="baseline"/>
                          <w:rPr>
                            <w:sz w:val="18"/>
                            <w:lang w:eastAsia="lt-LT"/>
                          </w:rPr>
                        </w:pPr>
                      </w:p>
                    </w:tc>
                  </w:tr>
                  <w:tr>
                    <w:trPr>
                      <w:trHeight w:val="128"/>
                    </w:trPr>
                    <w:tc>
                      <w:tcPr>
                        <w:tcW w:w="330" w:type="pct"/>
                        <w:vMerge/>
                        <w:tcBorders>
                          <w:top w:val="single" w:sz="4" w:space="0" w:color="auto"/>
                          <w:left w:val="single" w:sz="4" w:space="0" w:color="auto"/>
                          <w:bottom w:val="single" w:sz="4" w:space="0" w:color="auto"/>
                          <w:right w:val="single" w:sz="4" w:space="0" w:color="auto"/>
                        </w:tcBorders>
                      </w:tcPr>
                      <w:p>
                        <w:pPr>
                          <w:suppressAutoHyphens/>
                          <w:ind w:left="283"/>
                          <w:textAlignment w:val="baseline"/>
                          <w:rPr>
                            <w:sz w:val="18"/>
                            <w:lang w:eastAsia="lt-LT"/>
                          </w:rPr>
                        </w:pPr>
                      </w:p>
                    </w:tc>
                    <w:tc>
                      <w:tcPr>
                        <w:tcW w:w="590" w:type="pct"/>
                        <w:vMerge/>
                        <w:tcBorders>
                          <w:top w:val="single" w:sz="4" w:space="0" w:color="auto"/>
                          <w:left w:val="single" w:sz="4" w:space="0" w:color="auto"/>
                          <w:bottom w:val="single" w:sz="4" w:space="0" w:color="auto"/>
                          <w:right w:val="single" w:sz="4" w:space="0" w:color="auto"/>
                        </w:tcBorders>
                      </w:tcPr>
                      <w:p>
                        <w:pPr>
                          <w:suppressAutoHyphens/>
                          <w:ind w:left="283"/>
                          <w:textAlignment w:val="baseline"/>
                          <w:rPr>
                            <w:sz w:val="18"/>
                            <w:lang w:eastAsia="lt-LT"/>
                          </w:rPr>
                        </w:pPr>
                      </w:p>
                    </w:tc>
                    <w:tc>
                      <w:tcPr>
                        <w:tcW w:w="549" w:type="pct"/>
                        <w:vMerge/>
                        <w:tcBorders>
                          <w:top w:val="single" w:sz="4" w:space="0" w:color="auto"/>
                          <w:left w:val="single" w:sz="4" w:space="0" w:color="auto"/>
                          <w:bottom w:val="single" w:sz="4" w:space="0" w:color="auto"/>
                          <w:right w:val="single" w:sz="4" w:space="0" w:color="auto"/>
                        </w:tcBorders>
                      </w:tcPr>
                      <w:p>
                        <w:pPr>
                          <w:suppressAutoHyphens/>
                          <w:ind w:left="283"/>
                          <w:textAlignment w:val="baseline"/>
                          <w:rPr>
                            <w:sz w:val="18"/>
                            <w:lang w:eastAsia="lt-LT"/>
                          </w:rPr>
                        </w:pPr>
                      </w:p>
                    </w:tc>
                    <w:tc>
                      <w:tcPr>
                        <w:tcW w:w="663" w:type="pct"/>
                        <w:vMerge/>
                        <w:tcBorders>
                          <w:top w:val="single" w:sz="4" w:space="0" w:color="auto"/>
                          <w:left w:val="single" w:sz="4" w:space="0" w:color="auto"/>
                          <w:bottom w:val="single" w:sz="4" w:space="0" w:color="auto"/>
                          <w:right w:val="single" w:sz="4" w:space="0" w:color="auto"/>
                        </w:tcBorders>
                      </w:tcPr>
                      <w:p>
                        <w:pPr>
                          <w:suppressAutoHyphens/>
                          <w:ind w:left="283"/>
                          <w:textAlignment w:val="baseline"/>
                          <w:rPr>
                            <w:sz w:val="18"/>
                            <w:lang w:eastAsia="lt-LT"/>
                          </w:rPr>
                        </w:pPr>
                      </w:p>
                    </w:tc>
                    <w:tc>
                      <w:tcPr>
                        <w:tcW w:w="809" w:type="pct"/>
                        <w:vMerge/>
                        <w:tcBorders>
                          <w:top w:val="single" w:sz="4" w:space="0" w:color="auto"/>
                          <w:left w:val="single" w:sz="4" w:space="0" w:color="auto"/>
                          <w:bottom w:val="single" w:sz="4" w:space="0" w:color="auto"/>
                          <w:right w:val="single" w:sz="4" w:space="0" w:color="auto"/>
                        </w:tcBorders>
                      </w:tcPr>
                      <w:p>
                        <w:pPr>
                          <w:suppressAutoHyphens/>
                          <w:ind w:left="283"/>
                          <w:textAlignment w:val="baseline"/>
                          <w:rPr>
                            <w:sz w:val="18"/>
                            <w:lang w:eastAsia="lt-LT"/>
                          </w:rPr>
                        </w:pPr>
                      </w:p>
                    </w:tc>
                    <w:tc>
                      <w:tcPr>
                        <w:tcW w:w="957" w:type="pct"/>
                        <w:tcBorders>
                          <w:top w:val="single" w:sz="4" w:space="0" w:color="auto"/>
                          <w:left w:val="single" w:sz="4" w:space="0" w:color="auto"/>
                          <w:bottom w:val="single" w:sz="4" w:space="0" w:color="auto"/>
                          <w:right w:val="single" w:sz="4" w:space="0" w:color="auto"/>
                        </w:tcBorders>
                      </w:tcPr>
                      <w:p>
                        <w:pPr>
                          <w:suppressAutoHyphens/>
                          <w:ind w:left="284"/>
                          <w:textAlignment w:val="baseline"/>
                          <w:rPr>
                            <w:sz w:val="18"/>
                            <w:lang w:eastAsia="lt-LT"/>
                          </w:rPr>
                        </w:pPr>
                      </w:p>
                    </w:tc>
                    <w:tc>
                      <w:tcPr>
                        <w:tcW w:w="1103" w:type="pct"/>
                        <w:tcBorders>
                          <w:top w:val="single" w:sz="4" w:space="0" w:color="auto"/>
                          <w:left w:val="single" w:sz="4" w:space="0" w:color="auto"/>
                          <w:bottom w:val="single" w:sz="4" w:space="0" w:color="auto"/>
                          <w:right w:val="single" w:sz="4" w:space="0" w:color="auto"/>
                        </w:tcBorders>
                      </w:tcPr>
                      <w:p>
                        <w:pPr>
                          <w:suppressAutoHyphens/>
                          <w:ind w:left="284"/>
                          <w:jc w:val="right"/>
                          <w:textAlignment w:val="baseline"/>
                          <w:rPr>
                            <w:sz w:val="18"/>
                            <w:lang w:eastAsia="lt-LT"/>
                          </w:rPr>
                        </w:pPr>
                      </w:p>
                    </w:tc>
                  </w:tr>
                </w:tbl>
                <w:p>
                  <w:pPr>
                    <w:rPr>
                      <w:strike/>
                      <w:sz w:val="22"/>
                      <w:szCs w:val="24"/>
                      <w:lang w:eastAsia="lt-LT"/>
                    </w:rPr>
                  </w:pP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5 pr. 8 p."/>
                <w:tag w:val="part_a497e62bb2104ed1a79cfe0a8f6b85a7"/>
                <w:lock w:val="sdtLocked"/>
                <w:richText/>
              </w:sdtPr>
              <w:sdtContent>
                <w:p>
                  <w:pPr>
                    <w:ind w:firstLine="567"/>
                    <w:rPr>
                      <w:sz w:val="22"/>
                      <w:szCs w:val="24"/>
                      <w:lang w:eastAsia="lt-LT"/>
                    </w:rPr>
                  </w:pPr>
                  <w:sdt>
                    <w:sdtPr>
                      <w:alias w:val="Numeris"/>
                      <w:tag w:val="nr_a497e62bb2104ed1a79cfe0a8f6b85a7"/>
                      <w:lock w:val="sdtLocked"/>
                      <w:richText/>
                    </w:sdtPr>
                    <w:sdtContent>
                      <w:r>
                        <w:rPr>
                          <w:sz w:val="22"/>
                          <w:szCs w:val="24"/>
                          <w:lang w:eastAsia="lt-LT"/>
                        </w:rPr>
                        <w:t>8</w:t>
                      </w:r>
                    </w:sdtContent>
                  </w:sdt>
                  <w:r>
                    <w:rPr>
                      <w:sz w:val="22"/>
                      <w:szCs w:val="24"/>
                      <w:lang w:eastAsia="lt-LT"/>
                    </w:rPr>
                    <w:t>. Tarša į aplinkos orą.</w:t>
                  </w:r>
                </w:p>
                <w:p>
                  <w:pPr>
                    <w:widowControl w:val="0"/>
                    <w:rPr>
                      <w:sz w:val="22"/>
                      <w:szCs w:val="24"/>
                      <w:lang w:eastAsia="lt-LT"/>
                    </w:rPr>
                  </w:pPr>
                </w:p>
                <w:p>
                  <w:pPr>
                    <w:ind w:firstLine="567"/>
                    <w:jc w:val="both"/>
                    <w:rPr>
                      <w:sz w:val="22"/>
                      <w:szCs w:val="24"/>
                      <w:lang w:eastAsia="lt-LT"/>
                    </w:rPr>
                  </w:pPr>
                  <w:r>
                    <w:rPr>
                      <w:sz w:val="22"/>
                      <w:szCs w:val="24"/>
                      <w:lang w:eastAsia="lt-LT"/>
                    </w:rPr>
                    <w:t>6 lentelė. Leidžiami išmesti į aplinkos orą teršalai ir jų kiekis</w:t>
                  </w:r>
                </w:p>
                <w:p>
                  <w:pPr>
                    <w:ind w:firstLine="567"/>
                    <w:jc w:val="both"/>
                    <w:rPr>
                      <w:i/>
                      <w:sz w:val="22"/>
                      <w:szCs w:val="24"/>
                      <w:lang w:eastAsia="lt-LT"/>
                    </w:rPr>
                  </w:pPr>
                </w:p>
                <w:tbl>
                  <w:tblPr>
                    <w:tblW w:w="13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80"/>
                    <w:gridCol w:w="2948"/>
                    <w:gridCol w:w="5280"/>
                  </w:tblGrid>
                  <w:tr>
                    <w:trPr>
                      <w:trHeight w:val="465"/>
                    </w:trPr>
                    <w:tc>
                      <w:tcPr>
                        <w:tcW w:w="5080"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r>
                          <w:rPr>
                            <w:sz w:val="18"/>
                            <w:lang w:eastAsia="lt-LT"/>
                          </w:rPr>
                          <w:t>Teršalo pavadinimas</w:t>
                        </w:r>
                      </w:p>
                    </w:tc>
                    <w:tc>
                      <w:tcPr>
                        <w:tcW w:w="2948" w:type="dxa"/>
                        <w:tcBorders>
                          <w:top w:val="single" w:sz="4" w:space="0" w:color="auto"/>
                          <w:left w:val="single" w:sz="4" w:space="0" w:color="auto"/>
                          <w:bottom w:val="single" w:sz="4" w:space="0" w:color="auto"/>
                          <w:right w:val="nil"/>
                        </w:tcBorders>
                        <w:vAlign w:val="center"/>
                      </w:tcPr>
                      <w:p>
                        <w:pPr>
                          <w:jc w:val="center"/>
                          <w:rPr>
                            <w:sz w:val="18"/>
                            <w:vertAlign w:val="superscript"/>
                            <w:lang w:eastAsia="lt-LT"/>
                          </w:rPr>
                        </w:pPr>
                        <w:r>
                          <w:rPr>
                            <w:sz w:val="18"/>
                            <w:lang w:eastAsia="lt-LT"/>
                          </w:rPr>
                          <w:t>Teršalo kodas</w:t>
                        </w:r>
                      </w:p>
                    </w:tc>
                    <w:tc>
                      <w:tcPr>
                        <w:tcW w:w="5280"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r>
                          <w:rPr>
                            <w:sz w:val="18"/>
                            <w:lang w:eastAsia="lt-LT"/>
                          </w:rPr>
                          <w:t xml:space="preserve">Leidžiama išmesti, t/m. </w:t>
                        </w:r>
                      </w:p>
                    </w:tc>
                  </w:tr>
                  <w:tr>
                    <w:tc>
                      <w:tcPr>
                        <w:tcW w:w="5080"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r>
                          <w:rPr>
                            <w:sz w:val="18"/>
                            <w:lang w:eastAsia="lt-LT"/>
                          </w:rPr>
                          <w:t>1</w:t>
                        </w:r>
                      </w:p>
                    </w:tc>
                    <w:tc>
                      <w:tcPr>
                        <w:tcW w:w="2948" w:type="dxa"/>
                        <w:tcBorders>
                          <w:top w:val="single" w:sz="4" w:space="0" w:color="auto"/>
                          <w:left w:val="single" w:sz="4" w:space="0" w:color="auto"/>
                          <w:bottom w:val="single" w:sz="4" w:space="0" w:color="auto"/>
                          <w:right w:val="nil"/>
                        </w:tcBorders>
                        <w:vAlign w:val="center"/>
                      </w:tcPr>
                      <w:p>
                        <w:pPr>
                          <w:jc w:val="center"/>
                          <w:rPr>
                            <w:sz w:val="18"/>
                            <w:lang w:eastAsia="lt-LT"/>
                          </w:rPr>
                        </w:pPr>
                        <w:r>
                          <w:rPr>
                            <w:sz w:val="18"/>
                            <w:lang w:eastAsia="lt-LT"/>
                          </w:rPr>
                          <w:t>2</w:t>
                        </w:r>
                      </w:p>
                    </w:tc>
                    <w:tc>
                      <w:tcPr>
                        <w:tcW w:w="5280"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r>
                          <w:rPr>
                            <w:sz w:val="18"/>
                            <w:lang w:eastAsia="lt-LT"/>
                          </w:rPr>
                          <w:t>3</w:t>
                        </w:r>
                      </w:p>
                    </w:tc>
                  </w:tr>
                  <w:tr>
                    <w:tc>
                      <w:tcPr>
                        <w:tcW w:w="5080" w:type="dxa"/>
                        <w:tcBorders>
                          <w:top w:val="single" w:sz="4" w:space="0" w:color="auto"/>
                          <w:left w:val="single" w:sz="4" w:space="0" w:color="auto"/>
                          <w:bottom w:val="single" w:sz="4" w:space="0" w:color="auto"/>
                          <w:right w:val="single" w:sz="4" w:space="0" w:color="auto"/>
                        </w:tcBorders>
                        <w:vAlign w:val="center"/>
                      </w:tcPr>
                      <w:p>
                        <w:pPr>
                          <w:rPr>
                            <w:sz w:val="18"/>
                            <w:lang w:eastAsia="lt-LT"/>
                          </w:rPr>
                        </w:pPr>
                        <w:r>
                          <w:rPr>
                            <w:sz w:val="18"/>
                            <w:lang w:eastAsia="lt-LT"/>
                          </w:rPr>
                          <w:t>Azoto oksidai</w:t>
                        </w:r>
                      </w:p>
                    </w:tc>
                    <w:tc>
                      <w:tcPr>
                        <w:tcW w:w="2948" w:type="dxa"/>
                        <w:tcBorders>
                          <w:top w:val="single" w:sz="4" w:space="0" w:color="auto"/>
                          <w:left w:val="single" w:sz="4" w:space="0" w:color="auto"/>
                          <w:bottom w:val="single" w:sz="4" w:space="0" w:color="auto"/>
                          <w:right w:val="nil"/>
                        </w:tcBorders>
                        <w:vAlign w:val="center"/>
                      </w:tcPr>
                      <w:p>
                        <w:pPr>
                          <w:jc w:val="center"/>
                          <w:rPr>
                            <w:sz w:val="18"/>
                            <w:lang w:eastAsia="lt-LT"/>
                          </w:rPr>
                        </w:pPr>
                      </w:p>
                    </w:tc>
                    <w:tc>
                      <w:tcPr>
                        <w:tcW w:w="5280"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r>
                  <w:tr>
                    <w:tc>
                      <w:tcPr>
                        <w:tcW w:w="5080" w:type="dxa"/>
                        <w:tcBorders>
                          <w:top w:val="single" w:sz="4" w:space="0" w:color="auto"/>
                          <w:left w:val="single" w:sz="4" w:space="0" w:color="auto"/>
                          <w:bottom w:val="single" w:sz="4" w:space="0" w:color="auto"/>
                          <w:right w:val="single" w:sz="4" w:space="0" w:color="auto"/>
                        </w:tcBorders>
                        <w:vAlign w:val="center"/>
                      </w:tcPr>
                      <w:p>
                        <w:pPr>
                          <w:rPr>
                            <w:sz w:val="18"/>
                            <w:lang w:eastAsia="lt-LT"/>
                          </w:rPr>
                        </w:pPr>
                        <w:r>
                          <w:rPr>
                            <w:sz w:val="18"/>
                            <w:lang w:eastAsia="lt-LT"/>
                          </w:rPr>
                          <w:t>Kietosios dalelės</w:t>
                        </w:r>
                      </w:p>
                    </w:tc>
                    <w:tc>
                      <w:tcPr>
                        <w:tcW w:w="2948" w:type="dxa"/>
                        <w:tcBorders>
                          <w:top w:val="single" w:sz="4" w:space="0" w:color="auto"/>
                          <w:left w:val="single" w:sz="4" w:space="0" w:color="auto"/>
                          <w:bottom w:val="single" w:sz="4" w:space="0" w:color="auto"/>
                          <w:right w:val="nil"/>
                        </w:tcBorders>
                        <w:vAlign w:val="center"/>
                      </w:tcPr>
                      <w:p>
                        <w:pPr>
                          <w:jc w:val="center"/>
                          <w:rPr>
                            <w:sz w:val="18"/>
                            <w:lang w:eastAsia="lt-LT"/>
                          </w:rPr>
                        </w:pPr>
                      </w:p>
                    </w:tc>
                    <w:tc>
                      <w:tcPr>
                        <w:tcW w:w="5280"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r>
                  <w:tr>
                    <w:tc>
                      <w:tcPr>
                        <w:tcW w:w="5080" w:type="dxa"/>
                        <w:tcBorders>
                          <w:top w:val="single" w:sz="4" w:space="0" w:color="auto"/>
                          <w:left w:val="single" w:sz="4" w:space="0" w:color="auto"/>
                          <w:bottom w:val="single" w:sz="4" w:space="0" w:color="auto"/>
                          <w:right w:val="single" w:sz="4" w:space="0" w:color="auto"/>
                        </w:tcBorders>
                        <w:vAlign w:val="center"/>
                      </w:tcPr>
                      <w:p>
                        <w:pPr>
                          <w:rPr>
                            <w:sz w:val="18"/>
                            <w:lang w:eastAsia="lt-LT"/>
                          </w:rPr>
                        </w:pPr>
                        <w:r>
                          <w:rPr>
                            <w:sz w:val="18"/>
                            <w:lang w:eastAsia="lt-LT"/>
                          </w:rPr>
                          <w:t>Sieros dioksidas</w:t>
                        </w:r>
                      </w:p>
                    </w:tc>
                    <w:tc>
                      <w:tcPr>
                        <w:tcW w:w="2948" w:type="dxa"/>
                        <w:tcBorders>
                          <w:top w:val="single" w:sz="4" w:space="0" w:color="auto"/>
                          <w:left w:val="single" w:sz="4" w:space="0" w:color="auto"/>
                          <w:bottom w:val="single" w:sz="4" w:space="0" w:color="auto"/>
                          <w:right w:val="nil"/>
                        </w:tcBorders>
                        <w:vAlign w:val="center"/>
                      </w:tcPr>
                      <w:p>
                        <w:pPr>
                          <w:jc w:val="center"/>
                          <w:rPr>
                            <w:sz w:val="18"/>
                            <w:lang w:eastAsia="lt-LT"/>
                          </w:rPr>
                        </w:pPr>
                      </w:p>
                    </w:tc>
                    <w:tc>
                      <w:tcPr>
                        <w:tcW w:w="5280"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r>
                  <w:tr>
                    <w:tc>
                      <w:tcPr>
                        <w:tcW w:w="5080" w:type="dxa"/>
                        <w:tcBorders>
                          <w:top w:val="single" w:sz="4" w:space="0" w:color="auto"/>
                          <w:left w:val="single" w:sz="4" w:space="0" w:color="auto"/>
                          <w:bottom w:val="single" w:sz="4" w:space="0" w:color="auto"/>
                          <w:right w:val="single" w:sz="4" w:space="0" w:color="auto"/>
                        </w:tcBorders>
                        <w:vAlign w:val="center"/>
                      </w:tcPr>
                      <w:p>
                        <w:pPr>
                          <w:rPr>
                            <w:sz w:val="18"/>
                            <w:highlight w:val="yellow"/>
                            <w:lang w:eastAsia="lt-LT"/>
                          </w:rPr>
                        </w:pPr>
                        <w:r>
                          <w:rPr>
                            <w:sz w:val="18"/>
                            <w:lang w:eastAsia="lt-LT"/>
                          </w:rPr>
                          <w:t xml:space="preserve">Amoniakas </w:t>
                        </w:r>
                      </w:p>
                    </w:tc>
                    <w:tc>
                      <w:tcPr>
                        <w:tcW w:w="2948" w:type="dxa"/>
                        <w:tcBorders>
                          <w:top w:val="single" w:sz="4" w:space="0" w:color="auto"/>
                          <w:left w:val="single" w:sz="4" w:space="0" w:color="auto"/>
                          <w:bottom w:val="single" w:sz="4" w:space="0" w:color="auto"/>
                          <w:right w:val="nil"/>
                        </w:tcBorders>
                        <w:vAlign w:val="center"/>
                      </w:tcPr>
                      <w:p>
                        <w:pPr>
                          <w:jc w:val="center"/>
                          <w:rPr>
                            <w:sz w:val="18"/>
                            <w:highlight w:val="yellow"/>
                            <w:lang w:eastAsia="lt-LT"/>
                          </w:rPr>
                        </w:pPr>
                      </w:p>
                    </w:tc>
                    <w:tc>
                      <w:tcPr>
                        <w:tcW w:w="5280"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r>
                  <w:tr>
                    <w:tc>
                      <w:tcPr>
                        <w:tcW w:w="5080" w:type="dxa"/>
                        <w:tcBorders>
                          <w:top w:val="single" w:sz="4" w:space="0" w:color="auto"/>
                          <w:left w:val="single" w:sz="4" w:space="0" w:color="auto"/>
                          <w:bottom w:val="single" w:sz="4" w:space="0" w:color="auto"/>
                          <w:right w:val="single" w:sz="4" w:space="0" w:color="auto"/>
                        </w:tcBorders>
                        <w:vAlign w:val="center"/>
                      </w:tcPr>
                      <w:p>
                        <w:pPr>
                          <w:rPr>
                            <w:sz w:val="18"/>
                            <w:lang w:eastAsia="lt-LT"/>
                          </w:rPr>
                        </w:pPr>
                        <w:r>
                          <w:rPr>
                            <w:sz w:val="18"/>
                          </w:rPr>
                          <w:t xml:space="preserve">Lakieji organiniai junginiai </w:t>
                        </w:r>
                        <w:r>
                          <w:rPr>
                            <w:sz w:val="18"/>
                            <w:lang w:eastAsia="lt-LT"/>
                          </w:rPr>
                          <w:t>(abėcėlės tvarka)</w:t>
                        </w:r>
                        <w:r>
                          <w:rPr>
                            <w:sz w:val="18"/>
                          </w:rPr>
                          <w:t>:</w:t>
                        </w:r>
                      </w:p>
                    </w:tc>
                    <w:tc>
                      <w:tcPr>
                        <w:tcW w:w="2948" w:type="dxa"/>
                        <w:tcBorders>
                          <w:top w:val="single" w:sz="4" w:space="0" w:color="auto"/>
                          <w:left w:val="single" w:sz="4" w:space="0" w:color="auto"/>
                          <w:bottom w:val="single" w:sz="4" w:space="0" w:color="auto"/>
                          <w:right w:val="nil"/>
                        </w:tcBorders>
                        <w:vAlign w:val="center"/>
                      </w:tcPr>
                      <w:p>
                        <w:pPr>
                          <w:jc w:val="center"/>
                          <w:rPr>
                            <w:sz w:val="18"/>
                            <w:highlight w:val="yellow"/>
                            <w:lang w:eastAsia="lt-LT"/>
                          </w:rPr>
                        </w:pPr>
                        <w:r>
                          <w:rPr>
                            <w:sz w:val="18"/>
                            <w:lang w:eastAsia="lt-LT"/>
                          </w:rPr>
                          <w:t>XXXXXXXX</w:t>
                        </w:r>
                      </w:p>
                    </w:tc>
                    <w:tc>
                      <w:tcPr>
                        <w:tcW w:w="5280"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r>
                  <w:tr>
                    <w:tc>
                      <w:tcPr>
                        <w:tcW w:w="5080" w:type="dxa"/>
                        <w:tcBorders>
                          <w:top w:val="single" w:sz="4" w:space="0" w:color="auto"/>
                          <w:left w:val="single" w:sz="4" w:space="0" w:color="auto"/>
                          <w:bottom w:val="single" w:sz="4" w:space="0" w:color="auto"/>
                          <w:right w:val="single" w:sz="4" w:space="0" w:color="auto"/>
                        </w:tcBorders>
                        <w:vAlign w:val="center"/>
                      </w:tcPr>
                      <w:p>
                        <w:pPr>
                          <w:rPr>
                            <w:sz w:val="18"/>
                            <w:lang w:eastAsia="lt-LT"/>
                          </w:rPr>
                        </w:pPr>
                      </w:p>
                    </w:tc>
                    <w:tc>
                      <w:tcPr>
                        <w:tcW w:w="2948" w:type="dxa"/>
                        <w:tcBorders>
                          <w:top w:val="single" w:sz="4" w:space="0" w:color="auto"/>
                          <w:left w:val="single" w:sz="4" w:space="0" w:color="auto"/>
                          <w:bottom w:val="single" w:sz="4" w:space="0" w:color="auto"/>
                          <w:right w:val="nil"/>
                        </w:tcBorders>
                        <w:vAlign w:val="center"/>
                      </w:tcPr>
                      <w:p>
                        <w:pPr>
                          <w:jc w:val="center"/>
                          <w:rPr>
                            <w:sz w:val="18"/>
                            <w:highlight w:val="yellow"/>
                            <w:lang w:eastAsia="lt-LT"/>
                          </w:rPr>
                        </w:pPr>
                      </w:p>
                    </w:tc>
                    <w:tc>
                      <w:tcPr>
                        <w:tcW w:w="5280"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r>
                  <w:tr>
                    <w:tc>
                      <w:tcPr>
                        <w:tcW w:w="5080" w:type="dxa"/>
                        <w:tcBorders>
                          <w:top w:val="single" w:sz="4" w:space="0" w:color="auto"/>
                          <w:left w:val="single" w:sz="4" w:space="0" w:color="auto"/>
                          <w:bottom w:val="single" w:sz="4" w:space="0" w:color="auto"/>
                          <w:right w:val="single" w:sz="4" w:space="0" w:color="auto"/>
                        </w:tcBorders>
                        <w:vAlign w:val="center"/>
                      </w:tcPr>
                      <w:p>
                        <w:pPr>
                          <w:rPr>
                            <w:sz w:val="18"/>
                            <w:lang w:eastAsia="lt-LT"/>
                          </w:rPr>
                        </w:pPr>
                      </w:p>
                    </w:tc>
                    <w:tc>
                      <w:tcPr>
                        <w:tcW w:w="2948" w:type="dxa"/>
                        <w:tcBorders>
                          <w:top w:val="single" w:sz="4" w:space="0" w:color="auto"/>
                          <w:left w:val="single" w:sz="4" w:space="0" w:color="auto"/>
                          <w:bottom w:val="single" w:sz="4" w:space="0" w:color="auto"/>
                          <w:right w:val="nil"/>
                        </w:tcBorders>
                        <w:vAlign w:val="center"/>
                      </w:tcPr>
                      <w:p>
                        <w:pPr>
                          <w:jc w:val="center"/>
                          <w:rPr>
                            <w:sz w:val="18"/>
                            <w:highlight w:val="yellow"/>
                            <w:lang w:eastAsia="lt-LT"/>
                          </w:rPr>
                        </w:pPr>
                      </w:p>
                    </w:tc>
                    <w:tc>
                      <w:tcPr>
                        <w:tcW w:w="5280"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r>
                  <w:tr>
                    <w:tc>
                      <w:tcPr>
                        <w:tcW w:w="5080" w:type="dxa"/>
                        <w:tcBorders>
                          <w:top w:val="single" w:sz="4" w:space="0" w:color="auto"/>
                          <w:left w:val="single" w:sz="4" w:space="0" w:color="auto"/>
                          <w:bottom w:val="single" w:sz="4" w:space="0" w:color="auto"/>
                          <w:right w:val="single" w:sz="4" w:space="0" w:color="auto"/>
                        </w:tcBorders>
                        <w:vAlign w:val="center"/>
                      </w:tcPr>
                      <w:p>
                        <w:pPr>
                          <w:rPr>
                            <w:sz w:val="18"/>
                            <w:lang w:eastAsia="lt-LT"/>
                          </w:rPr>
                        </w:pPr>
                        <w:r>
                          <w:rPr>
                            <w:sz w:val="18"/>
                            <w:lang w:eastAsia="lt-LT"/>
                          </w:rPr>
                          <w:t>Kiti teršalai (abėcėlės tvarka):</w:t>
                        </w:r>
                      </w:p>
                    </w:tc>
                    <w:tc>
                      <w:tcPr>
                        <w:tcW w:w="2948" w:type="dxa"/>
                        <w:tcBorders>
                          <w:top w:val="single" w:sz="4" w:space="0" w:color="auto"/>
                          <w:left w:val="single" w:sz="4" w:space="0" w:color="auto"/>
                          <w:bottom w:val="single" w:sz="4" w:space="0" w:color="auto"/>
                          <w:right w:val="nil"/>
                        </w:tcBorders>
                        <w:vAlign w:val="center"/>
                      </w:tcPr>
                      <w:p>
                        <w:pPr>
                          <w:jc w:val="center"/>
                          <w:rPr>
                            <w:sz w:val="18"/>
                            <w:lang w:eastAsia="lt-LT"/>
                          </w:rPr>
                        </w:pPr>
                        <w:r>
                          <w:rPr>
                            <w:sz w:val="18"/>
                            <w:lang w:eastAsia="lt-LT"/>
                          </w:rPr>
                          <w:t>XXXXXXXX</w:t>
                        </w:r>
                      </w:p>
                    </w:tc>
                    <w:tc>
                      <w:tcPr>
                        <w:tcW w:w="5280"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r>
                          <w:rPr>
                            <w:sz w:val="18"/>
                            <w:lang w:eastAsia="lt-LT"/>
                          </w:rPr>
                          <w:t>XXXXXXXXX</w:t>
                        </w:r>
                      </w:p>
                    </w:tc>
                  </w:tr>
                  <w:tr>
                    <w:tc>
                      <w:tcPr>
                        <w:tcW w:w="5080" w:type="dxa"/>
                        <w:tcBorders>
                          <w:top w:val="single" w:sz="4" w:space="0" w:color="auto"/>
                          <w:left w:val="single" w:sz="4" w:space="0" w:color="auto"/>
                          <w:bottom w:val="single" w:sz="4" w:space="0" w:color="auto"/>
                          <w:right w:val="single" w:sz="4" w:space="0" w:color="auto"/>
                        </w:tcBorders>
                        <w:vAlign w:val="center"/>
                      </w:tcPr>
                      <w:p>
                        <w:pPr>
                          <w:rPr>
                            <w:sz w:val="18"/>
                            <w:lang w:eastAsia="lt-LT"/>
                          </w:rPr>
                        </w:pPr>
                      </w:p>
                    </w:tc>
                    <w:tc>
                      <w:tcPr>
                        <w:tcW w:w="2948" w:type="dxa"/>
                        <w:tcBorders>
                          <w:top w:val="single" w:sz="4" w:space="0" w:color="auto"/>
                          <w:left w:val="single" w:sz="4" w:space="0" w:color="auto"/>
                          <w:bottom w:val="single" w:sz="4" w:space="0" w:color="auto"/>
                          <w:right w:val="nil"/>
                        </w:tcBorders>
                        <w:vAlign w:val="center"/>
                      </w:tcPr>
                      <w:p>
                        <w:pPr>
                          <w:jc w:val="center"/>
                          <w:rPr>
                            <w:sz w:val="18"/>
                            <w:lang w:eastAsia="lt-LT"/>
                          </w:rPr>
                        </w:pPr>
                      </w:p>
                    </w:tc>
                    <w:tc>
                      <w:tcPr>
                        <w:tcW w:w="5280"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r>
                  <w:tr>
                    <w:tc>
                      <w:tcPr>
                        <w:tcW w:w="5080" w:type="dxa"/>
                        <w:tcBorders>
                          <w:top w:val="single" w:sz="4" w:space="0" w:color="auto"/>
                          <w:left w:val="single" w:sz="4" w:space="0" w:color="auto"/>
                          <w:bottom w:val="single" w:sz="4" w:space="0" w:color="auto"/>
                          <w:right w:val="single" w:sz="4" w:space="0" w:color="auto"/>
                        </w:tcBorders>
                        <w:vAlign w:val="center"/>
                      </w:tcPr>
                      <w:p>
                        <w:pPr>
                          <w:rPr>
                            <w:sz w:val="18"/>
                            <w:lang w:eastAsia="lt-LT"/>
                          </w:rPr>
                        </w:pPr>
                      </w:p>
                    </w:tc>
                    <w:tc>
                      <w:tcPr>
                        <w:tcW w:w="2948" w:type="dxa"/>
                        <w:tcBorders>
                          <w:top w:val="single" w:sz="4" w:space="0" w:color="auto"/>
                          <w:left w:val="single" w:sz="4" w:space="0" w:color="auto"/>
                          <w:bottom w:val="single" w:sz="4" w:space="0" w:color="auto"/>
                          <w:right w:val="nil"/>
                        </w:tcBorders>
                        <w:vAlign w:val="center"/>
                      </w:tcPr>
                      <w:p>
                        <w:pPr>
                          <w:jc w:val="center"/>
                          <w:rPr>
                            <w:sz w:val="18"/>
                            <w:lang w:eastAsia="lt-LT"/>
                          </w:rPr>
                        </w:pPr>
                      </w:p>
                    </w:tc>
                    <w:tc>
                      <w:tcPr>
                        <w:tcW w:w="5280"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r>
                  <w:tr>
                    <w:tc>
                      <w:tcPr>
                        <w:tcW w:w="5080" w:type="dxa"/>
                        <w:tcBorders>
                          <w:top w:val="single" w:sz="4" w:space="0" w:color="auto"/>
                          <w:left w:val="nil"/>
                          <w:bottom w:val="nil"/>
                          <w:right w:val="single" w:sz="4" w:space="0" w:color="auto"/>
                        </w:tcBorders>
                        <w:vAlign w:val="center"/>
                      </w:tcPr>
                      <w:p>
                        <w:pPr>
                          <w:rPr>
                            <w:sz w:val="18"/>
                            <w:lang w:eastAsia="lt-LT"/>
                          </w:rPr>
                        </w:pPr>
                      </w:p>
                    </w:tc>
                    <w:tc>
                      <w:tcPr>
                        <w:tcW w:w="2948" w:type="dxa"/>
                        <w:tcBorders>
                          <w:top w:val="single" w:sz="4" w:space="0" w:color="auto"/>
                          <w:left w:val="single" w:sz="4" w:space="0" w:color="auto"/>
                          <w:bottom w:val="single" w:sz="4" w:space="0" w:color="auto"/>
                          <w:right w:val="nil"/>
                        </w:tcBorders>
                        <w:vAlign w:val="center"/>
                      </w:tcPr>
                      <w:p>
                        <w:pPr>
                          <w:jc w:val="right"/>
                          <w:rPr>
                            <w:sz w:val="18"/>
                            <w:lang w:eastAsia="lt-LT"/>
                          </w:rPr>
                        </w:pPr>
                        <w:r>
                          <w:rPr>
                            <w:sz w:val="18"/>
                            <w:lang w:eastAsia="lt-LT"/>
                          </w:rPr>
                          <w:t>Iš viso:</w:t>
                        </w:r>
                      </w:p>
                    </w:tc>
                    <w:tc>
                      <w:tcPr>
                        <w:tcW w:w="5280"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r>
                </w:tbl>
                <w:p>
                  <w:pPr>
                    <w:ind w:firstLine="567"/>
                    <w:jc w:val="both"/>
                    <w:rPr>
                      <w:sz w:val="22"/>
                      <w:szCs w:val="24"/>
                      <w:lang w:eastAsia="lt-LT"/>
                    </w:rPr>
                  </w:pPr>
                </w:p>
                <w:p>
                  <w:pPr>
                    <w:ind w:firstLine="567"/>
                    <w:jc w:val="both"/>
                    <w:rPr>
                      <w:i/>
                      <w:sz w:val="22"/>
                      <w:szCs w:val="24"/>
                      <w:lang w:eastAsia="lt-LT"/>
                    </w:rPr>
                  </w:pPr>
                  <w:r>
                    <w:rPr>
                      <w:sz w:val="22"/>
                      <w:szCs w:val="24"/>
                      <w:lang w:eastAsia="lt-LT"/>
                    </w:rPr>
                    <w:t>7 lentelė. Leidžiama tarša į aplinkos orą</w:t>
                  </w:r>
                </w:p>
                <w:p>
                  <w:pPr>
                    <w:ind w:firstLine="567"/>
                    <w:jc w:val="both"/>
                    <w:rPr>
                      <w:sz w:val="22"/>
                      <w:szCs w:val="24"/>
                      <w:lang w:eastAsia="lt-LT"/>
                    </w:rPr>
                  </w:pPr>
                </w:p>
                <w:tbl>
                  <w:tblPr>
                    <w:tblW w:w="13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65"/>
                    <w:gridCol w:w="772"/>
                    <w:gridCol w:w="649"/>
                    <w:gridCol w:w="2122"/>
                    <w:gridCol w:w="1562"/>
                    <w:gridCol w:w="1847"/>
                    <w:gridCol w:w="2273"/>
                    <w:gridCol w:w="2118"/>
                  </w:tblGrid>
                  <w:tr>
                    <w:trPr>
                      <w:cantSplit/>
                      <w:trHeight w:val="470"/>
                    </w:trPr>
                    <w:tc>
                      <w:tcPr>
                        <w:tcW w:w="1965" w:type="dxa"/>
                        <w:vMerge w:val="restart"/>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r>
                          <w:rPr>
                            <w:sz w:val="18"/>
                            <w:lang w:eastAsia="lt-LT"/>
                          </w:rPr>
                          <w:t>Cecho ar kt. pavadinimas arba Nr.</w:t>
                        </w:r>
                      </w:p>
                    </w:tc>
                    <w:tc>
                      <w:tcPr>
                        <w:tcW w:w="1421" w:type="dxa"/>
                        <w:gridSpan w:val="2"/>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r>
                          <w:rPr>
                            <w:sz w:val="18"/>
                            <w:lang w:eastAsia="lt-LT"/>
                          </w:rPr>
                          <w:t>Taršos šaltiniai</w:t>
                        </w:r>
                      </w:p>
                    </w:tc>
                    <w:tc>
                      <w:tcPr>
                        <w:tcW w:w="3684" w:type="dxa"/>
                        <w:gridSpan w:val="2"/>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r>
                          <w:rPr>
                            <w:sz w:val="18"/>
                            <w:lang w:eastAsia="lt-LT"/>
                          </w:rPr>
                          <w:t>Teršalai</w:t>
                        </w:r>
                      </w:p>
                    </w:tc>
                    <w:tc>
                      <w:tcPr>
                        <w:tcW w:w="6238" w:type="dxa"/>
                        <w:gridSpan w:val="3"/>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r>
                          <w:rPr>
                            <w:sz w:val="18"/>
                            <w:lang w:eastAsia="lt-LT"/>
                          </w:rPr>
                          <w:t>Leidžiama tarša</w:t>
                        </w:r>
                      </w:p>
                    </w:tc>
                  </w:tr>
                  <w:tr>
                    <w:trPr>
                      <w:cantSplit/>
                    </w:trPr>
                    <w:tc>
                      <w:tcPr>
                        <w:tcW w:w="1965" w:type="dxa"/>
                        <w:vMerge/>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c>
                      <w:tcPr>
                        <w:tcW w:w="1421" w:type="dxa"/>
                        <w:gridSpan w:val="2"/>
                        <w:vMerge w:val="restart"/>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r>
                          <w:rPr>
                            <w:sz w:val="18"/>
                            <w:lang w:eastAsia="lt-LT"/>
                          </w:rPr>
                          <w:t>Nr.</w:t>
                        </w:r>
                      </w:p>
                    </w:tc>
                    <w:tc>
                      <w:tcPr>
                        <w:tcW w:w="2122" w:type="dxa"/>
                        <w:vMerge w:val="restart"/>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r>
                          <w:rPr>
                            <w:sz w:val="18"/>
                            <w:lang w:eastAsia="lt-LT"/>
                          </w:rPr>
                          <w:t>pavadinimas</w:t>
                        </w:r>
                      </w:p>
                    </w:tc>
                    <w:tc>
                      <w:tcPr>
                        <w:tcW w:w="1562" w:type="dxa"/>
                        <w:vMerge w:val="restart"/>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r>
                          <w:rPr>
                            <w:sz w:val="18"/>
                            <w:lang w:eastAsia="lt-LT"/>
                          </w:rPr>
                          <w:t>kodas</w:t>
                        </w:r>
                      </w:p>
                    </w:tc>
                    <w:tc>
                      <w:tcPr>
                        <w:tcW w:w="4120" w:type="dxa"/>
                        <w:gridSpan w:val="2"/>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r>
                          <w:rPr>
                            <w:sz w:val="18"/>
                            <w:lang w:eastAsia="lt-LT"/>
                          </w:rPr>
                          <w:t>vienkartinis</w:t>
                        </w:r>
                      </w:p>
                      <w:p>
                        <w:pPr>
                          <w:jc w:val="center"/>
                          <w:rPr>
                            <w:sz w:val="18"/>
                            <w:lang w:eastAsia="lt-LT"/>
                          </w:rPr>
                        </w:pPr>
                        <w:r>
                          <w:rPr>
                            <w:sz w:val="18"/>
                            <w:lang w:eastAsia="lt-LT"/>
                          </w:rPr>
                          <w:t>dydis</w:t>
                        </w:r>
                      </w:p>
                    </w:tc>
                    <w:tc>
                      <w:tcPr>
                        <w:tcW w:w="2118" w:type="dxa"/>
                        <w:vMerge w:val="restart"/>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r>
                          <w:rPr>
                            <w:sz w:val="18"/>
                            <w:lang w:eastAsia="lt-LT"/>
                          </w:rPr>
                          <w:t>metinė,</w:t>
                        </w:r>
                      </w:p>
                      <w:p>
                        <w:pPr>
                          <w:jc w:val="center"/>
                          <w:rPr>
                            <w:sz w:val="18"/>
                            <w:lang w:eastAsia="lt-LT"/>
                          </w:rPr>
                        </w:pPr>
                        <w:r>
                          <w:rPr>
                            <w:sz w:val="18"/>
                            <w:lang w:eastAsia="lt-LT"/>
                          </w:rPr>
                          <w:t>t/m.</w:t>
                        </w:r>
                      </w:p>
                    </w:tc>
                  </w:tr>
                  <w:tr>
                    <w:trPr>
                      <w:cantSplit/>
                    </w:trPr>
                    <w:tc>
                      <w:tcPr>
                        <w:tcW w:w="1965" w:type="dxa"/>
                        <w:vMerge/>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c>
                      <w:tcPr>
                        <w:tcW w:w="1421" w:type="dxa"/>
                        <w:gridSpan w:val="2"/>
                        <w:vMerge/>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c>
                      <w:tcPr>
                        <w:tcW w:w="2122" w:type="dxa"/>
                        <w:vMerge/>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c>
                      <w:tcPr>
                        <w:tcW w:w="1562" w:type="dxa"/>
                        <w:vMerge/>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c>
                      <w:tcPr>
                        <w:tcW w:w="1847"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r>
                          <w:rPr>
                            <w:sz w:val="18"/>
                            <w:lang w:eastAsia="lt-LT"/>
                          </w:rPr>
                          <w:t>vnt.</w:t>
                        </w:r>
                      </w:p>
                    </w:tc>
                    <w:tc>
                      <w:tcPr>
                        <w:tcW w:w="2273"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r>
                          <w:rPr>
                            <w:sz w:val="18"/>
                            <w:lang w:eastAsia="lt-LT"/>
                          </w:rPr>
                          <w:t>maks.</w:t>
                        </w:r>
                      </w:p>
                    </w:tc>
                    <w:tc>
                      <w:tcPr>
                        <w:tcW w:w="2118" w:type="dxa"/>
                        <w:vMerge/>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r>
                  <w:tr>
                    <w:tc>
                      <w:tcPr>
                        <w:tcW w:w="1965"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r>
                          <w:rPr>
                            <w:sz w:val="18"/>
                            <w:lang w:eastAsia="lt-LT"/>
                          </w:rPr>
                          <w:t>1</w:t>
                        </w:r>
                      </w:p>
                    </w:tc>
                    <w:tc>
                      <w:tcPr>
                        <w:tcW w:w="1421" w:type="dxa"/>
                        <w:gridSpan w:val="2"/>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r>
                          <w:rPr>
                            <w:sz w:val="18"/>
                            <w:lang w:eastAsia="lt-LT"/>
                          </w:rPr>
                          <w:t>2</w:t>
                        </w:r>
                      </w:p>
                    </w:tc>
                    <w:tc>
                      <w:tcPr>
                        <w:tcW w:w="2122"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r>
                          <w:rPr>
                            <w:sz w:val="18"/>
                            <w:lang w:eastAsia="lt-LT"/>
                          </w:rPr>
                          <w:t>3</w:t>
                        </w:r>
                      </w:p>
                    </w:tc>
                    <w:tc>
                      <w:tcPr>
                        <w:tcW w:w="1562"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r>
                          <w:rPr>
                            <w:sz w:val="18"/>
                            <w:lang w:eastAsia="lt-LT"/>
                          </w:rPr>
                          <w:t>4</w:t>
                        </w:r>
                      </w:p>
                    </w:tc>
                    <w:tc>
                      <w:tcPr>
                        <w:tcW w:w="1847"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r>
                          <w:rPr>
                            <w:sz w:val="18"/>
                            <w:lang w:eastAsia="lt-LT"/>
                          </w:rPr>
                          <w:t>5</w:t>
                        </w:r>
                      </w:p>
                    </w:tc>
                    <w:tc>
                      <w:tcPr>
                        <w:tcW w:w="2273"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r>
                          <w:rPr>
                            <w:sz w:val="18"/>
                            <w:lang w:eastAsia="lt-LT"/>
                          </w:rPr>
                          <w:t>6</w:t>
                        </w:r>
                      </w:p>
                    </w:tc>
                    <w:tc>
                      <w:tcPr>
                        <w:tcW w:w="2118"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r>
                          <w:rPr>
                            <w:sz w:val="18"/>
                            <w:lang w:eastAsia="lt-LT"/>
                          </w:rPr>
                          <w:t>7</w:t>
                        </w:r>
                      </w:p>
                    </w:tc>
                  </w:tr>
                  <w:tr>
                    <w:tc>
                      <w:tcPr>
                        <w:tcW w:w="1965"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c>
                      <w:tcPr>
                        <w:tcW w:w="1421" w:type="dxa"/>
                        <w:gridSpan w:val="2"/>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c>
                      <w:tcPr>
                        <w:tcW w:w="2122"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c>
                      <w:tcPr>
                        <w:tcW w:w="1562"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c>
                      <w:tcPr>
                        <w:tcW w:w="1847"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c>
                      <w:tcPr>
                        <w:tcW w:w="2273"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c>
                      <w:tcPr>
                        <w:tcW w:w="2118"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r>
                  <w:tr>
                    <w:tc>
                      <w:tcPr>
                        <w:tcW w:w="1965"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c>
                      <w:tcPr>
                        <w:tcW w:w="1421" w:type="dxa"/>
                        <w:gridSpan w:val="2"/>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c>
                      <w:tcPr>
                        <w:tcW w:w="2122"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c>
                      <w:tcPr>
                        <w:tcW w:w="1562"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c>
                      <w:tcPr>
                        <w:tcW w:w="1847"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c>
                      <w:tcPr>
                        <w:tcW w:w="2273"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c>
                      <w:tcPr>
                        <w:tcW w:w="2118"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r>
                  <w:tr>
                    <w:tc>
                      <w:tcPr>
                        <w:tcW w:w="1965"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c>
                      <w:tcPr>
                        <w:tcW w:w="1421" w:type="dxa"/>
                        <w:gridSpan w:val="2"/>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c>
                      <w:tcPr>
                        <w:tcW w:w="2122"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c>
                      <w:tcPr>
                        <w:tcW w:w="1562"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c>
                      <w:tcPr>
                        <w:tcW w:w="1847"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c>
                      <w:tcPr>
                        <w:tcW w:w="2273"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c>
                      <w:tcPr>
                        <w:tcW w:w="2118"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r>
                  <w:tr>
                    <w:tc>
                      <w:tcPr>
                        <w:tcW w:w="1965" w:type="dxa"/>
                        <w:tcBorders>
                          <w:top w:val="nil"/>
                          <w:left w:val="nil"/>
                          <w:bottom w:val="nil"/>
                          <w:right w:val="nil"/>
                        </w:tcBorders>
                        <w:vAlign w:val="center"/>
                      </w:tcPr>
                      <w:p>
                        <w:pPr>
                          <w:jc w:val="center"/>
                          <w:rPr>
                            <w:sz w:val="18"/>
                            <w:lang w:eastAsia="lt-LT"/>
                          </w:rPr>
                        </w:pPr>
                      </w:p>
                    </w:tc>
                    <w:tc>
                      <w:tcPr>
                        <w:tcW w:w="772" w:type="dxa"/>
                        <w:tcBorders>
                          <w:top w:val="nil"/>
                          <w:left w:val="nil"/>
                          <w:bottom w:val="nil"/>
                          <w:right w:val="nil"/>
                        </w:tcBorders>
                        <w:vAlign w:val="center"/>
                      </w:tcPr>
                      <w:p>
                        <w:pPr>
                          <w:jc w:val="center"/>
                          <w:rPr>
                            <w:sz w:val="18"/>
                            <w:lang w:eastAsia="lt-LT"/>
                          </w:rPr>
                        </w:pPr>
                      </w:p>
                    </w:tc>
                    <w:tc>
                      <w:tcPr>
                        <w:tcW w:w="649" w:type="dxa"/>
                        <w:tcBorders>
                          <w:top w:val="nil"/>
                          <w:left w:val="nil"/>
                          <w:bottom w:val="nil"/>
                          <w:right w:val="nil"/>
                        </w:tcBorders>
                        <w:vAlign w:val="center"/>
                      </w:tcPr>
                      <w:p>
                        <w:pPr>
                          <w:jc w:val="center"/>
                          <w:rPr>
                            <w:sz w:val="18"/>
                            <w:lang w:eastAsia="lt-LT"/>
                          </w:rPr>
                        </w:pPr>
                      </w:p>
                    </w:tc>
                    <w:tc>
                      <w:tcPr>
                        <w:tcW w:w="2122" w:type="dxa"/>
                        <w:tcBorders>
                          <w:top w:val="nil"/>
                          <w:left w:val="nil"/>
                          <w:bottom w:val="nil"/>
                          <w:right w:val="nil"/>
                        </w:tcBorders>
                        <w:vAlign w:val="center"/>
                      </w:tcPr>
                      <w:p>
                        <w:pPr>
                          <w:jc w:val="center"/>
                          <w:rPr>
                            <w:sz w:val="18"/>
                            <w:lang w:eastAsia="lt-LT"/>
                          </w:rPr>
                        </w:pPr>
                      </w:p>
                    </w:tc>
                    <w:tc>
                      <w:tcPr>
                        <w:tcW w:w="1562" w:type="dxa"/>
                        <w:tcBorders>
                          <w:top w:val="nil"/>
                          <w:left w:val="nil"/>
                          <w:bottom w:val="nil"/>
                          <w:right w:val="nil"/>
                        </w:tcBorders>
                        <w:vAlign w:val="center"/>
                      </w:tcPr>
                      <w:p>
                        <w:pPr>
                          <w:jc w:val="center"/>
                          <w:rPr>
                            <w:sz w:val="18"/>
                            <w:lang w:eastAsia="lt-LT"/>
                          </w:rPr>
                        </w:pPr>
                      </w:p>
                    </w:tc>
                    <w:tc>
                      <w:tcPr>
                        <w:tcW w:w="4120" w:type="dxa"/>
                        <w:gridSpan w:val="2"/>
                        <w:tcBorders>
                          <w:top w:val="single" w:sz="4" w:space="0" w:color="auto"/>
                          <w:left w:val="single" w:sz="4" w:space="0" w:color="auto"/>
                          <w:bottom w:val="single" w:sz="4" w:space="0" w:color="auto"/>
                          <w:right w:val="single" w:sz="4" w:space="0" w:color="auto"/>
                        </w:tcBorders>
                        <w:vAlign w:val="center"/>
                      </w:tcPr>
                      <w:p>
                        <w:pPr>
                          <w:jc w:val="right"/>
                          <w:rPr>
                            <w:strike/>
                            <w:sz w:val="18"/>
                            <w:lang w:eastAsia="lt-LT"/>
                          </w:rPr>
                        </w:pPr>
                        <w:r>
                          <w:rPr>
                            <w:sz w:val="18"/>
                            <w:lang w:eastAsia="lt-LT"/>
                          </w:rPr>
                          <w:t>Iš viso įrenginiui:</w:t>
                        </w:r>
                      </w:p>
                    </w:tc>
                    <w:tc>
                      <w:tcPr>
                        <w:tcW w:w="2118" w:type="dxa"/>
                        <w:tcBorders>
                          <w:top w:val="single" w:sz="4" w:space="0" w:color="auto"/>
                          <w:left w:val="single" w:sz="4" w:space="0" w:color="auto"/>
                          <w:bottom w:val="single" w:sz="4" w:space="0" w:color="auto"/>
                          <w:right w:val="single" w:sz="4" w:space="0" w:color="auto"/>
                        </w:tcBorders>
                        <w:vAlign w:val="center"/>
                      </w:tcPr>
                      <w:p>
                        <w:pPr>
                          <w:jc w:val="center"/>
                          <w:rPr>
                            <w:sz w:val="18"/>
                            <w:lang w:eastAsia="lt-LT"/>
                          </w:rPr>
                        </w:pPr>
                      </w:p>
                    </w:tc>
                  </w:tr>
                </w:tbl>
                <w:p>
                  <w:pPr>
                    <w:jc w:val="both"/>
                    <w:rPr>
                      <w:sz w:val="22"/>
                      <w:szCs w:val="24"/>
                      <w:lang w:eastAsia="lt-LT"/>
                    </w:rPr>
                  </w:pPr>
                </w:p>
                <w:p>
                  <w:pPr>
                    <w:ind w:firstLine="567"/>
                    <w:rPr>
                      <w:sz w:val="22"/>
                      <w:szCs w:val="22"/>
                      <w:lang w:eastAsia="lt-LT"/>
                    </w:rPr>
                  </w:pPr>
                  <w:r>
                    <w:rPr>
                      <w:sz w:val="22"/>
                      <w:szCs w:val="22"/>
                      <w:lang w:eastAsia="lt-LT"/>
                    </w:rPr>
                    <w:t xml:space="preserve">8 lentelė. </w:t>
                  </w:r>
                  <w:r>
                    <w:rPr>
                      <w:sz w:val="22"/>
                      <w:szCs w:val="22"/>
                    </w:rPr>
                    <w:t>Leidžiama tarša į aplinkos orą esant neįprastoms (neatitiktinėms) veiklos sąlygoms</w:t>
                  </w:r>
                </w:p>
                <w:p>
                  <w:pPr>
                    <w:ind w:firstLine="567"/>
                    <w:jc w:val="both"/>
                    <w:rPr>
                      <w:sz w:val="22"/>
                      <w:szCs w:val="22"/>
                      <w:lang w:eastAsia="lt-LT"/>
                    </w:rPr>
                  </w:pPr>
                </w:p>
                <w:tbl>
                  <w:tblPr>
                    <w:tblW w:w="5000" w:type="pct"/>
                    <w:tblCellMar>
                      <w:left w:w="0" w:type="dxa"/>
                      <w:right w:w="0" w:type="dxa"/>
                    </w:tblCellMar>
                    <w:tblLook w:val="04A0" w:firstRow="1" w:lastRow="0" w:firstColumn="1" w:lastColumn="0" w:noHBand="0" w:noVBand="1"/>
                  </w:tblPr>
                  <w:tblGrid>
                    <w:gridCol w:w="1653"/>
                    <w:gridCol w:w="1653"/>
                    <w:gridCol w:w="31"/>
                    <w:gridCol w:w="1585"/>
                    <w:gridCol w:w="757"/>
                    <w:gridCol w:w="1653"/>
                    <w:gridCol w:w="559"/>
                    <w:gridCol w:w="1653"/>
                    <w:gridCol w:w="1306"/>
                    <w:gridCol w:w="510"/>
                    <w:gridCol w:w="1307"/>
                    <w:gridCol w:w="229"/>
                    <w:gridCol w:w="892"/>
                  </w:tblGrid>
                  <w:tr>
                    <w:trPr>
                      <w:gridBefore w:val="1"/>
                      <w:cantSplit/>
                      <w:trHeight w:val="369"/>
                    </w:trPr>
                    <w:tc>
                      <w:tcPr>
                        <w:tcW w:w="630" w:type="pct"/>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 w:val="22"/>
                            <w:szCs w:val="22"/>
                            <w:lang w:eastAsia="lt-LT"/>
                          </w:rPr>
                        </w:pPr>
                        <w:r>
                          <w:rPr>
                            <w:sz w:val="22"/>
                            <w:szCs w:val="22"/>
                            <w:lang w:eastAsia="lt-LT"/>
                          </w:rPr>
                          <w:t>Taršos šaltinio, iš kurio išmetami teršalai esant šioms sąlygoms, Nr.</w:t>
                        </w:r>
                      </w:p>
                    </w:tc>
                    <w:tc>
                      <w:tcPr>
                        <w:tcW w:w="647" w:type="pct"/>
                        <w:gridSpan w:val="2"/>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2"/>
                            <w:szCs w:val="22"/>
                            <w:lang w:eastAsia="lt-LT"/>
                          </w:rPr>
                        </w:pPr>
                        <w:r>
                          <w:rPr>
                            <w:sz w:val="22"/>
                            <w:szCs w:val="22"/>
                            <w:lang w:eastAsia="lt-LT"/>
                          </w:rPr>
                          <w:t>Sąlygos, dėl kurių gali įvykti neįprastas (neatitikti-nis) teršalų išmetimas</w:t>
                        </w:r>
                      </w:p>
                    </w:tc>
                    <w:tc>
                      <w:tcPr>
                        <w:tcW w:w="3020" w:type="pct"/>
                        <w:gridSpan w:val="7"/>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2"/>
                            <w:szCs w:val="22"/>
                            <w:lang w:eastAsia="lt-LT"/>
                          </w:rPr>
                        </w:pPr>
                        <w:r>
                          <w:rPr>
                            <w:sz w:val="22"/>
                            <w:szCs w:val="22"/>
                            <w:lang w:eastAsia="lt-LT"/>
                          </w:rPr>
                          <w:t>Neįprastų (neatitiktinių) teršalų išmetimo duomenų detalės</w:t>
                        </w:r>
                      </w:p>
                    </w:tc>
                    <w:tc>
                      <w:tcPr>
                        <w:tcW w:w="702" w:type="pct"/>
                        <w:gridSpan w:val="2"/>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2"/>
                            <w:szCs w:val="22"/>
                            <w:lang w:eastAsia="lt-LT"/>
                          </w:rPr>
                        </w:pPr>
                        <w:r>
                          <w:rPr>
                            <w:sz w:val="22"/>
                            <w:szCs w:val="22"/>
                            <w:lang w:eastAsia="lt-LT"/>
                          </w:rPr>
                          <w:t>Specialios sąlygos</w:t>
                        </w:r>
                      </w:p>
                    </w:tc>
                  </w:tr>
                  <w:tr>
                    <w:trPr>
                      <w:gridBefore w:val="1"/>
                      <w:cantSplit/>
                      <w:trHeight w:val="628"/>
                    </w:trPr>
                    <w:tc>
                      <w:tcPr>
                        <w:tcW w:w="630" w:type="pct"/>
                        <w:vMerge/>
                        <w:tcBorders>
                          <w:top w:val="single" w:sz="8" w:space="0" w:color="auto"/>
                          <w:left w:val="single" w:sz="8" w:space="0" w:color="auto"/>
                          <w:bottom w:val="single" w:sz="8" w:space="0" w:color="auto"/>
                          <w:right w:val="single" w:sz="8" w:space="0" w:color="auto"/>
                        </w:tcBorders>
                        <w:vAlign w:val="center"/>
                        <w:hideMark/>
                      </w:tcPr>
                      <w:p>
                        <w:pPr>
                          <w:jc w:val="both"/>
                          <w:rPr>
                            <w:sz w:val="22"/>
                            <w:szCs w:val="22"/>
                            <w:lang w:eastAsia="lt-LT"/>
                          </w:rPr>
                        </w:pPr>
                      </w:p>
                    </w:tc>
                    <w:tc>
                      <w:tcPr>
                        <w:tcW w:w="647" w:type="pct"/>
                        <w:gridSpan w:val="2"/>
                        <w:vMerge/>
                        <w:tcBorders>
                          <w:top w:val="single" w:sz="8" w:space="0" w:color="auto"/>
                          <w:left w:val="nil"/>
                          <w:bottom w:val="single" w:sz="8" w:space="0" w:color="auto"/>
                          <w:right w:val="single" w:sz="8" w:space="0" w:color="auto"/>
                        </w:tcBorders>
                        <w:vAlign w:val="center"/>
                        <w:hideMark/>
                      </w:tcPr>
                      <w:p>
                        <w:pPr>
                          <w:jc w:val="both"/>
                          <w:rPr>
                            <w:sz w:val="22"/>
                            <w:szCs w:val="22"/>
                            <w:lang w:eastAsia="lt-LT"/>
                          </w:rPr>
                        </w:pPr>
                      </w:p>
                    </w:tc>
                    <w:tc>
                      <w:tcPr>
                        <w:tcW w:w="935" w:type="pct"/>
                        <w:gridSpan w:val="2"/>
                        <w:vMerge w:val="restart"/>
                        <w:tcBorders>
                          <w:top w:val="nil"/>
                          <w:left w:val="nil"/>
                          <w:right w:val="single" w:sz="8" w:space="0" w:color="auto"/>
                        </w:tcBorders>
                        <w:tcMar>
                          <w:top w:w="0" w:type="dxa"/>
                          <w:left w:w="108" w:type="dxa"/>
                          <w:bottom w:w="0" w:type="dxa"/>
                          <w:right w:w="108" w:type="dxa"/>
                        </w:tcMar>
                        <w:vAlign w:val="center"/>
                        <w:hideMark/>
                      </w:tcPr>
                      <w:p>
                        <w:pPr>
                          <w:jc w:val="center"/>
                          <w:rPr>
                            <w:sz w:val="22"/>
                            <w:szCs w:val="22"/>
                            <w:lang w:eastAsia="lt-LT"/>
                          </w:rPr>
                        </w:pPr>
                        <w:r>
                          <w:rPr>
                            <w:sz w:val="22"/>
                            <w:szCs w:val="22"/>
                            <w:lang w:eastAsia="lt-LT"/>
                          </w:rPr>
                          <w:t>išmetimo trukmė,</w:t>
                        </w:r>
                      </w:p>
                      <w:p>
                        <w:pPr>
                          <w:jc w:val="center"/>
                          <w:rPr>
                            <w:sz w:val="22"/>
                            <w:szCs w:val="22"/>
                            <w:lang w:eastAsia="lt-LT"/>
                          </w:rPr>
                        </w:pPr>
                        <w:r>
                          <w:rPr>
                            <w:sz w:val="22"/>
                            <w:szCs w:val="22"/>
                            <w:lang w:eastAsia="lt-LT"/>
                          </w:rPr>
                          <w:t>val., min.</w:t>
                        </w:r>
                      </w:p>
                      <w:p>
                        <w:pPr>
                          <w:jc w:val="center"/>
                          <w:rPr>
                            <w:sz w:val="22"/>
                            <w:szCs w:val="22"/>
                            <w:lang w:eastAsia="lt-LT"/>
                          </w:rPr>
                        </w:pPr>
                        <w:r>
                          <w:rPr>
                            <w:sz w:val="22"/>
                            <w:szCs w:val="22"/>
                            <w:lang w:eastAsia="lt-LT"/>
                          </w:rPr>
                          <w:t>(reikalingą pabraukti)</w:t>
                        </w:r>
                      </w:p>
                    </w:tc>
                    <w:tc>
                      <w:tcPr>
                        <w:tcW w:w="1367"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 w:val="22"/>
                            <w:szCs w:val="22"/>
                            <w:lang w:eastAsia="lt-LT"/>
                          </w:rPr>
                        </w:pPr>
                        <w:r>
                          <w:rPr>
                            <w:sz w:val="22"/>
                            <w:szCs w:val="22"/>
                            <w:lang w:eastAsia="lt-LT"/>
                          </w:rPr>
                          <w:t>teršalai</w:t>
                        </w:r>
                      </w:p>
                    </w:tc>
                    <w:tc>
                      <w:tcPr>
                        <w:tcW w:w="719" w:type="pct"/>
                        <w:gridSpan w:val="2"/>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 w:val="22"/>
                            <w:szCs w:val="22"/>
                            <w:lang w:eastAsia="lt-LT"/>
                          </w:rPr>
                        </w:pPr>
                        <w:r>
                          <w:rPr>
                            <w:sz w:val="22"/>
                            <w:szCs w:val="22"/>
                            <w:lang w:eastAsia="lt-LT"/>
                          </w:rPr>
                          <w:t>teršalų koncentra-cija išmetamo-siose dujose, mg/Nm</w:t>
                        </w:r>
                        <w:r>
                          <w:rPr>
                            <w:sz w:val="22"/>
                            <w:szCs w:val="22"/>
                            <w:vertAlign w:val="superscript"/>
                            <w:lang w:eastAsia="lt-LT"/>
                          </w:rPr>
                          <w:t>3</w:t>
                        </w:r>
                      </w:p>
                    </w:tc>
                    <w:tc>
                      <w:tcPr>
                        <w:tcW w:w="702" w:type="pct"/>
                        <w:gridSpan w:val="2"/>
                        <w:vMerge/>
                        <w:tcBorders>
                          <w:top w:val="single" w:sz="8" w:space="0" w:color="auto"/>
                          <w:left w:val="nil"/>
                          <w:bottom w:val="single" w:sz="8" w:space="0" w:color="auto"/>
                          <w:right w:val="single" w:sz="8" w:space="0" w:color="auto"/>
                        </w:tcBorders>
                        <w:vAlign w:val="center"/>
                        <w:hideMark/>
                      </w:tcPr>
                      <w:p>
                        <w:pPr>
                          <w:jc w:val="center"/>
                          <w:rPr>
                            <w:sz w:val="22"/>
                            <w:szCs w:val="22"/>
                            <w:lang w:eastAsia="lt-LT"/>
                          </w:rPr>
                        </w:pPr>
                      </w:p>
                    </w:tc>
                  </w:tr>
                  <w:tr>
                    <w:trPr>
                      <w:gridBefore w:val="1"/>
                      <w:cantSplit/>
                    </w:trPr>
                    <w:tc>
                      <w:tcPr>
                        <w:tcW w:w="630" w:type="pct"/>
                        <w:vMerge/>
                        <w:tcBorders>
                          <w:top w:val="single" w:sz="8" w:space="0" w:color="auto"/>
                          <w:left w:val="single" w:sz="8" w:space="0" w:color="auto"/>
                          <w:bottom w:val="single" w:sz="8" w:space="0" w:color="auto"/>
                          <w:right w:val="single" w:sz="8" w:space="0" w:color="auto"/>
                        </w:tcBorders>
                        <w:vAlign w:val="center"/>
                        <w:hideMark/>
                      </w:tcPr>
                      <w:p>
                        <w:pPr>
                          <w:jc w:val="both"/>
                          <w:rPr>
                            <w:sz w:val="22"/>
                            <w:szCs w:val="22"/>
                            <w:lang w:eastAsia="lt-LT"/>
                          </w:rPr>
                        </w:pPr>
                      </w:p>
                    </w:tc>
                    <w:tc>
                      <w:tcPr>
                        <w:tcW w:w="647" w:type="pct"/>
                        <w:gridSpan w:val="2"/>
                        <w:vMerge/>
                        <w:tcBorders>
                          <w:top w:val="single" w:sz="8" w:space="0" w:color="auto"/>
                          <w:left w:val="nil"/>
                          <w:bottom w:val="single" w:sz="8" w:space="0" w:color="auto"/>
                          <w:right w:val="single" w:sz="8" w:space="0" w:color="auto"/>
                        </w:tcBorders>
                        <w:vAlign w:val="center"/>
                        <w:hideMark/>
                      </w:tcPr>
                      <w:p>
                        <w:pPr>
                          <w:jc w:val="both"/>
                          <w:rPr>
                            <w:sz w:val="22"/>
                            <w:szCs w:val="22"/>
                            <w:lang w:eastAsia="lt-LT"/>
                          </w:rPr>
                        </w:pPr>
                      </w:p>
                    </w:tc>
                    <w:tc>
                      <w:tcPr>
                        <w:tcW w:w="935" w:type="pct"/>
                        <w:gridSpan w:val="2"/>
                        <w:vMerge/>
                        <w:tcBorders>
                          <w:left w:val="nil"/>
                          <w:bottom w:val="single" w:sz="8" w:space="0" w:color="auto"/>
                          <w:right w:val="single" w:sz="8" w:space="0" w:color="auto"/>
                        </w:tcBorders>
                        <w:vAlign w:val="center"/>
                        <w:hideMark/>
                      </w:tcPr>
                      <w:p>
                        <w:pPr>
                          <w:jc w:val="both"/>
                          <w:rPr>
                            <w:sz w:val="22"/>
                            <w:szCs w:val="22"/>
                            <w:lang w:eastAsia="lt-LT"/>
                          </w:rPr>
                        </w:pPr>
                      </w:p>
                    </w:tc>
                    <w:tc>
                      <w:tcPr>
                        <w:tcW w:w="863" w:type="pct"/>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 w:val="22"/>
                            <w:szCs w:val="22"/>
                            <w:lang w:eastAsia="lt-LT"/>
                          </w:rPr>
                        </w:pPr>
                        <w:r>
                          <w:rPr>
                            <w:sz w:val="22"/>
                            <w:szCs w:val="22"/>
                            <w:lang w:eastAsia="lt-LT"/>
                          </w:rPr>
                          <w:t>pavadinimas</w:t>
                        </w:r>
                      </w:p>
                    </w:tc>
                    <w:tc>
                      <w:tcPr>
                        <w:tcW w:w="504"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 w:val="22"/>
                            <w:szCs w:val="22"/>
                            <w:lang w:eastAsia="lt-LT"/>
                          </w:rPr>
                        </w:pPr>
                        <w:r>
                          <w:rPr>
                            <w:sz w:val="22"/>
                            <w:szCs w:val="22"/>
                            <w:lang w:eastAsia="lt-LT"/>
                          </w:rPr>
                          <w:t>kodas</w:t>
                        </w:r>
                      </w:p>
                    </w:tc>
                    <w:tc>
                      <w:tcPr>
                        <w:tcW w:w="719" w:type="pct"/>
                        <w:gridSpan w:val="2"/>
                        <w:vMerge/>
                        <w:tcBorders>
                          <w:top w:val="nil"/>
                          <w:left w:val="nil"/>
                          <w:bottom w:val="single" w:sz="8" w:space="0" w:color="auto"/>
                          <w:right w:val="single" w:sz="8" w:space="0" w:color="auto"/>
                        </w:tcBorders>
                        <w:vAlign w:val="center"/>
                        <w:hideMark/>
                      </w:tcPr>
                      <w:p>
                        <w:pPr>
                          <w:jc w:val="both"/>
                          <w:rPr>
                            <w:sz w:val="22"/>
                            <w:szCs w:val="22"/>
                            <w:lang w:eastAsia="lt-LT"/>
                          </w:rPr>
                        </w:pPr>
                      </w:p>
                    </w:tc>
                    <w:tc>
                      <w:tcPr>
                        <w:tcW w:w="702" w:type="pct"/>
                        <w:gridSpan w:val="2"/>
                        <w:vMerge/>
                        <w:tcBorders>
                          <w:top w:val="single" w:sz="8" w:space="0" w:color="auto"/>
                          <w:left w:val="nil"/>
                          <w:bottom w:val="single" w:sz="8" w:space="0" w:color="auto"/>
                          <w:right w:val="single" w:sz="8" w:space="0" w:color="auto"/>
                        </w:tcBorders>
                        <w:vAlign w:val="center"/>
                        <w:hideMark/>
                      </w:tcPr>
                      <w:p>
                        <w:pPr>
                          <w:jc w:val="both"/>
                          <w:rPr>
                            <w:sz w:val="22"/>
                            <w:szCs w:val="22"/>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After w:val="1"/>
                      <w:wAfter w:w="55" w:type="pct"/>
                    </w:trPr>
                    <w:tc>
                      <w:tcPr>
                        <w:tcW w:w="630" w:type="pct"/>
                      </w:tcPr>
                      <w:p>
                        <w:pPr>
                          <w:jc w:val="center"/>
                          <w:rPr>
                            <w:sz w:val="22"/>
                            <w:szCs w:val="22"/>
                            <w:lang w:eastAsia="lt-LT"/>
                          </w:rPr>
                        </w:pPr>
                        <w:r>
                          <w:rPr>
                            <w:sz w:val="22"/>
                            <w:szCs w:val="22"/>
                            <w:lang w:eastAsia="lt-LT"/>
                          </w:rPr>
                          <w:t>1</w:t>
                        </w:r>
                      </w:p>
                    </w:tc>
                    <w:tc>
                      <w:tcPr>
                        <w:tcW w:w="647" w:type="pct"/>
                        <w:gridSpan w:val="2"/>
                      </w:tcPr>
                      <w:p>
                        <w:pPr>
                          <w:jc w:val="center"/>
                          <w:rPr>
                            <w:sz w:val="22"/>
                            <w:szCs w:val="22"/>
                            <w:lang w:eastAsia="lt-LT"/>
                          </w:rPr>
                        </w:pPr>
                        <w:r>
                          <w:rPr>
                            <w:sz w:val="22"/>
                            <w:szCs w:val="22"/>
                            <w:lang w:eastAsia="lt-LT"/>
                          </w:rPr>
                          <w:t>2</w:t>
                        </w:r>
                      </w:p>
                    </w:tc>
                    <w:tc>
                      <w:tcPr>
                        <w:tcW w:w="935" w:type="pct"/>
                        <w:gridSpan w:val="2"/>
                      </w:tcPr>
                      <w:p>
                        <w:pPr>
                          <w:jc w:val="center"/>
                          <w:rPr>
                            <w:sz w:val="22"/>
                            <w:szCs w:val="22"/>
                            <w:lang w:eastAsia="lt-LT"/>
                          </w:rPr>
                        </w:pPr>
                        <w:r>
                          <w:rPr>
                            <w:sz w:val="22"/>
                            <w:szCs w:val="22"/>
                            <w:lang w:eastAsia="lt-LT"/>
                          </w:rPr>
                          <w:t>3</w:t>
                        </w:r>
                      </w:p>
                    </w:tc>
                    <w:tc>
                      <w:tcPr>
                        <w:tcW w:w="863" w:type="pct"/>
                        <w:gridSpan w:val="2"/>
                      </w:tcPr>
                      <w:p>
                        <w:pPr>
                          <w:jc w:val="center"/>
                          <w:rPr>
                            <w:sz w:val="22"/>
                            <w:szCs w:val="22"/>
                            <w:lang w:eastAsia="lt-LT"/>
                          </w:rPr>
                        </w:pPr>
                        <w:r>
                          <w:rPr>
                            <w:sz w:val="22"/>
                            <w:szCs w:val="22"/>
                            <w:lang w:eastAsia="lt-LT"/>
                          </w:rPr>
                          <w:t>4</w:t>
                        </w:r>
                      </w:p>
                    </w:tc>
                    <w:tc>
                      <w:tcPr>
                        <w:tcW w:w="504" w:type="pct"/>
                      </w:tcPr>
                      <w:p>
                        <w:pPr>
                          <w:jc w:val="center"/>
                          <w:rPr>
                            <w:sz w:val="22"/>
                            <w:szCs w:val="22"/>
                            <w:lang w:eastAsia="lt-LT"/>
                          </w:rPr>
                        </w:pPr>
                        <w:r>
                          <w:rPr>
                            <w:sz w:val="22"/>
                            <w:szCs w:val="22"/>
                            <w:lang w:eastAsia="lt-LT"/>
                          </w:rPr>
                          <w:t>5</w:t>
                        </w:r>
                      </w:p>
                    </w:tc>
                    <w:tc>
                      <w:tcPr>
                        <w:tcW w:w="719" w:type="pct"/>
                        <w:gridSpan w:val="2"/>
                      </w:tcPr>
                      <w:p>
                        <w:pPr>
                          <w:jc w:val="center"/>
                          <w:rPr>
                            <w:sz w:val="22"/>
                            <w:szCs w:val="22"/>
                            <w:lang w:eastAsia="lt-LT"/>
                          </w:rPr>
                        </w:pPr>
                        <w:r>
                          <w:rPr>
                            <w:sz w:val="22"/>
                            <w:szCs w:val="22"/>
                            <w:lang w:eastAsia="lt-LT"/>
                          </w:rPr>
                          <w:t>6</w:t>
                        </w:r>
                      </w:p>
                    </w:tc>
                    <w:tc>
                      <w:tcPr>
                        <w:tcW w:w="647" w:type="pct"/>
                        <w:gridSpan w:val="2"/>
                      </w:tcPr>
                      <w:p>
                        <w:pPr>
                          <w:jc w:val="center"/>
                          <w:rPr>
                            <w:sz w:val="22"/>
                            <w:szCs w:val="22"/>
                            <w:lang w:eastAsia="lt-LT"/>
                          </w:rPr>
                        </w:pPr>
                        <w:r>
                          <w:rPr>
                            <w:sz w:val="22"/>
                            <w:szCs w:val="22"/>
                            <w:lang w:eastAsia="lt-LT"/>
                          </w:rPr>
                          <w:t>7</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After w:val="1"/>
                      <w:wAfter w:w="55" w:type="pct"/>
                    </w:trPr>
                    <w:tc>
                      <w:tcPr>
                        <w:tcW w:w="630" w:type="pct"/>
                      </w:tcPr>
                      <w:p>
                        <w:pPr>
                          <w:jc w:val="both"/>
                          <w:rPr>
                            <w:sz w:val="22"/>
                            <w:szCs w:val="22"/>
                            <w:lang w:eastAsia="lt-LT"/>
                          </w:rPr>
                        </w:pPr>
                      </w:p>
                    </w:tc>
                    <w:tc>
                      <w:tcPr>
                        <w:tcW w:w="647" w:type="pct"/>
                        <w:gridSpan w:val="2"/>
                      </w:tcPr>
                      <w:p>
                        <w:pPr>
                          <w:jc w:val="both"/>
                          <w:rPr>
                            <w:sz w:val="22"/>
                            <w:szCs w:val="22"/>
                            <w:lang w:eastAsia="lt-LT"/>
                          </w:rPr>
                        </w:pPr>
                      </w:p>
                    </w:tc>
                    <w:tc>
                      <w:tcPr>
                        <w:tcW w:w="935" w:type="pct"/>
                        <w:gridSpan w:val="2"/>
                      </w:tcPr>
                      <w:p>
                        <w:pPr>
                          <w:jc w:val="both"/>
                          <w:rPr>
                            <w:sz w:val="22"/>
                            <w:szCs w:val="22"/>
                            <w:lang w:eastAsia="lt-LT"/>
                          </w:rPr>
                        </w:pPr>
                      </w:p>
                    </w:tc>
                    <w:tc>
                      <w:tcPr>
                        <w:tcW w:w="863" w:type="pct"/>
                        <w:gridSpan w:val="2"/>
                      </w:tcPr>
                      <w:p>
                        <w:pPr>
                          <w:jc w:val="both"/>
                          <w:rPr>
                            <w:sz w:val="22"/>
                            <w:szCs w:val="22"/>
                            <w:lang w:eastAsia="lt-LT"/>
                          </w:rPr>
                        </w:pPr>
                      </w:p>
                    </w:tc>
                    <w:tc>
                      <w:tcPr>
                        <w:tcW w:w="504" w:type="pct"/>
                      </w:tcPr>
                      <w:p>
                        <w:pPr>
                          <w:jc w:val="both"/>
                          <w:rPr>
                            <w:sz w:val="22"/>
                            <w:szCs w:val="22"/>
                            <w:lang w:eastAsia="lt-LT"/>
                          </w:rPr>
                        </w:pPr>
                      </w:p>
                    </w:tc>
                    <w:tc>
                      <w:tcPr>
                        <w:tcW w:w="719" w:type="pct"/>
                        <w:gridSpan w:val="2"/>
                      </w:tcPr>
                      <w:p>
                        <w:pPr>
                          <w:jc w:val="both"/>
                          <w:rPr>
                            <w:sz w:val="22"/>
                            <w:szCs w:val="22"/>
                            <w:lang w:eastAsia="lt-LT"/>
                          </w:rPr>
                        </w:pPr>
                      </w:p>
                    </w:tc>
                    <w:tc>
                      <w:tcPr>
                        <w:tcW w:w="647" w:type="pct"/>
                        <w:gridSpan w:val="2"/>
                      </w:tcPr>
                      <w:p>
                        <w:pPr>
                          <w:jc w:val="both"/>
                          <w:rPr>
                            <w:sz w:val="22"/>
                            <w:szCs w:val="22"/>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After w:val="1"/>
                      <w:wAfter w:w="55" w:type="pct"/>
                    </w:trPr>
                    <w:tc>
                      <w:tcPr>
                        <w:tcW w:w="630" w:type="pct"/>
                      </w:tcPr>
                      <w:p>
                        <w:pPr>
                          <w:jc w:val="both"/>
                          <w:rPr>
                            <w:sz w:val="22"/>
                            <w:szCs w:val="22"/>
                            <w:lang w:eastAsia="lt-LT"/>
                          </w:rPr>
                        </w:pPr>
                      </w:p>
                    </w:tc>
                    <w:tc>
                      <w:tcPr>
                        <w:tcW w:w="647" w:type="pct"/>
                        <w:gridSpan w:val="2"/>
                      </w:tcPr>
                      <w:p>
                        <w:pPr>
                          <w:jc w:val="both"/>
                          <w:rPr>
                            <w:sz w:val="22"/>
                            <w:szCs w:val="22"/>
                            <w:lang w:eastAsia="lt-LT"/>
                          </w:rPr>
                        </w:pPr>
                      </w:p>
                    </w:tc>
                    <w:tc>
                      <w:tcPr>
                        <w:tcW w:w="935" w:type="pct"/>
                        <w:gridSpan w:val="2"/>
                      </w:tcPr>
                      <w:p>
                        <w:pPr>
                          <w:jc w:val="both"/>
                          <w:rPr>
                            <w:sz w:val="22"/>
                            <w:szCs w:val="22"/>
                            <w:lang w:eastAsia="lt-LT"/>
                          </w:rPr>
                        </w:pPr>
                      </w:p>
                    </w:tc>
                    <w:tc>
                      <w:tcPr>
                        <w:tcW w:w="863" w:type="pct"/>
                        <w:gridSpan w:val="2"/>
                      </w:tcPr>
                      <w:p>
                        <w:pPr>
                          <w:jc w:val="both"/>
                          <w:rPr>
                            <w:sz w:val="22"/>
                            <w:szCs w:val="22"/>
                            <w:lang w:eastAsia="lt-LT"/>
                          </w:rPr>
                        </w:pPr>
                      </w:p>
                    </w:tc>
                    <w:tc>
                      <w:tcPr>
                        <w:tcW w:w="504" w:type="pct"/>
                      </w:tcPr>
                      <w:p>
                        <w:pPr>
                          <w:jc w:val="both"/>
                          <w:rPr>
                            <w:sz w:val="22"/>
                            <w:szCs w:val="22"/>
                            <w:lang w:eastAsia="lt-LT"/>
                          </w:rPr>
                        </w:pPr>
                      </w:p>
                    </w:tc>
                    <w:tc>
                      <w:tcPr>
                        <w:tcW w:w="719" w:type="pct"/>
                        <w:gridSpan w:val="2"/>
                      </w:tcPr>
                      <w:p>
                        <w:pPr>
                          <w:jc w:val="both"/>
                          <w:rPr>
                            <w:sz w:val="22"/>
                            <w:szCs w:val="22"/>
                            <w:lang w:eastAsia="lt-LT"/>
                          </w:rPr>
                        </w:pPr>
                      </w:p>
                    </w:tc>
                    <w:tc>
                      <w:tcPr>
                        <w:tcW w:w="647" w:type="pct"/>
                        <w:gridSpan w:val="2"/>
                      </w:tcPr>
                      <w:p>
                        <w:pPr>
                          <w:jc w:val="both"/>
                          <w:rPr>
                            <w:sz w:val="22"/>
                            <w:szCs w:val="22"/>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After w:val="1"/>
                      <w:wAfter w:w="55" w:type="pct"/>
                    </w:trPr>
                    <w:tc>
                      <w:tcPr>
                        <w:tcW w:w="630" w:type="pct"/>
                      </w:tcPr>
                      <w:p>
                        <w:pPr>
                          <w:jc w:val="both"/>
                          <w:rPr>
                            <w:sz w:val="22"/>
                            <w:szCs w:val="22"/>
                            <w:lang w:eastAsia="lt-LT"/>
                          </w:rPr>
                        </w:pPr>
                      </w:p>
                    </w:tc>
                    <w:tc>
                      <w:tcPr>
                        <w:tcW w:w="647" w:type="pct"/>
                        <w:gridSpan w:val="2"/>
                      </w:tcPr>
                      <w:p>
                        <w:pPr>
                          <w:jc w:val="both"/>
                          <w:rPr>
                            <w:sz w:val="22"/>
                            <w:szCs w:val="22"/>
                            <w:lang w:eastAsia="lt-LT"/>
                          </w:rPr>
                        </w:pPr>
                      </w:p>
                    </w:tc>
                    <w:tc>
                      <w:tcPr>
                        <w:tcW w:w="935" w:type="pct"/>
                        <w:gridSpan w:val="2"/>
                      </w:tcPr>
                      <w:p>
                        <w:pPr>
                          <w:jc w:val="both"/>
                          <w:rPr>
                            <w:sz w:val="22"/>
                            <w:szCs w:val="22"/>
                            <w:lang w:eastAsia="lt-LT"/>
                          </w:rPr>
                        </w:pPr>
                      </w:p>
                    </w:tc>
                    <w:tc>
                      <w:tcPr>
                        <w:tcW w:w="863" w:type="pct"/>
                        <w:gridSpan w:val="2"/>
                      </w:tcPr>
                      <w:p>
                        <w:pPr>
                          <w:jc w:val="both"/>
                          <w:rPr>
                            <w:sz w:val="22"/>
                            <w:szCs w:val="22"/>
                            <w:lang w:eastAsia="lt-LT"/>
                          </w:rPr>
                        </w:pPr>
                      </w:p>
                    </w:tc>
                    <w:tc>
                      <w:tcPr>
                        <w:tcW w:w="504" w:type="pct"/>
                      </w:tcPr>
                      <w:p>
                        <w:pPr>
                          <w:jc w:val="both"/>
                          <w:rPr>
                            <w:sz w:val="22"/>
                            <w:szCs w:val="22"/>
                            <w:lang w:eastAsia="lt-LT"/>
                          </w:rPr>
                        </w:pPr>
                      </w:p>
                    </w:tc>
                    <w:tc>
                      <w:tcPr>
                        <w:tcW w:w="719" w:type="pct"/>
                        <w:gridSpan w:val="2"/>
                      </w:tcPr>
                      <w:p>
                        <w:pPr>
                          <w:jc w:val="both"/>
                          <w:rPr>
                            <w:sz w:val="22"/>
                            <w:szCs w:val="22"/>
                            <w:lang w:eastAsia="lt-LT"/>
                          </w:rPr>
                        </w:pPr>
                      </w:p>
                    </w:tc>
                    <w:tc>
                      <w:tcPr>
                        <w:tcW w:w="647" w:type="pct"/>
                        <w:gridSpan w:val="2"/>
                      </w:tcPr>
                      <w:p>
                        <w:pPr>
                          <w:jc w:val="both"/>
                          <w:rPr>
                            <w:sz w:val="22"/>
                            <w:szCs w:val="22"/>
                            <w:lang w:eastAsia="lt-LT"/>
                          </w:rPr>
                        </w:pPr>
                      </w:p>
                    </w:tc>
                  </w:tr>
                </w:tbl>
                <w:p>
                  <w:pPr>
                    <w:ind w:firstLine="567"/>
                    <w:jc w:val="both"/>
                    <w:rPr>
                      <w:sz w:val="22"/>
                      <w:szCs w:val="24"/>
                      <w:lang w:eastAsia="lt-LT"/>
                    </w:rPr>
                  </w:pP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5 pr. 9 p."/>
                <w:tag w:val="part_40d64e7f474d41a297885a8d645462cb"/>
                <w:lock w:val="sdtLocked"/>
                <w:richText/>
              </w:sdtPr>
              <w:sdtContent>
                <w:p>
                  <w:pPr>
                    <w:ind w:firstLine="567"/>
                    <w:jc w:val="both"/>
                    <w:rPr>
                      <w:sz w:val="22"/>
                      <w:szCs w:val="24"/>
                      <w:lang w:eastAsia="lt-LT"/>
                    </w:rPr>
                  </w:pPr>
                  <w:sdt>
                    <w:sdtPr>
                      <w:alias w:val="Numeris"/>
                      <w:tag w:val="nr_40d64e7f474d41a297885a8d645462cb"/>
                      <w:lock w:val="sdtLocked"/>
                      <w:richText/>
                    </w:sdtPr>
                    <w:sdtContent>
                      <w:r>
                        <w:rPr>
                          <w:sz w:val="22"/>
                          <w:szCs w:val="24"/>
                          <w:lang w:eastAsia="lt-LT"/>
                        </w:rPr>
                        <w:t>9</w:t>
                      </w:r>
                    </w:sdtContent>
                  </w:sdt>
                  <w:r>
                    <w:rPr>
                      <w:sz w:val="22"/>
                      <w:szCs w:val="24"/>
                      <w:lang w:eastAsia="lt-LT"/>
                    </w:rPr>
                    <w:t>. Šiltnamio efektą sukeliančios dujos (ŠESD).</w:t>
                  </w:r>
                </w:p>
                <w:p>
                  <w:pPr>
                    <w:ind w:firstLine="567"/>
                    <w:jc w:val="both"/>
                    <w:rPr>
                      <w:sz w:val="22"/>
                      <w:szCs w:val="24"/>
                      <w:lang w:eastAsia="lt-LT"/>
                    </w:rPr>
                  </w:pPr>
                </w:p>
                <w:p>
                  <w:pPr>
                    <w:ind w:firstLine="567"/>
                    <w:jc w:val="both"/>
                    <w:rPr>
                      <w:sz w:val="22"/>
                      <w:szCs w:val="22"/>
                      <w:lang w:eastAsia="lt-LT"/>
                    </w:rPr>
                  </w:pPr>
                  <w:r>
                    <w:rPr>
                      <w:sz w:val="22"/>
                      <w:szCs w:val="22"/>
                    </w:rPr>
                    <w:t xml:space="preserve">9 lentelė. </w:t>
                  </w:r>
                  <w:r>
                    <w:rPr>
                      <w:sz w:val="22"/>
                      <w:szCs w:val="22"/>
                      <w:lang w:eastAsia="lt-LT"/>
                    </w:rPr>
                    <w:t>Veiklos rūšys ir šaltiniai, iš kurių į atmosferą išmetamos ŠESD, nurodytos Lietuvos Respublikos klimato kaitos valdymo finansinių instrumentų įstatymo 1 priede</w:t>
                  </w:r>
                </w:p>
                <w:p>
                  <w:pPr>
                    <w:jc w:val="both"/>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53"/>
                    <w:gridCol w:w="5242"/>
                    <w:gridCol w:w="6993"/>
                  </w:tblGrid>
                  <w:tr>
                    <w:tc>
                      <w:tcPr>
                        <w:tcW w:w="563" w:type="pct"/>
                        <w:tcBorders>
                          <w:top w:val="single" w:sz="4" w:space="0" w:color="auto"/>
                          <w:left w:val="single" w:sz="4" w:space="0" w:color="auto"/>
                          <w:bottom w:val="single" w:sz="4" w:space="0" w:color="auto"/>
                          <w:right w:val="single" w:sz="4" w:space="0" w:color="auto"/>
                        </w:tcBorders>
                        <w:vAlign w:val="center"/>
                      </w:tcPr>
                      <w:p>
                        <w:pPr>
                          <w:jc w:val="center"/>
                          <w:rPr>
                            <w:sz w:val="22"/>
                            <w:szCs w:val="24"/>
                          </w:rPr>
                        </w:pPr>
                        <w:r>
                          <w:rPr>
                            <w:sz w:val="22"/>
                            <w:szCs w:val="24"/>
                            <w:lang w:val="en-US"/>
                          </w:rPr>
                          <w:t>Eil. Nr.</w:t>
                        </w:r>
                      </w:p>
                    </w:tc>
                    <w:tc>
                      <w:tcPr>
                        <w:tcW w:w="1901" w:type="pct"/>
                        <w:tcBorders>
                          <w:top w:val="single" w:sz="4" w:space="0" w:color="auto"/>
                          <w:left w:val="single" w:sz="4" w:space="0" w:color="auto"/>
                          <w:bottom w:val="single" w:sz="4" w:space="0" w:color="auto"/>
                          <w:right w:val="single" w:sz="4" w:space="0" w:color="auto"/>
                        </w:tcBorders>
                        <w:vAlign w:val="center"/>
                      </w:tcPr>
                      <w:p>
                        <w:pPr>
                          <w:jc w:val="center"/>
                          <w:rPr>
                            <w:sz w:val="22"/>
                            <w:szCs w:val="24"/>
                          </w:rPr>
                        </w:pPr>
                        <w:r>
                          <w:rPr>
                            <w:sz w:val="22"/>
                            <w:szCs w:val="24"/>
                          </w:rPr>
                          <w:t>Veiklos rūšys pagal Lietuvos Respublikos klimato kaitos valdymo finansinių instrumentų įstatymo 1 priedą ir išmetimo šaltiniai</w:t>
                        </w:r>
                      </w:p>
                    </w:tc>
                    <w:tc>
                      <w:tcPr>
                        <w:tcW w:w="2536" w:type="pct"/>
                        <w:tcBorders>
                          <w:top w:val="single" w:sz="4" w:space="0" w:color="auto"/>
                          <w:left w:val="single" w:sz="4" w:space="0" w:color="auto"/>
                          <w:bottom w:val="single" w:sz="4" w:space="0" w:color="auto"/>
                          <w:right w:val="single" w:sz="4" w:space="0" w:color="auto"/>
                        </w:tcBorders>
                        <w:vAlign w:val="center"/>
                      </w:tcPr>
                      <w:p>
                        <w:pPr>
                          <w:jc w:val="center"/>
                          <w:rPr>
                            <w:sz w:val="22"/>
                            <w:szCs w:val="24"/>
                            <w:vertAlign w:val="superscript"/>
                            <w:lang w:val="en-US"/>
                          </w:rPr>
                        </w:pPr>
                        <w:r>
                          <w:rPr>
                            <w:sz w:val="22"/>
                            <w:szCs w:val="24"/>
                          </w:rPr>
                          <w:t>ŠESD</w:t>
                        </w:r>
                        <w:r>
                          <w:rPr>
                            <w:sz w:val="22"/>
                            <w:szCs w:val="24"/>
                            <w:lang w:val="en-US"/>
                          </w:rPr>
                          <w:t xml:space="preserve"> pavadinimas</w:t>
                        </w:r>
                      </w:p>
                      <w:p>
                        <w:pPr>
                          <w:jc w:val="center"/>
                          <w:rPr>
                            <w:sz w:val="22"/>
                            <w:szCs w:val="24"/>
                          </w:rPr>
                        </w:pPr>
                        <w:r>
                          <w:rPr>
                            <w:sz w:val="22"/>
                            <w:szCs w:val="24"/>
                          </w:rPr>
                          <w:t>(</w:t>
                        </w:r>
                        <w:r>
                          <w:rPr>
                            <w:bCs/>
                            <w:sz w:val="22"/>
                            <w:szCs w:val="24"/>
                          </w:rPr>
                          <w:t>anglies dioksidas (CO2),</w:t>
                        </w:r>
                        <w:r>
                          <w:rPr>
                            <w:b/>
                            <w:bCs/>
                            <w:sz w:val="22"/>
                            <w:szCs w:val="24"/>
                          </w:rPr>
                          <w:t xml:space="preserve"> </w:t>
                        </w:r>
                        <w:r>
                          <w:rPr>
                            <w:sz w:val="22"/>
                            <w:szCs w:val="24"/>
                          </w:rPr>
                          <w:t>azoto suboksidas (N</w:t>
                        </w:r>
                        <w:r>
                          <w:rPr>
                            <w:sz w:val="22"/>
                            <w:szCs w:val="24"/>
                            <w:vertAlign w:val="subscript"/>
                          </w:rPr>
                          <w:t>2</w:t>
                        </w:r>
                        <w:r>
                          <w:rPr>
                            <w:sz w:val="22"/>
                            <w:szCs w:val="24"/>
                          </w:rPr>
                          <w:t>O), perfluorangliavandeniliai (PFC))</w:t>
                        </w:r>
                      </w:p>
                    </w:tc>
                  </w:tr>
                  <w:tr>
                    <w:tc>
                      <w:tcPr>
                        <w:tcW w:w="563" w:type="pct"/>
                        <w:tcBorders>
                          <w:top w:val="single" w:sz="4" w:space="0" w:color="auto"/>
                          <w:left w:val="single" w:sz="4" w:space="0" w:color="auto"/>
                          <w:bottom w:val="single" w:sz="4" w:space="0" w:color="auto"/>
                          <w:right w:val="single" w:sz="4" w:space="0" w:color="auto"/>
                        </w:tcBorders>
                        <w:vAlign w:val="center"/>
                      </w:tcPr>
                      <w:p>
                        <w:pPr>
                          <w:jc w:val="center"/>
                          <w:rPr>
                            <w:sz w:val="22"/>
                            <w:szCs w:val="24"/>
                          </w:rPr>
                        </w:pPr>
                        <w:r>
                          <w:rPr>
                            <w:sz w:val="22"/>
                            <w:szCs w:val="24"/>
                          </w:rPr>
                          <w:t>1</w:t>
                        </w:r>
                      </w:p>
                    </w:tc>
                    <w:tc>
                      <w:tcPr>
                        <w:tcW w:w="1901" w:type="pct"/>
                        <w:tcBorders>
                          <w:top w:val="single" w:sz="4" w:space="0" w:color="auto"/>
                          <w:left w:val="single" w:sz="4" w:space="0" w:color="auto"/>
                          <w:bottom w:val="single" w:sz="4" w:space="0" w:color="auto"/>
                          <w:right w:val="single" w:sz="4" w:space="0" w:color="auto"/>
                        </w:tcBorders>
                        <w:vAlign w:val="center"/>
                      </w:tcPr>
                      <w:p>
                        <w:pPr>
                          <w:jc w:val="center"/>
                          <w:rPr>
                            <w:sz w:val="22"/>
                            <w:szCs w:val="24"/>
                          </w:rPr>
                        </w:pPr>
                        <w:r>
                          <w:rPr>
                            <w:sz w:val="22"/>
                            <w:szCs w:val="24"/>
                          </w:rPr>
                          <w:t>2</w:t>
                        </w:r>
                      </w:p>
                    </w:tc>
                    <w:tc>
                      <w:tcPr>
                        <w:tcW w:w="2536" w:type="pct"/>
                        <w:tcBorders>
                          <w:top w:val="single" w:sz="4" w:space="0" w:color="auto"/>
                          <w:left w:val="single" w:sz="4" w:space="0" w:color="auto"/>
                          <w:bottom w:val="single" w:sz="4" w:space="0" w:color="auto"/>
                          <w:right w:val="single" w:sz="4" w:space="0" w:color="auto"/>
                        </w:tcBorders>
                        <w:vAlign w:val="center"/>
                      </w:tcPr>
                      <w:p>
                        <w:pPr>
                          <w:jc w:val="center"/>
                          <w:rPr>
                            <w:sz w:val="22"/>
                            <w:szCs w:val="24"/>
                          </w:rPr>
                        </w:pPr>
                        <w:r>
                          <w:rPr>
                            <w:sz w:val="22"/>
                            <w:szCs w:val="24"/>
                          </w:rPr>
                          <w:t>3</w:t>
                        </w:r>
                      </w:p>
                    </w:tc>
                  </w:tr>
                  <w:tr>
                    <w:tc>
                      <w:tcPr>
                        <w:tcW w:w="563" w:type="pct"/>
                        <w:tcBorders>
                          <w:top w:val="single" w:sz="4" w:space="0" w:color="auto"/>
                          <w:left w:val="single" w:sz="4" w:space="0" w:color="auto"/>
                          <w:bottom w:val="single" w:sz="4" w:space="0" w:color="auto"/>
                          <w:right w:val="single" w:sz="4" w:space="0" w:color="auto"/>
                        </w:tcBorders>
                        <w:vAlign w:val="center"/>
                      </w:tcPr>
                      <w:p>
                        <w:pPr>
                          <w:jc w:val="center"/>
                          <w:rPr>
                            <w:sz w:val="22"/>
                            <w:szCs w:val="24"/>
                          </w:rPr>
                        </w:pPr>
                      </w:p>
                    </w:tc>
                    <w:tc>
                      <w:tcPr>
                        <w:tcW w:w="1901" w:type="pct"/>
                        <w:tcBorders>
                          <w:top w:val="single" w:sz="4" w:space="0" w:color="auto"/>
                          <w:left w:val="single" w:sz="4" w:space="0" w:color="auto"/>
                          <w:bottom w:val="single" w:sz="4" w:space="0" w:color="auto"/>
                          <w:right w:val="single" w:sz="4" w:space="0" w:color="auto"/>
                        </w:tcBorders>
                        <w:vAlign w:val="center"/>
                      </w:tcPr>
                      <w:p>
                        <w:pPr>
                          <w:jc w:val="center"/>
                          <w:rPr>
                            <w:sz w:val="22"/>
                            <w:szCs w:val="24"/>
                          </w:rPr>
                        </w:pPr>
                      </w:p>
                    </w:tc>
                    <w:tc>
                      <w:tcPr>
                        <w:tcW w:w="2536" w:type="pct"/>
                        <w:tcBorders>
                          <w:top w:val="single" w:sz="4" w:space="0" w:color="auto"/>
                          <w:left w:val="single" w:sz="4" w:space="0" w:color="auto"/>
                          <w:bottom w:val="single" w:sz="4" w:space="0" w:color="auto"/>
                          <w:right w:val="single" w:sz="4" w:space="0" w:color="auto"/>
                        </w:tcBorders>
                        <w:vAlign w:val="center"/>
                      </w:tcPr>
                      <w:p>
                        <w:pPr>
                          <w:jc w:val="center"/>
                          <w:rPr>
                            <w:sz w:val="22"/>
                            <w:szCs w:val="24"/>
                          </w:rPr>
                        </w:pPr>
                      </w:p>
                    </w:tc>
                  </w:tr>
                  <w:tr>
                    <w:tc>
                      <w:tcPr>
                        <w:tcW w:w="563" w:type="pct"/>
                        <w:tcBorders>
                          <w:top w:val="single" w:sz="4" w:space="0" w:color="auto"/>
                          <w:left w:val="single" w:sz="4" w:space="0" w:color="auto"/>
                          <w:bottom w:val="single" w:sz="4" w:space="0" w:color="auto"/>
                          <w:right w:val="single" w:sz="4" w:space="0" w:color="auto"/>
                        </w:tcBorders>
                        <w:vAlign w:val="center"/>
                      </w:tcPr>
                      <w:p>
                        <w:pPr>
                          <w:jc w:val="center"/>
                          <w:rPr>
                            <w:sz w:val="22"/>
                            <w:szCs w:val="24"/>
                          </w:rPr>
                        </w:pPr>
                      </w:p>
                    </w:tc>
                    <w:tc>
                      <w:tcPr>
                        <w:tcW w:w="1901" w:type="pct"/>
                        <w:tcBorders>
                          <w:top w:val="single" w:sz="4" w:space="0" w:color="auto"/>
                          <w:left w:val="single" w:sz="4" w:space="0" w:color="auto"/>
                          <w:bottom w:val="single" w:sz="4" w:space="0" w:color="auto"/>
                          <w:right w:val="single" w:sz="4" w:space="0" w:color="auto"/>
                        </w:tcBorders>
                        <w:vAlign w:val="center"/>
                      </w:tcPr>
                      <w:p>
                        <w:pPr>
                          <w:jc w:val="center"/>
                          <w:rPr>
                            <w:sz w:val="22"/>
                            <w:szCs w:val="24"/>
                          </w:rPr>
                        </w:pPr>
                      </w:p>
                    </w:tc>
                    <w:tc>
                      <w:tcPr>
                        <w:tcW w:w="2536" w:type="pct"/>
                        <w:tcBorders>
                          <w:top w:val="single" w:sz="4" w:space="0" w:color="auto"/>
                          <w:left w:val="single" w:sz="4" w:space="0" w:color="auto"/>
                          <w:bottom w:val="single" w:sz="4" w:space="0" w:color="auto"/>
                          <w:right w:val="single" w:sz="4" w:space="0" w:color="auto"/>
                        </w:tcBorders>
                        <w:vAlign w:val="center"/>
                      </w:tcPr>
                      <w:p>
                        <w:pPr>
                          <w:jc w:val="center"/>
                          <w:rPr>
                            <w:sz w:val="22"/>
                            <w:szCs w:val="24"/>
                          </w:rPr>
                        </w:pPr>
                      </w:p>
                    </w:tc>
                  </w:tr>
                  <w:tr>
                    <w:tc>
                      <w:tcPr>
                        <w:tcW w:w="563" w:type="pct"/>
                        <w:tcBorders>
                          <w:top w:val="single" w:sz="4" w:space="0" w:color="auto"/>
                          <w:left w:val="single" w:sz="4" w:space="0" w:color="auto"/>
                          <w:bottom w:val="single" w:sz="4" w:space="0" w:color="auto"/>
                          <w:right w:val="single" w:sz="4" w:space="0" w:color="auto"/>
                        </w:tcBorders>
                        <w:vAlign w:val="center"/>
                      </w:tcPr>
                      <w:p>
                        <w:pPr>
                          <w:jc w:val="center"/>
                          <w:rPr>
                            <w:sz w:val="22"/>
                            <w:szCs w:val="24"/>
                          </w:rPr>
                        </w:pPr>
                      </w:p>
                    </w:tc>
                    <w:tc>
                      <w:tcPr>
                        <w:tcW w:w="1901" w:type="pct"/>
                        <w:tcBorders>
                          <w:top w:val="single" w:sz="4" w:space="0" w:color="auto"/>
                          <w:left w:val="single" w:sz="4" w:space="0" w:color="auto"/>
                          <w:bottom w:val="single" w:sz="4" w:space="0" w:color="auto"/>
                          <w:right w:val="single" w:sz="4" w:space="0" w:color="auto"/>
                        </w:tcBorders>
                        <w:vAlign w:val="center"/>
                      </w:tcPr>
                      <w:p>
                        <w:pPr>
                          <w:jc w:val="center"/>
                          <w:rPr>
                            <w:sz w:val="22"/>
                            <w:szCs w:val="24"/>
                          </w:rPr>
                        </w:pPr>
                      </w:p>
                    </w:tc>
                    <w:tc>
                      <w:tcPr>
                        <w:tcW w:w="2536" w:type="pct"/>
                        <w:tcBorders>
                          <w:top w:val="single" w:sz="4" w:space="0" w:color="auto"/>
                          <w:left w:val="single" w:sz="4" w:space="0" w:color="auto"/>
                          <w:bottom w:val="single" w:sz="4" w:space="0" w:color="auto"/>
                          <w:right w:val="single" w:sz="4" w:space="0" w:color="auto"/>
                        </w:tcBorders>
                        <w:vAlign w:val="center"/>
                      </w:tcPr>
                      <w:p>
                        <w:pPr>
                          <w:jc w:val="center"/>
                          <w:rPr>
                            <w:sz w:val="22"/>
                            <w:szCs w:val="24"/>
                          </w:rPr>
                        </w:pPr>
                        <w:r>
                          <w:rPr>
                            <w:sz w:val="22"/>
                            <w:szCs w:val="24"/>
                          </w:rPr>
                          <w:t>“</w:t>
                        </w:r>
                      </w:p>
                    </w:tc>
                  </w:tr>
                </w:tbl>
                <w:p>
                  <w:pPr>
                    <w:ind w:firstLine="567"/>
                    <w:jc w:val="both"/>
                  </w:pP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5 pr. 10 p."/>
                <w:tag w:val="part_24ad00818e5b411b9d83be93bcc7c581"/>
                <w:lock w:val="sdtLocked"/>
                <w:richText/>
              </w:sdtPr>
              <w:sdtContent>
                <w:p>
                  <w:pPr>
                    <w:ind w:firstLine="567"/>
                    <w:jc w:val="both"/>
                    <w:rPr>
                      <w:sz w:val="22"/>
                      <w:szCs w:val="24"/>
                      <w:lang w:eastAsia="lt-LT"/>
                    </w:rPr>
                  </w:pPr>
                  <w:sdt>
                    <w:sdtPr>
                      <w:alias w:val="Numeris"/>
                      <w:tag w:val="nr_24ad00818e5b411b9d83be93bcc7c581"/>
                      <w:lock w:val="sdtLocked"/>
                      <w:richText/>
                    </w:sdtPr>
                    <w:sdtContent>
                      <w:r>
                        <w:rPr>
                          <w:sz w:val="22"/>
                          <w:szCs w:val="24"/>
                          <w:lang w:eastAsia="lt-LT"/>
                        </w:rPr>
                        <w:t>10</w:t>
                      </w:r>
                    </w:sdtContent>
                  </w:sdt>
                  <w:r>
                    <w:rPr>
                      <w:sz w:val="22"/>
                      <w:szCs w:val="24"/>
                      <w:lang w:eastAsia="lt-LT"/>
                    </w:rPr>
                    <w:t xml:space="preserve">. Teršalų išleidimas su nuotekomis į gamtinę aplinką. </w:t>
                  </w:r>
                </w:p>
                <w:p>
                  <w:pPr>
                    <w:ind w:firstLine="567"/>
                    <w:jc w:val="both"/>
                    <w:rPr>
                      <w:sz w:val="22"/>
                      <w:szCs w:val="24"/>
                      <w:lang w:eastAsia="lt-LT"/>
                    </w:rPr>
                  </w:pPr>
                </w:p>
                <w:p>
                  <w:pPr>
                    <w:ind w:firstLine="567"/>
                    <w:jc w:val="both"/>
                    <w:rPr>
                      <w:sz w:val="22"/>
                      <w:szCs w:val="24"/>
                      <w:lang w:eastAsia="lt-LT"/>
                    </w:rPr>
                  </w:pPr>
                  <w:r>
                    <w:rPr>
                      <w:b/>
                      <w:sz w:val="22"/>
                      <w:szCs w:val="24"/>
                      <w:lang w:eastAsia="lt-LT"/>
                    </w:rPr>
                    <w:t>10 lentelė</w:t>
                  </w:r>
                  <w:r>
                    <w:rPr>
                      <w:sz w:val="22"/>
                      <w:szCs w:val="24"/>
                      <w:lang w:eastAsia="lt-LT"/>
                    </w:rPr>
                    <w:t>. Leidžiama nuotekų priimtuvo apkrova</w:t>
                  </w:r>
                </w:p>
                <w:p>
                  <w:pPr>
                    <w:ind w:firstLine="567"/>
                    <w:rPr>
                      <w:sz w:val="22"/>
                      <w:szCs w:val="24"/>
                      <w:lang w:eastAsia="lt-LT"/>
                    </w:rPr>
                  </w:pPr>
                </w:p>
                <w:tbl>
                  <w:tblPr>
                    <w:tblW w:w="13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21"/>
                    <w:gridCol w:w="1787"/>
                    <w:gridCol w:w="2226"/>
                    <w:gridCol w:w="4069"/>
                    <w:gridCol w:w="1498"/>
                    <w:gridCol w:w="1408"/>
                    <w:gridCol w:w="1599"/>
                  </w:tblGrid>
                  <w:tr>
                    <w:trPr>
                      <w:cantSplit/>
                      <w:trHeight w:hRule="exact" w:val="511"/>
                    </w:trPr>
                    <w:tc>
                      <w:tcPr>
                        <w:tcW w:w="721" w:type="dxa"/>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24"/>
                            <w:vertAlign w:val="superscript"/>
                            <w:lang w:eastAsia="lt-LT"/>
                          </w:rPr>
                        </w:pPr>
                        <w:r>
                          <w:rPr>
                            <w:sz w:val="18"/>
                            <w:szCs w:val="24"/>
                            <w:lang w:eastAsia="lt-LT"/>
                          </w:rPr>
                          <w:t>Eilės Nr.</w:t>
                        </w:r>
                      </w:p>
                    </w:tc>
                    <w:tc>
                      <w:tcPr>
                        <w:tcW w:w="1787" w:type="dxa"/>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24"/>
                            <w:vertAlign w:val="superscript"/>
                            <w:lang w:eastAsia="lt-LT"/>
                          </w:rPr>
                        </w:pPr>
                        <w:r>
                          <w:rPr>
                            <w:sz w:val="18"/>
                            <w:szCs w:val="24"/>
                            <w:lang w:eastAsia="lt-LT"/>
                          </w:rPr>
                          <w:t xml:space="preserve">Nuotekų išleidimo vieta / priimtuvas, koordinatės </w:t>
                        </w:r>
                      </w:p>
                    </w:tc>
                    <w:tc>
                      <w:tcPr>
                        <w:tcW w:w="2226" w:type="dxa"/>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24"/>
                            <w:vertAlign w:val="superscript"/>
                            <w:lang w:eastAsia="lt-LT"/>
                          </w:rPr>
                        </w:pPr>
                        <w:r>
                          <w:rPr>
                            <w:sz w:val="18"/>
                            <w:szCs w:val="24"/>
                            <w:lang w:eastAsia="lt-LT"/>
                          </w:rPr>
                          <w:t>Leidžiamų išleisti nuotekų rūšis</w:t>
                        </w:r>
                      </w:p>
                    </w:tc>
                    <w:tc>
                      <w:tcPr>
                        <w:tcW w:w="8574" w:type="dxa"/>
                        <w:gridSpan w:val="4"/>
                        <w:tcBorders>
                          <w:top w:val="single" w:sz="4" w:space="0" w:color="auto"/>
                          <w:left w:val="single" w:sz="4" w:space="0" w:color="auto"/>
                          <w:bottom w:val="single" w:sz="4" w:space="0" w:color="auto"/>
                          <w:right w:val="single" w:sz="4" w:space="0" w:color="auto"/>
                        </w:tcBorders>
                        <w:vAlign w:val="center"/>
                      </w:tcPr>
                      <w:p>
                        <w:pPr>
                          <w:keepNext/>
                          <w:suppressAutoHyphens/>
                          <w:jc w:val="center"/>
                          <w:textAlignment w:val="baseline"/>
                          <w:outlineLvl w:val="3"/>
                          <w:rPr>
                            <w:sz w:val="18"/>
                            <w:szCs w:val="24"/>
                            <w:vertAlign w:val="superscript"/>
                            <w:lang w:eastAsia="lt-LT"/>
                          </w:rPr>
                        </w:pPr>
                        <w:r>
                          <w:rPr>
                            <w:sz w:val="18"/>
                            <w:szCs w:val="24"/>
                            <w:lang w:eastAsia="lt-LT"/>
                          </w:rPr>
                          <w:t xml:space="preserve">Leistina priimtuvo apkrova </w:t>
                        </w:r>
                      </w:p>
                    </w:tc>
                  </w:tr>
                  <w:tr>
                    <w:trPr>
                      <w:cantSplit/>
                      <w:trHeight w:hRule="exact" w:val="339"/>
                    </w:trPr>
                    <w:tc>
                      <w:tcPr>
                        <w:tcW w:w="721" w:type="dxa"/>
                        <w:vMerge/>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1787" w:type="dxa"/>
                        <w:vMerge/>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2226" w:type="dxa"/>
                        <w:vMerge/>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4069" w:type="dxa"/>
                        <w:tcBorders>
                          <w:top w:val="single" w:sz="4" w:space="0" w:color="auto"/>
                          <w:left w:val="single" w:sz="4" w:space="0" w:color="auto"/>
                          <w:bottom w:val="single" w:sz="4" w:space="0" w:color="auto"/>
                          <w:right w:val="single" w:sz="4" w:space="0" w:color="auto"/>
                        </w:tcBorders>
                        <w:vAlign w:val="center"/>
                      </w:tcPr>
                      <w:p>
                        <w:pPr>
                          <w:keepNext/>
                          <w:suppressAutoHyphens/>
                          <w:jc w:val="center"/>
                          <w:textAlignment w:val="baseline"/>
                          <w:outlineLvl w:val="3"/>
                          <w:rPr>
                            <w:sz w:val="18"/>
                            <w:szCs w:val="24"/>
                            <w:lang w:eastAsia="lt-LT"/>
                          </w:rPr>
                        </w:pPr>
                        <w:r>
                          <w:rPr>
                            <w:sz w:val="18"/>
                            <w:szCs w:val="24"/>
                            <w:lang w:eastAsia="lt-LT"/>
                          </w:rPr>
                          <w:t>hidraulinė</w:t>
                        </w:r>
                      </w:p>
                    </w:tc>
                    <w:tc>
                      <w:tcPr>
                        <w:tcW w:w="4505" w:type="dxa"/>
                        <w:gridSpan w:val="3"/>
                        <w:tcBorders>
                          <w:top w:val="single" w:sz="4" w:space="0" w:color="auto"/>
                          <w:left w:val="single" w:sz="4" w:space="0" w:color="auto"/>
                          <w:bottom w:val="single" w:sz="4" w:space="0" w:color="auto"/>
                          <w:right w:val="single" w:sz="4" w:space="0" w:color="auto"/>
                        </w:tcBorders>
                        <w:vAlign w:val="center"/>
                      </w:tcPr>
                      <w:p>
                        <w:pPr>
                          <w:keepNext/>
                          <w:suppressAutoHyphens/>
                          <w:jc w:val="center"/>
                          <w:textAlignment w:val="baseline"/>
                          <w:outlineLvl w:val="3"/>
                          <w:rPr>
                            <w:sz w:val="18"/>
                            <w:szCs w:val="24"/>
                            <w:lang w:eastAsia="lt-LT"/>
                          </w:rPr>
                        </w:pPr>
                        <w:r>
                          <w:rPr>
                            <w:sz w:val="18"/>
                            <w:szCs w:val="24"/>
                            <w:lang w:eastAsia="lt-LT"/>
                          </w:rPr>
                          <w:t>teršalais</w:t>
                        </w:r>
                      </w:p>
                    </w:tc>
                  </w:tr>
                  <w:tr>
                    <w:trPr>
                      <w:cantSplit/>
                    </w:trPr>
                    <w:tc>
                      <w:tcPr>
                        <w:tcW w:w="721" w:type="dxa"/>
                        <w:vMerge/>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1787" w:type="dxa"/>
                        <w:vMerge/>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2226" w:type="dxa"/>
                        <w:vMerge/>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4069"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m</w:t>
                        </w:r>
                        <w:r>
                          <w:rPr>
                            <w:sz w:val="18"/>
                            <w:szCs w:val="24"/>
                            <w:vertAlign w:val="superscript"/>
                            <w:lang w:eastAsia="lt-LT"/>
                          </w:rPr>
                          <w:t>3</w:t>
                        </w:r>
                        <w:r>
                          <w:rPr>
                            <w:sz w:val="18"/>
                            <w:szCs w:val="24"/>
                            <w:lang w:eastAsia="lt-LT"/>
                          </w:rPr>
                          <w:t>/d</w:t>
                        </w:r>
                      </w:p>
                    </w:tc>
                    <w:tc>
                      <w:tcPr>
                        <w:tcW w:w="1498" w:type="dxa"/>
                        <w:tcBorders>
                          <w:top w:val="single" w:sz="4" w:space="0" w:color="auto"/>
                          <w:left w:val="single" w:sz="4" w:space="0" w:color="auto"/>
                          <w:bottom w:val="single" w:sz="4" w:space="0" w:color="auto"/>
                          <w:right w:val="single" w:sz="4" w:space="0" w:color="auto"/>
                        </w:tcBorders>
                        <w:vAlign w:val="center"/>
                      </w:tcPr>
                      <w:p>
                        <w:pPr>
                          <w:jc w:val="center"/>
                          <w:rPr>
                            <w:sz w:val="18"/>
                            <w:szCs w:val="24"/>
                            <w:vertAlign w:val="superscript"/>
                            <w:lang w:eastAsia="lt-LT"/>
                          </w:rPr>
                        </w:pPr>
                        <w:r>
                          <w:rPr>
                            <w:sz w:val="18"/>
                            <w:szCs w:val="24"/>
                            <w:lang w:eastAsia="lt-LT"/>
                          </w:rPr>
                          <w:t>parametras</w:t>
                        </w:r>
                      </w:p>
                    </w:tc>
                    <w:tc>
                      <w:tcPr>
                        <w:tcW w:w="1408"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mato vnt.</w:t>
                        </w:r>
                      </w:p>
                    </w:tc>
                    <w:tc>
                      <w:tcPr>
                        <w:tcW w:w="1599"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reikšmė</w:t>
                        </w:r>
                      </w:p>
                    </w:tc>
                  </w:tr>
                  <w:tr>
                    <w:trPr>
                      <w:cantSplit/>
                    </w:trPr>
                    <w:tc>
                      <w:tcPr>
                        <w:tcW w:w="721"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1</w:t>
                        </w:r>
                      </w:p>
                    </w:tc>
                    <w:tc>
                      <w:tcPr>
                        <w:tcW w:w="1787"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2</w:t>
                        </w:r>
                      </w:p>
                    </w:tc>
                    <w:tc>
                      <w:tcPr>
                        <w:tcW w:w="2226"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3</w:t>
                        </w:r>
                      </w:p>
                    </w:tc>
                    <w:tc>
                      <w:tcPr>
                        <w:tcW w:w="4069"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4</w:t>
                        </w:r>
                      </w:p>
                    </w:tc>
                    <w:tc>
                      <w:tcPr>
                        <w:tcW w:w="1498"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5</w:t>
                        </w:r>
                      </w:p>
                    </w:tc>
                    <w:tc>
                      <w:tcPr>
                        <w:tcW w:w="1408"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6</w:t>
                        </w:r>
                      </w:p>
                    </w:tc>
                    <w:tc>
                      <w:tcPr>
                        <w:tcW w:w="1599"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7</w:t>
                        </w:r>
                      </w:p>
                    </w:tc>
                  </w:tr>
                  <w:tr>
                    <w:trPr>
                      <w:cantSplit/>
                    </w:trPr>
                    <w:tc>
                      <w:tcPr>
                        <w:tcW w:w="721"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1787"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2226"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4069"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1498"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1408"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1599"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r>
                  <w:tr>
                    <w:trPr>
                      <w:cantSplit/>
                    </w:trPr>
                    <w:tc>
                      <w:tcPr>
                        <w:tcW w:w="721"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1787"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2226"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4069"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1498"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1408"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1599"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r>
                  <w:tr>
                    <w:trPr>
                      <w:cantSplit/>
                    </w:trPr>
                    <w:tc>
                      <w:tcPr>
                        <w:tcW w:w="721"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1787"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2226"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4069"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1498"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1408"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1599"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r>
                </w:tbl>
                <w:p>
                  <w:pPr>
                    <w:ind w:firstLine="567"/>
                    <w:rPr>
                      <w:sz w:val="18"/>
                      <w:szCs w:val="24"/>
                      <w:lang w:eastAsia="lt-LT"/>
                    </w:rPr>
                  </w:pPr>
                </w:p>
                <w:p>
                  <w:pPr>
                    <w:ind w:firstLine="567"/>
                    <w:rPr>
                      <w:sz w:val="22"/>
                      <w:szCs w:val="22"/>
                      <w:lang w:eastAsia="lt-LT"/>
                    </w:rPr>
                  </w:pPr>
                  <w:r>
                    <w:rPr>
                      <w:b/>
                      <w:sz w:val="22"/>
                      <w:szCs w:val="22"/>
                      <w:lang w:eastAsia="lt-LT"/>
                    </w:rPr>
                    <w:t>11 lentelė</w:t>
                  </w:r>
                  <w:r>
                    <w:rPr>
                      <w:sz w:val="22"/>
                      <w:szCs w:val="22"/>
                      <w:lang w:eastAsia="lt-LT"/>
                    </w:rPr>
                    <w:t>. Į gamtinę aplinką leidžiamų išleisti nuotekų užterštumas</w:t>
                  </w:r>
                </w:p>
                <w:p>
                  <w:pPr>
                    <w:ind w:firstLine="567"/>
                    <w:rPr>
                      <w:sz w:val="22"/>
                      <w:szCs w:val="24"/>
                      <w:lang w:eastAsia="lt-LT"/>
                    </w:rPr>
                  </w:pPr>
                </w:p>
                <w:tbl>
                  <w:tblPr>
                    <w:tblW w:w="13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85"/>
                    <w:gridCol w:w="1643"/>
                    <w:gridCol w:w="1142"/>
                    <w:gridCol w:w="1143"/>
                    <w:gridCol w:w="1143"/>
                    <w:gridCol w:w="1143"/>
                    <w:gridCol w:w="1143"/>
                    <w:gridCol w:w="1143"/>
                    <w:gridCol w:w="1143"/>
                    <w:gridCol w:w="1143"/>
                    <w:gridCol w:w="1657"/>
                  </w:tblGrid>
                  <w:tr>
                    <w:trPr>
                      <w:cantSplit/>
                      <w:trHeight w:val="20"/>
                    </w:trPr>
                    <w:tc>
                      <w:tcPr>
                        <w:tcW w:w="785" w:type="dxa"/>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24"/>
                            <w:vertAlign w:val="superscript"/>
                            <w:lang w:eastAsia="lt-LT"/>
                          </w:rPr>
                        </w:pPr>
                        <w:r>
                          <w:rPr>
                            <w:sz w:val="18"/>
                            <w:szCs w:val="24"/>
                            <w:lang w:eastAsia="lt-LT"/>
                          </w:rPr>
                          <w:t>Nr.</w:t>
                        </w:r>
                      </w:p>
                    </w:tc>
                    <w:tc>
                      <w:tcPr>
                        <w:tcW w:w="1643" w:type="dxa"/>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24"/>
                            <w:vertAlign w:val="superscript"/>
                            <w:lang w:eastAsia="lt-LT"/>
                          </w:rPr>
                        </w:pPr>
                        <w:r>
                          <w:rPr>
                            <w:sz w:val="18"/>
                            <w:szCs w:val="24"/>
                            <w:lang w:eastAsia="lt-LT"/>
                          </w:rPr>
                          <w:t>Teršalo pavadinimas</w:t>
                        </w:r>
                      </w:p>
                    </w:tc>
                    <w:tc>
                      <w:tcPr>
                        <w:tcW w:w="9143" w:type="dxa"/>
                        <w:gridSpan w:val="8"/>
                        <w:tcBorders>
                          <w:top w:val="single" w:sz="4" w:space="0" w:color="auto"/>
                          <w:left w:val="single" w:sz="4" w:space="0" w:color="auto"/>
                          <w:bottom w:val="single" w:sz="4" w:space="0" w:color="auto"/>
                          <w:right w:val="single" w:sz="4" w:space="0" w:color="auto"/>
                        </w:tcBorders>
                        <w:vAlign w:val="center"/>
                      </w:tcPr>
                      <w:p>
                        <w:pPr>
                          <w:jc w:val="center"/>
                          <w:rPr>
                            <w:sz w:val="18"/>
                            <w:szCs w:val="24"/>
                            <w:vertAlign w:val="superscript"/>
                            <w:lang w:eastAsia="lt-LT"/>
                          </w:rPr>
                        </w:pPr>
                        <w:r>
                          <w:rPr>
                            <w:sz w:val="18"/>
                            <w:szCs w:val="24"/>
                            <w:lang w:eastAsia="lt-LT"/>
                          </w:rPr>
                          <w:t xml:space="preserve">Didžiausias leidžiamas nuotekų užterštumas </w:t>
                        </w:r>
                      </w:p>
                    </w:tc>
                    <w:tc>
                      <w:tcPr>
                        <w:tcW w:w="1657" w:type="dxa"/>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Valymo efektyvumas, %</w:t>
                        </w:r>
                      </w:p>
                    </w:tc>
                  </w:tr>
                  <w:tr>
                    <w:trPr>
                      <w:cantSplit/>
                      <w:trHeight w:val="20"/>
                    </w:trPr>
                    <w:tc>
                      <w:tcPr>
                        <w:tcW w:w="785" w:type="dxa"/>
                        <w:vMerge/>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1643" w:type="dxa"/>
                        <w:vMerge/>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1142"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DLK mom.,</w:t>
                        </w:r>
                      </w:p>
                      <w:p>
                        <w:pPr>
                          <w:jc w:val="center"/>
                          <w:rPr>
                            <w:sz w:val="18"/>
                            <w:szCs w:val="24"/>
                            <w:lang w:eastAsia="lt-LT"/>
                          </w:rPr>
                        </w:pPr>
                        <w:r>
                          <w:rPr>
                            <w:sz w:val="18"/>
                            <w:szCs w:val="24"/>
                            <w:lang w:eastAsia="lt-LT"/>
                          </w:rPr>
                          <w:t>mg/l</w:t>
                        </w: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LK mom.,</w:t>
                        </w:r>
                      </w:p>
                      <w:p>
                        <w:pPr>
                          <w:jc w:val="center"/>
                          <w:rPr>
                            <w:sz w:val="18"/>
                            <w:szCs w:val="24"/>
                            <w:lang w:eastAsia="lt-LT"/>
                          </w:rPr>
                        </w:pPr>
                        <w:r>
                          <w:rPr>
                            <w:sz w:val="18"/>
                            <w:szCs w:val="24"/>
                            <w:lang w:eastAsia="lt-LT"/>
                          </w:rPr>
                          <w:t>mg/l</w:t>
                        </w: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DLK vidut.,</w:t>
                        </w:r>
                      </w:p>
                      <w:p>
                        <w:pPr>
                          <w:jc w:val="center"/>
                          <w:rPr>
                            <w:sz w:val="18"/>
                            <w:szCs w:val="24"/>
                            <w:lang w:eastAsia="lt-LT"/>
                          </w:rPr>
                        </w:pPr>
                        <w:r>
                          <w:rPr>
                            <w:sz w:val="18"/>
                            <w:szCs w:val="24"/>
                            <w:lang w:eastAsia="lt-LT"/>
                          </w:rPr>
                          <w:t>mg/l</w:t>
                        </w:r>
                      </w:p>
                      <w:p>
                        <w:pPr>
                          <w:jc w:val="center"/>
                          <w:rPr>
                            <w:sz w:val="18"/>
                            <w:szCs w:val="24"/>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LK vid.,</w:t>
                        </w:r>
                      </w:p>
                      <w:p>
                        <w:pPr>
                          <w:jc w:val="center"/>
                          <w:rPr>
                            <w:sz w:val="18"/>
                            <w:szCs w:val="24"/>
                            <w:lang w:eastAsia="lt-LT"/>
                          </w:rPr>
                        </w:pPr>
                        <w:r>
                          <w:rPr>
                            <w:sz w:val="18"/>
                            <w:szCs w:val="24"/>
                            <w:lang w:eastAsia="lt-LT"/>
                          </w:rPr>
                          <w:t>mg/l</w:t>
                        </w:r>
                      </w:p>
                    </w:tc>
                    <w:tc>
                      <w:tcPr>
                        <w:tcW w:w="1143"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18"/>
                            <w:szCs w:val="24"/>
                            <w:lang w:eastAsia="lt-LT"/>
                          </w:rPr>
                        </w:pPr>
                        <w:r>
                          <w:rPr>
                            <w:sz w:val="18"/>
                            <w:szCs w:val="24"/>
                            <w:lang w:eastAsia="lt-LT"/>
                          </w:rPr>
                          <w:t>DLT paros,</w:t>
                        </w:r>
                      </w:p>
                      <w:p>
                        <w:pPr>
                          <w:widowControl w:val="0"/>
                          <w:suppressAutoHyphens/>
                          <w:jc w:val="center"/>
                          <w:rPr>
                            <w:sz w:val="18"/>
                            <w:szCs w:val="24"/>
                            <w:lang w:eastAsia="lt-LT"/>
                          </w:rPr>
                        </w:pPr>
                        <w:r>
                          <w:rPr>
                            <w:sz w:val="18"/>
                            <w:szCs w:val="24"/>
                            <w:lang w:eastAsia="lt-LT"/>
                          </w:rPr>
                          <w:t>t/d</w:t>
                        </w:r>
                      </w:p>
                    </w:tc>
                    <w:tc>
                      <w:tcPr>
                        <w:tcW w:w="1143"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18"/>
                            <w:szCs w:val="24"/>
                            <w:lang w:eastAsia="lt-LT"/>
                          </w:rPr>
                        </w:pPr>
                        <w:r>
                          <w:rPr>
                            <w:sz w:val="18"/>
                            <w:szCs w:val="24"/>
                            <w:lang w:eastAsia="lt-LT"/>
                          </w:rPr>
                          <w:t>LT paros,</w:t>
                        </w:r>
                      </w:p>
                      <w:p>
                        <w:pPr>
                          <w:widowControl w:val="0"/>
                          <w:suppressAutoHyphens/>
                          <w:jc w:val="center"/>
                          <w:rPr>
                            <w:sz w:val="18"/>
                            <w:szCs w:val="24"/>
                            <w:lang w:eastAsia="lt-LT"/>
                          </w:rPr>
                        </w:pPr>
                        <w:r>
                          <w:rPr>
                            <w:sz w:val="18"/>
                            <w:szCs w:val="24"/>
                            <w:lang w:eastAsia="lt-LT"/>
                          </w:rPr>
                          <w:t>t/d</w:t>
                        </w: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DLT metų,</w:t>
                        </w:r>
                      </w:p>
                      <w:p>
                        <w:pPr>
                          <w:jc w:val="center"/>
                          <w:rPr>
                            <w:sz w:val="18"/>
                            <w:szCs w:val="24"/>
                            <w:lang w:eastAsia="lt-LT"/>
                          </w:rPr>
                        </w:pPr>
                        <w:r>
                          <w:rPr>
                            <w:sz w:val="18"/>
                            <w:szCs w:val="24"/>
                            <w:lang w:eastAsia="lt-LT"/>
                          </w:rPr>
                          <w:t>t/m.</w:t>
                        </w:r>
                      </w:p>
                    </w:tc>
                    <w:tc>
                      <w:tcPr>
                        <w:tcW w:w="1143"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sz w:val="18"/>
                            <w:szCs w:val="24"/>
                            <w:lang w:eastAsia="lt-LT"/>
                          </w:rPr>
                        </w:pPr>
                        <w:r>
                          <w:rPr>
                            <w:sz w:val="18"/>
                            <w:szCs w:val="24"/>
                            <w:lang w:eastAsia="lt-LT"/>
                          </w:rPr>
                          <w:t>LT metų,</w:t>
                        </w:r>
                      </w:p>
                      <w:p>
                        <w:pPr>
                          <w:widowControl w:val="0"/>
                          <w:suppressAutoHyphens/>
                          <w:jc w:val="center"/>
                          <w:rPr>
                            <w:sz w:val="18"/>
                            <w:szCs w:val="24"/>
                            <w:lang w:eastAsia="lt-LT"/>
                          </w:rPr>
                        </w:pPr>
                        <w:r>
                          <w:rPr>
                            <w:sz w:val="18"/>
                            <w:szCs w:val="24"/>
                            <w:lang w:eastAsia="lt-LT"/>
                          </w:rPr>
                          <w:t>t/m.</w:t>
                        </w:r>
                      </w:p>
                    </w:tc>
                    <w:tc>
                      <w:tcPr>
                        <w:tcW w:w="1657" w:type="dxa"/>
                        <w:vMerge/>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r>
                  <w:tr>
                    <w:trPr>
                      <w:cantSplit/>
                      <w:trHeight w:val="20"/>
                    </w:trPr>
                    <w:tc>
                      <w:tcPr>
                        <w:tcW w:w="785"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1</w:t>
                        </w:r>
                      </w:p>
                    </w:tc>
                    <w:tc>
                      <w:tcPr>
                        <w:tcW w:w="1643"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2</w:t>
                        </w:r>
                      </w:p>
                    </w:tc>
                    <w:tc>
                      <w:tcPr>
                        <w:tcW w:w="1142"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3</w:t>
                        </w: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4</w:t>
                        </w: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5</w:t>
                        </w: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6</w:t>
                        </w: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7</w:t>
                        </w: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8</w:t>
                        </w: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9</w:t>
                        </w: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10</w:t>
                        </w:r>
                      </w:p>
                    </w:tc>
                    <w:tc>
                      <w:tcPr>
                        <w:tcW w:w="1657" w:type="dxa"/>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r>
                          <w:rPr>
                            <w:sz w:val="18"/>
                            <w:szCs w:val="24"/>
                            <w:lang w:eastAsia="lt-LT"/>
                          </w:rPr>
                          <w:t>11</w:t>
                        </w:r>
                      </w:p>
                    </w:tc>
                  </w:tr>
                  <w:tr>
                    <w:trPr>
                      <w:cantSplit/>
                      <w:trHeight w:val="20"/>
                    </w:trPr>
                    <w:tc>
                      <w:tcPr>
                        <w:tcW w:w="785" w:type="dxa"/>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6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2"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657"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r>
                  <w:tr>
                    <w:trPr>
                      <w:cantSplit/>
                      <w:trHeight w:val="20"/>
                    </w:trPr>
                    <w:tc>
                      <w:tcPr>
                        <w:tcW w:w="785" w:type="dxa"/>
                        <w:vMerge/>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16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2"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657"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r>
                  <w:tr>
                    <w:trPr>
                      <w:cantSplit/>
                      <w:trHeight w:val="20"/>
                    </w:trPr>
                    <w:tc>
                      <w:tcPr>
                        <w:tcW w:w="785" w:type="dxa"/>
                        <w:vMerge/>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16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2"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657"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r>
                  <w:tr>
                    <w:trPr>
                      <w:cantSplit/>
                      <w:trHeight w:val="20"/>
                    </w:trPr>
                    <w:tc>
                      <w:tcPr>
                        <w:tcW w:w="785" w:type="dxa"/>
                        <w:vMerge/>
                        <w:tcBorders>
                          <w:top w:val="single" w:sz="4" w:space="0" w:color="auto"/>
                          <w:left w:val="single" w:sz="4" w:space="0" w:color="auto"/>
                          <w:bottom w:val="single" w:sz="4" w:space="0" w:color="auto"/>
                          <w:right w:val="single" w:sz="4" w:space="0" w:color="auto"/>
                        </w:tcBorders>
                      </w:tcPr>
                      <w:p>
                        <w:pPr>
                          <w:rPr>
                            <w:sz w:val="18"/>
                            <w:szCs w:val="24"/>
                            <w:lang w:eastAsia="lt-LT"/>
                          </w:rPr>
                        </w:pPr>
                      </w:p>
                    </w:tc>
                    <w:tc>
                      <w:tcPr>
                        <w:tcW w:w="16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2"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657"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r>
                  <w:tr>
                    <w:trPr>
                      <w:cantSplit/>
                      <w:trHeight w:val="20"/>
                    </w:trPr>
                    <w:tc>
                      <w:tcPr>
                        <w:tcW w:w="785" w:type="dxa"/>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24"/>
                            <w:lang w:eastAsia="lt-LT"/>
                          </w:rPr>
                        </w:pPr>
                      </w:p>
                    </w:tc>
                    <w:tc>
                      <w:tcPr>
                        <w:tcW w:w="16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2"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657"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r>
                  <w:tr>
                    <w:trPr>
                      <w:cantSplit/>
                      <w:trHeight w:val="20"/>
                    </w:trPr>
                    <w:tc>
                      <w:tcPr>
                        <w:tcW w:w="785" w:type="dxa"/>
                        <w:vMerge/>
                        <w:tcBorders>
                          <w:top w:val="single" w:sz="4" w:space="0" w:color="auto"/>
                          <w:left w:val="single" w:sz="4" w:space="0" w:color="auto"/>
                          <w:bottom w:val="single" w:sz="4" w:space="0" w:color="auto"/>
                          <w:right w:val="single" w:sz="4" w:space="0" w:color="auto"/>
                        </w:tcBorders>
                        <w:vAlign w:val="center"/>
                      </w:tcPr>
                      <w:p>
                        <w:pPr>
                          <w:rPr>
                            <w:sz w:val="18"/>
                            <w:szCs w:val="24"/>
                            <w:lang w:eastAsia="lt-LT"/>
                          </w:rPr>
                        </w:pPr>
                      </w:p>
                    </w:tc>
                    <w:tc>
                      <w:tcPr>
                        <w:tcW w:w="16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2"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657"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r>
                  <w:tr>
                    <w:trPr>
                      <w:cantSplit/>
                      <w:trHeight w:val="20"/>
                    </w:trPr>
                    <w:tc>
                      <w:tcPr>
                        <w:tcW w:w="785" w:type="dxa"/>
                        <w:vMerge/>
                        <w:tcBorders>
                          <w:top w:val="single" w:sz="4" w:space="0" w:color="auto"/>
                          <w:left w:val="single" w:sz="4" w:space="0" w:color="auto"/>
                          <w:bottom w:val="single" w:sz="4" w:space="0" w:color="auto"/>
                          <w:right w:val="single" w:sz="4" w:space="0" w:color="auto"/>
                        </w:tcBorders>
                        <w:vAlign w:val="center"/>
                      </w:tcPr>
                      <w:p>
                        <w:pPr>
                          <w:rPr>
                            <w:sz w:val="18"/>
                            <w:szCs w:val="24"/>
                            <w:lang w:eastAsia="lt-LT"/>
                          </w:rPr>
                        </w:pPr>
                      </w:p>
                    </w:tc>
                    <w:tc>
                      <w:tcPr>
                        <w:tcW w:w="16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2"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657"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r>
                  <w:tr>
                    <w:trPr>
                      <w:cantSplit/>
                      <w:trHeight w:val="20"/>
                    </w:trPr>
                    <w:tc>
                      <w:tcPr>
                        <w:tcW w:w="785" w:type="dxa"/>
                        <w:vMerge/>
                        <w:tcBorders>
                          <w:top w:val="single" w:sz="4" w:space="0" w:color="auto"/>
                          <w:left w:val="single" w:sz="4" w:space="0" w:color="auto"/>
                          <w:bottom w:val="single" w:sz="4" w:space="0" w:color="auto"/>
                          <w:right w:val="single" w:sz="4" w:space="0" w:color="auto"/>
                        </w:tcBorders>
                        <w:vAlign w:val="center"/>
                      </w:tcPr>
                      <w:p>
                        <w:pPr>
                          <w:rPr>
                            <w:sz w:val="18"/>
                            <w:szCs w:val="24"/>
                            <w:lang w:eastAsia="lt-LT"/>
                          </w:rPr>
                        </w:pPr>
                      </w:p>
                    </w:tc>
                    <w:tc>
                      <w:tcPr>
                        <w:tcW w:w="16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2"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143"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c>
                      <w:tcPr>
                        <w:tcW w:w="1657" w:type="dxa"/>
                        <w:tcBorders>
                          <w:top w:val="single" w:sz="4" w:space="0" w:color="auto"/>
                          <w:left w:val="single" w:sz="4" w:space="0" w:color="auto"/>
                          <w:bottom w:val="single" w:sz="4" w:space="0" w:color="auto"/>
                          <w:right w:val="single" w:sz="4" w:space="0" w:color="auto"/>
                        </w:tcBorders>
                        <w:vAlign w:val="center"/>
                      </w:tcPr>
                      <w:p>
                        <w:pPr>
                          <w:jc w:val="center"/>
                          <w:rPr>
                            <w:sz w:val="18"/>
                            <w:szCs w:val="24"/>
                            <w:u w:val="single"/>
                            <w:lang w:eastAsia="lt-LT"/>
                          </w:rPr>
                        </w:pPr>
                      </w:p>
                    </w:tc>
                  </w:tr>
                </w:tbl>
                <w:p>
                  <w:pPr>
                    <w:jc w:val="both"/>
                    <w:rPr>
                      <w:sz w:val="22"/>
                      <w:szCs w:val="24"/>
                      <w:lang w:eastAsia="lt-LT"/>
                    </w:rPr>
                  </w:pP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5 pr. 11 p."/>
                <w:tag w:val="part_e46ef6baf63842308db840be0f5d502f"/>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 w:val="22"/>
                      <w:szCs w:val="24"/>
                      <w:lang w:eastAsia="lt-LT"/>
                    </w:rPr>
                  </w:pPr>
                  <w:sdt>
                    <w:sdtPr>
                      <w:alias w:val="Numeris"/>
                      <w:tag w:val="nr_e46ef6baf63842308db840be0f5d502f"/>
                      <w:lock w:val="sdtLocked"/>
                      <w:richText/>
                    </w:sdtPr>
                    <w:sdtContent>
                      <w:r>
                        <w:rPr>
                          <w:sz w:val="22"/>
                          <w:lang w:eastAsia="lt-LT"/>
                        </w:rPr>
                        <w:t>11</w:t>
                      </w:r>
                    </w:sdtContent>
                  </w:sdt>
                  <w:r>
                    <w:rPr>
                      <w:sz w:val="22"/>
                      <w:lang w:eastAsia="lt-LT"/>
                    </w:rPr>
                    <w:t>. Dirvožemio ir požeminio vandens apsauga. Reikalavimai, kuriais siekiama užkirsti kelią teršalų išleidimui į dirvožemį.</w:t>
                  </w:r>
                  <w:r>
                    <w:rPr>
                      <w:sz w:val="22"/>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5 pr. 12 p."/>
                <w:tag w:val="part_8315de8b3d4642b4aa9ceaf43177da63"/>
                <w:lock w:val="sdtLocked"/>
                <w:richText/>
              </w:sdtPr>
              <w:sdtContent>
                <w:p>
                  <w:pPr>
                    <w:suppressAutoHyphens/>
                    <w:ind w:firstLine="567"/>
                    <w:jc w:val="both"/>
                    <w:textAlignment w:val="baseline"/>
                    <w:rPr>
                      <w:color w:val="000000"/>
                      <w:sz w:val="22"/>
                      <w:szCs w:val="24"/>
                      <w:lang w:eastAsia="lt-LT"/>
                    </w:rPr>
                  </w:pPr>
                  <w:sdt>
                    <w:sdtPr>
                      <w:alias w:val="Numeris"/>
                      <w:tag w:val="nr_8315de8b3d4642b4aa9ceaf43177da63"/>
                      <w:lock w:val="sdtLocked"/>
                      <w:richText/>
                    </w:sdtPr>
                    <w:sdtContent>
                      <w:r>
                        <w:rPr>
                          <w:color w:val="000000"/>
                          <w:sz w:val="22"/>
                          <w:szCs w:val="24"/>
                          <w:lang w:eastAsia="lt-LT"/>
                        </w:rPr>
                        <w:t>12</w:t>
                      </w:r>
                    </w:sdtContent>
                  </w:sdt>
                  <w:r>
                    <w:rPr>
                      <w:color w:val="000000"/>
                      <w:sz w:val="22"/>
                      <w:szCs w:val="24"/>
                      <w:lang w:eastAsia="lt-LT"/>
                    </w:rPr>
                    <w:t xml:space="preserve">. Atliekų apdorojimas. Įmonėje susidarančios atliekos (pavadinimas, kodas):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sdt>
                  <w:sdtPr>
                    <w:alias w:val="5 pr. 12.1 pp."/>
                    <w:tag w:val="part_239985d05c3c4169a4f064c0b5c5031b"/>
                    <w:lock w:val="sdtLocked"/>
                    <w:richText/>
                  </w:sdtPr>
                  <w:sdtContent>
                    <w:p>
                      <w:pPr>
                        <w:ind w:firstLine="567"/>
                        <w:jc w:val="both"/>
                        <w:rPr>
                          <w:color w:val="000000"/>
                          <w:sz w:val="22"/>
                          <w:szCs w:val="24"/>
                          <w:lang w:eastAsia="lt-LT"/>
                        </w:rPr>
                      </w:pPr>
                      <w:sdt>
                        <w:sdtPr>
                          <w:alias w:val="Numeris"/>
                          <w:tag w:val="nr_239985d05c3c4169a4f064c0b5c5031b"/>
                          <w:lock w:val="sdtLocked"/>
                          <w:richText/>
                        </w:sdtPr>
                        <w:sdtContent>
                          <w:r>
                            <w:rPr>
                              <w:color w:val="000000"/>
                              <w:sz w:val="22"/>
                              <w:szCs w:val="24"/>
                              <w:lang w:eastAsia="lt-LT"/>
                            </w:rPr>
                            <w:t>12.1</w:t>
                          </w:r>
                        </w:sdtContent>
                      </w:sdt>
                      <w:r>
                        <w:rPr>
                          <w:color w:val="000000"/>
                          <w:sz w:val="22"/>
                          <w:szCs w:val="24"/>
                          <w:lang w:eastAsia="lt-LT"/>
                        </w:rPr>
                        <w:t>. Nepavojingųjų atliekų apdorojimas (naudojimas ar šalinimas, įskaitant laikymą ir paruošimą naudoti ar šalinti)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textAlignment w:val="baseline"/>
                        <w:rPr>
                          <w:sz w:val="22"/>
                          <w:szCs w:val="24"/>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textAlignment w:val="baseline"/>
                        <w:rPr>
                          <w:rFonts w:eastAsia="Calibri"/>
                          <w:sz w:val="22"/>
                          <w:szCs w:val="24"/>
                          <w:lang w:eastAsia="lt-LT"/>
                        </w:rPr>
                      </w:pPr>
                      <w:r>
                        <w:rPr>
                          <w:rFonts w:eastAsia="Calibri"/>
                          <w:b/>
                          <w:sz w:val="22"/>
                          <w:szCs w:val="24"/>
                          <w:lang w:eastAsia="lt-LT"/>
                        </w:rPr>
                        <w:t>12 lentelė.</w:t>
                      </w:r>
                      <w:r>
                        <w:rPr>
                          <w:rFonts w:eastAsia="Calibri"/>
                          <w:sz w:val="22"/>
                          <w:szCs w:val="24"/>
                          <w:lang w:eastAsia="lt-LT"/>
                        </w:rPr>
                        <w:t xml:space="preserve"> Leidžiamos naudoti</w:t>
                      </w:r>
                      <w:r>
                        <w:rPr>
                          <w:sz w:val="22"/>
                          <w:szCs w:val="24"/>
                          <w:lang w:eastAsia="lt-LT"/>
                        </w:rPr>
                        <w:t>, išskyrus numatomas laikyti ir paruošti naudoti,</w:t>
                      </w:r>
                      <w:r>
                        <w:rPr>
                          <w:rFonts w:eastAsia="Calibri"/>
                          <w:sz w:val="22"/>
                          <w:szCs w:val="24"/>
                          <w:lang w:eastAsia="lt-LT"/>
                        </w:rPr>
                        <w:t xml:space="preserve"> nepavojingosios atliekos</w:t>
                      </w:r>
                    </w:p>
                    <w:p>
                      <w:pPr>
                        <w:suppressAutoHyphens/>
                        <w:jc w:val="both"/>
                        <w:rPr>
                          <w:sz w:val="22"/>
                          <w:szCs w:val="24"/>
                          <w:lang w:eastAsia="lt-LT"/>
                        </w:rPr>
                      </w:pPr>
                    </w:p>
                    <w:p>
                      <w:pPr>
                        <w:suppressAutoHyphens/>
                        <w:jc w:val="both"/>
                        <w:rPr>
                          <w:rFonts w:eastAsia="Calibri"/>
                          <w:sz w:val="22"/>
                          <w:szCs w:val="24"/>
                          <w:lang w:eastAsia="lt-LT"/>
                        </w:rPr>
                      </w:pPr>
                      <w:r>
                        <w:rPr>
                          <w:rFonts w:eastAsia="Calibri"/>
                          <w:sz w:val="22"/>
                          <w:szCs w:val="24"/>
                          <w:lang w:eastAsia="lt-LT"/>
                        </w:rPr>
                        <w:t>Įrenginio pavadinimas</w:t>
                      </w:r>
                      <w:r>
                        <w:rPr>
                          <w:rFonts w:ascii="Symbol" w:eastAsia="Symbol" w:hAnsi="Symbol" w:cs="Symbol"/>
                          <w:sz w:val="22"/>
                          <w:szCs w:val="24"/>
                          <w:lang w:eastAsia="lt-LT"/>
                        </w:rPr>
                        <w:t></w:t>
                      </w:r>
                    </w:p>
                    <w:p>
                      <w:pPr>
                        <w:suppressAutoHyphens/>
                        <w:jc w:val="both"/>
                        <w:rPr>
                          <w:sz w:val="22"/>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4"/>
                        <w:gridCol w:w="912"/>
                        <w:gridCol w:w="2613"/>
                        <w:gridCol w:w="3036"/>
                        <w:gridCol w:w="3234"/>
                        <w:gridCol w:w="3228"/>
                      </w:tblGrid>
                      <w:tr>
                        <w:trPr>
                          <w:cantSplit/>
                        </w:trPr>
                        <w:tc>
                          <w:tcPr>
                            <w:tcW w:w="260" w:type="pct"/>
                            <w:vMerge w:val="restart"/>
                            <w:tcBorders>
                              <w:top w:val="single" w:sz="4" w:space="0" w:color="auto"/>
                              <w:left w:val="single" w:sz="4" w:space="0" w:color="auto"/>
                              <w:right w:val="single" w:sz="4" w:space="0" w:color="auto"/>
                            </w:tcBorders>
                            <w:vAlign w:val="center"/>
                          </w:tcPr>
                          <w:p>
                            <w:pPr>
                              <w:suppressAutoHyphens/>
                              <w:jc w:val="center"/>
                              <w:rPr>
                                <w:rFonts w:eastAsia="Calibri"/>
                                <w:sz w:val="20"/>
                                <w:lang w:eastAsia="lt-LT"/>
                              </w:rPr>
                            </w:pPr>
                            <w:r>
                              <w:rPr>
                                <w:rFonts w:eastAsia="Calibri"/>
                                <w:sz w:val="20"/>
                                <w:lang w:eastAsia="lt-LT"/>
                              </w:rPr>
                              <w:t>Eil. Nr.</w:t>
                            </w:r>
                          </w:p>
                        </w:tc>
                        <w:tc>
                          <w:tcPr>
                            <w:tcW w:w="2388" w:type="pct"/>
                            <w:gridSpan w:val="3"/>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suppressAutoHyphens/>
                              <w:jc w:val="center"/>
                              <w:rPr>
                                <w:rFonts w:eastAsia="Calibri"/>
                                <w:sz w:val="20"/>
                                <w:lang w:eastAsia="lt-LT"/>
                              </w:rPr>
                            </w:pPr>
                            <w:r>
                              <w:rPr>
                                <w:rFonts w:eastAsia="Calibri"/>
                                <w:sz w:val="20"/>
                                <w:lang w:eastAsia="lt-LT"/>
                              </w:rPr>
                              <w:t xml:space="preserve">Leidžiamos naudoti, </w:t>
                            </w:r>
                            <w:r>
                              <w:rPr>
                                <w:sz w:val="20"/>
                                <w:lang w:eastAsia="lt-LT"/>
                              </w:rPr>
                              <w:t>išskyrus numatomas laikyti ir paruošti naudoti</w:t>
                            </w:r>
                            <w:r>
                              <w:rPr>
                                <w:rFonts w:eastAsia="Calibri"/>
                                <w:sz w:val="20"/>
                                <w:lang w:eastAsia="lt-LT"/>
                              </w:rPr>
                              <w:t>, atliekos</w:t>
                            </w:r>
                          </w:p>
                        </w:tc>
                        <w:tc>
                          <w:tcPr>
                            <w:tcW w:w="2352" w:type="pct"/>
                            <w:gridSpan w:val="2"/>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suppressAutoHyphens/>
                              <w:jc w:val="center"/>
                              <w:rPr>
                                <w:rFonts w:eastAsia="Calibri"/>
                                <w:sz w:val="20"/>
                                <w:lang w:eastAsia="lt-LT"/>
                              </w:rPr>
                            </w:pPr>
                            <w:r>
                              <w:rPr>
                                <w:rFonts w:eastAsia="Calibri"/>
                                <w:sz w:val="20"/>
                                <w:lang w:eastAsia="lt-LT"/>
                              </w:rPr>
                              <w:t xml:space="preserve">Atliekų </w:t>
                            </w:r>
                            <w:r>
                              <w:rPr>
                                <w:sz w:val="20"/>
                                <w:lang w:eastAsia="lt-LT"/>
                              </w:rPr>
                              <w:t>naudojimas</w:t>
                            </w:r>
                          </w:p>
                        </w:tc>
                      </w:tr>
                      <w:tr>
                        <w:trPr>
                          <w:cantSplit/>
                          <w:trHeight w:val="737"/>
                        </w:trPr>
                        <w:tc>
                          <w:tcPr>
                            <w:tcW w:w="260" w:type="pct"/>
                            <w:vMerge/>
                            <w:tcBorders>
                              <w:left w:val="single" w:sz="4" w:space="0" w:color="auto"/>
                              <w:bottom w:val="single" w:sz="4" w:space="0" w:color="auto"/>
                              <w:right w:val="single" w:sz="4" w:space="0" w:color="auto"/>
                            </w:tcBorders>
                          </w:tcPr>
                          <w:p>
                            <w:pPr>
                              <w:suppressAutoHyphens/>
                              <w:jc w:val="center"/>
                              <w:rPr>
                                <w:rFonts w:eastAsia="Calibri"/>
                                <w:sz w:val="20"/>
                                <w:lang w:eastAsia="lt-LT"/>
                              </w:rPr>
                            </w:pPr>
                          </w:p>
                        </w:tc>
                        <w:tc>
                          <w:tcPr>
                            <w:tcW w:w="332"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suppressAutoHyphens/>
                              <w:jc w:val="center"/>
                              <w:rPr>
                                <w:rFonts w:eastAsia="Calibri"/>
                                <w:sz w:val="20"/>
                                <w:vertAlign w:val="superscript"/>
                                <w:lang w:eastAsia="lt-LT"/>
                              </w:rPr>
                            </w:pPr>
                            <w:r>
                              <w:rPr>
                                <w:rFonts w:eastAsia="Calibri"/>
                                <w:sz w:val="20"/>
                                <w:lang w:eastAsia="lt-LT"/>
                              </w:rPr>
                              <w:t>Kodas</w:t>
                            </w:r>
                          </w:p>
                        </w:tc>
                        <w:tc>
                          <w:tcPr>
                            <w:tcW w:w="951"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suppressAutoHyphens/>
                              <w:jc w:val="center"/>
                              <w:rPr>
                                <w:rFonts w:eastAsia="Calibri"/>
                                <w:sz w:val="20"/>
                                <w:lang w:eastAsia="lt-LT"/>
                              </w:rPr>
                            </w:pPr>
                            <w:r>
                              <w:rPr>
                                <w:rFonts w:eastAsia="Calibri"/>
                                <w:sz w:val="20"/>
                                <w:lang w:eastAsia="lt-LT"/>
                              </w:rPr>
                              <w:t>Pavadinimas</w:t>
                            </w:r>
                          </w:p>
                        </w:tc>
                        <w:tc>
                          <w:tcPr>
                            <w:tcW w:w="1105"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suppressAutoHyphens/>
                              <w:jc w:val="center"/>
                              <w:rPr>
                                <w:rFonts w:eastAsia="Calibri"/>
                                <w:sz w:val="20"/>
                                <w:lang w:eastAsia="lt-LT"/>
                              </w:rPr>
                            </w:pPr>
                            <w:r>
                              <w:rPr>
                                <w:rFonts w:eastAsia="Calibri"/>
                                <w:sz w:val="20"/>
                                <w:lang w:eastAsia="lt-LT"/>
                              </w:rPr>
                              <w:t>Patikslintas pavadinimas</w:t>
                            </w:r>
                          </w:p>
                        </w:tc>
                        <w:tc>
                          <w:tcPr>
                            <w:tcW w:w="1177"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suppressAutoHyphens/>
                              <w:jc w:val="center"/>
                              <w:rPr>
                                <w:rFonts w:eastAsia="Calibri"/>
                                <w:sz w:val="20"/>
                                <w:lang w:eastAsia="lt-LT"/>
                              </w:rPr>
                            </w:pPr>
                            <w:r>
                              <w:rPr>
                                <w:rFonts w:eastAsia="Calibri"/>
                                <w:sz w:val="20"/>
                                <w:lang w:eastAsia="lt-LT"/>
                              </w:rPr>
                              <w:t>Atliekos naudojimo veiklos kodas (R1–R11)</w:t>
                            </w:r>
                          </w:p>
                        </w:tc>
                        <w:tc>
                          <w:tcPr>
                            <w:tcW w:w="1175"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suppressAutoHyphens/>
                              <w:jc w:val="center"/>
                              <w:rPr>
                                <w:rFonts w:eastAsia="Calibri"/>
                                <w:sz w:val="20"/>
                                <w:lang w:eastAsia="lt-LT"/>
                              </w:rPr>
                            </w:pPr>
                            <w:r>
                              <w:rPr>
                                <w:rFonts w:eastAsia="Calibri"/>
                                <w:sz w:val="20"/>
                                <w:lang w:eastAsia="lt-LT"/>
                              </w:rPr>
                              <w:t>Projektinis įrenginio pajėgumas, t/m.</w:t>
                            </w:r>
                          </w:p>
                        </w:tc>
                      </w:tr>
                      <w:tr>
                        <w:trPr>
                          <w:cantSplit/>
                          <w:trHeight w:val="287"/>
                        </w:trPr>
                        <w:tc>
                          <w:tcPr>
                            <w:tcW w:w="260" w:type="pct"/>
                            <w:tcBorders>
                              <w:top w:val="single" w:sz="4" w:space="0" w:color="auto"/>
                              <w:left w:val="single" w:sz="4" w:space="0" w:color="auto"/>
                              <w:bottom w:val="single" w:sz="4" w:space="0" w:color="auto"/>
                              <w:right w:val="single" w:sz="4" w:space="0" w:color="auto"/>
                            </w:tcBorders>
                          </w:tcPr>
                          <w:p>
                            <w:pPr>
                              <w:suppressAutoHyphens/>
                              <w:jc w:val="center"/>
                              <w:rPr>
                                <w:rFonts w:eastAsia="Calibri"/>
                                <w:sz w:val="20"/>
                                <w:lang w:eastAsia="lt-LT"/>
                              </w:rPr>
                            </w:pPr>
                            <w:r>
                              <w:rPr>
                                <w:rFonts w:eastAsia="Calibri"/>
                                <w:sz w:val="20"/>
                                <w:lang w:eastAsia="lt-LT"/>
                              </w:rPr>
                              <w:t>1</w:t>
                            </w:r>
                          </w:p>
                        </w:tc>
                        <w:tc>
                          <w:tcPr>
                            <w:tcW w:w="332"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suppressAutoHyphens/>
                              <w:jc w:val="center"/>
                              <w:rPr>
                                <w:rFonts w:eastAsia="Calibri"/>
                                <w:sz w:val="20"/>
                                <w:lang w:eastAsia="lt-LT"/>
                              </w:rPr>
                            </w:pPr>
                            <w:r>
                              <w:rPr>
                                <w:rFonts w:eastAsia="Calibri"/>
                                <w:sz w:val="20"/>
                                <w:lang w:eastAsia="lt-LT"/>
                              </w:rPr>
                              <w:t>2</w:t>
                            </w:r>
                          </w:p>
                        </w:tc>
                        <w:tc>
                          <w:tcPr>
                            <w:tcW w:w="951"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suppressAutoHyphens/>
                              <w:jc w:val="center"/>
                              <w:rPr>
                                <w:rFonts w:eastAsia="Calibri"/>
                                <w:sz w:val="20"/>
                                <w:lang w:eastAsia="lt-LT"/>
                              </w:rPr>
                            </w:pPr>
                            <w:r>
                              <w:rPr>
                                <w:rFonts w:eastAsia="Calibri"/>
                                <w:sz w:val="20"/>
                                <w:lang w:eastAsia="lt-LT"/>
                              </w:rPr>
                              <w:t>3</w:t>
                            </w:r>
                          </w:p>
                        </w:tc>
                        <w:tc>
                          <w:tcPr>
                            <w:tcW w:w="1105"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suppressAutoHyphens/>
                              <w:jc w:val="center"/>
                              <w:rPr>
                                <w:rFonts w:eastAsia="Calibri"/>
                                <w:sz w:val="20"/>
                                <w:lang w:eastAsia="lt-LT"/>
                              </w:rPr>
                            </w:pPr>
                            <w:r>
                              <w:rPr>
                                <w:rFonts w:eastAsia="Calibri"/>
                                <w:sz w:val="20"/>
                                <w:lang w:eastAsia="lt-LT"/>
                              </w:rPr>
                              <w:t>4</w:t>
                            </w:r>
                          </w:p>
                        </w:tc>
                        <w:tc>
                          <w:tcPr>
                            <w:tcW w:w="1177"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suppressAutoHyphens/>
                              <w:jc w:val="center"/>
                              <w:rPr>
                                <w:rFonts w:eastAsia="Calibri"/>
                                <w:sz w:val="20"/>
                                <w:lang w:eastAsia="lt-LT"/>
                              </w:rPr>
                            </w:pPr>
                            <w:r>
                              <w:rPr>
                                <w:rFonts w:eastAsia="Calibri"/>
                                <w:sz w:val="20"/>
                                <w:lang w:eastAsia="lt-LT"/>
                              </w:rPr>
                              <w:t>5</w:t>
                            </w:r>
                          </w:p>
                        </w:tc>
                        <w:tc>
                          <w:tcPr>
                            <w:tcW w:w="1175"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hideMark/>
                          </w:tcPr>
                          <w:p>
                            <w:pPr>
                              <w:suppressAutoHyphens/>
                              <w:jc w:val="center"/>
                              <w:rPr>
                                <w:rFonts w:eastAsia="Calibri"/>
                                <w:sz w:val="20"/>
                                <w:lang w:eastAsia="lt-LT"/>
                              </w:rPr>
                            </w:pPr>
                            <w:r>
                              <w:rPr>
                                <w:rFonts w:eastAsia="Calibri"/>
                                <w:sz w:val="20"/>
                                <w:lang w:eastAsia="lt-LT"/>
                              </w:rPr>
                              <w:t>6</w:t>
                            </w:r>
                          </w:p>
                        </w:tc>
                      </w:tr>
                      <w:tr>
                        <w:trPr>
                          <w:cantSplit/>
                          <w:trHeight w:val="287"/>
                        </w:trPr>
                        <w:tc>
                          <w:tcPr>
                            <w:tcW w:w="260" w:type="pct"/>
                            <w:tcBorders>
                              <w:top w:val="single" w:sz="4" w:space="0" w:color="auto"/>
                              <w:left w:val="single" w:sz="4" w:space="0" w:color="auto"/>
                              <w:bottom w:val="single" w:sz="4" w:space="0" w:color="auto"/>
                              <w:right w:val="single" w:sz="4" w:space="0" w:color="auto"/>
                            </w:tcBorders>
                          </w:tcPr>
                          <w:p>
                            <w:pPr>
                              <w:suppressAutoHyphens/>
                              <w:jc w:val="center"/>
                              <w:rPr>
                                <w:rFonts w:eastAsia="Calibri"/>
                                <w:sz w:val="20"/>
                                <w:lang w:eastAsia="lt-LT"/>
                              </w:rPr>
                            </w:pPr>
                          </w:p>
                        </w:tc>
                        <w:tc>
                          <w:tcPr>
                            <w:tcW w:w="332"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pPr>
                              <w:suppressAutoHyphens/>
                              <w:jc w:val="center"/>
                              <w:rPr>
                                <w:rFonts w:eastAsia="Calibri"/>
                                <w:sz w:val="20"/>
                                <w:lang w:eastAsia="lt-LT"/>
                              </w:rPr>
                            </w:pPr>
                          </w:p>
                        </w:tc>
                        <w:tc>
                          <w:tcPr>
                            <w:tcW w:w="951"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pPr>
                              <w:suppressAutoHyphens/>
                              <w:jc w:val="center"/>
                              <w:rPr>
                                <w:rFonts w:eastAsia="Calibri"/>
                                <w:sz w:val="20"/>
                                <w:lang w:eastAsia="lt-LT"/>
                              </w:rPr>
                            </w:pPr>
                          </w:p>
                        </w:tc>
                        <w:tc>
                          <w:tcPr>
                            <w:tcW w:w="1105"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pPr>
                              <w:suppressAutoHyphens/>
                              <w:jc w:val="center"/>
                              <w:rPr>
                                <w:rFonts w:eastAsia="Calibri"/>
                                <w:sz w:val="20"/>
                                <w:lang w:eastAsia="lt-LT"/>
                              </w:rPr>
                            </w:pPr>
                          </w:p>
                        </w:tc>
                        <w:tc>
                          <w:tcPr>
                            <w:tcW w:w="1177"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pPr>
                              <w:suppressAutoHyphens/>
                              <w:jc w:val="center"/>
                              <w:rPr>
                                <w:rFonts w:eastAsia="Calibri"/>
                                <w:sz w:val="20"/>
                                <w:lang w:eastAsia="lt-LT"/>
                              </w:rPr>
                            </w:pPr>
                          </w:p>
                        </w:tc>
                        <w:tc>
                          <w:tcPr>
                            <w:tcW w:w="1175"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tcPr>
                          <w:p>
                            <w:pPr>
                              <w:suppressAutoHyphens/>
                              <w:jc w:val="center"/>
                              <w:rPr>
                                <w:rFonts w:eastAsia="Calibri"/>
                                <w:sz w:val="20"/>
                                <w:lang w:eastAsia="lt-LT"/>
                              </w:rPr>
                            </w:pPr>
                          </w:p>
                        </w:tc>
                      </w:tr>
                      <w:tr>
                        <w:trPr>
                          <w:cantSplit/>
                          <w:trHeight w:val="287"/>
                        </w:trPr>
                        <w:tc>
                          <w:tcPr>
                            <w:tcW w:w="260" w:type="pct"/>
                            <w:tcBorders>
                              <w:top w:val="single" w:sz="4" w:space="0" w:color="auto"/>
                              <w:left w:val="single" w:sz="4" w:space="0" w:color="auto"/>
                              <w:bottom w:val="single" w:sz="4" w:space="0" w:color="auto"/>
                              <w:right w:val="single" w:sz="4" w:space="0" w:color="auto"/>
                            </w:tcBorders>
                          </w:tcPr>
                          <w:p>
                            <w:pPr>
                              <w:suppressAutoHyphens/>
                              <w:jc w:val="center"/>
                              <w:rPr>
                                <w:rFonts w:eastAsia="Calibri"/>
                                <w:sz w:val="20"/>
                                <w:lang w:eastAsia="lt-LT"/>
                              </w:rPr>
                            </w:pPr>
                          </w:p>
                        </w:tc>
                        <w:tc>
                          <w:tcPr>
                            <w:tcW w:w="332"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pPr>
                              <w:suppressAutoHyphens/>
                              <w:jc w:val="center"/>
                              <w:rPr>
                                <w:rFonts w:eastAsia="Calibri"/>
                                <w:sz w:val="20"/>
                                <w:lang w:eastAsia="lt-LT"/>
                              </w:rPr>
                            </w:pPr>
                          </w:p>
                        </w:tc>
                        <w:tc>
                          <w:tcPr>
                            <w:tcW w:w="951"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pPr>
                              <w:suppressAutoHyphens/>
                              <w:jc w:val="center"/>
                              <w:rPr>
                                <w:rFonts w:eastAsia="Calibri"/>
                                <w:sz w:val="20"/>
                                <w:lang w:eastAsia="lt-LT"/>
                              </w:rPr>
                            </w:pPr>
                          </w:p>
                        </w:tc>
                        <w:tc>
                          <w:tcPr>
                            <w:tcW w:w="1105"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pPr>
                              <w:suppressAutoHyphens/>
                              <w:jc w:val="center"/>
                              <w:rPr>
                                <w:rFonts w:eastAsia="Calibri"/>
                                <w:sz w:val="20"/>
                                <w:lang w:eastAsia="lt-LT"/>
                              </w:rPr>
                            </w:pPr>
                          </w:p>
                        </w:tc>
                        <w:tc>
                          <w:tcPr>
                            <w:tcW w:w="1177"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pPr>
                              <w:suppressAutoHyphens/>
                              <w:jc w:val="center"/>
                              <w:rPr>
                                <w:rFonts w:eastAsia="Calibri"/>
                                <w:sz w:val="20"/>
                                <w:lang w:eastAsia="lt-LT"/>
                              </w:rPr>
                            </w:pPr>
                          </w:p>
                        </w:tc>
                        <w:tc>
                          <w:tcPr>
                            <w:tcW w:w="1175"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tcPr>
                          <w:p>
                            <w:pPr>
                              <w:suppressAutoHyphens/>
                              <w:jc w:val="center"/>
                              <w:rPr>
                                <w:rFonts w:eastAsia="Calibri"/>
                                <w:sz w:val="20"/>
                                <w:lang w:eastAsia="lt-LT"/>
                              </w:rPr>
                            </w:pPr>
                          </w:p>
                        </w:tc>
                      </w:tr>
                      <w:tr>
                        <w:trPr>
                          <w:cantSplit/>
                          <w:trHeight w:val="287"/>
                        </w:trPr>
                        <w:tc>
                          <w:tcPr>
                            <w:tcW w:w="260" w:type="pct"/>
                            <w:tcBorders>
                              <w:top w:val="single" w:sz="4" w:space="0" w:color="auto"/>
                              <w:left w:val="single" w:sz="4" w:space="0" w:color="auto"/>
                              <w:bottom w:val="single" w:sz="4" w:space="0" w:color="auto"/>
                              <w:right w:val="single" w:sz="4" w:space="0" w:color="auto"/>
                            </w:tcBorders>
                          </w:tcPr>
                          <w:p>
                            <w:pPr>
                              <w:suppressAutoHyphens/>
                              <w:jc w:val="center"/>
                              <w:rPr>
                                <w:rFonts w:eastAsia="Calibri"/>
                                <w:sz w:val="20"/>
                                <w:lang w:eastAsia="lt-LT"/>
                              </w:rPr>
                            </w:pPr>
                          </w:p>
                        </w:tc>
                        <w:tc>
                          <w:tcPr>
                            <w:tcW w:w="332"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pPr>
                              <w:suppressAutoHyphens/>
                              <w:jc w:val="center"/>
                              <w:rPr>
                                <w:rFonts w:eastAsia="Calibri"/>
                                <w:sz w:val="20"/>
                                <w:lang w:eastAsia="lt-LT"/>
                              </w:rPr>
                            </w:pPr>
                          </w:p>
                        </w:tc>
                        <w:tc>
                          <w:tcPr>
                            <w:tcW w:w="951"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pPr>
                              <w:suppressAutoHyphens/>
                              <w:jc w:val="center"/>
                              <w:rPr>
                                <w:rFonts w:eastAsia="Calibri"/>
                                <w:sz w:val="20"/>
                                <w:lang w:eastAsia="lt-LT"/>
                              </w:rPr>
                            </w:pPr>
                          </w:p>
                        </w:tc>
                        <w:tc>
                          <w:tcPr>
                            <w:tcW w:w="1105"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pPr>
                              <w:suppressAutoHyphens/>
                              <w:jc w:val="center"/>
                              <w:rPr>
                                <w:rFonts w:eastAsia="Calibri"/>
                                <w:sz w:val="20"/>
                                <w:lang w:eastAsia="lt-LT"/>
                              </w:rPr>
                            </w:pPr>
                          </w:p>
                        </w:tc>
                        <w:tc>
                          <w:tcPr>
                            <w:tcW w:w="1177"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pPr>
                              <w:suppressAutoHyphens/>
                              <w:jc w:val="center"/>
                              <w:rPr>
                                <w:rFonts w:eastAsia="Calibri"/>
                                <w:sz w:val="20"/>
                                <w:lang w:eastAsia="lt-LT"/>
                              </w:rPr>
                            </w:pPr>
                          </w:p>
                        </w:tc>
                        <w:tc>
                          <w:tcPr>
                            <w:tcW w:w="1175"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tcPr>
                          <w:p>
                            <w:pPr>
                              <w:suppressAutoHyphens/>
                              <w:jc w:val="center"/>
                              <w:rPr>
                                <w:rFonts w:eastAsia="Calibri"/>
                                <w:sz w:val="20"/>
                                <w:lang w:eastAsia="lt-LT"/>
                              </w:rPr>
                            </w:pPr>
                          </w:p>
                        </w:tc>
                      </w:tr>
                    </w:tbl>
                    <w:p>
                      <w:pPr>
                        <w:suppressAutoHyphens/>
                        <w:ind w:firstLine="567"/>
                        <w:jc w:val="both"/>
                        <w:textAlignment w:val="baseline"/>
                        <w:rPr>
                          <w:rFonts w:eastAsia="Calibri"/>
                          <w:b/>
                          <w:szCs w:val="24"/>
                          <w:lang w:eastAsia="lt-LT"/>
                        </w:rPr>
                      </w:pPr>
                    </w:p>
                    <w:p>
                      <w:pPr>
                        <w:suppressAutoHyphens/>
                        <w:ind w:firstLine="567"/>
                        <w:jc w:val="both"/>
                        <w:textAlignment w:val="baseline"/>
                        <w:rPr>
                          <w:rFonts w:eastAsia="Calibri"/>
                          <w:sz w:val="22"/>
                          <w:szCs w:val="24"/>
                          <w:lang w:eastAsia="lt-LT"/>
                        </w:rPr>
                      </w:pPr>
                      <w:r>
                        <w:rPr>
                          <w:rFonts w:eastAsia="Calibri"/>
                          <w:b/>
                          <w:sz w:val="22"/>
                          <w:szCs w:val="24"/>
                          <w:lang w:eastAsia="lt-LT"/>
                        </w:rPr>
                        <w:t>13 lentelė.</w:t>
                      </w:r>
                      <w:r>
                        <w:rPr>
                          <w:rFonts w:eastAsia="Calibri"/>
                          <w:sz w:val="22"/>
                          <w:szCs w:val="24"/>
                          <w:lang w:eastAsia="lt-LT"/>
                        </w:rPr>
                        <w:t xml:space="preserve"> Leidžiamos šalinti</w:t>
                      </w:r>
                      <w:r>
                        <w:rPr>
                          <w:sz w:val="22"/>
                          <w:szCs w:val="24"/>
                          <w:lang w:eastAsia="lt-LT"/>
                        </w:rPr>
                        <w:t>, išskyrus numatomas laikyti ir paruošti šalinti,</w:t>
                      </w:r>
                      <w:r>
                        <w:rPr>
                          <w:rFonts w:eastAsia="Calibri"/>
                          <w:sz w:val="22"/>
                          <w:szCs w:val="24"/>
                          <w:lang w:eastAsia="lt-LT"/>
                        </w:rPr>
                        <w:t xml:space="preserve"> nepavojingosios atliekos</w:t>
                      </w:r>
                    </w:p>
                    <w:p>
                      <w:pPr>
                        <w:suppressAutoHyphens/>
                        <w:jc w:val="both"/>
                        <w:rPr>
                          <w:sz w:val="22"/>
                          <w:szCs w:val="24"/>
                          <w:lang w:eastAsia="lt-LT"/>
                        </w:rPr>
                      </w:pPr>
                    </w:p>
                    <w:p>
                      <w:pPr>
                        <w:suppressAutoHyphens/>
                        <w:jc w:val="both"/>
                        <w:rPr>
                          <w:rFonts w:eastAsia="Calibri"/>
                          <w:sz w:val="22"/>
                          <w:szCs w:val="24"/>
                          <w:lang w:eastAsia="lt-LT"/>
                        </w:rPr>
                      </w:pPr>
                      <w:r>
                        <w:rPr>
                          <w:rFonts w:eastAsia="Calibri"/>
                          <w:sz w:val="22"/>
                          <w:szCs w:val="24"/>
                          <w:lang w:eastAsia="lt-LT"/>
                        </w:rPr>
                        <w:t>Įrenginio pavadinimas</w:t>
                      </w:r>
                      <w:r>
                        <w:rPr>
                          <w:rFonts w:ascii="Symbol" w:eastAsia="Symbol" w:hAnsi="Symbol" w:cs="Symbol"/>
                          <w:sz w:val="22"/>
                          <w:szCs w:val="24"/>
                          <w:lang w:eastAsia="lt-LT"/>
                        </w:rPr>
                        <w:t></w:t>
                      </w:r>
                    </w:p>
                    <w:p>
                      <w:pPr>
                        <w:suppressAutoHyphens/>
                        <w:jc w:val="both"/>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428"/>
                        <w:gridCol w:w="2063"/>
                        <w:gridCol w:w="2010"/>
                        <w:gridCol w:w="2421"/>
                        <w:gridCol w:w="2008"/>
                        <w:gridCol w:w="3014"/>
                      </w:tblGrid>
                      <w:tr>
                        <w:trPr>
                          <w:cantSplit/>
                          <w:trHeight w:val="300"/>
                        </w:trPr>
                        <w:tc>
                          <w:tcPr>
                            <w:tcW w:w="306" w:type="pct"/>
                            <w:vMerge w:val="restart"/>
                            <w:tcBorders>
                              <w:top w:val="single" w:sz="4" w:space="0" w:color="auto"/>
                              <w:left w:val="single" w:sz="4" w:space="0" w:color="auto"/>
                              <w:right w:val="single" w:sz="4" w:space="0" w:color="auto"/>
                            </w:tcBorders>
                            <w:vAlign w:val="center"/>
                          </w:tcPr>
                          <w:p>
                            <w:pPr>
                              <w:suppressAutoHyphens/>
                              <w:jc w:val="center"/>
                              <w:rPr>
                                <w:rFonts w:eastAsia="Calibri"/>
                                <w:sz w:val="20"/>
                                <w:lang w:eastAsia="lt-LT"/>
                              </w:rPr>
                            </w:pPr>
                            <w:r>
                              <w:rPr>
                                <w:rFonts w:eastAsia="Calibri"/>
                                <w:sz w:val="20"/>
                                <w:lang w:eastAsia="lt-LT"/>
                              </w:rPr>
                              <w:t>Eil. Nr.</w:t>
                            </w:r>
                          </w:p>
                        </w:tc>
                        <w:tc>
                          <w:tcPr>
                            <w:tcW w:w="1995" w:type="pct"/>
                            <w:gridSpan w:val="3"/>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r>
                              <w:rPr>
                                <w:rFonts w:eastAsia="Calibri"/>
                                <w:sz w:val="20"/>
                                <w:lang w:eastAsia="lt-LT"/>
                              </w:rPr>
                              <w:t xml:space="preserve">Leidžiamos šalinti, išskyrus numatomas laikyti ir paruošti šalinti, atliekos </w:t>
                            </w:r>
                          </w:p>
                        </w:tc>
                        <w:tc>
                          <w:tcPr>
                            <w:tcW w:w="2699" w:type="pct"/>
                            <w:gridSpan w:val="3"/>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r>
                              <w:rPr>
                                <w:rFonts w:eastAsia="Calibri"/>
                                <w:sz w:val="20"/>
                                <w:lang w:eastAsia="lt-LT"/>
                              </w:rPr>
                              <w:t>Atliekų šalinimas</w:t>
                            </w:r>
                          </w:p>
                        </w:tc>
                      </w:tr>
                      <w:tr>
                        <w:trPr>
                          <w:cantSplit/>
                          <w:trHeight w:val="761"/>
                        </w:trPr>
                        <w:tc>
                          <w:tcPr>
                            <w:tcW w:w="306" w:type="pct"/>
                            <w:vMerge/>
                            <w:tcBorders>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c>
                          <w:tcPr>
                            <w:tcW w:w="518"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vertAlign w:val="superscript"/>
                                <w:lang w:eastAsia="lt-LT"/>
                              </w:rPr>
                            </w:pPr>
                            <w:r>
                              <w:rPr>
                                <w:rFonts w:eastAsia="Calibri"/>
                                <w:sz w:val="20"/>
                                <w:lang w:eastAsia="lt-LT"/>
                              </w:rPr>
                              <w:t>Kodas</w:t>
                            </w:r>
                          </w:p>
                        </w:tc>
                        <w:tc>
                          <w:tcPr>
                            <w:tcW w:w="748"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r>
                              <w:rPr>
                                <w:rFonts w:eastAsia="Calibri"/>
                                <w:sz w:val="20"/>
                                <w:lang w:eastAsia="lt-LT"/>
                              </w:rPr>
                              <w:t>Pavadinimas</w:t>
                            </w:r>
                          </w:p>
                        </w:tc>
                        <w:tc>
                          <w:tcPr>
                            <w:tcW w:w="728"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r>
                              <w:rPr>
                                <w:rFonts w:eastAsia="Calibri"/>
                                <w:sz w:val="20"/>
                                <w:lang w:eastAsia="lt-LT"/>
                              </w:rPr>
                              <w:t>Patikslintas pavadinimas</w:t>
                            </w:r>
                          </w:p>
                        </w:tc>
                        <w:tc>
                          <w:tcPr>
                            <w:tcW w:w="878"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r>
                              <w:rPr>
                                <w:rFonts w:eastAsia="Calibri"/>
                                <w:sz w:val="20"/>
                                <w:lang w:eastAsia="lt-LT"/>
                              </w:rPr>
                              <w:t>Atliekos šalinimo veiklos kodas (D1–D7, D10)</w:t>
                            </w:r>
                          </w:p>
                        </w:tc>
                        <w:tc>
                          <w:tcPr>
                            <w:tcW w:w="728"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r>
                              <w:rPr>
                                <w:rFonts w:eastAsia="Calibri"/>
                                <w:sz w:val="20"/>
                                <w:lang w:eastAsia="lt-LT"/>
                              </w:rPr>
                              <w:t>Projektinis įrenginio pajėgumas</w:t>
                            </w:r>
                          </w:p>
                        </w:tc>
                        <w:tc>
                          <w:tcPr>
                            <w:tcW w:w="1093"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r>
                              <w:rPr>
                                <w:rFonts w:eastAsia="Calibri"/>
                                <w:sz w:val="20"/>
                                <w:lang w:eastAsia="lt-LT"/>
                              </w:rPr>
                              <w:t>Didžiausias leidžiamas šalinti bendras atliekų kiekis, t/m.</w:t>
                            </w:r>
                          </w:p>
                        </w:tc>
                      </w:tr>
                      <w:tr>
                        <w:trPr>
                          <w:cantSplit/>
                          <w:trHeight w:val="279"/>
                        </w:trPr>
                        <w:tc>
                          <w:tcPr>
                            <w:tcW w:w="306" w:type="pct"/>
                            <w:tcBorders>
                              <w:top w:val="single" w:sz="4" w:space="0" w:color="auto"/>
                              <w:left w:val="single" w:sz="4" w:space="0" w:color="auto"/>
                              <w:bottom w:val="single" w:sz="4" w:space="0" w:color="auto"/>
                              <w:right w:val="single" w:sz="4" w:space="0" w:color="auto"/>
                            </w:tcBorders>
                          </w:tcPr>
                          <w:p>
                            <w:pPr>
                              <w:suppressAutoHyphens/>
                              <w:jc w:val="center"/>
                              <w:rPr>
                                <w:rFonts w:eastAsia="Calibri"/>
                                <w:sz w:val="20"/>
                                <w:lang w:eastAsia="lt-LT"/>
                              </w:rPr>
                            </w:pPr>
                            <w:r>
                              <w:rPr>
                                <w:rFonts w:eastAsia="Calibri"/>
                                <w:sz w:val="20"/>
                                <w:lang w:eastAsia="lt-LT"/>
                              </w:rPr>
                              <w:t>1</w:t>
                            </w:r>
                          </w:p>
                        </w:tc>
                        <w:tc>
                          <w:tcPr>
                            <w:tcW w:w="518"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r>
                              <w:rPr>
                                <w:rFonts w:eastAsia="Calibri"/>
                                <w:sz w:val="20"/>
                                <w:lang w:eastAsia="lt-LT"/>
                              </w:rPr>
                              <w:t>2</w:t>
                            </w:r>
                          </w:p>
                        </w:tc>
                        <w:tc>
                          <w:tcPr>
                            <w:tcW w:w="748"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r>
                              <w:rPr>
                                <w:rFonts w:eastAsia="Calibri"/>
                                <w:sz w:val="20"/>
                                <w:lang w:eastAsia="lt-LT"/>
                              </w:rPr>
                              <w:t>3</w:t>
                            </w:r>
                          </w:p>
                        </w:tc>
                        <w:tc>
                          <w:tcPr>
                            <w:tcW w:w="728"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r>
                              <w:rPr>
                                <w:rFonts w:eastAsia="Calibri"/>
                                <w:sz w:val="20"/>
                                <w:lang w:eastAsia="lt-LT"/>
                              </w:rPr>
                              <w:t>4</w:t>
                            </w:r>
                          </w:p>
                        </w:tc>
                        <w:tc>
                          <w:tcPr>
                            <w:tcW w:w="878"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r>
                              <w:rPr>
                                <w:rFonts w:eastAsia="Calibri"/>
                                <w:sz w:val="20"/>
                                <w:lang w:eastAsia="lt-LT"/>
                              </w:rPr>
                              <w:t>5</w:t>
                            </w:r>
                          </w:p>
                        </w:tc>
                        <w:tc>
                          <w:tcPr>
                            <w:tcW w:w="728" w:type="pct"/>
                            <w:tcBorders>
                              <w:top w:val="single" w:sz="4" w:space="0" w:color="auto"/>
                              <w:left w:val="single" w:sz="4" w:space="0" w:color="auto"/>
                              <w:bottom w:val="single" w:sz="4" w:space="0" w:color="auto"/>
                              <w:right w:val="single" w:sz="4" w:space="0" w:color="auto"/>
                            </w:tcBorders>
                            <w:hideMark/>
                          </w:tcPr>
                          <w:p>
                            <w:pPr>
                              <w:suppressAutoHyphens/>
                              <w:jc w:val="center"/>
                              <w:rPr>
                                <w:rFonts w:eastAsia="Calibri"/>
                                <w:sz w:val="20"/>
                                <w:lang w:eastAsia="lt-LT"/>
                              </w:rPr>
                            </w:pPr>
                            <w:r>
                              <w:rPr>
                                <w:rFonts w:eastAsia="Calibri"/>
                                <w:sz w:val="20"/>
                                <w:lang w:eastAsia="lt-LT"/>
                              </w:rPr>
                              <w:t>6</w:t>
                            </w:r>
                          </w:p>
                        </w:tc>
                        <w:tc>
                          <w:tcPr>
                            <w:tcW w:w="1093"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r>
                              <w:rPr>
                                <w:rFonts w:eastAsia="Calibri"/>
                                <w:sz w:val="20"/>
                                <w:lang w:eastAsia="lt-LT"/>
                              </w:rPr>
                              <w:t>7</w:t>
                            </w:r>
                          </w:p>
                        </w:tc>
                      </w:tr>
                      <w:tr>
                        <w:trPr>
                          <w:cantSplit/>
                          <w:trHeight w:val="279"/>
                        </w:trPr>
                        <w:tc>
                          <w:tcPr>
                            <w:tcW w:w="306" w:type="pct"/>
                            <w:tcBorders>
                              <w:top w:val="single" w:sz="4" w:space="0" w:color="auto"/>
                              <w:left w:val="single" w:sz="4" w:space="0" w:color="auto"/>
                              <w:bottom w:val="single" w:sz="4" w:space="0" w:color="auto"/>
                              <w:right w:val="single" w:sz="4" w:space="0" w:color="auto"/>
                            </w:tcBorders>
                          </w:tcPr>
                          <w:p>
                            <w:pPr>
                              <w:suppressAutoHyphens/>
                              <w:jc w:val="center"/>
                              <w:rPr>
                                <w:rFonts w:eastAsia="Calibri"/>
                                <w:sz w:val="20"/>
                                <w:lang w:eastAsia="lt-LT"/>
                              </w:rPr>
                            </w:pPr>
                          </w:p>
                        </w:tc>
                        <w:tc>
                          <w:tcPr>
                            <w:tcW w:w="518"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c>
                          <w:tcPr>
                            <w:tcW w:w="748"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c>
                          <w:tcPr>
                            <w:tcW w:w="728"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c>
                          <w:tcPr>
                            <w:tcW w:w="878"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c>
                          <w:tcPr>
                            <w:tcW w:w="728" w:type="pct"/>
                            <w:tcBorders>
                              <w:top w:val="single" w:sz="4" w:space="0" w:color="auto"/>
                              <w:left w:val="single" w:sz="4" w:space="0" w:color="auto"/>
                              <w:bottom w:val="single" w:sz="4" w:space="0" w:color="auto"/>
                              <w:right w:val="single" w:sz="4" w:space="0" w:color="auto"/>
                            </w:tcBorders>
                          </w:tcPr>
                          <w:p>
                            <w:pPr>
                              <w:suppressAutoHyphens/>
                              <w:jc w:val="center"/>
                              <w:rPr>
                                <w:rFonts w:eastAsia="Calibri"/>
                                <w:sz w:val="20"/>
                                <w:lang w:eastAsia="lt-LT"/>
                              </w:rPr>
                            </w:pPr>
                          </w:p>
                        </w:tc>
                        <w:tc>
                          <w:tcPr>
                            <w:tcW w:w="1093"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r>
                      <w:tr>
                        <w:trPr>
                          <w:cantSplit/>
                          <w:trHeight w:val="279"/>
                        </w:trPr>
                        <w:tc>
                          <w:tcPr>
                            <w:tcW w:w="306" w:type="pct"/>
                            <w:tcBorders>
                              <w:top w:val="single" w:sz="4" w:space="0" w:color="auto"/>
                              <w:left w:val="single" w:sz="4" w:space="0" w:color="auto"/>
                              <w:bottom w:val="single" w:sz="4" w:space="0" w:color="auto"/>
                              <w:right w:val="single" w:sz="4" w:space="0" w:color="auto"/>
                            </w:tcBorders>
                          </w:tcPr>
                          <w:p>
                            <w:pPr>
                              <w:suppressAutoHyphens/>
                              <w:jc w:val="center"/>
                              <w:rPr>
                                <w:rFonts w:eastAsia="Calibri"/>
                                <w:sz w:val="20"/>
                                <w:lang w:eastAsia="lt-LT"/>
                              </w:rPr>
                            </w:pPr>
                          </w:p>
                        </w:tc>
                        <w:tc>
                          <w:tcPr>
                            <w:tcW w:w="518"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c>
                          <w:tcPr>
                            <w:tcW w:w="748"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c>
                          <w:tcPr>
                            <w:tcW w:w="728"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c>
                          <w:tcPr>
                            <w:tcW w:w="878"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c>
                          <w:tcPr>
                            <w:tcW w:w="728" w:type="pct"/>
                            <w:tcBorders>
                              <w:top w:val="single" w:sz="4" w:space="0" w:color="auto"/>
                              <w:left w:val="single" w:sz="4" w:space="0" w:color="auto"/>
                              <w:bottom w:val="single" w:sz="4" w:space="0" w:color="auto"/>
                              <w:right w:val="single" w:sz="4" w:space="0" w:color="auto"/>
                            </w:tcBorders>
                          </w:tcPr>
                          <w:p>
                            <w:pPr>
                              <w:suppressAutoHyphens/>
                              <w:jc w:val="center"/>
                              <w:rPr>
                                <w:rFonts w:eastAsia="Calibri"/>
                                <w:sz w:val="20"/>
                                <w:lang w:eastAsia="lt-LT"/>
                              </w:rPr>
                            </w:pPr>
                          </w:p>
                        </w:tc>
                        <w:tc>
                          <w:tcPr>
                            <w:tcW w:w="1093"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r>
                      <w:tr>
                        <w:trPr>
                          <w:cantSplit/>
                          <w:trHeight w:val="279"/>
                        </w:trPr>
                        <w:tc>
                          <w:tcPr>
                            <w:tcW w:w="306" w:type="pct"/>
                            <w:tcBorders>
                              <w:top w:val="single" w:sz="4" w:space="0" w:color="auto"/>
                              <w:left w:val="single" w:sz="4" w:space="0" w:color="auto"/>
                              <w:bottom w:val="single" w:sz="4" w:space="0" w:color="auto"/>
                              <w:right w:val="single" w:sz="4" w:space="0" w:color="auto"/>
                            </w:tcBorders>
                          </w:tcPr>
                          <w:p>
                            <w:pPr>
                              <w:suppressAutoHyphens/>
                              <w:jc w:val="center"/>
                              <w:rPr>
                                <w:rFonts w:eastAsia="Calibri"/>
                                <w:sz w:val="20"/>
                                <w:lang w:eastAsia="lt-LT"/>
                              </w:rPr>
                            </w:pPr>
                          </w:p>
                        </w:tc>
                        <w:tc>
                          <w:tcPr>
                            <w:tcW w:w="518"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c>
                          <w:tcPr>
                            <w:tcW w:w="748"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c>
                          <w:tcPr>
                            <w:tcW w:w="728"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c>
                          <w:tcPr>
                            <w:tcW w:w="878"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c>
                          <w:tcPr>
                            <w:tcW w:w="728" w:type="pct"/>
                            <w:tcBorders>
                              <w:top w:val="single" w:sz="4" w:space="0" w:color="auto"/>
                              <w:left w:val="single" w:sz="4" w:space="0" w:color="auto"/>
                              <w:bottom w:val="single" w:sz="4" w:space="0" w:color="auto"/>
                              <w:right w:val="single" w:sz="4" w:space="0" w:color="auto"/>
                            </w:tcBorders>
                          </w:tcPr>
                          <w:p>
                            <w:pPr>
                              <w:suppressAutoHyphens/>
                              <w:jc w:val="center"/>
                              <w:rPr>
                                <w:rFonts w:eastAsia="Calibri"/>
                                <w:sz w:val="20"/>
                                <w:lang w:eastAsia="lt-LT"/>
                              </w:rPr>
                            </w:pPr>
                          </w:p>
                        </w:tc>
                        <w:tc>
                          <w:tcPr>
                            <w:tcW w:w="1093"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r>
                    </w:tbl>
                    <w:p>
                      <w:pPr>
                        <w:suppressAutoHyphens/>
                        <w:jc w:val="both"/>
                        <w:rPr>
                          <w:szCs w:val="24"/>
                          <w:lang w:eastAsia="lt-LT"/>
                        </w:rPr>
                      </w:pPr>
                    </w:p>
                    <w:p>
                      <w:pPr>
                        <w:suppressAutoHyphens/>
                        <w:ind w:firstLine="567"/>
                        <w:jc w:val="both"/>
                        <w:textAlignment w:val="baseline"/>
                        <w:rPr>
                          <w:rFonts w:eastAsia="Calibri"/>
                          <w:b/>
                          <w:szCs w:val="24"/>
                          <w:lang w:eastAsia="lt-LT"/>
                        </w:rPr>
                      </w:pPr>
                    </w:p>
                    <w:p>
                      <w:pPr>
                        <w:suppressAutoHyphens/>
                        <w:ind w:firstLine="567"/>
                        <w:jc w:val="both"/>
                        <w:textAlignment w:val="baseline"/>
                        <w:rPr>
                          <w:rFonts w:eastAsia="Calibri"/>
                          <w:sz w:val="22"/>
                          <w:szCs w:val="24"/>
                          <w:lang w:eastAsia="lt-LT"/>
                        </w:rPr>
                      </w:pPr>
                      <w:r>
                        <w:rPr>
                          <w:rFonts w:eastAsia="Calibri"/>
                          <w:b/>
                          <w:sz w:val="22"/>
                          <w:szCs w:val="24"/>
                          <w:lang w:eastAsia="lt-LT"/>
                        </w:rPr>
                        <w:t>14 lentelė.</w:t>
                      </w:r>
                      <w:r>
                        <w:rPr>
                          <w:rFonts w:eastAsia="Calibri"/>
                          <w:sz w:val="22"/>
                          <w:szCs w:val="24"/>
                          <w:lang w:eastAsia="lt-LT"/>
                        </w:rPr>
                        <w:t xml:space="preserve"> Leidžiamos paruošti naudoti ir (ar) šalinti nepavojingosios atliekos</w:t>
                      </w:r>
                    </w:p>
                    <w:p>
                      <w:pPr>
                        <w:suppressAutoHyphens/>
                        <w:jc w:val="both"/>
                        <w:rPr>
                          <w:sz w:val="22"/>
                          <w:szCs w:val="24"/>
                          <w:lang w:eastAsia="lt-LT"/>
                        </w:rPr>
                      </w:pPr>
                    </w:p>
                    <w:p>
                      <w:pPr>
                        <w:suppressAutoHyphens/>
                        <w:jc w:val="both"/>
                        <w:rPr>
                          <w:rFonts w:eastAsia="Calibri"/>
                          <w:sz w:val="22"/>
                          <w:szCs w:val="24"/>
                          <w:lang w:eastAsia="lt-LT"/>
                        </w:rPr>
                      </w:pPr>
                      <w:r>
                        <w:rPr>
                          <w:rFonts w:eastAsia="Calibri"/>
                          <w:sz w:val="22"/>
                          <w:szCs w:val="24"/>
                          <w:lang w:eastAsia="lt-LT"/>
                        </w:rPr>
                        <w:t>Įrenginio pavadinimas</w:t>
                      </w:r>
                      <w:r>
                        <w:rPr>
                          <w:rFonts w:ascii="Symbol" w:eastAsia="Symbol" w:hAnsi="Symbol" w:cs="Symbol"/>
                          <w:sz w:val="22"/>
                          <w:szCs w:val="24"/>
                          <w:lang w:eastAsia="lt-LT"/>
                        </w:rPr>
                        <w:t></w:t>
                      </w:r>
                    </w:p>
                    <w:p>
                      <w:pPr>
                        <w:suppressAutoHyphens/>
                        <w:jc w:val="both"/>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892"/>
                        <w:gridCol w:w="2074"/>
                        <w:gridCol w:w="3342"/>
                        <w:gridCol w:w="3235"/>
                        <w:gridCol w:w="2402"/>
                      </w:tblGrid>
                      <w:tr>
                        <w:trPr>
                          <w:cantSplit/>
                          <w:trHeight w:val="300"/>
                        </w:trPr>
                        <w:tc>
                          <w:tcPr>
                            <w:tcW w:w="306" w:type="pct"/>
                            <w:vMerge w:val="restart"/>
                            <w:tcBorders>
                              <w:top w:val="single" w:sz="4" w:space="0" w:color="auto"/>
                              <w:left w:val="single" w:sz="4" w:space="0" w:color="auto"/>
                              <w:right w:val="single" w:sz="4" w:space="0" w:color="auto"/>
                            </w:tcBorders>
                            <w:vAlign w:val="center"/>
                          </w:tcPr>
                          <w:p>
                            <w:pPr>
                              <w:suppressAutoHyphens/>
                              <w:jc w:val="center"/>
                              <w:rPr>
                                <w:rFonts w:eastAsia="Calibri"/>
                                <w:sz w:val="20"/>
                                <w:lang w:eastAsia="lt-LT"/>
                              </w:rPr>
                            </w:pPr>
                            <w:r>
                              <w:rPr>
                                <w:rFonts w:eastAsia="Calibri"/>
                                <w:sz w:val="20"/>
                                <w:lang w:eastAsia="lt-LT"/>
                              </w:rPr>
                              <w:t>Eil. Nr.</w:t>
                            </w:r>
                          </w:p>
                        </w:tc>
                        <w:tc>
                          <w:tcPr>
                            <w:tcW w:w="2649" w:type="pct"/>
                            <w:gridSpan w:val="3"/>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r>
                              <w:rPr>
                                <w:rFonts w:eastAsia="Calibri"/>
                                <w:sz w:val="20"/>
                                <w:lang w:eastAsia="lt-LT"/>
                              </w:rPr>
                              <w:t>Leidžiamos paruošti naudoti ir (ar) šalinti atliekos</w:t>
                            </w:r>
                          </w:p>
                        </w:tc>
                        <w:tc>
                          <w:tcPr>
                            <w:tcW w:w="2045" w:type="pct"/>
                            <w:gridSpan w:val="2"/>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r>
                              <w:rPr>
                                <w:rFonts w:eastAsia="Calibri"/>
                                <w:sz w:val="20"/>
                                <w:lang w:eastAsia="lt-LT"/>
                              </w:rPr>
                              <w:t>Atliekų paruošimas naudoti ir (ar) šalinti</w:t>
                            </w:r>
                          </w:p>
                        </w:tc>
                      </w:tr>
                      <w:tr>
                        <w:trPr>
                          <w:cantSplit/>
                          <w:trHeight w:val="855"/>
                        </w:trPr>
                        <w:tc>
                          <w:tcPr>
                            <w:tcW w:w="306" w:type="pct"/>
                            <w:vMerge/>
                            <w:tcBorders>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c>
                          <w:tcPr>
                            <w:tcW w:w="686"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vertAlign w:val="superscript"/>
                                <w:lang w:eastAsia="lt-LT"/>
                              </w:rPr>
                            </w:pPr>
                            <w:r>
                              <w:rPr>
                                <w:rFonts w:eastAsia="Calibri"/>
                                <w:sz w:val="20"/>
                                <w:lang w:eastAsia="lt-LT"/>
                              </w:rPr>
                              <w:t>Kodas</w:t>
                            </w:r>
                          </w:p>
                        </w:tc>
                        <w:tc>
                          <w:tcPr>
                            <w:tcW w:w="752"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r>
                              <w:rPr>
                                <w:rFonts w:eastAsia="Calibri"/>
                                <w:sz w:val="20"/>
                                <w:lang w:eastAsia="lt-LT"/>
                              </w:rPr>
                              <w:t>Pavadinimas</w:t>
                            </w:r>
                          </w:p>
                        </w:tc>
                        <w:tc>
                          <w:tcPr>
                            <w:tcW w:w="1212"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r>
                              <w:rPr>
                                <w:rFonts w:eastAsia="Calibri"/>
                                <w:sz w:val="20"/>
                                <w:lang w:eastAsia="lt-LT"/>
                              </w:rPr>
                              <w:t>Patikslintas pavadinimas</w:t>
                            </w:r>
                          </w:p>
                        </w:tc>
                        <w:tc>
                          <w:tcPr>
                            <w:tcW w:w="1173"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vertAlign w:val="superscript"/>
                                <w:lang w:eastAsia="lt-LT"/>
                              </w:rPr>
                            </w:pPr>
                            <w:r>
                              <w:rPr>
                                <w:sz w:val="20"/>
                                <w:lang w:eastAsia="lt-LT"/>
                              </w:rPr>
                              <w:t>Atliekų tvarkymo</w:t>
                            </w:r>
                            <w:r>
                              <w:rPr>
                                <w:rFonts w:eastAsia="Calibri"/>
                                <w:sz w:val="20"/>
                                <w:lang w:eastAsia="lt-LT"/>
                              </w:rPr>
                              <w:t xml:space="preserve"> veiklos kodas (D8, D9, D13, D14, R12, S5)</w:t>
                            </w:r>
                          </w:p>
                        </w:tc>
                        <w:tc>
                          <w:tcPr>
                            <w:tcW w:w="872"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r>
                              <w:rPr>
                                <w:rFonts w:eastAsia="Calibri"/>
                                <w:sz w:val="20"/>
                                <w:lang w:eastAsia="lt-LT"/>
                              </w:rPr>
                              <w:t>Projektinis įrenginio pajėgumas, t/m.</w:t>
                            </w:r>
                          </w:p>
                        </w:tc>
                      </w:tr>
                      <w:tr>
                        <w:trPr>
                          <w:cantSplit/>
                          <w:trHeight w:val="311"/>
                        </w:trPr>
                        <w:tc>
                          <w:tcPr>
                            <w:tcW w:w="306" w:type="pct"/>
                            <w:tcBorders>
                              <w:top w:val="single" w:sz="4" w:space="0" w:color="auto"/>
                              <w:left w:val="single" w:sz="4" w:space="0" w:color="auto"/>
                              <w:bottom w:val="single" w:sz="4" w:space="0" w:color="auto"/>
                              <w:right w:val="single" w:sz="4" w:space="0" w:color="auto"/>
                            </w:tcBorders>
                          </w:tcPr>
                          <w:p>
                            <w:pPr>
                              <w:suppressAutoHyphens/>
                              <w:jc w:val="center"/>
                              <w:rPr>
                                <w:rFonts w:eastAsia="Calibri"/>
                                <w:sz w:val="20"/>
                                <w:lang w:eastAsia="lt-LT"/>
                              </w:rPr>
                            </w:pPr>
                            <w:r>
                              <w:rPr>
                                <w:rFonts w:eastAsia="Calibri"/>
                                <w:sz w:val="20"/>
                                <w:lang w:eastAsia="lt-LT"/>
                              </w:rPr>
                              <w:t>1</w:t>
                            </w:r>
                          </w:p>
                        </w:tc>
                        <w:tc>
                          <w:tcPr>
                            <w:tcW w:w="686"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r>
                              <w:rPr>
                                <w:rFonts w:eastAsia="Calibri"/>
                                <w:sz w:val="20"/>
                                <w:lang w:eastAsia="lt-LT"/>
                              </w:rPr>
                              <w:t>2</w:t>
                            </w:r>
                          </w:p>
                        </w:tc>
                        <w:tc>
                          <w:tcPr>
                            <w:tcW w:w="752"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r>
                              <w:rPr>
                                <w:rFonts w:eastAsia="Calibri"/>
                                <w:sz w:val="20"/>
                                <w:lang w:eastAsia="lt-LT"/>
                              </w:rPr>
                              <w:t>3</w:t>
                            </w:r>
                          </w:p>
                        </w:tc>
                        <w:tc>
                          <w:tcPr>
                            <w:tcW w:w="1212"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r>
                              <w:rPr>
                                <w:rFonts w:eastAsia="Calibri"/>
                                <w:sz w:val="20"/>
                                <w:lang w:eastAsia="lt-LT"/>
                              </w:rPr>
                              <w:t>4</w:t>
                            </w:r>
                          </w:p>
                        </w:tc>
                        <w:tc>
                          <w:tcPr>
                            <w:tcW w:w="1173"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r>
                              <w:rPr>
                                <w:rFonts w:eastAsia="Calibri"/>
                                <w:sz w:val="20"/>
                                <w:lang w:eastAsia="lt-LT"/>
                              </w:rPr>
                              <w:t>5</w:t>
                            </w:r>
                          </w:p>
                        </w:tc>
                        <w:tc>
                          <w:tcPr>
                            <w:tcW w:w="872"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r>
                              <w:rPr>
                                <w:rFonts w:eastAsia="Calibri"/>
                                <w:sz w:val="20"/>
                                <w:lang w:eastAsia="lt-LT"/>
                              </w:rPr>
                              <w:t>6</w:t>
                            </w:r>
                          </w:p>
                        </w:tc>
                      </w:tr>
                      <w:tr>
                        <w:trPr>
                          <w:cantSplit/>
                          <w:trHeight w:val="311"/>
                        </w:trPr>
                        <w:tc>
                          <w:tcPr>
                            <w:tcW w:w="306" w:type="pct"/>
                            <w:tcBorders>
                              <w:top w:val="single" w:sz="4" w:space="0" w:color="auto"/>
                              <w:left w:val="single" w:sz="4" w:space="0" w:color="auto"/>
                              <w:bottom w:val="single" w:sz="4" w:space="0" w:color="auto"/>
                              <w:right w:val="single" w:sz="4" w:space="0" w:color="auto"/>
                            </w:tcBorders>
                          </w:tcPr>
                          <w:p>
                            <w:pPr>
                              <w:suppressAutoHyphens/>
                              <w:jc w:val="center"/>
                              <w:rPr>
                                <w:rFonts w:eastAsia="Calibri"/>
                                <w:sz w:val="20"/>
                                <w:lang w:eastAsia="lt-LT"/>
                              </w:rPr>
                            </w:pPr>
                          </w:p>
                        </w:tc>
                        <w:tc>
                          <w:tcPr>
                            <w:tcW w:w="686"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c>
                          <w:tcPr>
                            <w:tcW w:w="752"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c>
                          <w:tcPr>
                            <w:tcW w:w="1212"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c>
                          <w:tcPr>
                            <w:tcW w:w="1173"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c>
                          <w:tcPr>
                            <w:tcW w:w="872"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r>
                      <w:tr>
                        <w:trPr>
                          <w:cantSplit/>
                          <w:trHeight w:val="311"/>
                        </w:trPr>
                        <w:tc>
                          <w:tcPr>
                            <w:tcW w:w="306" w:type="pct"/>
                            <w:tcBorders>
                              <w:top w:val="single" w:sz="4" w:space="0" w:color="auto"/>
                              <w:left w:val="single" w:sz="4" w:space="0" w:color="auto"/>
                              <w:bottom w:val="single" w:sz="4" w:space="0" w:color="auto"/>
                              <w:right w:val="single" w:sz="4" w:space="0" w:color="auto"/>
                            </w:tcBorders>
                          </w:tcPr>
                          <w:p>
                            <w:pPr>
                              <w:suppressAutoHyphens/>
                              <w:jc w:val="center"/>
                              <w:rPr>
                                <w:rFonts w:eastAsia="Calibri"/>
                                <w:sz w:val="20"/>
                                <w:lang w:eastAsia="lt-LT"/>
                              </w:rPr>
                            </w:pPr>
                          </w:p>
                        </w:tc>
                        <w:tc>
                          <w:tcPr>
                            <w:tcW w:w="686"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c>
                          <w:tcPr>
                            <w:tcW w:w="752"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c>
                          <w:tcPr>
                            <w:tcW w:w="1212"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c>
                          <w:tcPr>
                            <w:tcW w:w="1173"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c>
                          <w:tcPr>
                            <w:tcW w:w="872"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r>
                      <w:tr>
                        <w:trPr>
                          <w:cantSplit/>
                          <w:trHeight w:val="311"/>
                        </w:trPr>
                        <w:tc>
                          <w:tcPr>
                            <w:tcW w:w="306" w:type="pct"/>
                            <w:tcBorders>
                              <w:top w:val="single" w:sz="4" w:space="0" w:color="auto"/>
                              <w:left w:val="single" w:sz="4" w:space="0" w:color="auto"/>
                              <w:bottom w:val="single" w:sz="4" w:space="0" w:color="auto"/>
                              <w:right w:val="single" w:sz="4" w:space="0" w:color="auto"/>
                            </w:tcBorders>
                          </w:tcPr>
                          <w:p>
                            <w:pPr>
                              <w:suppressAutoHyphens/>
                              <w:jc w:val="center"/>
                              <w:rPr>
                                <w:rFonts w:eastAsia="Calibri"/>
                                <w:sz w:val="20"/>
                                <w:lang w:eastAsia="lt-LT"/>
                              </w:rPr>
                            </w:pPr>
                          </w:p>
                        </w:tc>
                        <w:tc>
                          <w:tcPr>
                            <w:tcW w:w="686"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c>
                          <w:tcPr>
                            <w:tcW w:w="752"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c>
                          <w:tcPr>
                            <w:tcW w:w="1212"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c>
                          <w:tcPr>
                            <w:tcW w:w="1173"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c>
                          <w:tcPr>
                            <w:tcW w:w="872" w:type="pct"/>
                            <w:tcBorders>
                              <w:top w:val="single" w:sz="4" w:space="0" w:color="auto"/>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r>
                    </w:tbl>
                    <w:p>
                      <w:pPr>
                        <w:ind w:firstLine="567"/>
                        <w:jc w:val="both"/>
                        <w:rPr>
                          <w:b/>
                          <w:bCs/>
                          <w:color w:val="000000"/>
                          <w:szCs w:val="24"/>
                          <w:lang w:eastAsia="lt-LT"/>
                        </w:rPr>
                      </w:pPr>
                    </w:p>
                    <w:p>
                      <w:pPr>
                        <w:ind w:firstLine="567"/>
                        <w:jc w:val="both"/>
                        <w:rPr>
                          <w:color w:val="000000"/>
                          <w:sz w:val="22"/>
                          <w:szCs w:val="24"/>
                          <w:lang w:eastAsia="lt-LT"/>
                        </w:rPr>
                      </w:pPr>
                      <w:r>
                        <w:rPr>
                          <w:b/>
                          <w:bCs/>
                          <w:color w:val="000000"/>
                          <w:sz w:val="22"/>
                          <w:szCs w:val="24"/>
                          <w:lang w:eastAsia="lt-LT"/>
                        </w:rPr>
                        <w:t>15 lentelė.</w:t>
                      </w:r>
                      <w:r>
                        <w:rPr>
                          <w:color w:val="000000"/>
                          <w:sz w:val="22"/>
                          <w:szCs w:val="24"/>
                          <w:lang w:eastAsia="lt-LT"/>
                        </w:rPr>
                        <w:t> Leidžiamas laikyti nepavojingųjų atliekų kiekis</w:t>
                      </w:r>
                    </w:p>
                    <w:p>
                      <w:pPr>
                        <w:jc w:val="both"/>
                        <w:rPr>
                          <w:color w:val="000000"/>
                          <w:szCs w:val="27"/>
                          <w:lang w:eastAsia="lt-LT"/>
                        </w:rPr>
                      </w:pPr>
                    </w:p>
                    <w:p>
                      <w:pPr>
                        <w:jc w:val="both"/>
                        <w:rPr>
                          <w:color w:val="000000"/>
                          <w:sz w:val="20"/>
                          <w:szCs w:val="22"/>
                          <w:lang w:eastAsia="lt-LT"/>
                        </w:rPr>
                      </w:pPr>
                      <w:r>
                        <w:rPr>
                          <w:color w:val="000000"/>
                          <w:sz w:val="22"/>
                          <w:szCs w:val="24"/>
                          <w:lang w:eastAsia="lt-LT"/>
                        </w:rPr>
                        <w:t>Įrenginio pavadinimas</w:t>
                      </w:r>
                      <w:r>
                        <w:rPr>
                          <w:color w:val="000000"/>
                          <w:sz w:val="20"/>
                          <w:szCs w:val="22"/>
                          <w:lang w:eastAsia="lt-LT"/>
                        </w:rPr>
                        <w:t> </w:t>
                      </w:r>
                      <w:r>
                        <w:rPr>
                          <w:rFonts w:ascii="Symbol" w:hAnsi="Symbol"/>
                          <w:color w:val="000000"/>
                          <w:sz w:val="20"/>
                          <w:szCs w:val="22"/>
                          <w:lang w:eastAsia="lt-LT"/>
                        </w:rPr>
                        <w:t></w:t>
                      </w:r>
                    </w:p>
                    <w:p>
                      <w:pPr>
                        <w:jc w:val="both"/>
                        <w:rPr>
                          <w:color w:val="000000"/>
                          <w:szCs w:val="24"/>
                          <w:lang w:eastAsia="lt-LT"/>
                        </w:rPr>
                      </w:pPr>
                    </w:p>
                    <w:tbl>
                      <w:tblPr>
                        <w:tblW w:w="5000" w:type="pct"/>
                        <w:tblLayout w:type="fixed"/>
                        <w:tblCellMar>
                          <w:left w:w="10" w:type="dxa"/>
                          <w:right w:w="10" w:type="dxa"/>
                        </w:tblCellMar>
                        <w:tblLook w:val="04A0" w:firstRow="1" w:lastRow="0" w:firstColumn="1" w:lastColumn="0" w:noHBand="0" w:noVBand="1"/>
                      </w:tblPr>
                      <w:tblGrid>
                        <w:gridCol w:w="759"/>
                        <w:gridCol w:w="1878"/>
                        <w:gridCol w:w="1837"/>
                        <w:gridCol w:w="1837"/>
                        <w:gridCol w:w="2856"/>
                        <w:gridCol w:w="4472"/>
                      </w:tblGrid>
                      <w:tr>
                        <w:tc>
                          <w:tcPr>
                            <w:tcW w:w="536" w:type="dxa"/>
                            <w:vMerge w:val="restart"/>
                            <w:tcBorders>
                              <w:top w:val="single" w:sz="8" w:space="0" w:color="000000"/>
                              <w:left w:val="single" w:sz="8" w:space="0" w:color="000000"/>
                              <w:bottom w:val="single" w:sz="4" w:space="0" w:color="000000"/>
                              <w:right w:val="single" w:sz="8" w:space="0" w:color="000000"/>
                            </w:tcBorders>
                            <w:shd w:val="clear" w:color="auto" w:fill="auto"/>
                            <w:tcMar>
                              <w:top w:w="0" w:type="dxa"/>
                              <w:left w:w="0" w:type="dxa"/>
                              <w:bottom w:w="0" w:type="dxa"/>
                              <w:right w:w="0" w:type="dxa"/>
                            </w:tcMar>
                            <w:vAlign w:val="center"/>
                          </w:tcPr>
                          <w:p>
                            <w:pPr>
                              <w:suppressAutoHyphens/>
                              <w:jc w:val="center"/>
                              <w:rPr>
                                <w:lang w:eastAsia="lt-LT"/>
                              </w:rPr>
                            </w:pPr>
                            <w:r>
                              <w:rPr>
                                <w:rFonts w:eastAsia="Calibri"/>
                                <w:sz w:val="20"/>
                                <w:lang w:eastAsia="lt-LT"/>
                              </w:rPr>
                              <w:t>Eil. Nr.</w:t>
                            </w:r>
                          </w:p>
                        </w:tc>
                        <w:tc>
                          <w:tcPr>
                            <w:tcW w:w="3914" w:type="dxa"/>
                            <w:gridSpan w:val="3"/>
                            <w:tcBorders>
                              <w:top w:val="single" w:sz="8" w:space="0" w:color="000000"/>
                              <w:left w:val="single" w:sz="8" w:space="0" w:color="000000"/>
                              <w:bottom w:val="single" w:sz="8" w:space="0" w:color="000000"/>
                              <w:right w:val="single" w:sz="8" w:space="0" w:color="000000"/>
                            </w:tcBorders>
                            <w:shd w:val="clear" w:color="auto" w:fill="auto"/>
                            <w:tcMar>
                              <w:top w:w="0" w:type="dxa"/>
                              <w:left w:w="57" w:type="dxa"/>
                              <w:bottom w:w="0" w:type="dxa"/>
                              <w:right w:w="57" w:type="dxa"/>
                            </w:tcMar>
                            <w:vAlign w:val="center"/>
                          </w:tcPr>
                          <w:p>
                            <w:pPr>
                              <w:suppressAutoHyphens/>
                              <w:jc w:val="center"/>
                              <w:rPr>
                                <w:sz w:val="20"/>
                                <w:lang w:eastAsia="lt-LT"/>
                              </w:rPr>
                            </w:pPr>
                            <w:r>
                              <w:rPr>
                                <w:sz w:val="20"/>
                                <w:lang w:eastAsia="lt-LT"/>
                              </w:rPr>
                              <w:t>Leidžiamos laikyti atliekos</w:t>
                            </w:r>
                          </w:p>
                        </w:tc>
                        <w:tc>
                          <w:tcPr>
                            <w:tcW w:w="5167" w:type="dxa"/>
                            <w:gridSpan w:val="2"/>
                            <w:tcBorders>
                              <w:top w:val="single" w:sz="8" w:space="0" w:color="000000"/>
                              <w:bottom w:val="single" w:sz="8" w:space="0" w:color="000000"/>
                              <w:right w:val="single" w:sz="8" w:space="0" w:color="000000"/>
                            </w:tcBorders>
                            <w:shd w:val="clear" w:color="auto" w:fill="auto"/>
                            <w:tcMar>
                              <w:top w:w="0" w:type="dxa"/>
                              <w:left w:w="57" w:type="dxa"/>
                              <w:bottom w:w="0" w:type="dxa"/>
                              <w:right w:w="57" w:type="dxa"/>
                            </w:tcMar>
                          </w:tcPr>
                          <w:p>
                            <w:pPr>
                              <w:suppressAutoHyphens/>
                              <w:jc w:val="center"/>
                              <w:rPr>
                                <w:sz w:val="20"/>
                                <w:lang w:eastAsia="lt-LT"/>
                              </w:rPr>
                            </w:pPr>
                            <w:r>
                              <w:rPr>
                                <w:sz w:val="20"/>
                                <w:lang w:eastAsia="lt-LT"/>
                              </w:rPr>
                              <w:t>Atliekų laikymas</w:t>
                            </w:r>
                          </w:p>
                        </w:tc>
                      </w:tr>
                      <w:tr>
                        <w:trPr>
                          <w:trHeight w:val="855"/>
                        </w:trPr>
                        <w:tc>
                          <w:tcPr>
                            <w:tcW w:w="536" w:type="dxa"/>
                            <w:vMerge/>
                            <w:tcBorders>
                              <w:top w:val="single" w:sz="8" w:space="0" w:color="000000"/>
                              <w:left w:val="single" w:sz="8" w:space="0" w:color="000000"/>
                              <w:bottom w:val="single" w:sz="4" w:space="0" w:color="000000"/>
                              <w:right w:val="single" w:sz="8" w:space="0" w:color="000000"/>
                            </w:tcBorders>
                            <w:shd w:val="clear" w:color="auto" w:fill="auto"/>
                            <w:tcMar>
                              <w:top w:w="0" w:type="dxa"/>
                              <w:left w:w="0" w:type="dxa"/>
                              <w:bottom w:w="0" w:type="dxa"/>
                              <w:right w:w="0" w:type="dxa"/>
                            </w:tcMar>
                            <w:vAlign w:val="center"/>
                          </w:tcPr>
                          <w:p>
                            <w:pPr>
                              <w:suppressAutoHyphens/>
                              <w:jc w:val="center"/>
                              <w:rPr>
                                <w:sz w:val="20"/>
                                <w:lang w:eastAsia="lt-LT"/>
                              </w:rPr>
                            </w:pPr>
                          </w:p>
                        </w:tc>
                        <w:tc>
                          <w:tcPr>
                            <w:tcW w:w="1324" w:type="dxa"/>
                            <w:tcBorders>
                              <w:left w:val="single" w:sz="8" w:space="0" w:color="000000"/>
                              <w:bottom w:val="single" w:sz="4" w:space="0" w:color="000000"/>
                              <w:right w:val="single" w:sz="8" w:space="0" w:color="000000"/>
                            </w:tcBorders>
                            <w:shd w:val="clear" w:color="auto" w:fill="auto"/>
                            <w:tcMar>
                              <w:top w:w="0" w:type="dxa"/>
                              <w:left w:w="57" w:type="dxa"/>
                              <w:bottom w:w="0" w:type="dxa"/>
                              <w:right w:w="57" w:type="dxa"/>
                            </w:tcMar>
                            <w:vAlign w:val="center"/>
                          </w:tcPr>
                          <w:p>
                            <w:pPr>
                              <w:suppressAutoHyphens/>
                              <w:jc w:val="center"/>
                              <w:rPr>
                                <w:sz w:val="20"/>
                                <w:lang w:eastAsia="lt-LT"/>
                              </w:rPr>
                            </w:pPr>
                            <w:r>
                              <w:rPr>
                                <w:sz w:val="20"/>
                                <w:lang w:eastAsia="lt-LT"/>
                              </w:rPr>
                              <w:t>Kodas</w:t>
                            </w:r>
                          </w:p>
                        </w:tc>
                        <w:tc>
                          <w:tcPr>
                            <w:tcW w:w="1295" w:type="dxa"/>
                            <w:tcBorders>
                              <w:bottom w:val="single" w:sz="4" w:space="0" w:color="000000"/>
                              <w:right w:val="single" w:sz="8" w:space="0" w:color="000000"/>
                            </w:tcBorders>
                            <w:shd w:val="clear" w:color="auto" w:fill="auto"/>
                            <w:tcMar>
                              <w:top w:w="0" w:type="dxa"/>
                              <w:left w:w="57" w:type="dxa"/>
                              <w:bottom w:w="0" w:type="dxa"/>
                              <w:right w:w="57" w:type="dxa"/>
                            </w:tcMar>
                            <w:vAlign w:val="center"/>
                          </w:tcPr>
                          <w:p>
                            <w:pPr>
                              <w:suppressAutoHyphens/>
                              <w:jc w:val="center"/>
                              <w:rPr>
                                <w:sz w:val="20"/>
                                <w:lang w:eastAsia="lt-LT"/>
                              </w:rPr>
                            </w:pPr>
                            <w:r>
                              <w:rPr>
                                <w:sz w:val="20"/>
                                <w:lang w:eastAsia="lt-LT"/>
                              </w:rPr>
                              <w:t>Pavadinimas</w:t>
                            </w:r>
                          </w:p>
                        </w:tc>
                        <w:tc>
                          <w:tcPr>
                            <w:tcW w:w="1295" w:type="dxa"/>
                            <w:tcBorders>
                              <w:bottom w:val="single" w:sz="4" w:space="0" w:color="000000"/>
                              <w:right w:val="single" w:sz="8" w:space="0" w:color="000000"/>
                            </w:tcBorders>
                            <w:shd w:val="clear" w:color="auto" w:fill="auto"/>
                            <w:tcMar>
                              <w:top w:w="0" w:type="dxa"/>
                              <w:left w:w="57" w:type="dxa"/>
                              <w:bottom w:w="0" w:type="dxa"/>
                              <w:right w:w="57" w:type="dxa"/>
                            </w:tcMar>
                            <w:vAlign w:val="center"/>
                          </w:tcPr>
                          <w:p>
                            <w:pPr>
                              <w:suppressAutoHyphens/>
                              <w:jc w:val="center"/>
                              <w:rPr>
                                <w:sz w:val="20"/>
                                <w:lang w:eastAsia="lt-LT"/>
                              </w:rPr>
                            </w:pPr>
                            <w:r>
                              <w:rPr>
                                <w:sz w:val="20"/>
                                <w:lang w:eastAsia="lt-LT"/>
                              </w:rPr>
                              <w:t>Patikslintas pavadinimas</w:t>
                            </w:r>
                          </w:p>
                        </w:tc>
                        <w:tc>
                          <w:tcPr>
                            <w:tcW w:w="2014" w:type="dxa"/>
                            <w:tcBorders>
                              <w:bottom w:val="single" w:sz="4" w:space="0" w:color="000000"/>
                              <w:right w:val="single" w:sz="8" w:space="0" w:color="000000"/>
                            </w:tcBorders>
                            <w:shd w:val="clear" w:color="auto" w:fill="auto"/>
                            <w:tcMar>
                              <w:top w:w="0" w:type="dxa"/>
                              <w:left w:w="57" w:type="dxa"/>
                              <w:bottom w:w="0" w:type="dxa"/>
                              <w:right w:w="57" w:type="dxa"/>
                            </w:tcMar>
                            <w:vAlign w:val="center"/>
                          </w:tcPr>
                          <w:p>
                            <w:pPr>
                              <w:suppressAutoHyphens/>
                              <w:jc w:val="center"/>
                              <w:rPr>
                                <w:sz w:val="20"/>
                                <w:lang w:eastAsia="lt-LT"/>
                              </w:rPr>
                            </w:pPr>
                            <w:r>
                              <w:rPr>
                                <w:sz w:val="20"/>
                                <w:lang w:eastAsia="lt-LT"/>
                              </w:rPr>
                              <w:t>Atliekų tvarkymo veiklos kodas (R13 ir (ar) D15)</w:t>
                            </w:r>
                          </w:p>
                          <w:p>
                            <w:pPr>
                              <w:suppressAutoHyphens/>
                              <w:ind w:firstLine="53"/>
                              <w:jc w:val="center"/>
                              <w:rPr>
                                <w:sz w:val="20"/>
                                <w:lang w:eastAsia="lt-LT"/>
                              </w:rPr>
                            </w:pPr>
                          </w:p>
                        </w:tc>
                        <w:tc>
                          <w:tcPr>
                            <w:tcW w:w="3153" w:type="dxa"/>
                            <w:tcBorders>
                              <w:bottom w:val="single" w:sz="4" w:space="0" w:color="000000"/>
                              <w:right w:val="single" w:sz="8" w:space="0" w:color="000000"/>
                            </w:tcBorders>
                            <w:shd w:val="clear" w:color="auto" w:fill="auto"/>
                            <w:tcMar>
                              <w:top w:w="0" w:type="dxa"/>
                              <w:left w:w="57" w:type="dxa"/>
                              <w:bottom w:w="0" w:type="dxa"/>
                              <w:right w:w="57" w:type="dxa"/>
                            </w:tcMar>
                            <w:vAlign w:val="center"/>
                          </w:tcPr>
                          <w:p>
                            <w:pPr>
                              <w:suppressAutoHyphens/>
                              <w:jc w:val="center"/>
                              <w:rPr>
                                <w:sz w:val="20"/>
                                <w:lang w:eastAsia="lt-LT"/>
                              </w:rPr>
                            </w:pPr>
                            <w:r>
                              <w:rPr>
                                <w:sz w:val="20"/>
                                <w:lang w:eastAsia="lt-LT"/>
                              </w:rPr>
                              <w:t>Didžiausias vienu metu leidžiamas laikyti bendras atliekų, įskaitant susidarančias apdorojimo metu, kiekis, t</w:t>
                            </w:r>
                          </w:p>
                        </w:tc>
                      </w:tr>
                      <w:tr>
                        <w:trPr>
                          <w:trHeight w:val="369"/>
                        </w:trPr>
                        <w:tc>
                          <w:tcPr>
                            <w:tcW w:w="536"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pPr>
                              <w:suppressAutoHyphens/>
                              <w:jc w:val="center"/>
                              <w:rPr>
                                <w:sz w:val="20"/>
                                <w:lang w:eastAsia="lt-LT"/>
                              </w:rPr>
                            </w:pPr>
                            <w:r>
                              <w:rPr>
                                <w:sz w:val="20"/>
                                <w:lang w:eastAsia="lt-LT"/>
                              </w:rPr>
                              <w:t>1</w:t>
                            </w:r>
                          </w:p>
                        </w:tc>
                        <w:tc>
                          <w:tcPr>
                            <w:tcW w:w="1324" w:type="dxa"/>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pPr>
                              <w:suppressAutoHyphens/>
                              <w:jc w:val="center"/>
                              <w:rPr>
                                <w:sz w:val="20"/>
                                <w:lang w:eastAsia="lt-LT"/>
                              </w:rPr>
                            </w:pPr>
                            <w:r>
                              <w:rPr>
                                <w:sz w:val="20"/>
                                <w:lang w:eastAsia="lt-LT"/>
                              </w:rPr>
                              <w:t>2</w:t>
                            </w:r>
                          </w:p>
                        </w:tc>
                        <w:tc>
                          <w:tcPr>
                            <w:tcW w:w="1295" w:type="dxa"/>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pPr>
                              <w:suppressAutoHyphens/>
                              <w:jc w:val="center"/>
                              <w:rPr>
                                <w:sz w:val="20"/>
                                <w:lang w:eastAsia="lt-LT"/>
                              </w:rPr>
                            </w:pPr>
                            <w:r>
                              <w:rPr>
                                <w:sz w:val="20"/>
                                <w:lang w:eastAsia="lt-LT"/>
                              </w:rPr>
                              <w:t>3</w:t>
                            </w:r>
                          </w:p>
                        </w:tc>
                        <w:tc>
                          <w:tcPr>
                            <w:tcW w:w="1295" w:type="dxa"/>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pPr>
                              <w:suppressAutoHyphens/>
                              <w:jc w:val="center"/>
                              <w:rPr>
                                <w:sz w:val="20"/>
                                <w:lang w:eastAsia="lt-LT"/>
                              </w:rPr>
                            </w:pPr>
                            <w:r>
                              <w:rPr>
                                <w:sz w:val="20"/>
                                <w:lang w:eastAsia="lt-LT"/>
                              </w:rPr>
                              <w:t>4</w:t>
                            </w:r>
                          </w:p>
                        </w:tc>
                        <w:tc>
                          <w:tcPr>
                            <w:tcW w:w="2014" w:type="dxa"/>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pPr>
                              <w:suppressAutoHyphens/>
                              <w:jc w:val="center"/>
                              <w:rPr>
                                <w:sz w:val="20"/>
                                <w:lang w:eastAsia="lt-LT"/>
                              </w:rPr>
                            </w:pPr>
                            <w:r>
                              <w:rPr>
                                <w:sz w:val="20"/>
                                <w:lang w:eastAsia="lt-LT"/>
                              </w:rPr>
                              <w:t>5</w:t>
                            </w:r>
                          </w:p>
                        </w:tc>
                        <w:tc>
                          <w:tcPr>
                            <w:tcW w:w="3153" w:type="dxa"/>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pPr>
                              <w:suppressAutoHyphens/>
                              <w:jc w:val="center"/>
                              <w:rPr>
                                <w:sz w:val="20"/>
                                <w:lang w:eastAsia="lt-LT"/>
                              </w:rPr>
                            </w:pPr>
                            <w:r>
                              <w:rPr>
                                <w:sz w:val="20"/>
                                <w:lang w:eastAsia="lt-LT"/>
                              </w:rPr>
                              <w:t>6</w:t>
                            </w:r>
                          </w:p>
                        </w:tc>
                      </w:tr>
                      <w:tr>
                        <w:trPr>
                          <w:trHeight w:val="369"/>
                        </w:trPr>
                        <w:tc>
                          <w:tcPr>
                            <w:tcW w:w="536"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pPr>
                              <w:suppressAutoHyphens/>
                              <w:jc w:val="center"/>
                              <w:rPr>
                                <w:sz w:val="20"/>
                                <w:lang w:eastAsia="lt-LT"/>
                              </w:rPr>
                            </w:pPr>
                          </w:p>
                        </w:tc>
                        <w:tc>
                          <w:tcPr>
                            <w:tcW w:w="1324" w:type="dxa"/>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pPr>
                              <w:suppressAutoHyphens/>
                              <w:jc w:val="center"/>
                              <w:rPr>
                                <w:sz w:val="20"/>
                                <w:lang w:eastAsia="lt-LT"/>
                              </w:rPr>
                            </w:pPr>
                          </w:p>
                        </w:tc>
                        <w:tc>
                          <w:tcPr>
                            <w:tcW w:w="1295" w:type="dxa"/>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pPr>
                              <w:suppressAutoHyphens/>
                              <w:jc w:val="center"/>
                              <w:rPr>
                                <w:sz w:val="20"/>
                                <w:lang w:eastAsia="lt-LT"/>
                              </w:rPr>
                            </w:pPr>
                          </w:p>
                        </w:tc>
                        <w:tc>
                          <w:tcPr>
                            <w:tcW w:w="1295" w:type="dxa"/>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pPr>
                              <w:suppressAutoHyphens/>
                              <w:jc w:val="center"/>
                              <w:rPr>
                                <w:sz w:val="20"/>
                                <w:lang w:eastAsia="lt-LT"/>
                              </w:rPr>
                            </w:pPr>
                          </w:p>
                        </w:tc>
                        <w:tc>
                          <w:tcPr>
                            <w:tcW w:w="2014" w:type="dxa"/>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pPr>
                              <w:suppressAutoHyphens/>
                              <w:jc w:val="center"/>
                              <w:rPr>
                                <w:sz w:val="20"/>
                                <w:lang w:eastAsia="lt-LT"/>
                              </w:rPr>
                            </w:pPr>
                          </w:p>
                        </w:tc>
                        <w:tc>
                          <w:tcPr>
                            <w:tcW w:w="3153" w:type="dxa"/>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pPr>
                              <w:suppressAutoHyphens/>
                              <w:jc w:val="center"/>
                              <w:rPr>
                                <w:sz w:val="20"/>
                                <w:lang w:eastAsia="lt-LT"/>
                              </w:rPr>
                            </w:pPr>
                          </w:p>
                        </w:tc>
                      </w:tr>
                      <w:tr>
                        <w:trPr>
                          <w:trHeight w:val="369"/>
                        </w:trPr>
                        <w:tc>
                          <w:tcPr>
                            <w:tcW w:w="536"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pPr>
                              <w:suppressAutoHyphens/>
                              <w:jc w:val="center"/>
                              <w:rPr>
                                <w:sz w:val="20"/>
                                <w:lang w:eastAsia="lt-LT"/>
                              </w:rPr>
                            </w:pPr>
                          </w:p>
                        </w:tc>
                        <w:tc>
                          <w:tcPr>
                            <w:tcW w:w="1324" w:type="dxa"/>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pPr>
                              <w:suppressAutoHyphens/>
                              <w:jc w:val="center"/>
                              <w:rPr>
                                <w:sz w:val="20"/>
                                <w:lang w:eastAsia="lt-LT"/>
                              </w:rPr>
                            </w:pPr>
                          </w:p>
                        </w:tc>
                        <w:tc>
                          <w:tcPr>
                            <w:tcW w:w="1295" w:type="dxa"/>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pPr>
                              <w:suppressAutoHyphens/>
                              <w:jc w:val="center"/>
                              <w:rPr>
                                <w:sz w:val="20"/>
                                <w:lang w:eastAsia="lt-LT"/>
                              </w:rPr>
                            </w:pPr>
                          </w:p>
                        </w:tc>
                        <w:tc>
                          <w:tcPr>
                            <w:tcW w:w="1295" w:type="dxa"/>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pPr>
                              <w:suppressAutoHyphens/>
                              <w:jc w:val="center"/>
                              <w:rPr>
                                <w:sz w:val="20"/>
                                <w:lang w:eastAsia="lt-LT"/>
                              </w:rPr>
                            </w:pPr>
                          </w:p>
                        </w:tc>
                        <w:tc>
                          <w:tcPr>
                            <w:tcW w:w="2014" w:type="dxa"/>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pPr>
                              <w:suppressAutoHyphens/>
                              <w:jc w:val="center"/>
                              <w:rPr>
                                <w:sz w:val="20"/>
                                <w:lang w:eastAsia="lt-LT"/>
                              </w:rPr>
                            </w:pPr>
                          </w:p>
                        </w:tc>
                        <w:tc>
                          <w:tcPr>
                            <w:tcW w:w="3153" w:type="dxa"/>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pPr>
                              <w:suppressAutoHyphens/>
                              <w:jc w:val="center"/>
                              <w:rPr>
                                <w:sz w:val="20"/>
                                <w:lang w:eastAsia="lt-LT"/>
                              </w:rPr>
                            </w:pPr>
                          </w:p>
                        </w:tc>
                      </w:tr>
                      <w:tr>
                        <w:trPr>
                          <w:trHeight w:val="369"/>
                        </w:trPr>
                        <w:tc>
                          <w:tcPr>
                            <w:tcW w:w="536"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pPr>
                              <w:suppressAutoHyphens/>
                              <w:jc w:val="center"/>
                              <w:rPr>
                                <w:sz w:val="20"/>
                                <w:lang w:eastAsia="lt-LT"/>
                              </w:rPr>
                            </w:pPr>
                          </w:p>
                        </w:tc>
                        <w:tc>
                          <w:tcPr>
                            <w:tcW w:w="1324" w:type="dxa"/>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pPr>
                              <w:suppressAutoHyphens/>
                              <w:jc w:val="center"/>
                              <w:rPr>
                                <w:sz w:val="20"/>
                                <w:lang w:eastAsia="lt-LT"/>
                              </w:rPr>
                            </w:pPr>
                          </w:p>
                        </w:tc>
                        <w:tc>
                          <w:tcPr>
                            <w:tcW w:w="1295" w:type="dxa"/>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pPr>
                              <w:suppressAutoHyphens/>
                              <w:jc w:val="center"/>
                              <w:rPr>
                                <w:sz w:val="20"/>
                                <w:lang w:eastAsia="lt-LT"/>
                              </w:rPr>
                            </w:pPr>
                          </w:p>
                        </w:tc>
                        <w:tc>
                          <w:tcPr>
                            <w:tcW w:w="1295" w:type="dxa"/>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pPr>
                              <w:suppressAutoHyphens/>
                              <w:jc w:val="center"/>
                              <w:rPr>
                                <w:sz w:val="20"/>
                                <w:lang w:eastAsia="lt-LT"/>
                              </w:rPr>
                            </w:pPr>
                          </w:p>
                        </w:tc>
                        <w:tc>
                          <w:tcPr>
                            <w:tcW w:w="2014" w:type="dxa"/>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pPr>
                              <w:suppressAutoHyphens/>
                              <w:jc w:val="center"/>
                              <w:rPr>
                                <w:sz w:val="20"/>
                                <w:lang w:eastAsia="lt-LT"/>
                              </w:rPr>
                            </w:pPr>
                          </w:p>
                        </w:tc>
                        <w:tc>
                          <w:tcPr>
                            <w:tcW w:w="3153" w:type="dxa"/>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pPr>
                              <w:suppressAutoHyphens/>
                              <w:jc w:val="center"/>
                              <w:rPr>
                                <w:sz w:val="20"/>
                                <w:lang w:eastAsia="lt-LT"/>
                              </w:rPr>
                            </w:pPr>
                          </w:p>
                        </w:tc>
                      </w:tr>
                    </w:tbl>
                    <w:p>
                      <w:pPr>
                        <w:suppressAutoHyphens/>
                        <w:ind w:firstLine="567"/>
                        <w:jc w:val="both"/>
                        <w:textAlignment w:val="baseline"/>
                      </w:pPr>
                    </w:p>
                    <w:p>
                      <w:pPr>
                        <w:ind w:firstLine="567"/>
                        <w:jc w:val="both"/>
                        <w:rPr>
                          <w:color w:val="000000"/>
                          <w:sz w:val="22"/>
                          <w:szCs w:val="24"/>
                          <w:lang w:eastAsia="lt-LT"/>
                        </w:rPr>
                      </w:pPr>
                      <w:r>
                        <w:rPr>
                          <w:b/>
                          <w:bCs/>
                          <w:color w:val="000000"/>
                          <w:sz w:val="22"/>
                          <w:szCs w:val="24"/>
                          <w:lang w:eastAsia="lt-LT"/>
                        </w:rPr>
                        <w:t>16 lentelė.</w:t>
                      </w:r>
                      <w:r>
                        <w:rPr>
                          <w:color w:val="000000"/>
                          <w:sz w:val="22"/>
                          <w:szCs w:val="24"/>
                          <w:lang w:eastAsia="lt-LT"/>
                        </w:rPr>
                        <w:t> Didžiausias leidžiamas laikyti nepavojingųjų atliekų kiekis jų susidarymo vietoje iki surinkimo (S8)</w:t>
                      </w:r>
                    </w:p>
                    <w:p>
                      <w:pPr>
                        <w:jc w:val="both"/>
                        <w:rPr>
                          <w:color w:val="000000"/>
                          <w:sz w:val="22"/>
                          <w:szCs w:val="24"/>
                          <w:lang w:eastAsia="lt-LT"/>
                        </w:rPr>
                      </w:pPr>
                    </w:p>
                    <w:p>
                      <w:pPr>
                        <w:jc w:val="both"/>
                        <w:rPr>
                          <w:color w:val="000000"/>
                          <w:sz w:val="22"/>
                          <w:szCs w:val="24"/>
                          <w:lang w:eastAsia="lt-LT"/>
                        </w:rPr>
                      </w:pPr>
                      <w:r>
                        <w:rPr>
                          <w:color w:val="000000"/>
                          <w:sz w:val="22"/>
                          <w:szCs w:val="24"/>
                          <w:lang w:eastAsia="lt-LT"/>
                        </w:rPr>
                        <w:t>Įrenginio pavadinimas </w:t>
                      </w:r>
                      <w:r>
                        <w:rPr>
                          <w:rFonts w:ascii="Symbol" w:hAnsi="Symbol"/>
                          <w:color w:val="000000"/>
                          <w:sz w:val="22"/>
                          <w:szCs w:val="24"/>
                          <w:lang w:eastAsia="lt-LT"/>
                        </w:rPr>
                        <w:t></w:t>
                      </w:r>
                    </w:p>
                    <w:p>
                      <w:pPr>
                        <w:jc w:val="both"/>
                        <w:rPr>
                          <w:color w:val="000000"/>
                          <w:szCs w:val="24"/>
                          <w:lang w:eastAsia="lt-LT"/>
                        </w:rPr>
                      </w:pPr>
                    </w:p>
                    <w:tbl>
                      <w:tblPr>
                        <w:tblW w:w="5000" w:type="pct"/>
                        <w:tblCellMar>
                          <w:left w:w="10" w:type="dxa"/>
                          <w:right w:w="10" w:type="dxa"/>
                        </w:tblCellMar>
                        <w:tblLook w:val="04A0" w:firstRow="1" w:lastRow="0" w:firstColumn="1" w:lastColumn="0" w:noHBand="0" w:noVBand="1"/>
                      </w:tblPr>
                      <w:tblGrid>
                        <w:gridCol w:w="750"/>
                        <w:gridCol w:w="1895"/>
                        <w:gridCol w:w="2255"/>
                        <w:gridCol w:w="4310"/>
                        <w:gridCol w:w="4480"/>
                      </w:tblGrid>
                      <w:tr>
                        <w:tc>
                          <w:tcPr>
                            <w:tcW w:w="519" w:type="dxa"/>
                            <w:vMerge w:val="restart"/>
                            <w:tcBorders>
                              <w:top w:val="single" w:sz="8" w:space="0" w:color="000000"/>
                              <w:left w:val="single" w:sz="8" w:space="0" w:color="000000"/>
                              <w:bottom w:val="single" w:sz="4" w:space="0" w:color="000000"/>
                              <w:right w:val="single" w:sz="8" w:space="0" w:color="000000"/>
                            </w:tcBorders>
                            <w:shd w:val="clear" w:color="auto" w:fill="auto"/>
                            <w:tcMar>
                              <w:top w:w="0" w:type="dxa"/>
                              <w:left w:w="0" w:type="dxa"/>
                              <w:bottom w:w="0" w:type="dxa"/>
                              <w:right w:w="0" w:type="dxa"/>
                            </w:tcMar>
                            <w:vAlign w:val="center"/>
                          </w:tcPr>
                          <w:p>
                            <w:pPr>
                              <w:suppressAutoHyphens/>
                              <w:jc w:val="center"/>
                              <w:textAlignment w:val="baseline"/>
                            </w:pPr>
                            <w:r>
                              <w:rPr>
                                <w:rFonts w:eastAsia="Calibri"/>
                                <w:sz w:val="20"/>
                                <w:lang w:eastAsia="lt-LT"/>
                              </w:rPr>
                              <w:t>Eil. Nr.</w:t>
                            </w:r>
                          </w:p>
                        </w:tc>
                        <w:tc>
                          <w:tcPr>
                            <w:tcW w:w="5856" w:type="dxa"/>
                            <w:gridSpan w:val="3"/>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Atliekos</w:t>
                            </w:r>
                          </w:p>
                        </w:tc>
                        <w:tc>
                          <w:tcPr>
                            <w:tcW w:w="3101" w:type="dxa"/>
                            <w:tcBorders>
                              <w:top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Atliekų laikymas</w:t>
                            </w:r>
                          </w:p>
                        </w:tc>
                      </w:tr>
                      <w:tr>
                        <w:trPr>
                          <w:trHeight w:val="855"/>
                        </w:trPr>
                        <w:tc>
                          <w:tcPr>
                            <w:tcW w:w="519" w:type="dxa"/>
                            <w:vMerge/>
                            <w:tcBorders>
                              <w:top w:val="single" w:sz="8" w:space="0" w:color="000000"/>
                              <w:left w:val="single" w:sz="8" w:space="0" w:color="000000"/>
                              <w:bottom w:val="single" w:sz="4" w:space="0" w:color="000000"/>
                              <w:right w:val="single" w:sz="8" w:space="0" w:color="000000"/>
                            </w:tcBorders>
                            <w:shd w:val="clear" w:color="auto" w:fill="auto"/>
                            <w:tcMar>
                              <w:top w:w="0" w:type="dxa"/>
                              <w:left w:w="0" w:type="dxa"/>
                              <w:bottom w:w="0" w:type="dxa"/>
                              <w:right w:w="0" w:type="dxa"/>
                            </w:tcMar>
                            <w:vAlign w:val="center"/>
                          </w:tcPr>
                          <w:p>
                            <w:pPr>
                              <w:suppressAutoHyphens/>
                              <w:jc w:val="center"/>
                              <w:textAlignment w:val="baseline"/>
                              <w:rPr>
                                <w:sz w:val="20"/>
                                <w:lang w:eastAsia="lt-LT"/>
                              </w:rPr>
                            </w:pPr>
                          </w:p>
                        </w:tc>
                        <w:tc>
                          <w:tcPr>
                            <w:tcW w:w="1312" w:type="dxa"/>
                            <w:tcBorders>
                              <w:left w:val="single" w:sz="8"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Kodas</w:t>
                            </w:r>
                          </w:p>
                        </w:tc>
                        <w:tc>
                          <w:tcPr>
                            <w:tcW w:w="1561" w:type="dxa"/>
                            <w:tcBorders>
                              <w:bottom w:val="single" w:sz="4" w:space="0" w:color="000000"/>
                              <w:right w:val="single" w:sz="8"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Pavadinimas</w:t>
                            </w:r>
                          </w:p>
                        </w:tc>
                        <w:tc>
                          <w:tcPr>
                            <w:tcW w:w="2983" w:type="dxa"/>
                            <w:tcBorders>
                              <w:bottom w:val="single" w:sz="4" w:space="0" w:color="000000"/>
                              <w:right w:val="single" w:sz="8"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Patikslintas pavadinimas</w:t>
                            </w:r>
                          </w:p>
                        </w:tc>
                        <w:tc>
                          <w:tcPr>
                            <w:tcW w:w="3101" w:type="dxa"/>
                            <w:tcBorders>
                              <w:bottom w:val="single" w:sz="4" w:space="0" w:color="000000"/>
                              <w:right w:val="single" w:sz="8"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Didžiausias vienu metu leidžiamas laikyti bendras atliekų kiekis, t</w:t>
                            </w:r>
                          </w:p>
                        </w:tc>
                      </w:tr>
                      <w:tr>
                        <w:trPr>
                          <w:trHeight w:val="221"/>
                        </w:trPr>
                        <w:tc>
                          <w:tcPr>
                            <w:tcW w:w="51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pPr>
                              <w:suppressAutoHyphens/>
                              <w:jc w:val="center"/>
                              <w:textAlignment w:val="baseline"/>
                              <w:rPr>
                                <w:sz w:val="20"/>
                                <w:lang w:eastAsia="lt-LT"/>
                              </w:rPr>
                            </w:pPr>
                            <w:r>
                              <w:rPr>
                                <w:sz w:val="20"/>
                                <w:lang w:eastAsia="lt-LT"/>
                              </w:rPr>
                              <w:t>1</w:t>
                            </w:r>
                          </w:p>
                        </w:tc>
                        <w:tc>
                          <w:tcPr>
                            <w:tcW w:w="13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w:t>
                            </w:r>
                          </w:p>
                        </w:tc>
                        <w:tc>
                          <w:tcPr>
                            <w:tcW w:w="15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w:t>
                            </w:r>
                          </w:p>
                        </w:tc>
                        <w:tc>
                          <w:tcPr>
                            <w:tcW w:w="29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4</w:t>
                            </w:r>
                          </w:p>
                        </w:tc>
                        <w:tc>
                          <w:tcPr>
                            <w:tcW w:w="31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5</w:t>
                            </w:r>
                          </w:p>
                        </w:tc>
                      </w:tr>
                      <w:tr>
                        <w:trPr>
                          <w:trHeight w:val="243"/>
                        </w:trPr>
                        <w:tc>
                          <w:tcPr>
                            <w:tcW w:w="519" w:type="dxa"/>
                            <w:tcBorders>
                              <w:top w:val="single" w:sz="4"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tcPr>
                          <w:p>
                            <w:pPr>
                              <w:suppressAutoHyphens/>
                              <w:jc w:val="both"/>
                              <w:textAlignment w:val="baseline"/>
                              <w:rPr>
                                <w:sz w:val="20"/>
                                <w:lang w:eastAsia="lt-LT"/>
                              </w:rPr>
                            </w:pPr>
                          </w:p>
                        </w:tc>
                        <w:tc>
                          <w:tcPr>
                            <w:tcW w:w="1312" w:type="dxa"/>
                            <w:tcBorders>
                              <w:top w:val="single" w:sz="4"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ind w:firstLine="53"/>
                              <w:jc w:val="both"/>
                              <w:textAlignment w:val="baseline"/>
                              <w:rPr>
                                <w:sz w:val="20"/>
                                <w:lang w:eastAsia="lt-LT"/>
                              </w:rPr>
                            </w:pPr>
                          </w:p>
                        </w:tc>
                        <w:tc>
                          <w:tcPr>
                            <w:tcW w:w="1561" w:type="dxa"/>
                            <w:tcBorders>
                              <w:top w:val="single" w:sz="4"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ind w:firstLine="53"/>
                              <w:jc w:val="both"/>
                              <w:textAlignment w:val="baseline"/>
                              <w:rPr>
                                <w:sz w:val="20"/>
                                <w:lang w:eastAsia="lt-LT"/>
                              </w:rPr>
                            </w:pPr>
                          </w:p>
                        </w:tc>
                        <w:tc>
                          <w:tcPr>
                            <w:tcW w:w="2983" w:type="dxa"/>
                            <w:tcBorders>
                              <w:top w:val="single" w:sz="4"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ind w:firstLine="53"/>
                              <w:jc w:val="both"/>
                              <w:textAlignment w:val="baseline"/>
                              <w:rPr>
                                <w:sz w:val="20"/>
                                <w:lang w:eastAsia="lt-LT"/>
                              </w:rPr>
                            </w:pPr>
                          </w:p>
                        </w:tc>
                        <w:tc>
                          <w:tcPr>
                            <w:tcW w:w="3101" w:type="dxa"/>
                            <w:vMerge w:val="restart"/>
                            <w:tcBorders>
                              <w:top w:val="single" w:sz="4"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ind w:firstLine="53"/>
                              <w:jc w:val="both"/>
                              <w:textAlignment w:val="baseline"/>
                              <w:rPr>
                                <w:sz w:val="20"/>
                                <w:lang w:eastAsia="lt-LT"/>
                              </w:rPr>
                            </w:pPr>
                          </w:p>
                        </w:tc>
                      </w:tr>
                      <w:tr>
                        <w:trPr>
                          <w:trHeight w:val="243"/>
                        </w:trPr>
                        <w:tc>
                          <w:tcPr>
                            <w:tcW w:w="519" w:type="dxa"/>
                            <w:tcBorders>
                              <w:left w:val="single" w:sz="8" w:space="0" w:color="000000"/>
                              <w:bottom w:val="single" w:sz="8" w:space="0" w:color="000000"/>
                              <w:right w:val="single" w:sz="8" w:space="0" w:color="000000"/>
                            </w:tcBorders>
                            <w:shd w:val="clear" w:color="auto" w:fill="auto"/>
                            <w:tcMar>
                              <w:top w:w="0" w:type="dxa"/>
                              <w:left w:w="0" w:type="dxa"/>
                              <w:bottom w:w="0" w:type="dxa"/>
                              <w:right w:w="0" w:type="dxa"/>
                            </w:tcMar>
                          </w:tcPr>
                          <w:p>
                            <w:pPr>
                              <w:suppressAutoHyphens/>
                              <w:jc w:val="both"/>
                              <w:textAlignment w:val="baseline"/>
                              <w:rPr>
                                <w:sz w:val="20"/>
                                <w:lang w:eastAsia="lt-LT"/>
                              </w:rPr>
                            </w:pPr>
                          </w:p>
                        </w:tc>
                        <w:tc>
                          <w:tcPr>
                            <w:tcW w:w="1312" w:type="dxa"/>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ind w:firstLine="53"/>
                              <w:jc w:val="both"/>
                              <w:textAlignment w:val="baseline"/>
                              <w:rPr>
                                <w:sz w:val="20"/>
                                <w:lang w:eastAsia="lt-LT"/>
                              </w:rPr>
                            </w:pPr>
                          </w:p>
                        </w:tc>
                        <w:tc>
                          <w:tcPr>
                            <w:tcW w:w="1561" w:type="dxa"/>
                            <w:tcBorders>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ind w:firstLine="53"/>
                              <w:jc w:val="both"/>
                              <w:textAlignment w:val="baseline"/>
                              <w:rPr>
                                <w:sz w:val="20"/>
                                <w:lang w:eastAsia="lt-LT"/>
                              </w:rPr>
                            </w:pPr>
                          </w:p>
                        </w:tc>
                        <w:tc>
                          <w:tcPr>
                            <w:tcW w:w="2983" w:type="dxa"/>
                            <w:tcBorders>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ind w:firstLine="53"/>
                              <w:jc w:val="both"/>
                              <w:textAlignment w:val="baseline"/>
                              <w:rPr>
                                <w:sz w:val="20"/>
                                <w:lang w:eastAsia="lt-LT"/>
                              </w:rPr>
                            </w:pPr>
                          </w:p>
                        </w:tc>
                        <w:tc>
                          <w:tcPr>
                            <w:tcW w:w="3101" w:type="dxa"/>
                            <w:vMerge/>
                            <w:tcBorders>
                              <w:top w:val="single" w:sz="4"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textAlignment w:val="baseline"/>
                              <w:rPr>
                                <w:sz w:val="20"/>
                                <w:lang w:eastAsia="lt-LT"/>
                              </w:rPr>
                            </w:pPr>
                          </w:p>
                        </w:tc>
                      </w:tr>
                      <w:tr>
                        <w:trPr>
                          <w:trHeight w:val="243"/>
                        </w:trPr>
                        <w:tc>
                          <w:tcPr>
                            <w:tcW w:w="519" w:type="dxa"/>
                            <w:tcBorders>
                              <w:left w:val="single" w:sz="8" w:space="0" w:color="000000"/>
                              <w:bottom w:val="single" w:sz="8" w:space="0" w:color="000000"/>
                              <w:right w:val="single" w:sz="8" w:space="0" w:color="000000"/>
                            </w:tcBorders>
                            <w:shd w:val="clear" w:color="auto" w:fill="auto"/>
                            <w:tcMar>
                              <w:top w:w="0" w:type="dxa"/>
                              <w:left w:w="0" w:type="dxa"/>
                              <w:bottom w:w="0" w:type="dxa"/>
                              <w:right w:w="0" w:type="dxa"/>
                            </w:tcMar>
                          </w:tcPr>
                          <w:p>
                            <w:pPr>
                              <w:suppressAutoHyphens/>
                              <w:jc w:val="both"/>
                              <w:textAlignment w:val="baseline"/>
                              <w:rPr>
                                <w:sz w:val="20"/>
                                <w:lang w:eastAsia="lt-LT"/>
                              </w:rPr>
                            </w:pPr>
                          </w:p>
                        </w:tc>
                        <w:tc>
                          <w:tcPr>
                            <w:tcW w:w="1312" w:type="dxa"/>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ind w:firstLine="53"/>
                              <w:jc w:val="both"/>
                              <w:textAlignment w:val="baseline"/>
                              <w:rPr>
                                <w:sz w:val="20"/>
                                <w:lang w:eastAsia="lt-LT"/>
                              </w:rPr>
                            </w:pPr>
                          </w:p>
                        </w:tc>
                        <w:tc>
                          <w:tcPr>
                            <w:tcW w:w="1561" w:type="dxa"/>
                            <w:tcBorders>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ind w:firstLine="53"/>
                              <w:jc w:val="both"/>
                              <w:textAlignment w:val="baseline"/>
                              <w:rPr>
                                <w:sz w:val="20"/>
                                <w:lang w:eastAsia="lt-LT"/>
                              </w:rPr>
                            </w:pPr>
                          </w:p>
                        </w:tc>
                        <w:tc>
                          <w:tcPr>
                            <w:tcW w:w="2983" w:type="dxa"/>
                            <w:tcBorders>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ind w:firstLine="53"/>
                              <w:jc w:val="both"/>
                              <w:textAlignment w:val="baseline"/>
                              <w:rPr>
                                <w:sz w:val="20"/>
                                <w:lang w:eastAsia="lt-LT"/>
                              </w:rPr>
                            </w:pPr>
                          </w:p>
                        </w:tc>
                        <w:tc>
                          <w:tcPr>
                            <w:tcW w:w="3101" w:type="dxa"/>
                            <w:vMerge/>
                            <w:tcBorders>
                              <w:top w:val="single" w:sz="4" w:space="0" w:color="000000"/>
                              <w:bottom w:val="single" w:sz="8" w:space="0" w:color="000000"/>
                              <w:right w:val="single" w:sz="8" w:space="0" w:color="000000"/>
                            </w:tcBorders>
                            <w:shd w:val="clear" w:color="auto" w:fill="auto"/>
                            <w:tcMar>
                              <w:top w:w="0" w:type="dxa"/>
                              <w:left w:w="108" w:type="dxa"/>
                              <w:bottom w:w="0" w:type="dxa"/>
                              <w:right w:w="108" w:type="dxa"/>
                            </w:tcMar>
                            <w:vAlign w:val="center"/>
                          </w:tcPr>
                          <w:p>
                            <w:pPr>
                              <w:suppressAutoHyphens/>
                              <w:textAlignment w:val="baseline"/>
                              <w:rPr>
                                <w:sz w:val="20"/>
                                <w:lang w:eastAsia="lt-LT"/>
                              </w:rPr>
                            </w:pPr>
                          </w:p>
                        </w:tc>
                      </w:tr>
                    </w:tbl>
                    <w:p>
                      <w:pPr>
                        <w:ind w:firstLine="567"/>
                        <w:jc w:val="both"/>
                        <w:rPr>
                          <w:color w:val="000000"/>
                          <w:szCs w:val="24"/>
                          <w:lang w:eastAsia="lt-LT"/>
                        </w:rPr>
                      </w:pP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5 pr. 12.2 pp."/>
                    <w:tag w:val="part_c601c4bf722c4b7f9fd59d72870ed9d2"/>
                    <w:lock w:val="sdtLocked"/>
                    <w:richText/>
                  </w:sdtPr>
                  <w:sdtContent>
                    <w:p>
                      <w:pPr>
                        <w:ind w:firstLine="567"/>
                        <w:jc w:val="both"/>
                        <w:rPr>
                          <w:color w:val="000000"/>
                          <w:sz w:val="22"/>
                          <w:szCs w:val="24"/>
                          <w:lang w:eastAsia="lt-LT"/>
                        </w:rPr>
                      </w:pPr>
                      <w:sdt>
                        <w:sdtPr>
                          <w:alias w:val="Numeris"/>
                          <w:tag w:val="nr_c601c4bf722c4b7f9fd59d72870ed9d2"/>
                          <w:lock w:val="sdtLocked"/>
                          <w:richText/>
                        </w:sdtPr>
                        <w:sdtContent>
                          <w:r>
                            <w:rPr>
                              <w:color w:val="000000"/>
                              <w:sz w:val="22"/>
                              <w:szCs w:val="24"/>
                              <w:lang w:eastAsia="lt-LT"/>
                            </w:rPr>
                            <w:t>12.2</w:t>
                          </w:r>
                        </w:sdtContent>
                      </w:sdt>
                      <w:r>
                        <w:rPr>
                          <w:color w:val="000000"/>
                          <w:sz w:val="22"/>
                          <w:szCs w:val="24"/>
                          <w:lang w:eastAsia="lt-LT"/>
                        </w:rPr>
                        <w:t>. Pavojingųjų atliekų apdorojimas (naudojimas ar šalinimas, įskaitant laikymą ir paruošimą naudoti ar šalinti)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textAlignment w:val="baseline"/>
                        <w:rPr>
                          <w:rFonts w:eastAsia="Calibri"/>
                          <w:b/>
                          <w:sz w:val="22"/>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textAlignment w:val="baseline"/>
                        <w:rPr>
                          <w:rFonts w:eastAsia="Calibri"/>
                          <w:sz w:val="22"/>
                          <w:szCs w:val="24"/>
                          <w:lang w:eastAsia="lt-LT"/>
                        </w:rPr>
                      </w:pPr>
                      <w:r>
                        <w:rPr>
                          <w:rFonts w:eastAsia="Calibri"/>
                          <w:b/>
                          <w:sz w:val="22"/>
                          <w:szCs w:val="24"/>
                          <w:lang w:eastAsia="lt-LT"/>
                        </w:rPr>
                        <w:t>17 lentelė.</w:t>
                      </w:r>
                      <w:r>
                        <w:rPr>
                          <w:rFonts w:eastAsia="Calibri"/>
                          <w:sz w:val="22"/>
                          <w:szCs w:val="24"/>
                          <w:lang w:eastAsia="lt-LT"/>
                        </w:rPr>
                        <w:t xml:space="preserve"> Leidžiamos naudoti, </w:t>
                      </w:r>
                      <w:r>
                        <w:rPr>
                          <w:sz w:val="22"/>
                          <w:szCs w:val="24"/>
                          <w:lang w:eastAsia="lt-LT"/>
                        </w:rPr>
                        <w:t xml:space="preserve">išskyrus numatomas laikyti ir paruošti naudoti, </w:t>
                      </w:r>
                      <w:r>
                        <w:rPr>
                          <w:rFonts w:eastAsia="Calibri"/>
                          <w:sz w:val="22"/>
                          <w:szCs w:val="24"/>
                          <w:lang w:eastAsia="lt-LT"/>
                        </w:rPr>
                        <w:t>pavojingosios atliekos</w:t>
                      </w:r>
                    </w:p>
                    <w:p>
                      <w:pPr>
                        <w:suppressAutoHyphens/>
                        <w:ind w:firstLine="567"/>
                        <w:jc w:val="both"/>
                        <w:rPr>
                          <w:sz w:val="22"/>
                          <w:szCs w:val="24"/>
                          <w:lang w:eastAsia="lt-LT"/>
                        </w:rPr>
                      </w:pPr>
                    </w:p>
                    <w:p>
                      <w:pPr>
                        <w:suppressAutoHyphens/>
                        <w:jc w:val="both"/>
                        <w:rPr>
                          <w:rFonts w:eastAsia="Calibri"/>
                          <w:sz w:val="22"/>
                          <w:szCs w:val="24"/>
                          <w:lang w:eastAsia="lt-LT"/>
                        </w:rPr>
                      </w:pPr>
                      <w:r>
                        <w:rPr>
                          <w:rFonts w:eastAsia="Calibri"/>
                          <w:sz w:val="22"/>
                          <w:szCs w:val="24"/>
                          <w:lang w:eastAsia="lt-LT"/>
                        </w:rPr>
                        <w:t>Įrenginio pavadinimas</w:t>
                      </w:r>
                      <w:r>
                        <w:rPr>
                          <w:rFonts w:ascii="Symbol" w:eastAsia="Symbol" w:hAnsi="Symbol" w:cs="Symbol"/>
                          <w:sz w:val="22"/>
                          <w:szCs w:val="24"/>
                          <w:lang w:eastAsia="lt-LT"/>
                        </w:rPr>
                        <w:t></w:t>
                      </w:r>
                    </w:p>
                    <w:p>
                      <w:pPr>
                        <w:suppressAutoHyphens/>
                        <w:jc w:val="both"/>
                        <w:rPr>
                          <w:szCs w:val="24"/>
                          <w:lang w:eastAsia="lt-LT"/>
                        </w:rPr>
                      </w:pPr>
                    </w:p>
                    <w:tbl>
                      <w:tblPr>
                        <w:tblW w:w="500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
                        <w:gridCol w:w="1646"/>
                        <w:gridCol w:w="1646"/>
                        <w:gridCol w:w="1045"/>
                        <w:gridCol w:w="1748"/>
                        <w:gridCol w:w="2478"/>
                        <w:gridCol w:w="2423"/>
                        <w:gridCol w:w="2014"/>
                      </w:tblGrid>
                      <w:tr>
                        <w:trPr>
                          <w:cantSplit/>
                        </w:trPr>
                        <w:tc>
                          <w:tcPr>
                            <w:tcW w:w="262" w:type="pct"/>
                            <w:vMerge w:val="restart"/>
                            <w:tcBorders>
                              <w:top w:val="single" w:sz="4" w:space="0" w:color="auto"/>
                              <w:left w:val="single" w:sz="4" w:space="0" w:color="auto"/>
                              <w:right w:val="single" w:sz="4" w:space="0" w:color="auto"/>
                            </w:tcBorders>
                            <w:vAlign w:val="center"/>
                          </w:tcPr>
                          <w:p>
                            <w:pPr>
                              <w:suppressAutoHyphens/>
                              <w:jc w:val="center"/>
                              <w:rPr>
                                <w:rFonts w:eastAsia="Calibri"/>
                                <w:sz w:val="20"/>
                                <w:lang w:eastAsia="lt-LT"/>
                              </w:rPr>
                            </w:pPr>
                            <w:r>
                              <w:rPr>
                                <w:rFonts w:eastAsia="Calibri"/>
                                <w:sz w:val="20"/>
                                <w:lang w:eastAsia="lt-LT"/>
                              </w:rPr>
                              <w:t>Eil. Nr.</w:t>
                            </w:r>
                          </w:p>
                        </w:tc>
                        <w:tc>
                          <w:tcPr>
                            <w:tcW w:w="600"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suppressAutoHyphens/>
                              <w:jc w:val="center"/>
                              <w:rPr>
                                <w:rFonts w:eastAsia="Calibri"/>
                                <w:sz w:val="20"/>
                                <w:lang w:eastAsia="lt-LT"/>
                              </w:rPr>
                            </w:pPr>
                            <w:r>
                              <w:rPr>
                                <w:rFonts w:eastAsia="Calibri"/>
                                <w:sz w:val="20"/>
                                <w:lang w:eastAsia="lt-LT"/>
                              </w:rPr>
                              <w:t>Pavojingųjų</w:t>
                            </w:r>
                          </w:p>
                          <w:p>
                            <w:pPr>
                              <w:suppressAutoHyphens/>
                              <w:jc w:val="center"/>
                              <w:rPr>
                                <w:rFonts w:eastAsia="Calibri"/>
                                <w:sz w:val="20"/>
                                <w:lang w:eastAsia="lt-LT"/>
                              </w:rPr>
                            </w:pPr>
                            <w:r>
                              <w:rPr>
                                <w:rFonts w:eastAsia="Calibri"/>
                                <w:sz w:val="20"/>
                                <w:lang w:eastAsia="lt-LT"/>
                              </w:rPr>
                              <w:t>atliekų technologinio srauto žymėjimas</w:t>
                            </w:r>
                          </w:p>
                        </w:tc>
                        <w:tc>
                          <w:tcPr>
                            <w:tcW w:w="600"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suppressAutoHyphens/>
                              <w:jc w:val="center"/>
                              <w:rPr>
                                <w:rFonts w:eastAsia="Calibri"/>
                                <w:sz w:val="20"/>
                                <w:lang w:eastAsia="lt-LT"/>
                              </w:rPr>
                            </w:pPr>
                            <w:r>
                              <w:rPr>
                                <w:rFonts w:eastAsia="Calibri"/>
                                <w:sz w:val="20"/>
                                <w:lang w:eastAsia="lt-LT"/>
                              </w:rPr>
                              <w:t>Pavojingųjų atliekų technologinio srauto pavadinimas</w:t>
                            </w:r>
                          </w:p>
                        </w:tc>
                        <w:tc>
                          <w:tcPr>
                            <w:tcW w:w="381"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suppressAutoHyphens/>
                              <w:jc w:val="center"/>
                              <w:rPr>
                                <w:rFonts w:eastAsia="Calibri"/>
                                <w:sz w:val="20"/>
                                <w:lang w:eastAsia="lt-LT"/>
                              </w:rPr>
                            </w:pPr>
                            <w:r>
                              <w:rPr>
                                <w:rFonts w:eastAsia="Calibri"/>
                                <w:sz w:val="20"/>
                                <w:lang w:eastAsia="lt-LT"/>
                              </w:rPr>
                              <w:t>Atliekos kodas</w:t>
                            </w:r>
                          </w:p>
                        </w:tc>
                        <w:tc>
                          <w:tcPr>
                            <w:tcW w:w="637" w:type="pct"/>
                            <w:vMerge w:val="restar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r>
                              <w:rPr>
                                <w:rFonts w:eastAsia="Calibri"/>
                                <w:sz w:val="20"/>
                                <w:lang w:eastAsia="lt-LT"/>
                              </w:rPr>
                              <w:t>Atliekos pavadinimas</w:t>
                            </w:r>
                          </w:p>
                        </w:tc>
                        <w:tc>
                          <w:tcPr>
                            <w:tcW w:w="903"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suppressAutoHyphens/>
                              <w:jc w:val="center"/>
                              <w:rPr>
                                <w:rFonts w:eastAsia="Calibri"/>
                                <w:sz w:val="20"/>
                                <w:lang w:eastAsia="lt-LT"/>
                              </w:rPr>
                            </w:pPr>
                            <w:r>
                              <w:rPr>
                                <w:rFonts w:eastAsia="Calibri"/>
                                <w:sz w:val="20"/>
                                <w:lang w:eastAsia="lt-LT"/>
                              </w:rPr>
                              <w:t>Patikslintas atliekos pavadinimas</w:t>
                            </w:r>
                          </w:p>
                        </w:tc>
                        <w:tc>
                          <w:tcPr>
                            <w:tcW w:w="1617" w:type="pct"/>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suppressAutoHyphens/>
                              <w:jc w:val="center"/>
                              <w:rPr>
                                <w:rFonts w:eastAsia="Calibri"/>
                                <w:sz w:val="20"/>
                                <w:lang w:eastAsia="lt-LT"/>
                              </w:rPr>
                            </w:pPr>
                            <w:r>
                              <w:rPr>
                                <w:rFonts w:eastAsia="Calibri"/>
                                <w:sz w:val="20"/>
                                <w:lang w:eastAsia="lt-LT"/>
                              </w:rPr>
                              <w:t xml:space="preserve">Atliekų </w:t>
                            </w:r>
                            <w:r>
                              <w:rPr>
                                <w:sz w:val="20"/>
                                <w:lang w:eastAsia="lt-LT"/>
                              </w:rPr>
                              <w:t>naudojimas</w:t>
                            </w:r>
                          </w:p>
                        </w:tc>
                      </w:tr>
                      <w:tr>
                        <w:trPr>
                          <w:cantSplit/>
                          <w:trHeight w:val="855"/>
                        </w:trPr>
                        <w:tc>
                          <w:tcPr>
                            <w:tcW w:w="262" w:type="pct"/>
                            <w:vMerge/>
                            <w:tcBorders>
                              <w:left w:val="single" w:sz="4" w:space="0" w:color="auto"/>
                              <w:bottom w:val="single" w:sz="4" w:space="0" w:color="auto"/>
                              <w:right w:val="single" w:sz="4" w:space="0" w:color="auto"/>
                            </w:tcBorders>
                            <w:vAlign w:val="center"/>
                          </w:tcPr>
                          <w:p>
                            <w:pPr>
                              <w:suppressAutoHyphens/>
                              <w:jc w:val="center"/>
                              <w:rPr>
                                <w:rFonts w:eastAsia="Calibri"/>
                                <w:sz w:val="20"/>
                                <w:lang w:eastAsia="lt-LT"/>
                              </w:rPr>
                            </w:pPr>
                          </w:p>
                        </w:tc>
                        <w:tc>
                          <w:tcPr>
                            <w:tcW w:w="600" w:type="pct"/>
                            <w:vMerge/>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p>
                        </w:tc>
                        <w:tc>
                          <w:tcPr>
                            <w:tcW w:w="600" w:type="pct"/>
                            <w:vMerge/>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p>
                        </w:tc>
                        <w:tc>
                          <w:tcPr>
                            <w:tcW w:w="381" w:type="pct"/>
                            <w:vMerge/>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p>
                        </w:tc>
                        <w:tc>
                          <w:tcPr>
                            <w:tcW w:w="637" w:type="pct"/>
                            <w:vMerge/>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p>
                        </w:tc>
                        <w:tc>
                          <w:tcPr>
                            <w:tcW w:w="903" w:type="pct"/>
                            <w:vMerge/>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p>
                        </w:tc>
                        <w:tc>
                          <w:tcPr>
                            <w:tcW w:w="883"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suppressAutoHyphens/>
                              <w:jc w:val="center"/>
                              <w:rPr>
                                <w:rFonts w:eastAsia="Calibri"/>
                                <w:sz w:val="20"/>
                                <w:lang w:eastAsia="lt-LT"/>
                              </w:rPr>
                            </w:pPr>
                            <w:r>
                              <w:rPr>
                                <w:rFonts w:eastAsia="Calibri"/>
                                <w:sz w:val="20"/>
                                <w:lang w:eastAsia="lt-LT"/>
                              </w:rPr>
                              <w:t>Atliekos naudojimo veiklos kodas</w:t>
                            </w:r>
                          </w:p>
                          <w:p>
                            <w:pPr>
                              <w:suppressAutoHyphens/>
                              <w:jc w:val="center"/>
                              <w:rPr>
                                <w:rFonts w:eastAsia="Calibri"/>
                                <w:sz w:val="20"/>
                                <w:lang w:eastAsia="lt-LT"/>
                              </w:rPr>
                            </w:pPr>
                            <w:r>
                              <w:rPr>
                                <w:rFonts w:eastAsia="Calibri"/>
                                <w:sz w:val="20"/>
                                <w:lang w:eastAsia="lt-LT"/>
                              </w:rPr>
                              <w:t>(R1–R11)</w:t>
                            </w:r>
                          </w:p>
                        </w:tc>
                        <w:tc>
                          <w:tcPr>
                            <w:tcW w:w="734"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suppressAutoHyphens/>
                              <w:jc w:val="center"/>
                              <w:rPr>
                                <w:rFonts w:eastAsia="Calibri"/>
                                <w:sz w:val="20"/>
                                <w:lang w:eastAsia="lt-LT"/>
                              </w:rPr>
                            </w:pPr>
                            <w:r>
                              <w:rPr>
                                <w:rFonts w:eastAsia="Calibri"/>
                                <w:sz w:val="20"/>
                                <w:lang w:eastAsia="lt-LT"/>
                              </w:rPr>
                              <w:t>Projektinis įrenginio pajėgumas, t/m.</w:t>
                            </w:r>
                          </w:p>
                          <w:p>
                            <w:pPr>
                              <w:suppressAutoHyphens/>
                              <w:jc w:val="center"/>
                              <w:rPr>
                                <w:rFonts w:eastAsia="Calibri"/>
                                <w:sz w:val="20"/>
                                <w:lang w:eastAsia="lt-LT"/>
                              </w:rPr>
                            </w:pPr>
                          </w:p>
                        </w:tc>
                      </w:tr>
                      <w:tr>
                        <w:trPr>
                          <w:cantSplit/>
                          <w:trHeight w:val="243"/>
                        </w:trPr>
                        <w:tc>
                          <w:tcPr>
                            <w:tcW w:w="262" w:type="pct"/>
                            <w:tcBorders>
                              <w:top w:val="single" w:sz="4" w:space="0" w:color="auto"/>
                              <w:left w:val="single" w:sz="4" w:space="0" w:color="auto"/>
                              <w:bottom w:val="single" w:sz="4" w:space="0" w:color="auto"/>
                              <w:right w:val="single" w:sz="4" w:space="0" w:color="auto"/>
                            </w:tcBorders>
                          </w:tcPr>
                          <w:p>
                            <w:pPr>
                              <w:suppressAutoHyphens/>
                              <w:jc w:val="center"/>
                              <w:rPr>
                                <w:rFonts w:eastAsia="Calibri"/>
                                <w:sz w:val="20"/>
                                <w:lang w:eastAsia="lt-LT"/>
                              </w:rPr>
                            </w:pPr>
                            <w:r>
                              <w:rPr>
                                <w:rFonts w:eastAsia="Calibri"/>
                                <w:sz w:val="20"/>
                                <w:lang w:eastAsia="lt-LT"/>
                              </w:rPr>
                              <w:t>1</w:t>
                            </w:r>
                          </w:p>
                        </w:tc>
                        <w:tc>
                          <w:tcPr>
                            <w:tcW w:w="600"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suppressAutoHyphens/>
                              <w:jc w:val="center"/>
                              <w:rPr>
                                <w:rFonts w:eastAsia="Calibri"/>
                                <w:sz w:val="20"/>
                                <w:lang w:eastAsia="lt-LT"/>
                              </w:rPr>
                            </w:pPr>
                            <w:r>
                              <w:rPr>
                                <w:rFonts w:eastAsia="Calibri"/>
                                <w:sz w:val="20"/>
                                <w:lang w:eastAsia="lt-LT"/>
                              </w:rPr>
                              <w:t>2</w:t>
                            </w:r>
                          </w:p>
                        </w:tc>
                        <w:tc>
                          <w:tcPr>
                            <w:tcW w:w="600"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suppressAutoHyphens/>
                              <w:jc w:val="center"/>
                              <w:rPr>
                                <w:rFonts w:eastAsia="Calibri"/>
                                <w:sz w:val="20"/>
                                <w:lang w:eastAsia="lt-LT"/>
                              </w:rPr>
                            </w:pPr>
                            <w:r>
                              <w:rPr>
                                <w:rFonts w:eastAsia="Calibri"/>
                                <w:sz w:val="20"/>
                                <w:lang w:eastAsia="lt-LT"/>
                              </w:rPr>
                              <w:t>3</w:t>
                            </w:r>
                          </w:p>
                        </w:tc>
                        <w:tc>
                          <w:tcPr>
                            <w:tcW w:w="381"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uppressAutoHyphens/>
                              <w:jc w:val="center"/>
                              <w:rPr>
                                <w:rFonts w:eastAsia="Calibri"/>
                                <w:sz w:val="20"/>
                                <w:lang w:eastAsia="lt-LT"/>
                              </w:rPr>
                            </w:pPr>
                            <w:r>
                              <w:rPr>
                                <w:rFonts w:eastAsia="Calibri"/>
                                <w:sz w:val="20"/>
                                <w:lang w:eastAsia="lt-LT"/>
                              </w:rPr>
                              <w:t>4</w:t>
                            </w:r>
                          </w:p>
                        </w:tc>
                        <w:tc>
                          <w:tcPr>
                            <w:tcW w:w="637" w:type="pct"/>
                            <w:tcBorders>
                              <w:top w:val="single" w:sz="4" w:space="0" w:color="auto"/>
                              <w:left w:val="single" w:sz="4" w:space="0" w:color="auto"/>
                              <w:bottom w:val="single" w:sz="4" w:space="0" w:color="auto"/>
                              <w:right w:val="single" w:sz="4" w:space="0" w:color="auto"/>
                            </w:tcBorders>
                            <w:hideMark/>
                          </w:tcPr>
                          <w:p>
                            <w:pPr>
                              <w:suppressAutoHyphens/>
                              <w:jc w:val="center"/>
                              <w:rPr>
                                <w:rFonts w:eastAsia="Calibri"/>
                                <w:sz w:val="20"/>
                                <w:lang w:eastAsia="lt-LT"/>
                              </w:rPr>
                            </w:pPr>
                            <w:r>
                              <w:rPr>
                                <w:rFonts w:eastAsia="Calibri"/>
                                <w:sz w:val="20"/>
                                <w:lang w:eastAsia="lt-LT"/>
                              </w:rPr>
                              <w:t>5</w:t>
                            </w:r>
                          </w:p>
                        </w:tc>
                        <w:tc>
                          <w:tcPr>
                            <w:tcW w:w="903"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uppressAutoHyphens/>
                              <w:jc w:val="center"/>
                              <w:rPr>
                                <w:rFonts w:eastAsia="Calibri"/>
                                <w:sz w:val="20"/>
                                <w:lang w:eastAsia="lt-LT"/>
                              </w:rPr>
                            </w:pPr>
                            <w:r>
                              <w:rPr>
                                <w:rFonts w:eastAsia="Calibri"/>
                                <w:sz w:val="20"/>
                                <w:lang w:eastAsia="lt-LT"/>
                              </w:rPr>
                              <w:t>6</w:t>
                            </w:r>
                          </w:p>
                        </w:tc>
                        <w:tc>
                          <w:tcPr>
                            <w:tcW w:w="883"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suppressAutoHyphens/>
                              <w:jc w:val="center"/>
                              <w:rPr>
                                <w:rFonts w:eastAsia="Calibri"/>
                                <w:sz w:val="20"/>
                                <w:lang w:eastAsia="lt-LT"/>
                              </w:rPr>
                            </w:pPr>
                            <w:r>
                              <w:rPr>
                                <w:rFonts w:eastAsia="Calibri"/>
                                <w:sz w:val="20"/>
                                <w:lang w:eastAsia="lt-LT"/>
                              </w:rPr>
                              <w:t>7</w:t>
                            </w:r>
                          </w:p>
                        </w:tc>
                        <w:tc>
                          <w:tcPr>
                            <w:tcW w:w="734"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uppressAutoHyphens/>
                              <w:jc w:val="center"/>
                              <w:rPr>
                                <w:rFonts w:eastAsia="Calibri"/>
                                <w:sz w:val="20"/>
                                <w:lang w:eastAsia="lt-LT"/>
                              </w:rPr>
                            </w:pPr>
                            <w:r>
                              <w:rPr>
                                <w:rFonts w:eastAsia="Calibri"/>
                                <w:sz w:val="20"/>
                                <w:lang w:eastAsia="lt-LT"/>
                              </w:rPr>
                              <w:t>8</w:t>
                            </w:r>
                          </w:p>
                        </w:tc>
                      </w:tr>
                      <w:tr>
                        <w:trPr>
                          <w:cantSplit/>
                          <w:trHeight w:val="243"/>
                        </w:trPr>
                        <w:tc>
                          <w:tcPr>
                            <w:tcW w:w="262" w:type="pct"/>
                            <w:tcBorders>
                              <w:top w:val="single" w:sz="4" w:space="0" w:color="auto"/>
                              <w:left w:val="single" w:sz="4" w:space="0" w:color="auto"/>
                              <w:bottom w:val="single" w:sz="4" w:space="0" w:color="auto"/>
                              <w:right w:val="single" w:sz="4" w:space="0" w:color="auto"/>
                            </w:tcBorders>
                          </w:tcPr>
                          <w:p>
                            <w:pPr>
                              <w:suppressAutoHyphens/>
                              <w:jc w:val="both"/>
                              <w:rPr>
                                <w:rFonts w:eastAsia="Calibri"/>
                                <w:sz w:val="20"/>
                                <w:lang w:eastAsia="lt-LT"/>
                              </w:rPr>
                            </w:pPr>
                          </w:p>
                        </w:tc>
                        <w:tc>
                          <w:tcPr>
                            <w:tcW w:w="600"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suppressAutoHyphens/>
                              <w:jc w:val="both"/>
                              <w:rPr>
                                <w:rFonts w:eastAsia="Calibri"/>
                                <w:sz w:val="20"/>
                                <w:lang w:eastAsia="lt-LT"/>
                              </w:rPr>
                            </w:pPr>
                          </w:p>
                        </w:tc>
                        <w:tc>
                          <w:tcPr>
                            <w:tcW w:w="600"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suppressAutoHyphens/>
                              <w:jc w:val="both"/>
                              <w:rPr>
                                <w:rFonts w:eastAsia="Calibri"/>
                                <w:sz w:val="20"/>
                                <w:lang w:eastAsia="lt-LT"/>
                              </w:rPr>
                            </w:pPr>
                          </w:p>
                        </w:tc>
                        <w:tc>
                          <w:tcPr>
                            <w:tcW w:w="381"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suppressAutoHyphens/>
                              <w:jc w:val="both"/>
                              <w:rPr>
                                <w:rFonts w:eastAsia="Calibri"/>
                                <w:sz w:val="20"/>
                                <w:lang w:eastAsia="lt-LT"/>
                              </w:rPr>
                            </w:pPr>
                          </w:p>
                        </w:tc>
                        <w:tc>
                          <w:tcPr>
                            <w:tcW w:w="637" w:type="pct"/>
                            <w:tcBorders>
                              <w:top w:val="single" w:sz="4" w:space="0" w:color="auto"/>
                              <w:left w:val="single" w:sz="4" w:space="0" w:color="auto"/>
                              <w:bottom w:val="single" w:sz="4" w:space="0" w:color="auto"/>
                              <w:right w:val="single" w:sz="4" w:space="0" w:color="auto"/>
                            </w:tcBorders>
                          </w:tcPr>
                          <w:p>
                            <w:pPr>
                              <w:suppressAutoHyphens/>
                              <w:jc w:val="both"/>
                              <w:rPr>
                                <w:rFonts w:eastAsia="Calibri"/>
                                <w:sz w:val="20"/>
                                <w:lang w:eastAsia="lt-LT"/>
                              </w:rPr>
                            </w:pPr>
                          </w:p>
                        </w:tc>
                        <w:tc>
                          <w:tcPr>
                            <w:tcW w:w="903"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suppressAutoHyphens/>
                              <w:jc w:val="both"/>
                              <w:rPr>
                                <w:rFonts w:eastAsia="Calibri"/>
                                <w:sz w:val="20"/>
                                <w:lang w:eastAsia="lt-LT"/>
                              </w:rPr>
                            </w:pPr>
                          </w:p>
                        </w:tc>
                        <w:tc>
                          <w:tcPr>
                            <w:tcW w:w="883"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suppressAutoHyphens/>
                              <w:jc w:val="both"/>
                              <w:rPr>
                                <w:rFonts w:eastAsia="Calibri"/>
                                <w:sz w:val="20"/>
                                <w:lang w:eastAsia="lt-LT"/>
                              </w:rPr>
                            </w:pPr>
                          </w:p>
                        </w:tc>
                        <w:tc>
                          <w:tcPr>
                            <w:tcW w:w="734"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suppressAutoHyphens/>
                              <w:jc w:val="both"/>
                              <w:rPr>
                                <w:rFonts w:eastAsia="Calibri"/>
                                <w:sz w:val="20"/>
                                <w:lang w:eastAsia="lt-LT"/>
                              </w:rPr>
                            </w:pPr>
                          </w:p>
                        </w:tc>
                      </w:tr>
                      <w:tr>
                        <w:trPr>
                          <w:cantSplit/>
                          <w:trHeight w:val="243"/>
                        </w:trPr>
                        <w:tc>
                          <w:tcPr>
                            <w:tcW w:w="262" w:type="pct"/>
                            <w:tcBorders>
                              <w:top w:val="single" w:sz="4" w:space="0" w:color="auto"/>
                              <w:left w:val="single" w:sz="4" w:space="0" w:color="auto"/>
                              <w:bottom w:val="single" w:sz="4" w:space="0" w:color="auto"/>
                              <w:right w:val="single" w:sz="4" w:space="0" w:color="auto"/>
                            </w:tcBorders>
                          </w:tcPr>
                          <w:p>
                            <w:pPr>
                              <w:suppressAutoHyphens/>
                              <w:jc w:val="both"/>
                              <w:rPr>
                                <w:rFonts w:eastAsia="Calibri"/>
                                <w:sz w:val="20"/>
                                <w:lang w:eastAsia="lt-LT"/>
                              </w:rPr>
                            </w:pPr>
                          </w:p>
                        </w:tc>
                        <w:tc>
                          <w:tcPr>
                            <w:tcW w:w="600" w:type="pct"/>
                            <w:vMerge/>
                            <w:tcBorders>
                              <w:top w:val="single" w:sz="4" w:space="0" w:color="auto"/>
                              <w:left w:val="single" w:sz="4" w:space="0" w:color="auto"/>
                              <w:bottom w:val="single" w:sz="4" w:space="0" w:color="auto"/>
                              <w:right w:val="single" w:sz="4" w:space="0" w:color="auto"/>
                            </w:tcBorders>
                            <w:vAlign w:val="center"/>
                            <w:hideMark/>
                          </w:tcPr>
                          <w:p>
                            <w:pPr>
                              <w:suppressAutoHyphens/>
                              <w:jc w:val="both"/>
                              <w:rPr>
                                <w:rFonts w:eastAsia="Calibri"/>
                                <w:sz w:val="20"/>
                                <w:lang w:eastAsia="lt-LT"/>
                              </w:rPr>
                            </w:pPr>
                          </w:p>
                        </w:tc>
                        <w:tc>
                          <w:tcPr>
                            <w:tcW w:w="600" w:type="pct"/>
                            <w:vMerge/>
                            <w:tcBorders>
                              <w:top w:val="single" w:sz="4" w:space="0" w:color="auto"/>
                              <w:left w:val="single" w:sz="4" w:space="0" w:color="auto"/>
                              <w:bottom w:val="single" w:sz="4" w:space="0" w:color="auto"/>
                              <w:right w:val="single" w:sz="4" w:space="0" w:color="auto"/>
                            </w:tcBorders>
                            <w:vAlign w:val="center"/>
                            <w:hideMark/>
                          </w:tcPr>
                          <w:p>
                            <w:pPr>
                              <w:suppressAutoHyphens/>
                              <w:jc w:val="both"/>
                              <w:rPr>
                                <w:rFonts w:eastAsia="Calibri"/>
                                <w:sz w:val="20"/>
                                <w:lang w:eastAsia="lt-LT"/>
                              </w:rPr>
                            </w:pPr>
                          </w:p>
                        </w:tc>
                        <w:tc>
                          <w:tcPr>
                            <w:tcW w:w="381"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suppressAutoHyphens/>
                              <w:jc w:val="both"/>
                              <w:rPr>
                                <w:rFonts w:eastAsia="Calibri"/>
                                <w:sz w:val="20"/>
                                <w:lang w:eastAsia="lt-LT"/>
                              </w:rPr>
                            </w:pPr>
                          </w:p>
                        </w:tc>
                        <w:tc>
                          <w:tcPr>
                            <w:tcW w:w="637" w:type="pct"/>
                            <w:tcBorders>
                              <w:top w:val="single" w:sz="4" w:space="0" w:color="auto"/>
                              <w:left w:val="single" w:sz="4" w:space="0" w:color="auto"/>
                              <w:bottom w:val="single" w:sz="4" w:space="0" w:color="auto"/>
                              <w:right w:val="single" w:sz="4" w:space="0" w:color="auto"/>
                            </w:tcBorders>
                          </w:tcPr>
                          <w:p>
                            <w:pPr>
                              <w:suppressAutoHyphens/>
                              <w:jc w:val="both"/>
                              <w:rPr>
                                <w:rFonts w:eastAsia="Calibri"/>
                                <w:sz w:val="20"/>
                                <w:lang w:eastAsia="lt-LT"/>
                              </w:rPr>
                            </w:pPr>
                          </w:p>
                        </w:tc>
                        <w:tc>
                          <w:tcPr>
                            <w:tcW w:w="903"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suppressAutoHyphens/>
                              <w:jc w:val="both"/>
                              <w:rPr>
                                <w:rFonts w:eastAsia="Calibri"/>
                                <w:sz w:val="20"/>
                                <w:lang w:eastAsia="lt-LT"/>
                              </w:rPr>
                            </w:pPr>
                          </w:p>
                        </w:tc>
                        <w:tc>
                          <w:tcPr>
                            <w:tcW w:w="883"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suppressAutoHyphens/>
                              <w:jc w:val="both"/>
                              <w:rPr>
                                <w:rFonts w:eastAsia="Calibri"/>
                                <w:sz w:val="20"/>
                                <w:lang w:eastAsia="lt-LT"/>
                              </w:rPr>
                            </w:pPr>
                          </w:p>
                        </w:tc>
                        <w:tc>
                          <w:tcPr>
                            <w:tcW w:w="734" w:type="pct"/>
                            <w:vMerge/>
                            <w:tcBorders>
                              <w:top w:val="single" w:sz="4" w:space="0" w:color="auto"/>
                              <w:left w:val="single" w:sz="4" w:space="0" w:color="auto"/>
                              <w:bottom w:val="single" w:sz="4" w:space="0" w:color="auto"/>
                              <w:right w:val="single" w:sz="4" w:space="0" w:color="auto"/>
                            </w:tcBorders>
                            <w:vAlign w:val="center"/>
                            <w:hideMark/>
                          </w:tcPr>
                          <w:p>
                            <w:pPr>
                              <w:suppressAutoHyphens/>
                              <w:jc w:val="both"/>
                              <w:rPr>
                                <w:rFonts w:eastAsia="Calibri"/>
                                <w:sz w:val="20"/>
                                <w:lang w:eastAsia="lt-LT"/>
                              </w:rPr>
                            </w:pPr>
                          </w:p>
                        </w:tc>
                      </w:tr>
                      <w:tr>
                        <w:trPr>
                          <w:cantSplit/>
                          <w:trHeight w:val="243"/>
                        </w:trPr>
                        <w:tc>
                          <w:tcPr>
                            <w:tcW w:w="262" w:type="pct"/>
                            <w:tcBorders>
                              <w:top w:val="single" w:sz="4" w:space="0" w:color="auto"/>
                              <w:left w:val="single" w:sz="4" w:space="0" w:color="auto"/>
                              <w:bottom w:val="single" w:sz="4" w:space="0" w:color="auto"/>
                              <w:right w:val="single" w:sz="4" w:space="0" w:color="auto"/>
                            </w:tcBorders>
                          </w:tcPr>
                          <w:p>
                            <w:pPr>
                              <w:suppressAutoHyphens/>
                              <w:jc w:val="both"/>
                              <w:rPr>
                                <w:rFonts w:eastAsia="Calibri"/>
                                <w:sz w:val="20"/>
                                <w:lang w:eastAsia="lt-LT"/>
                              </w:rPr>
                            </w:pPr>
                          </w:p>
                        </w:tc>
                        <w:tc>
                          <w:tcPr>
                            <w:tcW w:w="600" w:type="pct"/>
                            <w:vMerge/>
                            <w:tcBorders>
                              <w:top w:val="single" w:sz="4" w:space="0" w:color="auto"/>
                              <w:left w:val="single" w:sz="4" w:space="0" w:color="auto"/>
                              <w:bottom w:val="single" w:sz="4" w:space="0" w:color="auto"/>
                              <w:right w:val="single" w:sz="4" w:space="0" w:color="auto"/>
                            </w:tcBorders>
                            <w:vAlign w:val="center"/>
                            <w:hideMark/>
                          </w:tcPr>
                          <w:p>
                            <w:pPr>
                              <w:suppressAutoHyphens/>
                              <w:jc w:val="both"/>
                              <w:rPr>
                                <w:rFonts w:eastAsia="Calibri"/>
                                <w:sz w:val="20"/>
                                <w:lang w:eastAsia="lt-LT"/>
                              </w:rPr>
                            </w:pPr>
                          </w:p>
                        </w:tc>
                        <w:tc>
                          <w:tcPr>
                            <w:tcW w:w="600" w:type="pct"/>
                            <w:vMerge/>
                            <w:tcBorders>
                              <w:top w:val="single" w:sz="4" w:space="0" w:color="auto"/>
                              <w:left w:val="single" w:sz="4" w:space="0" w:color="auto"/>
                              <w:bottom w:val="single" w:sz="4" w:space="0" w:color="auto"/>
                              <w:right w:val="single" w:sz="4" w:space="0" w:color="auto"/>
                            </w:tcBorders>
                            <w:vAlign w:val="center"/>
                            <w:hideMark/>
                          </w:tcPr>
                          <w:p>
                            <w:pPr>
                              <w:suppressAutoHyphens/>
                              <w:jc w:val="both"/>
                              <w:rPr>
                                <w:rFonts w:eastAsia="Calibri"/>
                                <w:sz w:val="20"/>
                                <w:lang w:eastAsia="lt-LT"/>
                              </w:rPr>
                            </w:pPr>
                          </w:p>
                        </w:tc>
                        <w:tc>
                          <w:tcPr>
                            <w:tcW w:w="381"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suppressAutoHyphens/>
                              <w:jc w:val="both"/>
                              <w:rPr>
                                <w:rFonts w:eastAsia="Calibri"/>
                                <w:sz w:val="20"/>
                                <w:lang w:eastAsia="lt-LT"/>
                              </w:rPr>
                            </w:pPr>
                          </w:p>
                        </w:tc>
                        <w:tc>
                          <w:tcPr>
                            <w:tcW w:w="637" w:type="pct"/>
                            <w:tcBorders>
                              <w:top w:val="single" w:sz="4" w:space="0" w:color="auto"/>
                              <w:left w:val="single" w:sz="4" w:space="0" w:color="auto"/>
                              <w:bottom w:val="single" w:sz="4" w:space="0" w:color="auto"/>
                              <w:right w:val="single" w:sz="4" w:space="0" w:color="auto"/>
                            </w:tcBorders>
                          </w:tcPr>
                          <w:p>
                            <w:pPr>
                              <w:suppressAutoHyphens/>
                              <w:jc w:val="both"/>
                              <w:rPr>
                                <w:rFonts w:eastAsia="Calibri"/>
                                <w:sz w:val="20"/>
                                <w:lang w:eastAsia="lt-LT"/>
                              </w:rPr>
                            </w:pPr>
                          </w:p>
                        </w:tc>
                        <w:tc>
                          <w:tcPr>
                            <w:tcW w:w="903"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suppressAutoHyphens/>
                              <w:jc w:val="both"/>
                              <w:rPr>
                                <w:rFonts w:eastAsia="Calibri"/>
                                <w:sz w:val="20"/>
                                <w:lang w:eastAsia="lt-LT"/>
                              </w:rPr>
                            </w:pPr>
                          </w:p>
                        </w:tc>
                        <w:tc>
                          <w:tcPr>
                            <w:tcW w:w="883"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suppressAutoHyphens/>
                              <w:jc w:val="both"/>
                              <w:rPr>
                                <w:rFonts w:eastAsia="Calibri"/>
                                <w:sz w:val="20"/>
                                <w:lang w:eastAsia="lt-LT"/>
                              </w:rPr>
                            </w:pPr>
                          </w:p>
                        </w:tc>
                        <w:tc>
                          <w:tcPr>
                            <w:tcW w:w="734" w:type="pct"/>
                            <w:vMerge/>
                            <w:tcBorders>
                              <w:top w:val="single" w:sz="4" w:space="0" w:color="auto"/>
                              <w:left w:val="single" w:sz="4" w:space="0" w:color="auto"/>
                              <w:bottom w:val="single" w:sz="4" w:space="0" w:color="auto"/>
                              <w:right w:val="single" w:sz="4" w:space="0" w:color="auto"/>
                            </w:tcBorders>
                            <w:vAlign w:val="center"/>
                            <w:hideMark/>
                          </w:tcPr>
                          <w:p>
                            <w:pPr>
                              <w:suppressAutoHyphens/>
                              <w:jc w:val="both"/>
                              <w:rPr>
                                <w:rFonts w:eastAsia="Calibri"/>
                                <w:sz w:val="20"/>
                                <w:lang w:eastAsia="lt-LT"/>
                              </w:rPr>
                            </w:pPr>
                          </w:p>
                        </w:tc>
                      </w:tr>
                    </w:tbl>
                    <w:p>
                      <w:pPr>
                        <w:suppressAutoHyphens/>
                        <w:ind w:firstLine="567"/>
                        <w:jc w:val="both"/>
                        <w:textAlignment w:val="baseline"/>
                        <w:rPr>
                          <w:rFonts w:eastAsia="Calibri"/>
                          <w:b/>
                          <w:szCs w:val="24"/>
                          <w:lang w:eastAsia="lt-LT"/>
                        </w:rPr>
                      </w:pPr>
                    </w:p>
                    <w:p>
                      <w:pPr>
                        <w:suppressAutoHyphens/>
                        <w:ind w:firstLine="567"/>
                        <w:jc w:val="both"/>
                        <w:textAlignment w:val="baseline"/>
                        <w:rPr>
                          <w:rFonts w:eastAsia="Calibri"/>
                          <w:sz w:val="22"/>
                          <w:szCs w:val="24"/>
                          <w:lang w:eastAsia="lt-LT"/>
                        </w:rPr>
                      </w:pPr>
                      <w:r>
                        <w:rPr>
                          <w:rFonts w:eastAsia="Calibri"/>
                          <w:b/>
                          <w:sz w:val="22"/>
                          <w:szCs w:val="24"/>
                          <w:lang w:eastAsia="lt-LT"/>
                        </w:rPr>
                        <w:t>18 lentelė.</w:t>
                      </w:r>
                      <w:r>
                        <w:rPr>
                          <w:rFonts w:eastAsia="Calibri"/>
                          <w:sz w:val="22"/>
                          <w:szCs w:val="24"/>
                          <w:lang w:eastAsia="lt-LT"/>
                        </w:rPr>
                        <w:t xml:space="preserve"> Leidžiamos šalinti</w:t>
                      </w:r>
                      <w:r>
                        <w:rPr>
                          <w:sz w:val="22"/>
                          <w:szCs w:val="24"/>
                          <w:lang w:eastAsia="lt-LT"/>
                        </w:rPr>
                        <w:t>, išskyrus numatomas laikyti ir paruošti šalinti,</w:t>
                      </w:r>
                      <w:r>
                        <w:rPr>
                          <w:rFonts w:eastAsia="Calibri"/>
                          <w:sz w:val="22"/>
                          <w:szCs w:val="24"/>
                          <w:lang w:eastAsia="lt-LT"/>
                        </w:rPr>
                        <w:t xml:space="preserve"> pavojingosios atliekos</w:t>
                      </w:r>
                    </w:p>
                    <w:p>
                      <w:pPr>
                        <w:suppressAutoHyphens/>
                        <w:rPr>
                          <w:sz w:val="22"/>
                          <w:szCs w:val="24"/>
                          <w:lang w:eastAsia="lt-LT"/>
                        </w:rPr>
                      </w:pPr>
                    </w:p>
                    <w:p>
                      <w:pPr>
                        <w:suppressAutoHyphens/>
                        <w:rPr>
                          <w:rFonts w:eastAsia="Calibri"/>
                          <w:sz w:val="22"/>
                          <w:szCs w:val="24"/>
                          <w:lang w:eastAsia="lt-LT"/>
                        </w:rPr>
                      </w:pPr>
                      <w:r>
                        <w:rPr>
                          <w:rFonts w:eastAsia="Calibri"/>
                          <w:sz w:val="22"/>
                          <w:szCs w:val="24"/>
                          <w:lang w:eastAsia="lt-LT"/>
                        </w:rPr>
                        <w:t>Įrenginio pavadinimas</w:t>
                      </w:r>
                      <w:r>
                        <w:rPr>
                          <w:rFonts w:ascii="Symbol" w:eastAsia="Symbol" w:hAnsi="Symbol" w:cs="Symbol"/>
                          <w:sz w:val="22"/>
                          <w:szCs w:val="24"/>
                          <w:lang w:eastAsia="lt-LT"/>
                        </w:rPr>
                        <w:t></w:t>
                      </w:r>
                    </w:p>
                    <w:p>
                      <w:pPr>
                        <w:suppressAutoHyphens/>
                        <w:rPr>
                          <w:szCs w:val="24"/>
                          <w:lang w:eastAsia="lt-LT"/>
                        </w:rPr>
                      </w:pPr>
                    </w:p>
                    <w:tbl>
                      <w:tblPr>
                        <w:tblW w:w="500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9"/>
                        <w:gridCol w:w="1685"/>
                        <w:gridCol w:w="1701"/>
                        <w:gridCol w:w="1172"/>
                        <w:gridCol w:w="1767"/>
                        <w:gridCol w:w="1564"/>
                        <w:gridCol w:w="1869"/>
                        <w:gridCol w:w="1416"/>
                        <w:gridCol w:w="1816"/>
                      </w:tblGrid>
                      <w:tr>
                        <w:trPr>
                          <w:cantSplit/>
                          <w:trHeight w:val="300"/>
                        </w:trPr>
                        <w:tc>
                          <w:tcPr>
                            <w:tcW w:w="266" w:type="pct"/>
                            <w:vMerge w:val="restart"/>
                            <w:tcBorders>
                              <w:top w:val="single" w:sz="4" w:space="0" w:color="auto"/>
                              <w:left w:val="single" w:sz="4" w:space="0" w:color="auto"/>
                              <w:right w:val="single" w:sz="4" w:space="0" w:color="auto"/>
                            </w:tcBorders>
                            <w:vAlign w:val="center"/>
                          </w:tcPr>
                          <w:p>
                            <w:pPr>
                              <w:suppressAutoHyphens/>
                              <w:jc w:val="center"/>
                              <w:rPr>
                                <w:rFonts w:eastAsia="Calibri"/>
                                <w:sz w:val="20"/>
                                <w:lang w:eastAsia="lt-LT"/>
                              </w:rPr>
                            </w:pPr>
                            <w:r>
                              <w:rPr>
                                <w:rFonts w:eastAsia="Calibri"/>
                                <w:sz w:val="20"/>
                                <w:lang w:eastAsia="lt-LT"/>
                              </w:rPr>
                              <w:t>Eil. Nr.</w:t>
                            </w:r>
                          </w:p>
                        </w:tc>
                        <w:tc>
                          <w:tcPr>
                            <w:tcW w:w="614"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suppressAutoHyphens/>
                              <w:jc w:val="center"/>
                              <w:rPr>
                                <w:rFonts w:eastAsia="Calibri"/>
                                <w:sz w:val="20"/>
                                <w:lang w:eastAsia="lt-LT"/>
                              </w:rPr>
                            </w:pPr>
                            <w:r>
                              <w:rPr>
                                <w:rFonts w:eastAsia="Calibri"/>
                                <w:sz w:val="20"/>
                                <w:lang w:eastAsia="lt-LT"/>
                              </w:rPr>
                              <w:t>Pavojingųjų atliekų technologinio srauto žymėjimas</w:t>
                            </w:r>
                          </w:p>
                        </w:tc>
                        <w:tc>
                          <w:tcPr>
                            <w:tcW w:w="620"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suppressAutoHyphens/>
                              <w:jc w:val="center"/>
                              <w:rPr>
                                <w:rFonts w:eastAsia="Calibri"/>
                                <w:sz w:val="20"/>
                                <w:lang w:eastAsia="lt-LT"/>
                              </w:rPr>
                            </w:pPr>
                            <w:r>
                              <w:rPr>
                                <w:rFonts w:eastAsia="Calibri"/>
                                <w:sz w:val="20"/>
                                <w:lang w:eastAsia="lt-LT"/>
                              </w:rPr>
                              <w:t>Pavojingųjų atliekų technologinio srauto pavadinimas</w:t>
                            </w:r>
                          </w:p>
                        </w:tc>
                        <w:tc>
                          <w:tcPr>
                            <w:tcW w:w="427"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suppressAutoHyphens/>
                              <w:jc w:val="center"/>
                              <w:rPr>
                                <w:rFonts w:eastAsia="Calibri"/>
                                <w:sz w:val="20"/>
                                <w:lang w:eastAsia="lt-LT"/>
                              </w:rPr>
                            </w:pPr>
                            <w:r>
                              <w:rPr>
                                <w:rFonts w:eastAsia="Calibri"/>
                                <w:sz w:val="20"/>
                                <w:lang w:eastAsia="lt-LT"/>
                              </w:rPr>
                              <w:t>Atliekos kodas</w:t>
                            </w:r>
                          </w:p>
                        </w:tc>
                        <w:tc>
                          <w:tcPr>
                            <w:tcW w:w="644" w:type="pct"/>
                            <w:vMerge w:val="restar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r>
                              <w:rPr>
                                <w:rFonts w:eastAsia="Calibri"/>
                                <w:sz w:val="20"/>
                                <w:lang w:eastAsia="lt-LT"/>
                              </w:rPr>
                              <w:t>Atliekos pavadinimas</w:t>
                            </w:r>
                          </w:p>
                        </w:tc>
                        <w:tc>
                          <w:tcPr>
                            <w:tcW w:w="570"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suppressAutoHyphens/>
                              <w:jc w:val="center"/>
                              <w:rPr>
                                <w:rFonts w:eastAsia="Calibri"/>
                                <w:sz w:val="20"/>
                                <w:lang w:eastAsia="lt-LT"/>
                              </w:rPr>
                            </w:pPr>
                            <w:r>
                              <w:rPr>
                                <w:rFonts w:eastAsia="Calibri"/>
                                <w:sz w:val="20"/>
                                <w:lang w:eastAsia="lt-LT"/>
                              </w:rPr>
                              <w:t>Patikslintas atliekos pavadinimas</w:t>
                            </w:r>
                          </w:p>
                        </w:tc>
                        <w:tc>
                          <w:tcPr>
                            <w:tcW w:w="1859" w:type="pct"/>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suppressAutoHyphens/>
                              <w:jc w:val="center"/>
                              <w:rPr>
                                <w:rFonts w:eastAsia="Calibri"/>
                                <w:sz w:val="20"/>
                                <w:lang w:eastAsia="lt-LT"/>
                              </w:rPr>
                            </w:pPr>
                            <w:r>
                              <w:rPr>
                                <w:rFonts w:eastAsia="Calibri"/>
                                <w:sz w:val="20"/>
                                <w:lang w:eastAsia="lt-LT"/>
                              </w:rPr>
                              <w:t>Atliekų šalinimas</w:t>
                            </w:r>
                          </w:p>
                        </w:tc>
                      </w:tr>
                      <w:tr>
                        <w:trPr>
                          <w:cantSplit/>
                          <w:trHeight w:val="855"/>
                        </w:trPr>
                        <w:tc>
                          <w:tcPr>
                            <w:tcW w:w="266" w:type="pct"/>
                            <w:vMerge/>
                            <w:vAlign w:val="center"/>
                          </w:tcPr>
                          <w:p>
                            <w:pPr>
                              <w:suppressAutoHyphens/>
                              <w:jc w:val="center"/>
                              <w:rPr>
                                <w:rFonts w:eastAsia="Calibri"/>
                                <w:sz w:val="20"/>
                                <w:lang w:eastAsia="lt-LT"/>
                              </w:rPr>
                            </w:pPr>
                          </w:p>
                        </w:tc>
                        <w:tc>
                          <w:tcPr>
                            <w:tcW w:w="614" w:type="pct"/>
                            <w:vMerge/>
                            <w:vAlign w:val="center"/>
                            <w:hideMark/>
                          </w:tcPr>
                          <w:p>
                            <w:pPr>
                              <w:suppressAutoHyphens/>
                              <w:jc w:val="center"/>
                              <w:rPr>
                                <w:rFonts w:eastAsia="Calibri"/>
                                <w:sz w:val="20"/>
                                <w:lang w:eastAsia="lt-LT"/>
                              </w:rPr>
                            </w:pPr>
                          </w:p>
                        </w:tc>
                        <w:tc>
                          <w:tcPr>
                            <w:tcW w:w="620" w:type="pct"/>
                            <w:vMerge/>
                            <w:vAlign w:val="center"/>
                            <w:hideMark/>
                          </w:tcPr>
                          <w:p>
                            <w:pPr>
                              <w:suppressAutoHyphens/>
                              <w:jc w:val="center"/>
                              <w:rPr>
                                <w:rFonts w:eastAsia="Calibri"/>
                                <w:sz w:val="20"/>
                                <w:lang w:eastAsia="lt-LT"/>
                              </w:rPr>
                            </w:pPr>
                          </w:p>
                        </w:tc>
                        <w:tc>
                          <w:tcPr>
                            <w:tcW w:w="427" w:type="pct"/>
                            <w:vMerge/>
                            <w:vAlign w:val="center"/>
                            <w:hideMark/>
                          </w:tcPr>
                          <w:p>
                            <w:pPr>
                              <w:suppressAutoHyphens/>
                              <w:jc w:val="center"/>
                              <w:rPr>
                                <w:rFonts w:eastAsia="Calibri"/>
                                <w:sz w:val="20"/>
                                <w:lang w:eastAsia="lt-LT"/>
                              </w:rPr>
                            </w:pPr>
                          </w:p>
                        </w:tc>
                        <w:tc>
                          <w:tcPr>
                            <w:tcW w:w="644" w:type="pct"/>
                            <w:vMerge/>
                            <w:vAlign w:val="center"/>
                            <w:hideMark/>
                          </w:tcPr>
                          <w:p>
                            <w:pPr>
                              <w:suppressAutoHyphens/>
                              <w:jc w:val="center"/>
                              <w:rPr>
                                <w:rFonts w:eastAsia="Calibri"/>
                                <w:sz w:val="20"/>
                                <w:lang w:eastAsia="lt-LT"/>
                              </w:rPr>
                            </w:pPr>
                          </w:p>
                        </w:tc>
                        <w:tc>
                          <w:tcPr>
                            <w:tcW w:w="570" w:type="pct"/>
                            <w:vMerge/>
                            <w:vAlign w:val="center"/>
                            <w:hideMark/>
                          </w:tcPr>
                          <w:p>
                            <w:pPr>
                              <w:suppressAutoHyphens/>
                              <w:jc w:val="center"/>
                              <w:rPr>
                                <w:rFonts w:eastAsia="Calibri"/>
                                <w:sz w:val="20"/>
                                <w:lang w:eastAsia="lt-LT"/>
                              </w:rPr>
                            </w:pPr>
                          </w:p>
                        </w:tc>
                        <w:tc>
                          <w:tcPr>
                            <w:tcW w:w="681"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suppressAutoHyphens/>
                              <w:jc w:val="center"/>
                              <w:rPr>
                                <w:rFonts w:eastAsia="Calibri"/>
                                <w:sz w:val="20"/>
                                <w:lang w:eastAsia="lt-LT"/>
                              </w:rPr>
                            </w:pPr>
                            <w:r>
                              <w:rPr>
                                <w:rFonts w:eastAsia="Calibri"/>
                                <w:sz w:val="20"/>
                                <w:lang w:eastAsia="lt-LT"/>
                              </w:rPr>
                              <w:t>Atliekos šalinimo veiklos kodas (D1–D7, D10, D12)</w:t>
                            </w:r>
                          </w:p>
                        </w:tc>
                        <w:tc>
                          <w:tcPr>
                            <w:tcW w:w="516"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suppressAutoHyphens/>
                              <w:jc w:val="center"/>
                              <w:rPr>
                                <w:rFonts w:eastAsia="Calibri"/>
                                <w:sz w:val="20"/>
                                <w:lang w:eastAsia="lt-LT"/>
                              </w:rPr>
                            </w:pPr>
                            <w:r>
                              <w:rPr>
                                <w:rFonts w:eastAsia="Calibri"/>
                                <w:sz w:val="20"/>
                                <w:lang w:eastAsia="lt-LT"/>
                              </w:rPr>
                              <w:t>Projektinis įrenginio pajėgumas</w:t>
                            </w:r>
                          </w:p>
                        </w:tc>
                        <w:tc>
                          <w:tcPr>
                            <w:tcW w:w="662"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suppressAutoHyphens/>
                              <w:jc w:val="center"/>
                              <w:rPr>
                                <w:rFonts w:eastAsia="Calibri"/>
                                <w:sz w:val="20"/>
                                <w:lang w:eastAsia="lt-LT"/>
                              </w:rPr>
                            </w:pPr>
                            <w:r>
                              <w:rPr>
                                <w:rFonts w:eastAsia="Calibri"/>
                                <w:sz w:val="20"/>
                                <w:lang w:eastAsia="lt-LT"/>
                              </w:rPr>
                              <w:t>Didžiausias leidžiamas</w:t>
                            </w:r>
                          </w:p>
                          <w:p>
                            <w:pPr>
                              <w:suppressAutoHyphens/>
                              <w:jc w:val="center"/>
                              <w:rPr>
                                <w:rFonts w:eastAsia="Calibri"/>
                                <w:sz w:val="20"/>
                                <w:lang w:eastAsia="lt-LT"/>
                              </w:rPr>
                            </w:pPr>
                            <w:r>
                              <w:rPr>
                                <w:rFonts w:eastAsia="Calibri"/>
                                <w:sz w:val="20"/>
                                <w:lang w:eastAsia="lt-LT"/>
                              </w:rPr>
                              <w:t>šalinti bendras atliekų kiekis, t/m.</w:t>
                            </w:r>
                          </w:p>
                        </w:tc>
                      </w:tr>
                      <w:tr>
                        <w:trPr>
                          <w:cantSplit/>
                          <w:trHeight w:val="243"/>
                        </w:trPr>
                        <w:tc>
                          <w:tcPr>
                            <w:tcW w:w="266" w:type="pct"/>
                            <w:tcBorders>
                              <w:top w:val="single" w:sz="4" w:space="0" w:color="auto"/>
                              <w:left w:val="single" w:sz="4" w:space="0" w:color="auto"/>
                              <w:bottom w:val="single" w:sz="4" w:space="0" w:color="auto"/>
                              <w:right w:val="single" w:sz="4" w:space="0" w:color="auto"/>
                            </w:tcBorders>
                          </w:tcPr>
                          <w:p>
                            <w:pPr>
                              <w:suppressAutoHyphens/>
                              <w:jc w:val="center"/>
                              <w:rPr>
                                <w:rFonts w:eastAsia="Calibri"/>
                                <w:sz w:val="20"/>
                                <w:lang w:eastAsia="lt-LT"/>
                              </w:rPr>
                            </w:pPr>
                            <w:r>
                              <w:rPr>
                                <w:rFonts w:eastAsia="Calibri"/>
                                <w:sz w:val="20"/>
                                <w:lang w:eastAsia="lt-LT"/>
                              </w:rPr>
                              <w:t>1</w:t>
                            </w:r>
                          </w:p>
                        </w:tc>
                        <w:tc>
                          <w:tcPr>
                            <w:tcW w:w="614"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suppressAutoHyphens/>
                              <w:jc w:val="center"/>
                              <w:rPr>
                                <w:rFonts w:eastAsia="Calibri"/>
                                <w:sz w:val="20"/>
                                <w:lang w:eastAsia="lt-LT"/>
                              </w:rPr>
                            </w:pPr>
                            <w:r>
                              <w:rPr>
                                <w:rFonts w:eastAsia="Calibri"/>
                                <w:sz w:val="20"/>
                                <w:lang w:eastAsia="lt-LT"/>
                              </w:rPr>
                              <w:t>2</w:t>
                            </w:r>
                          </w:p>
                        </w:tc>
                        <w:tc>
                          <w:tcPr>
                            <w:tcW w:w="620"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suppressAutoHyphens/>
                              <w:jc w:val="center"/>
                              <w:rPr>
                                <w:rFonts w:eastAsia="Calibri"/>
                                <w:sz w:val="20"/>
                                <w:lang w:eastAsia="lt-LT"/>
                              </w:rPr>
                            </w:pPr>
                            <w:r>
                              <w:rPr>
                                <w:rFonts w:eastAsia="Calibri"/>
                                <w:sz w:val="20"/>
                                <w:lang w:eastAsia="lt-LT"/>
                              </w:rPr>
                              <w:t>3</w:t>
                            </w:r>
                          </w:p>
                        </w:tc>
                        <w:tc>
                          <w:tcPr>
                            <w:tcW w:w="427"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uppressAutoHyphens/>
                              <w:jc w:val="center"/>
                              <w:rPr>
                                <w:rFonts w:eastAsia="Calibri"/>
                                <w:sz w:val="20"/>
                                <w:lang w:eastAsia="lt-LT"/>
                              </w:rPr>
                            </w:pPr>
                            <w:r>
                              <w:rPr>
                                <w:rFonts w:eastAsia="Calibri"/>
                                <w:sz w:val="20"/>
                                <w:lang w:eastAsia="lt-LT"/>
                              </w:rPr>
                              <w:t>4</w:t>
                            </w:r>
                          </w:p>
                        </w:tc>
                        <w:tc>
                          <w:tcPr>
                            <w:tcW w:w="644" w:type="pct"/>
                            <w:tcBorders>
                              <w:top w:val="single" w:sz="4" w:space="0" w:color="auto"/>
                              <w:left w:val="single" w:sz="4" w:space="0" w:color="auto"/>
                              <w:bottom w:val="single" w:sz="4" w:space="0" w:color="auto"/>
                              <w:right w:val="single" w:sz="4" w:space="0" w:color="auto"/>
                            </w:tcBorders>
                            <w:hideMark/>
                          </w:tcPr>
                          <w:p>
                            <w:pPr>
                              <w:suppressAutoHyphens/>
                              <w:jc w:val="center"/>
                              <w:rPr>
                                <w:rFonts w:eastAsia="Calibri"/>
                                <w:sz w:val="20"/>
                                <w:lang w:eastAsia="lt-LT"/>
                              </w:rPr>
                            </w:pPr>
                            <w:r>
                              <w:rPr>
                                <w:rFonts w:eastAsia="Calibri"/>
                                <w:sz w:val="20"/>
                                <w:lang w:eastAsia="lt-LT"/>
                              </w:rPr>
                              <w:t>5</w:t>
                            </w:r>
                          </w:p>
                        </w:tc>
                        <w:tc>
                          <w:tcPr>
                            <w:tcW w:w="570"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uppressAutoHyphens/>
                              <w:jc w:val="center"/>
                              <w:rPr>
                                <w:rFonts w:eastAsia="Calibri"/>
                                <w:sz w:val="20"/>
                                <w:lang w:eastAsia="lt-LT"/>
                              </w:rPr>
                            </w:pPr>
                            <w:r>
                              <w:rPr>
                                <w:rFonts w:eastAsia="Calibri"/>
                                <w:sz w:val="20"/>
                                <w:lang w:eastAsia="lt-LT"/>
                              </w:rPr>
                              <w:t>6</w:t>
                            </w:r>
                          </w:p>
                        </w:tc>
                        <w:tc>
                          <w:tcPr>
                            <w:tcW w:w="681"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suppressAutoHyphens/>
                              <w:jc w:val="center"/>
                              <w:rPr>
                                <w:rFonts w:eastAsia="Calibri"/>
                                <w:sz w:val="20"/>
                                <w:lang w:eastAsia="lt-LT"/>
                              </w:rPr>
                            </w:pPr>
                            <w:r>
                              <w:rPr>
                                <w:rFonts w:eastAsia="Calibri"/>
                                <w:sz w:val="20"/>
                                <w:lang w:eastAsia="lt-LT"/>
                              </w:rPr>
                              <w:t>7</w:t>
                            </w:r>
                          </w:p>
                        </w:tc>
                        <w:tc>
                          <w:tcPr>
                            <w:tcW w:w="516"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uppressAutoHyphens/>
                              <w:jc w:val="center"/>
                              <w:rPr>
                                <w:rFonts w:eastAsia="Calibri"/>
                                <w:sz w:val="20"/>
                                <w:lang w:eastAsia="lt-LT"/>
                              </w:rPr>
                            </w:pPr>
                            <w:r>
                              <w:rPr>
                                <w:rFonts w:eastAsia="Calibri"/>
                                <w:sz w:val="20"/>
                                <w:lang w:eastAsia="lt-LT"/>
                              </w:rPr>
                              <w:t>8</w:t>
                            </w:r>
                          </w:p>
                        </w:tc>
                        <w:tc>
                          <w:tcPr>
                            <w:tcW w:w="662" w:type="pct"/>
                            <w:tcBorders>
                              <w:top w:val="single" w:sz="4" w:space="0" w:color="auto"/>
                              <w:left w:val="single" w:sz="4" w:space="0" w:color="auto"/>
                              <w:bottom w:val="single" w:sz="4" w:space="0" w:color="auto"/>
                              <w:right w:val="single" w:sz="4" w:space="0" w:color="auto"/>
                            </w:tcBorders>
                            <w:hideMark/>
                          </w:tcPr>
                          <w:p>
                            <w:pPr>
                              <w:suppressAutoHyphens/>
                              <w:jc w:val="center"/>
                              <w:rPr>
                                <w:rFonts w:eastAsia="Calibri"/>
                                <w:sz w:val="20"/>
                                <w:lang w:eastAsia="lt-LT"/>
                              </w:rPr>
                            </w:pPr>
                            <w:r>
                              <w:rPr>
                                <w:rFonts w:eastAsia="Calibri"/>
                                <w:sz w:val="20"/>
                                <w:lang w:eastAsia="lt-LT"/>
                              </w:rPr>
                              <w:t>9</w:t>
                            </w:r>
                          </w:p>
                        </w:tc>
                      </w:tr>
                      <w:tr>
                        <w:trPr>
                          <w:cantSplit/>
                          <w:trHeight w:val="243"/>
                        </w:trPr>
                        <w:tc>
                          <w:tcPr>
                            <w:tcW w:w="266" w:type="pct"/>
                            <w:tcBorders>
                              <w:top w:val="single" w:sz="4" w:space="0" w:color="auto"/>
                              <w:left w:val="single" w:sz="4" w:space="0" w:color="auto"/>
                              <w:bottom w:val="single" w:sz="4" w:space="0" w:color="auto"/>
                              <w:right w:val="single" w:sz="4" w:space="0" w:color="auto"/>
                            </w:tcBorders>
                          </w:tcPr>
                          <w:p>
                            <w:pPr>
                              <w:suppressAutoHyphens/>
                              <w:rPr>
                                <w:rFonts w:eastAsia="Calibri"/>
                                <w:sz w:val="20"/>
                                <w:lang w:eastAsia="lt-LT"/>
                              </w:rPr>
                            </w:pPr>
                          </w:p>
                        </w:tc>
                        <w:tc>
                          <w:tcPr>
                            <w:tcW w:w="614"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suppressAutoHyphens/>
                              <w:rPr>
                                <w:rFonts w:eastAsia="Calibri"/>
                                <w:sz w:val="20"/>
                                <w:lang w:eastAsia="lt-LT"/>
                              </w:rPr>
                            </w:pPr>
                          </w:p>
                        </w:tc>
                        <w:tc>
                          <w:tcPr>
                            <w:tcW w:w="620"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suppressAutoHyphens/>
                              <w:rPr>
                                <w:rFonts w:eastAsia="Calibri"/>
                                <w:sz w:val="20"/>
                                <w:lang w:eastAsia="lt-LT"/>
                              </w:rPr>
                            </w:pPr>
                          </w:p>
                        </w:tc>
                        <w:tc>
                          <w:tcPr>
                            <w:tcW w:w="427"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suppressAutoHyphens/>
                              <w:rPr>
                                <w:rFonts w:eastAsia="Calibri"/>
                                <w:sz w:val="20"/>
                                <w:lang w:eastAsia="lt-LT"/>
                              </w:rPr>
                            </w:pPr>
                          </w:p>
                        </w:tc>
                        <w:tc>
                          <w:tcPr>
                            <w:tcW w:w="644" w:type="pct"/>
                            <w:tcBorders>
                              <w:top w:val="single" w:sz="4" w:space="0" w:color="auto"/>
                              <w:left w:val="single" w:sz="4" w:space="0" w:color="auto"/>
                              <w:bottom w:val="single" w:sz="4" w:space="0" w:color="auto"/>
                              <w:right w:val="single" w:sz="4" w:space="0" w:color="auto"/>
                            </w:tcBorders>
                          </w:tcPr>
                          <w:p>
                            <w:pPr>
                              <w:suppressAutoHyphens/>
                              <w:rPr>
                                <w:rFonts w:eastAsia="Calibri"/>
                                <w:sz w:val="20"/>
                                <w:lang w:eastAsia="lt-LT"/>
                              </w:rPr>
                            </w:pPr>
                          </w:p>
                        </w:tc>
                        <w:tc>
                          <w:tcPr>
                            <w:tcW w:w="570"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suppressAutoHyphens/>
                              <w:rPr>
                                <w:rFonts w:eastAsia="Calibri"/>
                                <w:sz w:val="20"/>
                                <w:lang w:eastAsia="lt-LT"/>
                              </w:rPr>
                            </w:pPr>
                          </w:p>
                        </w:tc>
                        <w:tc>
                          <w:tcPr>
                            <w:tcW w:w="681"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suppressAutoHyphens/>
                              <w:rPr>
                                <w:rFonts w:eastAsia="Calibri"/>
                                <w:sz w:val="20"/>
                                <w:lang w:eastAsia="lt-LT"/>
                              </w:rPr>
                            </w:pPr>
                          </w:p>
                        </w:tc>
                        <w:tc>
                          <w:tcPr>
                            <w:tcW w:w="516"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suppressAutoHyphens/>
                              <w:rPr>
                                <w:rFonts w:eastAsia="Calibri"/>
                                <w:sz w:val="20"/>
                                <w:lang w:eastAsia="lt-LT"/>
                              </w:rPr>
                            </w:pPr>
                          </w:p>
                        </w:tc>
                        <w:tc>
                          <w:tcPr>
                            <w:tcW w:w="662" w:type="pct"/>
                            <w:vMerge w:val="restart"/>
                            <w:tcBorders>
                              <w:top w:val="single" w:sz="4" w:space="0" w:color="auto"/>
                              <w:left w:val="single" w:sz="4" w:space="0" w:color="auto"/>
                              <w:bottom w:val="single" w:sz="4" w:space="0" w:color="auto"/>
                              <w:right w:val="single" w:sz="4" w:space="0" w:color="auto"/>
                            </w:tcBorders>
                          </w:tcPr>
                          <w:p>
                            <w:pPr>
                              <w:suppressAutoHyphens/>
                              <w:rPr>
                                <w:rFonts w:eastAsia="Calibri"/>
                                <w:sz w:val="20"/>
                                <w:lang w:eastAsia="lt-LT"/>
                              </w:rPr>
                            </w:pPr>
                          </w:p>
                        </w:tc>
                      </w:tr>
                      <w:tr>
                        <w:trPr>
                          <w:cantSplit/>
                          <w:trHeight w:val="243"/>
                        </w:trPr>
                        <w:tc>
                          <w:tcPr>
                            <w:tcW w:w="266" w:type="pct"/>
                            <w:tcBorders>
                              <w:top w:val="single" w:sz="4" w:space="0" w:color="auto"/>
                              <w:left w:val="single" w:sz="4" w:space="0" w:color="auto"/>
                              <w:bottom w:val="single" w:sz="4" w:space="0" w:color="auto"/>
                              <w:right w:val="single" w:sz="4" w:space="0" w:color="auto"/>
                            </w:tcBorders>
                          </w:tcPr>
                          <w:p>
                            <w:pPr>
                              <w:suppressAutoHyphens/>
                              <w:rPr>
                                <w:rFonts w:eastAsia="Calibri"/>
                                <w:sz w:val="20"/>
                                <w:lang w:eastAsia="lt-LT"/>
                              </w:rPr>
                            </w:pPr>
                          </w:p>
                        </w:tc>
                        <w:tc>
                          <w:tcPr>
                            <w:tcW w:w="614" w:type="pct"/>
                            <w:vMerge/>
                            <w:vAlign w:val="center"/>
                            <w:hideMark/>
                          </w:tcPr>
                          <w:p>
                            <w:pPr>
                              <w:suppressAutoHyphens/>
                              <w:rPr>
                                <w:rFonts w:eastAsia="Calibri"/>
                                <w:sz w:val="20"/>
                                <w:lang w:eastAsia="lt-LT"/>
                              </w:rPr>
                            </w:pPr>
                          </w:p>
                        </w:tc>
                        <w:tc>
                          <w:tcPr>
                            <w:tcW w:w="620" w:type="pct"/>
                            <w:vMerge/>
                            <w:vAlign w:val="center"/>
                            <w:hideMark/>
                          </w:tcPr>
                          <w:p>
                            <w:pPr>
                              <w:suppressAutoHyphens/>
                              <w:rPr>
                                <w:rFonts w:eastAsia="Calibri"/>
                                <w:sz w:val="20"/>
                                <w:lang w:eastAsia="lt-LT"/>
                              </w:rPr>
                            </w:pPr>
                          </w:p>
                        </w:tc>
                        <w:tc>
                          <w:tcPr>
                            <w:tcW w:w="427"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suppressAutoHyphens/>
                              <w:rPr>
                                <w:rFonts w:eastAsia="Calibri"/>
                                <w:sz w:val="20"/>
                                <w:lang w:eastAsia="lt-LT"/>
                              </w:rPr>
                            </w:pPr>
                          </w:p>
                        </w:tc>
                        <w:tc>
                          <w:tcPr>
                            <w:tcW w:w="644" w:type="pct"/>
                            <w:tcBorders>
                              <w:top w:val="single" w:sz="4" w:space="0" w:color="auto"/>
                              <w:left w:val="single" w:sz="4" w:space="0" w:color="auto"/>
                              <w:bottom w:val="single" w:sz="4" w:space="0" w:color="auto"/>
                              <w:right w:val="single" w:sz="4" w:space="0" w:color="auto"/>
                            </w:tcBorders>
                          </w:tcPr>
                          <w:p>
                            <w:pPr>
                              <w:suppressAutoHyphens/>
                              <w:rPr>
                                <w:rFonts w:eastAsia="Calibri"/>
                                <w:sz w:val="20"/>
                                <w:lang w:eastAsia="lt-LT"/>
                              </w:rPr>
                            </w:pPr>
                          </w:p>
                        </w:tc>
                        <w:tc>
                          <w:tcPr>
                            <w:tcW w:w="570"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suppressAutoHyphens/>
                              <w:rPr>
                                <w:rFonts w:eastAsia="Calibri"/>
                                <w:sz w:val="20"/>
                                <w:lang w:eastAsia="lt-LT"/>
                              </w:rPr>
                            </w:pPr>
                          </w:p>
                        </w:tc>
                        <w:tc>
                          <w:tcPr>
                            <w:tcW w:w="681"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suppressAutoHyphens/>
                              <w:rPr>
                                <w:rFonts w:eastAsia="Calibri"/>
                                <w:sz w:val="20"/>
                                <w:lang w:eastAsia="lt-LT"/>
                              </w:rPr>
                            </w:pPr>
                          </w:p>
                        </w:tc>
                        <w:tc>
                          <w:tcPr>
                            <w:tcW w:w="516" w:type="pct"/>
                            <w:vMerge/>
                            <w:vAlign w:val="center"/>
                            <w:hideMark/>
                          </w:tcPr>
                          <w:p>
                            <w:pPr>
                              <w:suppressAutoHyphens/>
                              <w:rPr>
                                <w:rFonts w:eastAsia="Calibri"/>
                                <w:sz w:val="20"/>
                                <w:lang w:eastAsia="lt-LT"/>
                              </w:rPr>
                            </w:pPr>
                          </w:p>
                        </w:tc>
                        <w:tc>
                          <w:tcPr>
                            <w:tcW w:w="662" w:type="pct"/>
                            <w:vMerge/>
                            <w:vAlign w:val="center"/>
                            <w:hideMark/>
                          </w:tcPr>
                          <w:p>
                            <w:pPr>
                              <w:suppressAutoHyphens/>
                              <w:rPr>
                                <w:rFonts w:eastAsia="Calibri"/>
                                <w:sz w:val="20"/>
                                <w:lang w:eastAsia="lt-LT"/>
                              </w:rPr>
                            </w:pPr>
                          </w:p>
                        </w:tc>
                      </w:tr>
                      <w:tr>
                        <w:trPr>
                          <w:cantSplit/>
                          <w:trHeight w:val="243"/>
                        </w:trPr>
                        <w:tc>
                          <w:tcPr>
                            <w:tcW w:w="266" w:type="pct"/>
                            <w:tcBorders>
                              <w:top w:val="single" w:sz="4" w:space="0" w:color="auto"/>
                              <w:left w:val="single" w:sz="4" w:space="0" w:color="auto"/>
                              <w:bottom w:val="single" w:sz="4" w:space="0" w:color="auto"/>
                              <w:right w:val="single" w:sz="4" w:space="0" w:color="auto"/>
                            </w:tcBorders>
                          </w:tcPr>
                          <w:p>
                            <w:pPr>
                              <w:suppressAutoHyphens/>
                              <w:rPr>
                                <w:rFonts w:eastAsia="Calibri"/>
                                <w:sz w:val="20"/>
                                <w:lang w:eastAsia="lt-LT"/>
                              </w:rPr>
                            </w:pPr>
                          </w:p>
                        </w:tc>
                        <w:tc>
                          <w:tcPr>
                            <w:tcW w:w="614" w:type="pct"/>
                            <w:vMerge/>
                            <w:vAlign w:val="center"/>
                            <w:hideMark/>
                          </w:tcPr>
                          <w:p>
                            <w:pPr>
                              <w:suppressAutoHyphens/>
                              <w:rPr>
                                <w:rFonts w:eastAsia="Calibri"/>
                                <w:sz w:val="20"/>
                                <w:lang w:eastAsia="lt-LT"/>
                              </w:rPr>
                            </w:pPr>
                          </w:p>
                        </w:tc>
                        <w:tc>
                          <w:tcPr>
                            <w:tcW w:w="620" w:type="pct"/>
                            <w:vMerge/>
                            <w:vAlign w:val="center"/>
                            <w:hideMark/>
                          </w:tcPr>
                          <w:p>
                            <w:pPr>
                              <w:suppressAutoHyphens/>
                              <w:rPr>
                                <w:rFonts w:eastAsia="Calibri"/>
                                <w:sz w:val="20"/>
                                <w:lang w:eastAsia="lt-LT"/>
                              </w:rPr>
                            </w:pPr>
                          </w:p>
                        </w:tc>
                        <w:tc>
                          <w:tcPr>
                            <w:tcW w:w="427"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suppressAutoHyphens/>
                              <w:rPr>
                                <w:rFonts w:eastAsia="Calibri"/>
                                <w:sz w:val="20"/>
                                <w:lang w:eastAsia="lt-LT"/>
                              </w:rPr>
                            </w:pPr>
                          </w:p>
                        </w:tc>
                        <w:tc>
                          <w:tcPr>
                            <w:tcW w:w="644" w:type="pct"/>
                            <w:tcBorders>
                              <w:top w:val="single" w:sz="4" w:space="0" w:color="auto"/>
                              <w:left w:val="single" w:sz="4" w:space="0" w:color="auto"/>
                              <w:bottom w:val="single" w:sz="4" w:space="0" w:color="auto"/>
                              <w:right w:val="single" w:sz="4" w:space="0" w:color="auto"/>
                            </w:tcBorders>
                          </w:tcPr>
                          <w:p>
                            <w:pPr>
                              <w:suppressAutoHyphens/>
                              <w:rPr>
                                <w:rFonts w:eastAsia="Calibri"/>
                                <w:sz w:val="20"/>
                                <w:lang w:eastAsia="lt-LT"/>
                              </w:rPr>
                            </w:pPr>
                          </w:p>
                        </w:tc>
                        <w:tc>
                          <w:tcPr>
                            <w:tcW w:w="570"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suppressAutoHyphens/>
                              <w:rPr>
                                <w:rFonts w:eastAsia="Calibri"/>
                                <w:sz w:val="20"/>
                                <w:lang w:eastAsia="lt-LT"/>
                              </w:rPr>
                            </w:pPr>
                          </w:p>
                        </w:tc>
                        <w:tc>
                          <w:tcPr>
                            <w:tcW w:w="681"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suppressAutoHyphens/>
                              <w:rPr>
                                <w:rFonts w:eastAsia="Calibri"/>
                                <w:sz w:val="20"/>
                                <w:lang w:eastAsia="lt-LT"/>
                              </w:rPr>
                            </w:pPr>
                          </w:p>
                        </w:tc>
                        <w:tc>
                          <w:tcPr>
                            <w:tcW w:w="516" w:type="pct"/>
                            <w:vMerge/>
                            <w:vAlign w:val="center"/>
                            <w:hideMark/>
                          </w:tcPr>
                          <w:p>
                            <w:pPr>
                              <w:suppressAutoHyphens/>
                              <w:rPr>
                                <w:rFonts w:eastAsia="Calibri"/>
                                <w:sz w:val="20"/>
                                <w:lang w:eastAsia="lt-LT"/>
                              </w:rPr>
                            </w:pPr>
                          </w:p>
                        </w:tc>
                        <w:tc>
                          <w:tcPr>
                            <w:tcW w:w="662" w:type="pct"/>
                            <w:vMerge/>
                            <w:vAlign w:val="center"/>
                            <w:hideMark/>
                          </w:tcPr>
                          <w:p>
                            <w:pPr>
                              <w:suppressAutoHyphens/>
                              <w:rPr>
                                <w:rFonts w:eastAsia="Calibri"/>
                                <w:sz w:val="20"/>
                                <w:lang w:eastAsia="lt-LT"/>
                              </w:rPr>
                            </w:pPr>
                          </w:p>
                        </w:tc>
                      </w:tr>
                    </w:tbl>
                    <w:p>
                      <w:pPr>
                        <w:suppressAutoHyphens/>
                        <w:ind w:firstLine="567"/>
                        <w:textAlignment w:val="baseline"/>
                        <w:rPr>
                          <w:rFonts w:eastAsia="Calibri"/>
                          <w:b/>
                          <w:szCs w:val="24"/>
                          <w:lang w:eastAsia="lt-LT"/>
                        </w:rPr>
                      </w:pPr>
                    </w:p>
                    <w:p>
                      <w:pPr>
                        <w:suppressAutoHyphens/>
                        <w:ind w:firstLine="567"/>
                        <w:textAlignment w:val="baseline"/>
                        <w:rPr>
                          <w:rFonts w:eastAsia="Calibri"/>
                          <w:sz w:val="22"/>
                          <w:szCs w:val="24"/>
                          <w:lang w:eastAsia="lt-LT"/>
                        </w:rPr>
                      </w:pPr>
                      <w:r>
                        <w:rPr>
                          <w:rFonts w:eastAsia="Calibri"/>
                          <w:b/>
                          <w:sz w:val="22"/>
                          <w:szCs w:val="24"/>
                          <w:lang w:eastAsia="lt-LT"/>
                        </w:rPr>
                        <w:t>19 lentelė</w:t>
                      </w:r>
                      <w:r>
                        <w:rPr>
                          <w:rFonts w:eastAsia="Calibri"/>
                          <w:sz w:val="22"/>
                          <w:szCs w:val="24"/>
                          <w:lang w:eastAsia="lt-LT"/>
                        </w:rPr>
                        <w:t>. Leidžiamos paruošti naudoti ir (ar) šalinti pavojingosios atliekos</w:t>
                      </w:r>
                    </w:p>
                    <w:p>
                      <w:pPr>
                        <w:suppressAutoHyphens/>
                        <w:rPr>
                          <w:sz w:val="22"/>
                          <w:szCs w:val="24"/>
                          <w:lang w:eastAsia="lt-LT"/>
                        </w:rPr>
                      </w:pPr>
                    </w:p>
                    <w:p>
                      <w:pPr>
                        <w:suppressAutoHyphens/>
                        <w:rPr>
                          <w:rFonts w:eastAsia="Calibri"/>
                          <w:sz w:val="22"/>
                          <w:szCs w:val="24"/>
                          <w:lang w:eastAsia="lt-LT"/>
                        </w:rPr>
                      </w:pPr>
                      <w:r>
                        <w:rPr>
                          <w:rFonts w:eastAsia="Calibri"/>
                          <w:sz w:val="22"/>
                          <w:szCs w:val="24"/>
                          <w:lang w:eastAsia="lt-LT"/>
                        </w:rPr>
                        <w:t>Įrenginio pavadinimas</w:t>
                      </w:r>
                      <w:r>
                        <w:rPr>
                          <w:rFonts w:ascii="Symbol" w:eastAsia="Symbol" w:hAnsi="Symbol" w:cs="Symbol"/>
                          <w:sz w:val="22"/>
                          <w:szCs w:val="24"/>
                          <w:lang w:eastAsia="lt-LT"/>
                        </w:rPr>
                        <w:t></w:t>
                      </w:r>
                    </w:p>
                    <w:p>
                      <w:pPr>
                        <w:suppressAutoHyphens/>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2"/>
                        <w:gridCol w:w="1776"/>
                        <w:gridCol w:w="1781"/>
                        <w:gridCol w:w="1182"/>
                        <w:gridCol w:w="1780"/>
                        <w:gridCol w:w="1673"/>
                        <w:gridCol w:w="2225"/>
                        <w:gridCol w:w="2418"/>
                      </w:tblGrid>
                      <w:tr>
                        <w:trPr>
                          <w:cantSplit/>
                          <w:trHeight w:val="300"/>
                        </w:trPr>
                        <w:tc>
                          <w:tcPr>
                            <w:tcW w:w="328" w:type="pct"/>
                            <w:vMerge w:val="restart"/>
                            <w:tcBorders>
                              <w:top w:val="single" w:sz="4" w:space="0" w:color="auto"/>
                              <w:left w:val="single" w:sz="4" w:space="0" w:color="auto"/>
                              <w:right w:val="single" w:sz="4" w:space="0" w:color="auto"/>
                            </w:tcBorders>
                            <w:vAlign w:val="center"/>
                          </w:tcPr>
                          <w:p>
                            <w:pPr>
                              <w:suppressAutoHyphens/>
                              <w:jc w:val="center"/>
                              <w:rPr>
                                <w:rFonts w:eastAsia="Calibri"/>
                                <w:sz w:val="20"/>
                                <w:lang w:eastAsia="lt-LT"/>
                              </w:rPr>
                            </w:pPr>
                            <w:r>
                              <w:rPr>
                                <w:rFonts w:eastAsia="Calibri"/>
                                <w:sz w:val="20"/>
                                <w:lang w:eastAsia="lt-LT"/>
                              </w:rPr>
                              <w:t>Eil. Nr.</w:t>
                            </w:r>
                          </w:p>
                        </w:tc>
                        <w:tc>
                          <w:tcPr>
                            <w:tcW w:w="646" w:type="pct"/>
                            <w:vMerge w:val="restar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suppressAutoHyphens/>
                              <w:jc w:val="center"/>
                              <w:rPr>
                                <w:rFonts w:eastAsia="Calibri"/>
                                <w:sz w:val="20"/>
                                <w:lang w:eastAsia="lt-LT"/>
                              </w:rPr>
                            </w:pPr>
                            <w:r>
                              <w:rPr>
                                <w:rFonts w:eastAsia="Calibri"/>
                                <w:sz w:val="20"/>
                                <w:lang w:eastAsia="lt-LT"/>
                              </w:rPr>
                              <w:t>Pavojingųjų atliekų technologinio srauto žymėjimas</w:t>
                            </w:r>
                          </w:p>
                        </w:tc>
                        <w:tc>
                          <w:tcPr>
                            <w:tcW w:w="648" w:type="pct"/>
                            <w:vMerge w:val="restar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suppressAutoHyphens/>
                              <w:jc w:val="center"/>
                              <w:rPr>
                                <w:rFonts w:eastAsia="Calibri"/>
                                <w:sz w:val="20"/>
                                <w:lang w:eastAsia="lt-LT"/>
                              </w:rPr>
                            </w:pPr>
                            <w:r>
                              <w:rPr>
                                <w:rFonts w:eastAsia="Calibri"/>
                                <w:sz w:val="20"/>
                                <w:lang w:eastAsia="lt-LT"/>
                              </w:rPr>
                              <w:t>Pavojingųjų atliekų technologinio srauto pavadinimas</w:t>
                            </w:r>
                          </w:p>
                        </w:tc>
                        <w:tc>
                          <w:tcPr>
                            <w:tcW w:w="430" w:type="pct"/>
                            <w:vMerge w:val="restar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suppressAutoHyphens/>
                              <w:jc w:val="center"/>
                              <w:rPr>
                                <w:rFonts w:eastAsia="Calibri"/>
                                <w:sz w:val="20"/>
                                <w:lang w:eastAsia="lt-LT"/>
                              </w:rPr>
                            </w:pPr>
                            <w:r>
                              <w:rPr>
                                <w:rFonts w:eastAsia="Calibri"/>
                                <w:sz w:val="20"/>
                                <w:lang w:eastAsia="lt-LT"/>
                              </w:rPr>
                              <w:t>Atliekos kodas</w:t>
                            </w:r>
                          </w:p>
                        </w:tc>
                        <w:tc>
                          <w:tcPr>
                            <w:tcW w:w="648" w:type="pct"/>
                            <w:vMerge w:val="restart"/>
                            <w:tcBorders>
                              <w:top w:val="single" w:sz="4" w:space="0" w:color="auto"/>
                              <w:left w:val="single" w:sz="4" w:space="0" w:color="auto"/>
                              <w:bottom w:val="single" w:sz="4" w:space="0" w:color="auto"/>
                              <w:right w:val="single" w:sz="4" w:space="0" w:color="auto"/>
                            </w:tcBorders>
                            <w:vAlign w:val="center"/>
                            <w:hideMark/>
                          </w:tcPr>
                          <w:p>
                            <w:pPr>
                              <w:suppressAutoHyphens/>
                              <w:jc w:val="center"/>
                              <w:rPr>
                                <w:rFonts w:eastAsia="Calibri"/>
                                <w:sz w:val="20"/>
                                <w:lang w:eastAsia="lt-LT"/>
                              </w:rPr>
                            </w:pPr>
                            <w:r>
                              <w:rPr>
                                <w:rFonts w:eastAsia="Calibri"/>
                                <w:sz w:val="20"/>
                                <w:lang w:eastAsia="lt-LT"/>
                              </w:rPr>
                              <w:t>Atliekos pavadinimas</w:t>
                            </w:r>
                          </w:p>
                        </w:tc>
                        <w:tc>
                          <w:tcPr>
                            <w:tcW w:w="609" w:type="pct"/>
                            <w:vMerge w:val="restar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suppressAutoHyphens/>
                              <w:jc w:val="center"/>
                              <w:rPr>
                                <w:rFonts w:eastAsia="Calibri"/>
                                <w:sz w:val="20"/>
                                <w:lang w:eastAsia="lt-LT"/>
                              </w:rPr>
                            </w:pPr>
                            <w:r>
                              <w:rPr>
                                <w:rFonts w:eastAsia="Calibri"/>
                                <w:sz w:val="20"/>
                                <w:lang w:eastAsia="lt-LT"/>
                              </w:rPr>
                              <w:t>Patikslintas atliekos pavadinimas</w:t>
                            </w:r>
                          </w:p>
                        </w:tc>
                        <w:tc>
                          <w:tcPr>
                            <w:tcW w:w="1690" w:type="pct"/>
                            <w:gridSpan w:val="2"/>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suppressAutoHyphens/>
                              <w:jc w:val="center"/>
                              <w:rPr>
                                <w:rFonts w:eastAsia="Calibri"/>
                                <w:sz w:val="20"/>
                                <w:lang w:eastAsia="lt-LT"/>
                              </w:rPr>
                            </w:pPr>
                            <w:r>
                              <w:rPr>
                                <w:rFonts w:eastAsia="Calibri"/>
                                <w:sz w:val="20"/>
                                <w:lang w:eastAsia="lt-LT"/>
                              </w:rPr>
                              <w:t>Atliekų paruošimas naudoti ir (ar) šalinti</w:t>
                            </w:r>
                          </w:p>
                        </w:tc>
                      </w:tr>
                      <w:tr>
                        <w:trPr>
                          <w:cantSplit/>
                          <w:trHeight w:val="855"/>
                        </w:trPr>
                        <w:tc>
                          <w:tcPr>
                            <w:tcW w:w="328" w:type="pct"/>
                            <w:vMerge/>
                            <w:tcBorders>
                              <w:left w:val="single" w:sz="4" w:space="0" w:color="auto"/>
                              <w:bottom w:val="single" w:sz="4" w:space="0" w:color="auto"/>
                              <w:right w:val="single" w:sz="4" w:space="0" w:color="auto"/>
                            </w:tcBorders>
                          </w:tcPr>
                          <w:p>
                            <w:pPr>
                              <w:suppressAutoHyphens/>
                              <w:rPr>
                                <w:rFonts w:eastAsia="Calibri"/>
                                <w:sz w:val="20"/>
                                <w:lang w:eastAsia="lt-LT"/>
                              </w:rPr>
                            </w:pPr>
                          </w:p>
                        </w:tc>
                        <w:tc>
                          <w:tcPr>
                            <w:tcW w:w="646" w:type="pct"/>
                            <w:vMerge/>
                            <w:tcBorders>
                              <w:top w:val="single" w:sz="4" w:space="0" w:color="auto"/>
                              <w:left w:val="single" w:sz="4" w:space="0" w:color="auto"/>
                              <w:bottom w:val="single" w:sz="4" w:space="0" w:color="auto"/>
                              <w:right w:val="single" w:sz="4" w:space="0" w:color="auto"/>
                            </w:tcBorders>
                            <w:vAlign w:val="center"/>
                            <w:hideMark/>
                          </w:tcPr>
                          <w:p>
                            <w:pPr>
                              <w:suppressAutoHyphens/>
                              <w:rPr>
                                <w:rFonts w:eastAsia="Calibri"/>
                                <w:sz w:val="20"/>
                                <w:lang w:eastAsia="lt-LT"/>
                              </w:rPr>
                            </w:pPr>
                          </w:p>
                        </w:tc>
                        <w:tc>
                          <w:tcPr>
                            <w:tcW w:w="648" w:type="pct"/>
                            <w:vMerge/>
                            <w:tcBorders>
                              <w:top w:val="single" w:sz="4" w:space="0" w:color="auto"/>
                              <w:left w:val="single" w:sz="4" w:space="0" w:color="auto"/>
                              <w:bottom w:val="single" w:sz="4" w:space="0" w:color="auto"/>
                              <w:right w:val="single" w:sz="4" w:space="0" w:color="auto"/>
                            </w:tcBorders>
                            <w:vAlign w:val="center"/>
                            <w:hideMark/>
                          </w:tcPr>
                          <w:p>
                            <w:pPr>
                              <w:suppressAutoHyphens/>
                              <w:rPr>
                                <w:rFonts w:eastAsia="Calibri"/>
                                <w:sz w:val="20"/>
                                <w:lang w:eastAsia="lt-LT"/>
                              </w:rPr>
                            </w:pPr>
                          </w:p>
                        </w:tc>
                        <w:tc>
                          <w:tcPr>
                            <w:tcW w:w="430" w:type="pct"/>
                            <w:vMerge/>
                            <w:tcBorders>
                              <w:top w:val="single" w:sz="4" w:space="0" w:color="auto"/>
                              <w:left w:val="single" w:sz="4" w:space="0" w:color="auto"/>
                              <w:bottom w:val="single" w:sz="4" w:space="0" w:color="auto"/>
                              <w:right w:val="single" w:sz="4" w:space="0" w:color="auto"/>
                            </w:tcBorders>
                            <w:vAlign w:val="center"/>
                            <w:hideMark/>
                          </w:tcPr>
                          <w:p>
                            <w:pPr>
                              <w:suppressAutoHyphens/>
                              <w:rPr>
                                <w:rFonts w:eastAsia="Calibri"/>
                                <w:sz w:val="20"/>
                                <w:lang w:eastAsia="lt-LT"/>
                              </w:rPr>
                            </w:pPr>
                          </w:p>
                        </w:tc>
                        <w:tc>
                          <w:tcPr>
                            <w:tcW w:w="648" w:type="pct"/>
                            <w:vMerge/>
                            <w:tcBorders>
                              <w:top w:val="single" w:sz="4" w:space="0" w:color="auto"/>
                              <w:left w:val="single" w:sz="4" w:space="0" w:color="auto"/>
                              <w:bottom w:val="single" w:sz="4" w:space="0" w:color="auto"/>
                              <w:right w:val="single" w:sz="4" w:space="0" w:color="auto"/>
                            </w:tcBorders>
                            <w:vAlign w:val="center"/>
                            <w:hideMark/>
                          </w:tcPr>
                          <w:p>
                            <w:pPr>
                              <w:suppressAutoHyphens/>
                              <w:rPr>
                                <w:rFonts w:eastAsia="Calibri"/>
                                <w:sz w:val="20"/>
                                <w:lang w:eastAsia="lt-LT"/>
                              </w:rPr>
                            </w:pPr>
                          </w:p>
                        </w:tc>
                        <w:tc>
                          <w:tcPr>
                            <w:tcW w:w="609" w:type="pct"/>
                            <w:vMerge/>
                            <w:tcBorders>
                              <w:top w:val="single" w:sz="4" w:space="0" w:color="auto"/>
                              <w:left w:val="single" w:sz="4" w:space="0" w:color="auto"/>
                              <w:bottom w:val="single" w:sz="4" w:space="0" w:color="auto"/>
                              <w:right w:val="single" w:sz="4" w:space="0" w:color="auto"/>
                            </w:tcBorders>
                            <w:vAlign w:val="center"/>
                            <w:hideMark/>
                          </w:tcPr>
                          <w:p>
                            <w:pPr>
                              <w:suppressAutoHyphens/>
                              <w:rPr>
                                <w:rFonts w:eastAsia="Calibri"/>
                                <w:sz w:val="20"/>
                                <w:lang w:eastAsia="lt-LT"/>
                              </w:rPr>
                            </w:pPr>
                          </w:p>
                        </w:tc>
                        <w:tc>
                          <w:tcPr>
                            <w:tcW w:w="810"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suppressAutoHyphens/>
                              <w:jc w:val="center"/>
                              <w:rPr>
                                <w:rFonts w:eastAsia="Calibri"/>
                                <w:sz w:val="20"/>
                                <w:vertAlign w:val="superscript"/>
                                <w:lang w:eastAsia="lt-LT"/>
                              </w:rPr>
                            </w:pPr>
                            <w:r>
                              <w:rPr>
                                <w:sz w:val="20"/>
                                <w:lang w:eastAsia="lt-LT"/>
                              </w:rPr>
                              <w:t>Atliekų</w:t>
                            </w:r>
                            <w:r>
                              <w:rPr>
                                <w:rFonts w:eastAsia="Calibri"/>
                                <w:sz w:val="20"/>
                                <w:lang w:eastAsia="lt-LT"/>
                              </w:rPr>
                              <w:t xml:space="preserve"> </w:t>
                            </w:r>
                            <w:r>
                              <w:rPr>
                                <w:sz w:val="20"/>
                                <w:lang w:eastAsia="lt-LT"/>
                              </w:rPr>
                              <w:t>tvarkymo</w:t>
                            </w:r>
                            <w:r>
                              <w:rPr>
                                <w:rFonts w:eastAsia="Calibri"/>
                                <w:sz w:val="20"/>
                                <w:lang w:eastAsia="lt-LT"/>
                              </w:rPr>
                              <w:t xml:space="preserve"> veiklos kodas (D8, D9, D13, D14, R12, S5) </w:t>
                            </w:r>
                          </w:p>
                        </w:tc>
                        <w:tc>
                          <w:tcPr>
                            <w:tcW w:w="880"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pPr>
                              <w:suppressAutoHyphens/>
                              <w:jc w:val="center"/>
                              <w:rPr>
                                <w:rFonts w:eastAsia="Calibri"/>
                                <w:sz w:val="20"/>
                                <w:lang w:eastAsia="lt-LT"/>
                              </w:rPr>
                            </w:pPr>
                            <w:r>
                              <w:rPr>
                                <w:rFonts w:eastAsia="Calibri"/>
                                <w:sz w:val="20"/>
                                <w:lang w:eastAsia="lt-LT"/>
                              </w:rPr>
                              <w:t>Projektinis įrenginio pajėgumas, t/m.</w:t>
                            </w:r>
                          </w:p>
                        </w:tc>
                      </w:tr>
                      <w:tr>
                        <w:trPr>
                          <w:cantSplit/>
                          <w:trHeight w:val="243"/>
                        </w:trPr>
                        <w:tc>
                          <w:tcPr>
                            <w:tcW w:w="328" w:type="pct"/>
                            <w:tcBorders>
                              <w:top w:val="single" w:sz="4" w:space="0" w:color="auto"/>
                              <w:left w:val="single" w:sz="4" w:space="0" w:color="auto"/>
                              <w:bottom w:val="single" w:sz="4" w:space="0" w:color="auto"/>
                              <w:right w:val="single" w:sz="4" w:space="0" w:color="auto"/>
                            </w:tcBorders>
                          </w:tcPr>
                          <w:p>
                            <w:pPr>
                              <w:suppressAutoHyphens/>
                              <w:jc w:val="center"/>
                              <w:rPr>
                                <w:rFonts w:eastAsia="Calibri"/>
                                <w:sz w:val="20"/>
                                <w:lang w:eastAsia="lt-LT"/>
                              </w:rPr>
                            </w:pPr>
                            <w:r>
                              <w:rPr>
                                <w:rFonts w:eastAsia="Calibri"/>
                                <w:sz w:val="20"/>
                                <w:lang w:eastAsia="lt-LT"/>
                              </w:rPr>
                              <w:t>1</w:t>
                            </w:r>
                          </w:p>
                        </w:tc>
                        <w:tc>
                          <w:tcPr>
                            <w:tcW w:w="646"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suppressAutoHyphens/>
                              <w:jc w:val="center"/>
                              <w:rPr>
                                <w:rFonts w:eastAsia="Calibri"/>
                                <w:sz w:val="20"/>
                                <w:lang w:eastAsia="lt-LT"/>
                              </w:rPr>
                            </w:pPr>
                            <w:r>
                              <w:rPr>
                                <w:rFonts w:eastAsia="Calibri"/>
                                <w:sz w:val="20"/>
                                <w:lang w:eastAsia="lt-LT"/>
                              </w:rPr>
                              <w:t>2</w:t>
                            </w:r>
                          </w:p>
                        </w:tc>
                        <w:tc>
                          <w:tcPr>
                            <w:tcW w:w="648"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suppressAutoHyphens/>
                              <w:jc w:val="center"/>
                              <w:rPr>
                                <w:rFonts w:eastAsia="Calibri"/>
                                <w:sz w:val="20"/>
                                <w:lang w:eastAsia="lt-LT"/>
                              </w:rPr>
                            </w:pPr>
                            <w:r>
                              <w:rPr>
                                <w:rFonts w:eastAsia="Calibri"/>
                                <w:sz w:val="20"/>
                                <w:lang w:eastAsia="lt-LT"/>
                              </w:rPr>
                              <w:t>3</w:t>
                            </w:r>
                          </w:p>
                        </w:tc>
                        <w:tc>
                          <w:tcPr>
                            <w:tcW w:w="430"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uppressAutoHyphens/>
                              <w:jc w:val="center"/>
                              <w:rPr>
                                <w:rFonts w:eastAsia="Calibri"/>
                                <w:sz w:val="20"/>
                                <w:lang w:eastAsia="lt-LT"/>
                              </w:rPr>
                            </w:pPr>
                            <w:r>
                              <w:rPr>
                                <w:rFonts w:eastAsia="Calibri"/>
                                <w:sz w:val="20"/>
                                <w:lang w:eastAsia="lt-LT"/>
                              </w:rPr>
                              <w:t>4</w:t>
                            </w:r>
                          </w:p>
                        </w:tc>
                        <w:tc>
                          <w:tcPr>
                            <w:tcW w:w="648" w:type="pct"/>
                            <w:tcBorders>
                              <w:top w:val="single" w:sz="4" w:space="0" w:color="auto"/>
                              <w:left w:val="single" w:sz="4" w:space="0" w:color="auto"/>
                              <w:bottom w:val="single" w:sz="4" w:space="0" w:color="auto"/>
                              <w:right w:val="single" w:sz="4" w:space="0" w:color="auto"/>
                            </w:tcBorders>
                            <w:hideMark/>
                          </w:tcPr>
                          <w:p>
                            <w:pPr>
                              <w:suppressAutoHyphens/>
                              <w:jc w:val="center"/>
                              <w:rPr>
                                <w:rFonts w:eastAsia="Calibri"/>
                                <w:sz w:val="20"/>
                                <w:lang w:eastAsia="lt-LT"/>
                              </w:rPr>
                            </w:pPr>
                            <w:r>
                              <w:rPr>
                                <w:rFonts w:eastAsia="Calibri"/>
                                <w:sz w:val="20"/>
                                <w:lang w:eastAsia="lt-LT"/>
                              </w:rPr>
                              <w:t>5</w:t>
                            </w:r>
                          </w:p>
                        </w:tc>
                        <w:tc>
                          <w:tcPr>
                            <w:tcW w:w="609"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uppressAutoHyphens/>
                              <w:jc w:val="center"/>
                              <w:rPr>
                                <w:rFonts w:eastAsia="Calibri"/>
                                <w:sz w:val="20"/>
                                <w:lang w:eastAsia="lt-LT"/>
                              </w:rPr>
                            </w:pPr>
                            <w:r>
                              <w:rPr>
                                <w:rFonts w:eastAsia="Calibri"/>
                                <w:sz w:val="20"/>
                                <w:lang w:eastAsia="lt-LT"/>
                              </w:rPr>
                              <w:t>6</w:t>
                            </w:r>
                          </w:p>
                        </w:tc>
                        <w:tc>
                          <w:tcPr>
                            <w:tcW w:w="810"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suppressAutoHyphens/>
                              <w:jc w:val="center"/>
                              <w:rPr>
                                <w:rFonts w:eastAsia="Calibri"/>
                                <w:sz w:val="20"/>
                                <w:lang w:eastAsia="lt-LT"/>
                              </w:rPr>
                            </w:pPr>
                            <w:r>
                              <w:rPr>
                                <w:rFonts w:eastAsia="Calibri"/>
                                <w:sz w:val="20"/>
                                <w:lang w:eastAsia="lt-LT"/>
                              </w:rPr>
                              <w:t>7</w:t>
                            </w:r>
                          </w:p>
                        </w:tc>
                        <w:tc>
                          <w:tcPr>
                            <w:tcW w:w="880"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uppressAutoHyphens/>
                              <w:jc w:val="center"/>
                              <w:rPr>
                                <w:rFonts w:eastAsia="Calibri"/>
                                <w:sz w:val="20"/>
                                <w:lang w:eastAsia="lt-LT"/>
                              </w:rPr>
                            </w:pPr>
                            <w:r>
                              <w:rPr>
                                <w:rFonts w:eastAsia="Calibri"/>
                                <w:sz w:val="20"/>
                                <w:lang w:eastAsia="lt-LT"/>
                              </w:rPr>
                              <w:t>8</w:t>
                            </w:r>
                          </w:p>
                        </w:tc>
                      </w:tr>
                      <w:tr>
                        <w:trPr>
                          <w:cantSplit/>
                          <w:trHeight w:val="243"/>
                        </w:trPr>
                        <w:tc>
                          <w:tcPr>
                            <w:tcW w:w="328" w:type="pct"/>
                            <w:tcBorders>
                              <w:top w:val="single" w:sz="4" w:space="0" w:color="auto"/>
                              <w:left w:val="single" w:sz="4" w:space="0" w:color="auto"/>
                              <w:bottom w:val="single" w:sz="4" w:space="0" w:color="auto"/>
                              <w:right w:val="single" w:sz="4" w:space="0" w:color="auto"/>
                            </w:tcBorders>
                          </w:tcPr>
                          <w:p>
                            <w:pPr>
                              <w:suppressAutoHyphens/>
                              <w:rPr>
                                <w:rFonts w:eastAsia="Calibri"/>
                                <w:sz w:val="20"/>
                                <w:lang w:eastAsia="lt-LT"/>
                              </w:rPr>
                            </w:pPr>
                          </w:p>
                        </w:tc>
                        <w:tc>
                          <w:tcPr>
                            <w:tcW w:w="646"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suppressAutoHyphens/>
                              <w:rPr>
                                <w:rFonts w:eastAsia="Calibri"/>
                                <w:sz w:val="20"/>
                                <w:lang w:eastAsia="lt-LT"/>
                              </w:rPr>
                            </w:pPr>
                          </w:p>
                        </w:tc>
                        <w:tc>
                          <w:tcPr>
                            <w:tcW w:w="648"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suppressAutoHyphens/>
                              <w:rPr>
                                <w:rFonts w:eastAsia="Calibri"/>
                                <w:sz w:val="20"/>
                                <w:lang w:eastAsia="lt-LT"/>
                              </w:rPr>
                            </w:pPr>
                          </w:p>
                        </w:tc>
                        <w:tc>
                          <w:tcPr>
                            <w:tcW w:w="430"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suppressAutoHyphens/>
                              <w:rPr>
                                <w:rFonts w:eastAsia="Calibri"/>
                                <w:sz w:val="20"/>
                                <w:lang w:eastAsia="lt-LT"/>
                              </w:rPr>
                            </w:pPr>
                          </w:p>
                        </w:tc>
                        <w:tc>
                          <w:tcPr>
                            <w:tcW w:w="648" w:type="pct"/>
                            <w:tcBorders>
                              <w:top w:val="single" w:sz="4" w:space="0" w:color="auto"/>
                              <w:left w:val="single" w:sz="4" w:space="0" w:color="auto"/>
                              <w:bottom w:val="single" w:sz="4" w:space="0" w:color="auto"/>
                              <w:right w:val="single" w:sz="4" w:space="0" w:color="auto"/>
                            </w:tcBorders>
                          </w:tcPr>
                          <w:p>
                            <w:pPr>
                              <w:suppressAutoHyphens/>
                              <w:rPr>
                                <w:rFonts w:eastAsia="Calibri"/>
                                <w:sz w:val="20"/>
                                <w:lang w:eastAsia="lt-LT"/>
                              </w:rPr>
                            </w:pPr>
                          </w:p>
                        </w:tc>
                        <w:tc>
                          <w:tcPr>
                            <w:tcW w:w="609"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suppressAutoHyphens/>
                              <w:rPr>
                                <w:rFonts w:eastAsia="Calibri"/>
                                <w:sz w:val="20"/>
                                <w:lang w:eastAsia="lt-LT"/>
                              </w:rPr>
                            </w:pPr>
                          </w:p>
                        </w:tc>
                        <w:tc>
                          <w:tcPr>
                            <w:tcW w:w="810"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suppressAutoHyphens/>
                              <w:rPr>
                                <w:rFonts w:eastAsia="Calibri"/>
                                <w:sz w:val="20"/>
                                <w:lang w:eastAsia="lt-LT"/>
                              </w:rPr>
                            </w:pPr>
                          </w:p>
                        </w:tc>
                        <w:tc>
                          <w:tcPr>
                            <w:tcW w:w="880" w:type="pct"/>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suppressAutoHyphens/>
                              <w:rPr>
                                <w:rFonts w:eastAsia="Calibri"/>
                                <w:sz w:val="20"/>
                                <w:lang w:eastAsia="lt-LT"/>
                              </w:rPr>
                            </w:pPr>
                          </w:p>
                        </w:tc>
                      </w:tr>
                      <w:tr>
                        <w:trPr>
                          <w:cantSplit/>
                          <w:trHeight w:val="243"/>
                        </w:trPr>
                        <w:tc>
                          <w:tcPr>
                            <w:tcW w:w="328" w:type="pct"/>
                            <w:tcBorders>
                              <w:top w:val="single" w:sz="4" w:space="0" w:color="auto"/>
                              <w:left w:val="single" w:sz="4" w:space="0" w:color="auto"/>
                              <w:bottom w:val="single" w:sz="4" w:space="0" w:color="auto"/>
                              <w:right w:val="single" w:sz="4" w:space="0" w:color="auto"/>
                            </w:tcBorders>
                          </w:tcPr>
                          <w:p>
                            <w:pPr>
                              <w:suppressAutoHyphens/>
                              <w:rPr>
                                <w:rFonts w:eastAsia="Calibri"/>
                                <w:sz w:val="20"/>
                                <w:lang w:eastAsia="lt-LT"/>
                              </w:rPr>
                            </w:pPr>
                          </w:p>
                        </w:tc>
                        <w:tc>
                          <w:tcPr>
                            <w:tcW w:w="646" w:type="pct"/>
                            <w:vMerge/>
                            <w:tcBorders>
                              <w:top w:val="single" w:sz="4" w:space="0" w:color="auto"/>
                              <w:left w:val="single" w:sz="4" w:space="0" w:color="auto"/>
                              <w:bottom w:val="single" w:sz="4" w:space="0" w:color="auto"/>
                              <w:right w:val="single" w:sz="4" w:space="0" w:color="auto"/>
                            </w:tcBorders>
                            <w:vAlign w:val="center"/>
                            <w:hideMark/>
                          </w:tcPr>
                          <w:p>
                            <w:pPr>
                              <w:suppressAutoHyphens/>
                              <w:rPr>
                                <w:rFonts w:eastAsia="Calibri"/>
                                <w:sz w:val="20"/>
                                <w:lang w:eastAsia="lt-LT"/>
                              </w:rPr>
                            </w:pPr>
                          </w:p>
                        </w:tc>
                        <w:tc>
                          <w:tcPr>
                            <w:tcW w:w="648" w:type="pct"/>
                            <w:vMerge/>
                            <w:tcBorders>
                              <w:top w:val="single" w:sz="4" w:space="0" w:color="auto"/>
                              <w:left w:val="single" w:sz="4" w:space="0" w:color="auto"/>
                              <w:bottom w:val="single" w:sz="4" w:space="0" w:color="auto"/>
                              <w:right w:val="single" w:sz="4" w:space="0" w:color="auto"/>
                            </w:tcBorders>
                            <w:vAlign w:val="center"/>
                            <w:hideMark/>
                          </w:tcPr>
                          <w:p>
                            <w:pPr>
                              <w:suppressAutoHyphens/>
                              <w:rPr>
                                <w:rFonts w:eastAsia="Calibri"/>
                                <w:sz w:val="20"/>
                                <w:lang w:eastAsia="lt-LT"/>
                              </w:rPr>
                            </w:pPr>
                          </w:p>
                        </w:tc>
                        <w:tc>
                          <w:tcPr>
                            <w:tcW w:w="430"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suppressAutoHyphens/>
                              <w:rPr>
                                <w:rFonts w:eastAsia="Calibri"/>
                                <w:sz w:val="20"/>
                                <w:lang w:eastAsia="lt-LT"/>
                              </w:rPr>
                            </w:pPr>
                          </w:p>
                        </w:tc>
                        <w:tc>
                          <w:tcPr>
                            <w:tcW w:w="648" w:type="pct"/>
                            <w:tcBorders>
                              <w:top w:val="single" w:sz="4" w:space="0" w:color="auto"/>
                              <w:left w:val="single" w:sz="4" w:space="0" w:color="auto"/>
                              <w:bottom w:val="single" w:sz="4" w:space="0" w:color="auto"/>
                              <w:right w:val="single" w:sz="4" w:space="0" w:color="auto"/>
                            </w:tcBorders>
                          </w:tcPr>
                          <w:p>
                            <w:pPr>
                              <w:suppressAutoHyphens/>
                              <w:rPr>
                                <w:rFonts w:eastAsia="Calibri"/>
                                <w:sz w:val="20"/>
                                <w:lang w:eastAsia="lt-LT"/>
                              </w:rPr>
                            </w:pPr>
                          </w:p>
                        </w:tc>
                        <w:tc>
                          <w:tcPr>
                            <w:tcW w:w="609"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suppressAutoHyphens/>
                              <w:rPr>
                                <w:rFonts w:eastAsia="Calibri"/>
                                <w:sz w:val="20"/>
                                <w:lang w:eastAsia="lt-LT"/>
                              </w:rPr>
                            </w:pPr>
                          </w:p>
                        </w:tc>
                        <w:tc>
                          <w:tcPr>
                            <w:tcW w:w="810"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suppressAutoHyphens/>
                              <w:rPr>
                                <w:rFonts w:eastAsia="Calibri"/>
                                <w:sz w:val="20"/>
                                <w:lang w:eastAsia="lt-LT"/>
                              </w:rPr>
                            </w:pPr>
                          </w:p>
                        </w:tc>
                        <w:tc>
                          <w:tcPr>
                            <w:tcW w:w="880" w:type="pct"/>
                            <w:vMerge/>
                            <w:tcBorders>
                              <w:top w:val="single" w:sz="4" w:space="0" w:color="auto"/>
                              <w:left w:val="single" w:sz="4" w:space="0" w:color="auto"/>
                              <w:bottom w:val="single" w:sz="4" w:space="0" w:color="auto"/>
                              <w:right w:val="single" w:sz="4" w:space="0" w:color="auto"/>
                            </w:tcBorders>
                            <w:vAlign w:val="center"/>
                            <w:hideMark/>
                          </w:tcPr>
                          <w:p>
                            <w:pPr>
                              <w:suppressAutoHyphens/>
                              <w:rPr>
                                <w:rFonts w:eastAsia="Calibri"/>
                                <w:sz w:val="20"/>
                                <w:lang w:eastAsia="lt-LT"/>
                              </w:rPr>
                            </w:pPr>
                          </w:p>
                        </w:tc>
                      </w:tr>
                      <w:tr>
                        <w:trPr>
                          <w:cantSplit/>
                          <w:trHeight w:val="243"/>
                        </w:trPr>
                        <w:tc>
                          <w:tcPr>
                            <w:tcW w:w="328" w:type="pct"/>
                            <w:tcBorders>
                              <w:top w:val="single" w:sz="4" w:space="0" w:color="auto"/>
                              <w:left w:val="single" w:sz="4" w:space="0" w:color="auto"/>
                              <w:bottom w:val="single" w:sz="4" w:space="0" w:color="auto"/>
                              <w:right w:val="single" w:sz="4" w:space="0" w:color="auto"/>
                            </w:tcBorders>
                          </w:tcPr>
                          <w:p>
                            <w:pPr>
                              <w:suppressAutoHyphens/>
                              <w:rPr>
                                <w:rFonts w:eastAsia="Calibri"/>
                                <w:sz w:val="20"/>
                                <w:lang w:eastAsia="lt-LT"/>
                              </w:rPr>
                            </w:pPr>
                          </w:p>
                        </w:tc>
                        <w:tc>
                          <w:tcPr>
                            <w:tcW w:w="646" w:type="pct"/>
                            <w:vMerge/>
                            <w:tcBorders>
                              <w:top w:val="single" w:sz="4" w:space="0" w:color="auto"/>
                              <w:left w:val="single" w:sz="4" w:space="0" w:color="auto"/>
                              <w:bottom w:val="single" w:sz="4" w:space="0" w:color="auto"/>
                              <w:right w:val="single" w:sz="4" w:space="0" w:color="auto"/>
                            </w:tcBorders>
                            <w:vAlign w:val="center"/>
                            <w:hideMark/>
                          </w:tcPr>
                          <w:p>
                            <w:pPr>
                              <w:suppressAutoHyphens/>
                              <w:rPr>
                                <w:rFonts w:eastAsia="Calibri"/>
                                <w:sz w:val="20"/>
                                <w:lang w:eastAsia="lt-LT"/>
                              </w:rPr>
                            </w:pPr>
                          </w:p>
                        </w:tc>
                        <w:tc>
                          <w:tcPr>
                            <w:tcW w:w="648" w:type="pct"/>
                            <w:vMerge/>
                            <w:tcBorders>
                              <w:top w:val="single" w:sz="4" w:space="0" w:color="auto"/>
                              <w:left w:val="single" w:sz="4" w:space="0" w:color="auto"/>
                              <w:bottom w:val="single" w:sz="4" w:space="0" w:color="auto"/>
                              <w:right w:val="single" w:sz="4" w:space="0" w:color="auto"/>
                            </w:tcBorders>
                            <w:vAlign w:val="center"/>
                            <w:hideMark/>
                          </w:tcPr>
                          <w:p>
                            <w:pPr>
                              <w:suppressAutoHyphens/>
                              <w:rPr>
                                <w:rFonts w:eastAsia="Calibri"/>
                                <w:sz w:val="20"/>
                                <w:lang w:eastAsia="lt-LT"/>
                              </w:rPr>
                            </w:pPr>
                          </w:p>
                        </w:tc>
                        <w:tc>
                          <w:tcPr>
                            <w:tcW w:w="430"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suppressAutoHyphens/>
                              <w:rPr>
                                <w:rFonts w:eastAsia="Calibri"/>
                                <w:sz w:val="20"/>
                                <w:lang w:eastAsia="lt-LT"/>
                              </w:rPr>
                            </w:pPr>
                          </w:p>
                        </w:tc>
                        <w:tc>
                          <w:tcPr>
                            <w:tcW w:w="648" w:type="pct"/>
                            <w:tcBorders>
                              <w:top w:val="single" w:sz="4" w:space="0" w:color="auto"/>
                              <w:left w:val="single" w:sz="4" w:space="0" w:color="auto"/>
                              <w:bottom w:val="single" w:sz="4" w:space="0" w:color="auto"/>
                              <w:right w:val="single" w:sz="4" w:space="0" w:color="auto"/>
                            </w:tcBorders>
                          </w:tcPr>
                          <w:p>
                            <w:pPr>
                              <w:suppressAutoHyphens/>
                              <w:rPr>
                                <w:rFonts w:eastAsia="Calibri"/>
                                <w:sz w:val="20"/>
                                <w:lang w:eastAsia="lt-LT"/>
                              </w:rPr>
                            </w:pPr>
                          </w:p>
                        </w:tc>
                        <w:tc>
                          <w:tcPr>
                            <w:tcW w:w="609"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pPr>
                              <w:suppressAutoHyphens/>
                              <w:rPr>
                                <w:rFonts w:eastAsia="Calibri"/>
                                <w:sz w:val="20"/>
                                <w:lang w:eastAsia="lt-LT"/>
                              </w:rPr>
                            </w:pPr>
                          </w:p>
                        </w:tc>
                        <w:tc>
                          <w:tcPr>
                            <w:tcW w:w="810" w:type="pc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pPr>
                              <w:suppressAutoHyphens/>
                              <w:rPr>
                                <w:rFonts w:eastAsia="Calibri"/>
                                <w:sz w:val="20"/>
                                <w:lang w:eastAsia="lt-LT"/>
                              </w:rPr>
                            </w:pPr>
                          </w:p>
                        </w:tc>
                        <w:tc>
                          <w:tcPr>
                            <w:tcW w:w="880" w:type="pct"/>
                            <w:vMerge/>
                            <w:tcBorders>
                              <w:top w:val="single" w:sz="4" w:space="0" w:color="auto"/>
                              <w:left w:val="single" w:sz="4" w:space="0" w:color="auto"/>
                              <w:bottom w:val="single" w:sz="4" w:space="0" w:color="auto"/>
                              <w:right w:val="single" w:sz="4" w:space="0" w:color="auto"/>
                            </w:tcBorders>
                            <w:vAlign w:val="center"/>
                            <w:hideMark/>
                          </w:tcPr>
                          <w:p>
                            <w:pPr>
                              <w:suppressAutoHyphens/>
                              <w:rPr>
                                <w:rFonts w:eastAsia="Calibri"/>
                                <w:sz w:val="20"/>
                                <w:lang w:eastAsia="lt-LT"/>
                              </w:rPr>
                            </w:pPr>
                          </w:p>
                        </w:tc>
                      </w:tr>
                    </w:tbl>
                    <w:p>
                      <w:pPr>
                        <w:ind w:firstLine="567"/>
                        <w:rPr>
                          <w:b/>
                          <w:bCs/>
                          <w:color w:val="000000"/>
                          <w:szCs w:val="24"/>
                          <w:lang w:eastAsia="lt-LT"/>
                        </w:rPr>
                      </w:pPr>
                    </w:p>
                    <w:p>
                      <w:pPr>
                        <w:ind w:firstLine="567"/>
                        <w:rPr>
                          <w:color w:val="000000"/>
                          <w:sz w:val="22"/>
                          <w:szCs w:val="24"/>
                          <w:lang w:eastAsia="lt-LT"/>
                        </w:rPr>
                      </w:pPr>
                      <w:r>
                        <w:rPr>
                          <w:b/>
                          <w:bCs/>
                          <w:color w:val="000000"/>
                          <w:sz w:val="22"/>
                          <w:szCs w:val="24"/>
                          <w:lang w:eastAsia="lt-LT"/>
                        </w:rPr>
                        <w:t>20 lentelė.</w:t>
                      </w:r>
                      <w:r>
                        <w:rPr>
                          <w:color w:val="000000"/>
                          <w:sz w:val="22"/>
                          <w:szCs w:val="24"/>
                          <w:lang w:eastAsia="lt-LT"/>
                        </w:rPr>
                        <w:t xml:space="preserve"> Didžiausias leidžiamas laikyti pavojingųjų atliekų kiekis</w:t>
                      </w:r>
                    </w:p>
                    <w:p>
                      <w:pPr>
                        <w:rPr>
                          <w:color w:val="000000"/>
                          <w:sz w:val="22"/>
                          <w:szCs w:val="24"/>
                          <w:lang w:eastAsia="lt-LT"/>
                        </w:rPr>
                      </w:pPr>
                    </w:p>
                    <w:p>
                      <w:pPr>
                        <w:rPr>
                          <w:rFonts w:ascii="Symbol" w:hAnsi="Symbol"/>
                          <w:color w:val="000000"/>
                          <w:sz w:val="22"/>
                          <w:szCs w:val="24"/>
                          <w:lang w:eastAsia="lt-LT"/>
                        </w:rPr>
                      </w:pPr>
                      <w:r>
                        <w:rPr>
                          <w:color w:val="000000"/>
                          <w:sz w:val="22"/>
                          <w:szCs w:val="24"/>
                          <w:lang w:eastAsia="lt-LT"/>
                        </w:rPr>
                        <w:t>Įrenginio pavadinimas</w:t>
                      </w:r>
                      <w:r>
                        <w:rPr>
                          <w:rFonts w:ascii="Symbol" w:hAnsi="Symbol"/>
                          <w:color w:val="000000"/>
                          <w:sz w:val="22"/>
                          <w:szCs w:val="24"/>
                          <w:lang w:eastAsia="lt-LT"/>
                        </w:rPr>
                        <w:t></w:t>
                      </w:r>
                    </w:p>
                    <w:p>
                      <w:pPr>
                        <w:rPr>
                          <w:color w:val="000000"/>
                          <w:sz w:val="22"/>
                          <w:szCs w:val="24"/>
                          <w:lang w:eastAsia="lt-LT"/>
                        </w:rPr>
                      </w:pPr>
                    </w:p>
                    <w:tbl>
                      <w:tblPr>
                        <w:tblW w:w="5000" w:type="pct"/>
                        <w:tblLayout w:type="fixed"/>
                        <w:tblCellMar>
                          <w:left w:w="10" w:type="dxa"/>
                          <w:right w:w="10" w:type="dxa"/>
                        </w:tblCellMar>
                        <w:tblLook w:val="04A0" w:firstRow="1" w:lastRow="0" w:firstColumn="1" w:lastColumn="0" w:noHBand="0" w:noVBand="1"/>
                      </w:tblPr>
                      <w:tblGrid>
                        <w:gridCol w:w="558"/>
                        <w:gridCol w:w="1715"/>
                        <w:gridCol w:w="1715"/>
                        <w:gridCol w:w="1291"/>
                        <w:gridCol w:w="1629"/>
                        <w:gridCol w:w="1629"/>
                        <w:gridCol w:w="1629"/>
                        <w:gridCol w:w="3444"/>
                      </w:tblGrid>
                      <w:tr>
                        <w:tc>
                          <w:tcPr>
                            <w:tcW w:w="389" w:type="dxa"/>
                            <w:vMerge w:val="restart"/>
                            <w:tcBorders>
                              <w:top w:val="single" w:sz="8" w:space="0" w:color="000000"/>
                              <w:left w:val="single" w:sz="8" w:space="0" w:color="000000"/>
                              <w:bottom w:val="single" w:sz="4" w:space="0" w:color="000000"/>
                              <w:right w:val="single" w:sz="8" w:space="0" w:color="000000"/>
                            </w:tcBorders>
                            <w:shd w:val="clear" w:color="auto" w:fill="auto"/>
                            <w:tcMar>
                              <w:top w:w="0" w:type="dxa"/>
                              <w:left w:w="0" w:type="dxa"/>
                              <w:bottom w:w="0" w:type="dxa"/>
                              <w:right w:w="0" w:type="dxa"/>
                            </w:tcMar>
                            <w:vAlign w:val="center"/>
                          </w:tcPr>
                          <w:p>
                            <w:pPr>
                              <w:suppressAutoHyphens/>
                              <w:jc w:val="center"/>
                              <w:textAlignment w:val="baseline"/>
                              <w:rPr>
                                <w:sz w:val="20"/>
                                <w:lang w:eastAsia="lt-LT"/>
                              </w:rPr>
                            </w:pPr>
                            <w:r>
                              <w:rPr>
                                <w:sz w:val="20"/>
                                <w:lang w:eastAsia="lt-LT"/>
                              </w:rPr>
                              <w:t>Eil. Nr.</w:t>
                            </w:r>
                          </w:p>
                        </w:tc>
                        <w:tc>
                          <w:tcPr>
                            <w:tcW w:w="1194" w:type="dxa"/>
                            <w:vMerge w:val="restart"/>
                            <w:tcBorders>
                              <w:top w:val="single" w:sz="8" w:space="0" w:color="000000"/>
                              <w:left w:val="single" w:sz="8"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jc w:val="center"/>
                              <w:textAlignment w:val="baseline"/>
                              <w:rPr>
                                <w:sz w:val="20"/>
                                <w:lang w:eastAsia="lt-LT"/>
                              </w:rPr>
                            </w:pPr>
                            <w:r>
                              <w:rPr>
                                <w:sz w:val="20"/>
                                <w:lang w:eastAsia="lt-LT"/>
                              </w:rPr>
                              <w:t>Pavojingųjų atliekų technologinio srauto žymėjimas</w:t>
                            </w:r>
                          </w:p>
                        </w:tc>
                        <w:tc>
                          <w:tcPr>
                            <w:tcW w:w="1194" w:type="dxa"/>
                            <w:vMerge w:val="restart"/>
                            <w:tcBorders>
                              <w:top w:val="single" w:sz="8"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jc w:val="center"/>
                              <w:textAlignment w:val="baseline"/>
                              <w:rPr>
                                <w:sz w:val="20"/>
                                <w:lang w:eastAsia="lt-LT"/>
                              </w:rPr>
                            </w:pPr>
                            <w:r>
                              <w:rPr>
                                <w:sz w:val="20"/>
                                <w:lang w:eastAsia="lt-LT"/>
                              </w:rPr>
                              <w:t>Pavojingųjų atliekų technologinio srauto pavadinimas</w:t>
                            </w:r>
                          </w:p>
                        </w:tc>
                        <w:tc>
                          <w:tcPr>
                            <w:tcW w:w="899" w:type="dxa"/>
                            <w:vMerge w:val="restart"/>
                            <w:tcBorders>
                              <w:top w:val="single" w:sz="8"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jc w:val="center"/>
                              <w:textAlignment w:val="baseline"/>
                              <w:rPr>
                                <w:sz w:val="20"/>
                                <w:lang w:eastAsia="lt-LT"/>
                              </w:rPr>
                            </w:pPr>
                            <w:r>
                              <w:rPr>
                                <w:sz w:val="20"/>
                                <w:lang w:eastAsia="lt-LT"/>
                              </w:rPr>
                              <w:t>Atliekos kodas</w:t>
                            </w:r>
                          </w:p>
                        </w:tc>
                        <w:tc>
                          <w:tcPr>
                            <w:tcW w:w="1134" w:type="dxa"/>
                            <w:vMerge w:val="restart"/>
                            <w:tcBorders>
                              <w:top w:val="single" w:sz="8"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jc w:val="center"/>
                              <w:textAlignment w:val="baseline"/>
                              <w:rPr>
                                <w:sz w:val="20"/>
                                <w:lang w:eastAsia="lt-LT"/>
                              </w:rPr>
                            </w:pPr>
                            <w:r>
                              <w:rPr>
                                <w:sz w:val="20"/>
                                <w:lang w:eastAsia="lt-LT"/>
                              </w:rPr>
                              <w:t>Atliekos pavadinimas</w:t>
                            </w:r>
                          </w:p>
                        </w:tc>
                        <w:tc>
                          <w:tcPr>
                            <w:tcW w:w="1134" w:type="dxa"/>
                            <w:vMerge w:val="restart"/>
                            <w:tcBorders>
                              <w:top w:val="single" w:sz="8"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jc w:val="center"/>
                              <w:textAlignment w:val="baseline"/>
                              <w:rPr>
                                <w:sz w:val="20"/>
                                <w:lang w:eastAsia="lt-LT"/>
                              </w:rPr>
                            </w:pPr>
                            <w:r>
                              <w:rPr>
                                <w:sz w:val="20"/>
                                <w:lang w:eastAsia="lt-LT"/>
                              </w:rPr>
                              <w:t>Patikslintas atliekos pavadinimas</w:t>
                            </w:r>
                          </w:p>
                        </w:tc>
                        <w:tc>
                          <w:tcPr>
                            <w:tcW w:w="3532" w:type="dxa"/>
                            <w:gridSpan w:val="2"/>
                            <w:tcBorders>
                              <w:top w:val="single" w:sz="8" w:space="0" w:color="000000"/>
                              <w:bottom w:val="single" w:sz="8" w:space="0" w:color="000000"/>
                              <w:right w:val="single" w:sz="8" w:space="0" w:color="000000"/>
                            </w:tcBorders>
                            <w:shd w:val="clear" w:color="auto" w:fill="auto"/>
                            <w:tcMar>
                              <w:top w:w="0" w:type="dxa"/>
                              <w:left w:w="28" w:type="dxa"/>
                              <w:bottom w:w="0" w:type="dxa"/>
                              <w:right w:w="28" w:type="dxa"/>
                            </w:tcMar>
                            <w:vAlign w:val="center"/>
                          </w:tcPr>
                          <w:p>
                            <w:pPr>
                              <w:suppressAutoHyphens/>
                              <w:jc w:val="center"/>
                              <w:textAlignment w:val="baseline"/>
                              <w:rPr>
                                <w:sz w:val="20"/>
                                <w:lang w:eastAsia="lt-LT"/>
                              </w:rPr>
                            </w:pPr>
                            <w:r>
                              <w:rPr>
                                <w:sz w:val="20"/>
                                <w:lang w:eastAsia="lt-LT"/>
                              </w:rPr>
                              <w:t>Atliekų laikymas</w:t>
                            </w:r>
                          </w:p>
                        </w:tc>
                      </w:tr>
                      <w:tr>
                        <w:trPr>
                          <w:trHeight w:val="855"/>
                        </w:trPr>
                        <w:tc>
                          <w:tcPr>
                            <w:tcW w:w="389" w:type="dxa"/>
                            <w:vMerge/>
                            <w:tcBorders>
                              <w:top w:val="single" w:sz="8" w:space="0" w:color="000000"/>
                              <w:left w:val="single" w:sz="8" w:space="0" w:color="000000"/>
                              <w:bottom w:val="single" w:sz="4" w:space="0" w:color="000000"/>
                              <w:right w:val="single" w:sz="8" w:space="0" w:color="000000"/>
                            </w:tcBorders>
                            <w:shd w:val="clear" w:color="auto" w:fill="auto"/>
                            <w:tcMar>
                              <w:top w:w="0" w:type="dxa"/>
                              <w:left w:w="0" w:type="dxa"/>
                              <w:bottom w:w="0" w:type="dxa"/>
                              <w:right w:w="0" w:type="dxa"/>
                            </w:tcMar>
                            <w:vAlign w:val="center"/>
                          </w:tcPr>
                          <w:p>
                            <w:pPr>
                              <w:suppressAutoHyphens/>
                              <w:textAlignment w:val="baseline"/>
                              <w:rPr>
                                <w:sz w:val="20"/>
                                <w:lang w:eastAsia="lt-LT"/>
                              </w:rPr>
                            </w:pPr>
                          </w:p>
                        </w:tc>
                        <w:tc>
                          <w:tcPr>
                            <w:tcW w:w="1194" w:type="dxa"/>
                            <w:vMerge/>
                            <w:tcBorders>
                              <w:top w:val="single" w:sz="8" w:space="0" w:color="000000"/>
                              <w:left w:val="single" w:sz="8"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textAlignment w:val="baseline"/>
                              <w:rPr>
                                <w:sz w:val="20"/>
                                <w:lang w:eastAsia="lt-LT"/>
                              </w:rPr>
                            </w:pPr>
                          </w:p>
                        </w:tc>
                        <w:tc>
                          <w:tcPr>
                            <w:tcW w:w="1194" w:type="dxa"/>
                            <w:vMerge/>
                            <w:tcBorders>
                              <w:top w:val="single" w:sz="8"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textAlignment w:val="baseline"/>
                              <w:rPr>
                                <w:sz w:val="20"/>
                                <w:lang w:eastAsia="lt-LT"/>
                              </w:rPr>
                            </w:pPr>
                          </w:p>
                        </w:tc>
                        <w:tc>
                          <w:tcPr>
                            <w:tcW w:w="899" w:type="dxa"/>
                            <w:vMerge/>
                            <w:tcBorders>
                              <w:top w:val="single" w:sz="8"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textAlignment w:val="baseline"/>
                              <w:rPr>
                                <w:sz w:val="20"/>
                                <w:lang w:eastAsia="lt-LT"/>
                              </w:rPr>
                            </w:pPr>
                          </w:p>
                        </w:tc>
                        <w:tc>
                          <w:tcPr>
                            <w:tcW w:w="1134" w:type="dxa"/>
                            <w:vMerge/>
                            <w:tcBorders>
                              <w:top w:val="single" w:sz="8"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textAlignment w:val="baseline"/>
                              <w:rPr>
                                <w:sz w:val="20"/>
                                <w:lang w:eastAsia="lt-LT"/>
                              </w:rPr>
                            </w:pPr>
                          </w:p>
                        </w:tc>
                        <w:tc>
                          <w:tcPr>
                            <w:tcW w:w="1134" w:type="dxa"/>
                            <w:vMerge/>
                            <w:tcBorders>
                              <w:top w:val="single" w:sz="8"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textAlignment w:val="baseline"/>
                              <w:rPr>
                                <w:sz w:val="20"/>
                                <w:lang w:eastAsia="lt-LT"/>
                              </w:rPr>
                            </w:pPr>
                          </w:p>
                        </w:tc>
                        <w:tc>
                          <w:tcPr>
                            <w:tcW w:w="1134" w:type="dxa"/>
                            <w:tcBorders>
                              <w:bottom w:val="single" w:sz="4" w:space="0" w:color="000000"/>
                              <w:right w:val="single" w:sz="8" w:space="0" w:color="000000"/>
                            </w:tcBorders>
                            <w:shd w:val="clear" w:color="auto" w:fill="auto"/>
                            <w:tcMar>
                              <w:top w:w="0" w:type="dxa"/>
                              <w:left w:w="28" w:type="dxa"/>
                              <w:bottom w:w="0" w:type="dxa"/>
                              <w:right w:w="28" w:type="dxa"/>
                            </w:tcMar>
                          </w:tcPr>
                          <w:p>
                            <w:pPr>
                              <w:suppressAutoHyphens/>
                              <w:jc w:val="center"/>
                              <w:textAlignment w:val="baseline"/>
                              <w:rPr>
                                <w:sz w:val="20"/>
                                <w:lang w:eastAsia="lt-LT"/>
                              </w:rPr>
                            </w:pPr>
                            <w:r>
                              <w:rPr>
                                <w:sz w:val="20"/>
                                <w:lang w:eastAsia="lt-LT"/>
                              </w:rPr>
                              <w:t>Atliekų tvarkymo veiklos kodas (R13 ir (ar) D15)</w:t>
                            </w:r>
                          </w:p>
                        </w:tc>
                        <w:tc>
                          <w:tcPr>
                            <w:tcW w:w="2398" w:type="dxa"/>
                            <w:tcBorders>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jc w:val="center"/>
                              <w:textAlignment w:val="baseline"/>
                              <w:rPr>
                                <w:sz w:val="20"/>
                                <w:lang w:eastAsia="lt-LT"/>
                              </w:rPr>
                            </w:pPr>
                            <w:r>
                              <w:rPr>
                                <w:sz w:val="20"/>
                                <w:lang w:eastAsia="lt-LT"/>
                              </w:rPr>
                              <w:t>Didžiausias vienu metu leidžiamas laikyti bendras atliekų, įskaitant susidarančias apdorojimo metu, kiekis, t</w:t>
                            </w:r>
                          </w:p>
                        </w:tc>
                      </w:tr>
                      <w:tr>
                        <w:trPr>
                          <w:trHeight w:val="70"/>
                        </w:trPr>
                        <w:tc>
                          <w:tcPr>
                            <w:tcW w:w="38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pPr>
                              <w:suppressAutoHyphens/>
                              <w:jc w:val="center"/>
                              <w:textAlignment w:val="baseline"/>
                              <w:rPr>
                                <w:sz w:val="20"/>
                                <w:lang w:eastAsia="lt-LT"/>
                              </w:rPr>
                            </w:pPr>
                            <w:r>
                              <w:rPr>
                                <w:sz w:val="20"/>
                                <w:lang w:eastAsia="lt-LT"/>
                              </w:rPr>
                              <w:t>1</w:t>
                            </w:r>
                          </w:p>
                        </w:tc>
                        <w:tc>
                          <w:tcPr>
                            <w:tcW w:w="119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pPr>
                              <w:suppressAutoHyphens/>
                              <w:jc w:val="center"/>
                              <w:textAlignment w:val="baseline"/>
                              <w:rPr>
                                <w:sz w:val="20"/>
                                <w:lang w:eastAsia="lt-LT"/>
                              </w:rPr>
                            </w:pPr>
                            <w:r>
                              <w:rPr>
                                <w:sz w:val="20"/>
                                <w:lang w:eastAsia="lt-LT"/>
                              </w:rPr>
                              <w:t>2</w:t>
                            </w:r>
                          </w:p>
                        </w:tc>
                        <w:tc>
                          <w:tcPr>
                            <w:tcW w:w="119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pPr>
                              <w:suppressAutoHyphens/>
                              <w:jc w:val="center"/>
                              <w:textAlignment w:val="baseline"/>
                              <w:rPr>
                                <w:sz w:val="20"/>
                                <w:lang w:eastAsia="lt-LT"/>
                              </w:rPr>
                            </w:pPr>
                            <w:r>
                              <w:rPr>
                                <w:sz w:val="20"/>
                                <w:lang w:eastAsia="lt-LT"/>
                              </w:rPr>
                              <w:t>3</w:t>
                            </w:r>
                          </w:p>
                        </w:tc>
                        <w:tc>
                          <w:tcPr>
                            <w:tcW w:w="89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pPr>
                              <w:suppressAutoHyphens/>
                              <w:jc w:val="center"/>
                              <w:textAlignment w:val="baseline"/>
                              <w:rPr>
                                <w:sz w:val="20"/>
                                <w:lang w:eastAsia="lt-LT"/>
                              </w:rPr>
                            </w:pPr>
                            <w:r>
                              <w:rPr>
                                <w:sz w:val="20"/>
                                <w:lang w:eastAsia="lt-LT"/>
                              </w:rPr>
                              <w:t>4</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suppressAutoHyphens/>
                              <w:jc w:val="center"/>
                              <w:textAlignment w:val="baseline"/>
                              <w:rPr>
                                <w:sz w:val="20"/>
                                <w:lang w:eastAsia="lt-LT"/>
                              </w:rPr>
                            </w:pPr>
                            <w:r>
                              <w:rPr>
                                <w:sz w:val="20"/>
                                <w:lang w:eastAsia="lt-LT"/>
                              </w:rPr>
                              <w:t>5</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suppressAutoHyphens/>
                              <w:jc w:val="center"/>
                              <w:textAlignment w:val="baseline"/>
                              <w:rPr>
                                <w:sz w:val="20"/>
                                <w:lang w:eastAsia="lt-LT"/>
                              </w:rPr>
                            </w:pPr>
                            <w:r>
                              <w:rPr>
                                <w:sz w:val="20"/>
                                <w:lang w:eastAsia="lt-LT"/>
                              </w:rPr>
                              <w:t>6</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suppressAutoHyphens/>
                              <w:jc w:val="center"/>
                              <w:textAlignment w:val="baseline"/>
                              <w:rPr>
                                <w:sz w:val="20"/>
                                <w:lang w:eastAsia="lt-LT"/>
                              </w:rPr>
                            </w:pPr>
                            <w:r>
                              <w:rPr>
                                <w:sz w:val="20"/>
                                <w:lang w:eastAsia="lt-LT"/>
                              </w:rPr>
                              <w:t>7</w:t>
                            </w:r>
                          </w:p>
                        </w:tc>
                        <w:tc>
                          <w:tcPr>
                            <w:tcW w:w="2398"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pPr>
                              <w:suppressAutoHyphens/>
                              <w:jc w:val="center"/>
                              <w:textAlignment w:val="baseline"/>
                              <w:rPr>
                                <w:sz w:val="20"/>
                                <w:lang w:eastAsia="lt-LT"/>
                              </w:rPr>
                            </w:pPr>
                            <w:r>
                              <w:rPr>
                                <w:sz w:val="20"/>
                                <w:lang w:eastAsia="lt-LT"/>
                              </w:rPr>
                              <w:t>8</w:t>
                            </w:r>
                          </w:p>
                        </w:tc>
                      </w:tr>
                      <w:tr>
                        <w:trPr>
                          <w:trHeight w:val="243"/>
                        </w:trPr>
                        <w:tc>
                          <w:tcPr>
                            <w:tcW w:w="389" w:type="dxa"/>
                            <w:tcBorders>
                              <w:top w:val="single" w:sz="4"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tcPr>
                          <w:p>
                            <w:pPr>
                              <w:suppressAutoHyphens/>
                              <w:textAlignment w:val="baseline"/>
                              <w:rPr>
                                <w:sz w:val="20"/>
                                <w:lang w:eastAsia="lt-LT"/>
                              </w:rPr>
                            </w:pPr>
                          </w:p>
                        </w:tc>
                        <w:tc>
                          <w:tcPr>
                            <w:tcW w:w="1194" w:type="dxa"/>
                            <w:vMerge w:val="restart"/>
                            <w:tcBorders>
                              <w:top w:val="single" w:sz="4" w:space="0" w:color="000000"/>
                              <w:left w:val="single" w:sz="8"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ind w:firstLine="53"/>
                              <w:textAlignment w:val="baseline"/>
                              <w:rPr>
                                <w:sz w:val="20"/>
                                <w:lang w:eastAsia="lt-LT"/>
                              </w:rPr>
                            </w:pPr>
                          </w:p>
                        </w:tc>
                        <w:tc>
                          <w:tcPr>
                            <w:tcW w:w="1194" w:type="dxa"/>
                            <w:vMerge w:val="restart"/>
                            <w:tcBorders>
                              <w:top w:val="single" w:sz="4"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ind w:firstLine="53"/>
                              <w:textAlignment w:val="baseline"/>
                              <w:rPr>
                                <w:sz w:val="20"/>
                                <w:lang w:eastAsia="lt-LT"/>
                              </w:rPr>
                            </w:pPr>
                          </w:p>
                        </w:tc>
                        <w:tc>
                          <w:tcPr>
                            <w:tcW w:w="899" w:type="dxa"/>
                            <w:tcBorders>
                              <w:top w:val="single" w:sz="4" w:space="0" w:color="000000"/>
                              <w:bottom w:val="single" w:sz="8" w:space="0" w:color="000000"/>
                              <w:right w:val="single" w:sz="8" w:space="0" w:color="000000"/>
                            </w:tcBorders>
                            <w:shd w:val="clear" w:color="auto" w:fill="auto"/>
                            <w:tcMar>
                              <w:top w:w="0" w:type="dxa"/>
                              <w:left w:w="28" w:type="dxa"/>
                              <w:bottom w:w="0" w:type="dxa"/>
                              <w:right w:w="28" w:type="dxa"/>
                            </w:tcMar>
                            <w:vAlign w:val="center"/>
                          </w:tcPr>
                          <w:p>
                            <w:pPr>
                              <w:suppressAutoHyphens/>
                              <w:ind w:firstLine="53"/>
                              <w:textAlignment w:val="baseline"/>
                              <w:rPr>
                                <w:sz w:val="20"/>
                                <w:lang w:eastAsia="lt-LT"/>
                              </w:rPr>
                            </w:pPr>
                          </w:p>
                        </w:tc>
                        <w:tc>
                          <w:tcPr>
                            <w:tcW w:w="1134" w:type="dxa"/>
                            <w:tcBorders>
                              <w:top w:val="single" w:sz="4" w:space="0" w:color="000000"/>
                              <w:bottom w:val="single" w:sz="8" w:space="0" w:color="000000"/>
                              <w:right w:val="single" w:sz="8" w:space="0" w:color="000000"/>
                            </w:tcBorders>
                            <w:shd w:val="clear" w:color="auto" w:fill="auto"/>
                            <w:tcMar>
                              <w:top w:w="0" w:type="dxa"/>
                              <w:left w:w="28" w:type="dxa"/>
                              <w:bottom w:w="0" w:type="dxa"/>
                              <w:right w:w="28" w:type="dxa"/>
                            </w:tcMar>
                          </w:tcPr>
                          <w:p>
                            <w:pPr>
                              <w:suppressAutoHyphens/>
                              <w:ind w:firstLine="53"/>
                              <w:textAlignment w:val="baseline"/>
                              <w:rPr>
                                <w:sz w:val="20"/>
                                <w:lang w:eastAsia="lt-LT"/>
                              </w:rPr>
                            </w:pPr>
                          </w:p>
                        </w:tc>
                        <w:tc>
                          <w:tcPr>
                            <w:tcW w:w="1134" w:type="dxa"/>
                            <w:tcBorders>
                              <w:top w:val="single" w:sz="4" w:space="0" w:color="000000"/>
                              <w:bottom w:val="single" w:sz="8" w:space="0" w:color="000000"/>
                              <w:right w:val="single" w:sz="8" w:space="0" w:color="000000"/>
                            </w:tcBorders>
                            <w:shd w:val="clear" w:color="auto" w:fill="auto"/>
                            <w:tcMar>
                              <w:top w:w="0" w:type="dxa"/>
                              <w:left w:w="28" w:type="dxa"/>
                              <w:bottom w:w="0" w:type="dxa"/>
                              <w:right w:w="28" w:type="dxa"/>
                            </w:tcMar>
                          </w:tcPr>
                          <w:p>
                            <w:pPr>
                              <w:suppressAutoHyphens/>
                              <w:ind w:firstLine="53"/>
                              <w:textAlignment w:val="baseline"/>
                              <w:rPr>
                                <w:sz w:val="20"/>
                                <w:lang w:eastAsia="lt-LT"/>
                              </w:rPr>
                            </w:pPr>
                          </w:p>
                        </w:tc>
                        <w:tc>
                          <w:tcPr>
                            <w:tcW w:w="1134" w:type="dxa"/>
                            <w:tcBorders>
                              <w:top w:val="single" w:sz="4" w:space="0" w:color="000000"/>
                              <w:bottom w:val="single" w:sz="8" w:space="0" w:color="000000"/>
                              <w:right w:val="single" w:sz="8" w:space="0" w:color="000000"/>
                            </w:tcBorders>
                            <w:shd w:val="clear" w:color="auto" w:fill="auto"/>
                            <w:tcMar>
                              <w:top w:w="0" w:type="dxa"/>
                              <w:left w:w="28" w:type="dxa"/>
                              <w:bottom w:w="0" w:type="dxa"/>
                              <w:right w:w="28" w:type="dxa"/>
                            </w:tcMar>
                          </w:tcPr>
                          <w:p>
                            <w:pPr>
                              <w:suppressAutoHyphens/>
                              <w:ind w:firstLine="53"/>
                              <w:textAlignment w:val="baseline"/>
                              <w:rPr>
                                <w:sz w:val="20"/>
                                <w:lang w:eastAsia="lt-LT"/>
                              </w:rPr>
                            </w:pPr>
                          </w:p>
                        </w:tc>
                        <w:tc>
                          <w:tcPr>
                            <w:tcW w:w="2398" w:type="dxa"/>
                            <w:vMerge w:val="restart"/>
                            <w:tcBorders>
                              <w:top w:val="single" w:sz="4"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ind w:firstLine="53"/>
                              <w:textAlignment w:val="baseline"/>
                              <w:rPr>
                                <w:sz w:val="20"/>
                                <w:lang w:eastAsia="lt-LT"/>
                              </w:rPr>
                            </w:pPr>
                          </w:p>
                        </w:tc>
                      </w:tr>
                      <w:tr>
                        <w:trPr>
                          <w:trHeight w:val="243"/>
                        </w:trPr>
                        <w:tc>
                          <w:tcPr>
                            <w:tcW w:w="389" w:type="dxa"/>
                            <w:tcBorders>
                              <w:left w:val="single" w:sz="8" w:space="0" w:color="000000"/>
                              <w:bottom w:val="single" w:sz="8" w:space="0" w:color="000000"/>
                              <w:right w:val="single" w:sz="8" w:space="0" w:color="000000"/>
                            </w:tcBorders>
                            <w:shd w:val="clear" w:color="auto" w:fill="auto"/>
                            <w:tcMar>
                              <w:top w:w="0" w:type="dxa"/>
                              <w:left w:w="0" w:type="dxa"/>
                              <w:bottom w:w="0" w:type="dxa"/>
                              <w:right w:w="0" w:type="dxa"/>
                            </w:tcMar>
                          </w:tcPr>
                          <w:p>
                            <w:pPr>
                              <w:suppressAutoHyphens/>
                              <w:textAlignment w:val="baseline"/>
                              <w:rPr>
                                <w:sz w:val="20"/>
                                <w:lang w:eastAsia="lt-LT"/>
                              </w:rPr>
                            </w:pPr>
                          </w:p>
                        </w:tc>
                        <w:tc>
                          <w:tcPr>
                            <w:tcW w:w="1194" w:type="dxa"/>
                            <w:vMerge/>
                            <w:tcBorders>
                              <w:top w:val="single" w:sz="4" w:space="0" w:color="000000"/>
                              <w:left w:val="single" w:sz="8"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textAlignment w:val="baseline"/>
                              <w:rPr>
                                <w:sz w:val="20"/>
                                <w:lang w:eastAsia="lt-LT"/>
                              </w:rPr>
                            </w:pPr>
                          </w:p>
                        </w:tc>
                        <w:tc>
                          <w:tcPr>
                            <w:tcW w:w="1194" w:type="dxa"/>
                            <w:vMerge/>
                            <w:tcBorders>
                              <w:top w:val="single" w:sz="4"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textAlignment w:val="baseline"/>
                              <w:rPr>
                                <w:sz w:val="20"/>
                                <w:lang w:eastAsia="lt-LT"/>
                              </w:rPr>
                            </w:pPr>
                          </w:p>
                        </w:tc>
                        <w:tc>
                          <w:tcPr>
                            <w:tcW w:w="899" w:type="dxa"/>
                            <w:tcBorders>
                              <w:bottom w:val="single" w:sz="8" w:space="0" w:color="000000"/>
                              <w:right w:val="single" w:sz="8" w:space="0" w:color="000000"/>
                            </w:tcBorders>
                            <w:shd w:val="clear" w:color="auto" w:fill="auto"/>
                            <w:tcMar>
                              <w:top w:w="0" w:type="dxa"/>
                              <w:left w:w="28" w:type="dxa"/>
                              <w:bottom w:w="0" w:type="dxa"/>
                              <w:right w:w="28" w:type="dxa"/>
                            </w:tcMar>
                            <w:vAlign w:val="center"/>
                          </w:tcPr>
                          <w:p>
                            <w:pPr>
                              <w:suppressAutoHyphens/>
                              <w:ind w:firstLine="53"/>
                              <w:textAlignment w:val="baseline"/>
                              <w:rPr>
                                <w:sz w:val="20"/>
                                <w:lang w:eastAsia="lt-LT"/>
                              </w:rPr>
                            </w:pPr>
                          </w:p>
                        </w:tc>
                        <w:tc>
                          <w:tcPr>
                            <w:tcW w:w="1134" w:type="dxa"/>
                            <w:tcBorders>
                              <w:bottom w:val="single" w:sz="8" w:space="0" w:color="000000"/>
                              <w:right w:val="single" w:sz="8" w:space="0" w:color="000000"/>
                            </w:tcBorders>
                            <w:shd w:val="clear" w:color="auto" w:fill="auto"/>
                            <w:tcMar>
                              <w:top w:w="0" w:type="dxa"/>
                              <w:left w:w="28" w:type="dxa"/>
                              <w:bottom w:w="0" w:type="dxa"/>
                              <w:right w:w="28" w:type="dxa"/>
                            </w:tcMar>
                          </w:tcPr>
                          <w:p>
                            <w:pPr>
                              <w:suppressAutoHyphens/>
                              <w:ind w:firstLine="53"/>
                              <w:textAlignment w:val="baseline"/>
                              <w:rPr>
                                <w:sz w:val="20"/>
                                <w:lang w:eastAsia="lt-LT"/>
                              </w:rPr>
                            </w:pPr>
                          </w:p>
                        </w:tc>
                        <w:tc>
                          <w:tcPr>
                            <w:tcW w:w="1134" w:type="dxa"/>
                            <w:tcBorders>
                              <w:bottom w:val="single" w:sz="8" w:space="0" w:color="000000"/>
                              <w:right w:val="single" w:sz="8" w:space="0" w:color="000000"/>
                            </w:tcBorders>
                            <w:shd w:val="clear" w:color="auto" w:fill="auto"/>
                            <w:tcMar>
                              <w:top w:w="0" w:type="dxa"/>
                              <w:left w:w="28" w:type="dxa"/>
                              <w:bottom w:w="0" w:type="dxa"/>
                              <w:right w:w="28" w:type="dxa"/>
                            </w:tcMar>
                          </w:tcPr>
                          <w:p>
                            <w:pPr>
                              <w:suppressAutoHyphens/>
                              <w:ind w:firstLine="53"/>
                              <w:textAlignment w:val="baseline"/>
                              <w:rPr>
                                <w:sz w:val="20"/>
                                <w:lang w:eastAsia="lt-LT"/>
                              </w:rPr>
                            </w:pPr>
                          </w:p>
                        </w:tc>
                        <w:tc>
                          <w:tcPr>
                            <w:tcW w:w="1134" w:type="dxa"/>
                            <w:tcBorders>
                              <w:bottom w:val="single" w:sz="8" w:space="0" w:color="000000"/>
                              <w:right w:val="single" w:sz="8" w:space="0" w:color="000000"/>
                            </w:tcBorders>
                            <w:shd w:val="clear" w:color="auto" w:fill="auto"/>
                            <w:tcMar>
                              <w:top w:w="0" w:type="dxa"/>
                              <w:left w:w="28" w:type="dxa"/>
                              <w:bottom w:w="0" w:type="dxa"/>
                              <w:right w:w="28" w:type="dxa"/>
                            </w:tcMar>
                          </w:tcPr>
                          <w:p>
                            <w:pPr>
                              <w:suppressAutoHyphens/>
                              <w:ind w:firstLine="53"/>
                              <w:textAlignment w:val="baseline"/>
                              <w:rPr>
                                <w:sz w:val="20"/>
                                <w:lang w:eastAsia="lt-LT"/>
                              </w:rPr>
                            </w:pPr>
                          </w:p>
                        </w:tc>
                        <w:tc>
                          <w:tcPr>
                            <w:tcW w:w="2398" w:type="dxa"/>
                            <w:vMerge/>
                            <w:tcBorders>
                              <w:top w:val="single" w:sz="4"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textAlignment w:val="baseline"/>
                              <w:rPr>
                                <w:sz w:val="20"/>
                                <w:lang w:eastAsia="lt-LT"/>
                              </w:rPr>
                            </w:pPr>
                          </w:p>
                        </w:tc>
                      </w:tr>
                      <w:tr>
                        <w:trPr>
                          <w:trHeight w:val="243"/>
                        </w:trPr>
                        <w:tc>
                          <w:tcPr>
                            <w:tcW w:w="389" w:type="dxa"/>
                            <w:tcBorders>
                              <w:left w:val="single" w:sz="8" w:space="0" w:color="000000"/>
                              <w:bottom w:val="single" w:sz="4" w:space="0" w:color="000000"/>
                              <w:right w:val="single" w:sz="8" w:space="0" w:color="000000"/>
                            </w:tcBorders>
                            <w:shd w:val="clear" w:color="auto" w:fill="auto"/>
                            <w:tcMar>
                              <w:top w:w="0" w:type="dxa"/>
                              <w:left w:w="0" w:type="dxa"/>
                              <w:bottom w:w="0" w:type="dxa"/>
                              <w:right w:w="0" w:type="dxa"/>
                            </w:tcMar>
                          </w:tcPr>
                          <w:p>
                            <w:pPr>
                              <w:suppressAutoHyphens/>
                              <w:textAlignment w:val="baseline"/>
                              <w:rPr>
                                <w:sz w:val="20"/>
                                <w:lang w:eastAsia="lt-LT"/>
                              </w:rPr>
                            </w:pPr>
                          </w:p>
                        </w:tc>
                        <w:tc>
                          <w:tcPr>
                            <w:tcW w:w="1194" w:type="dxa"/>
                            <w:vMerge/>
                            <w:tcBorders>
                              <w:top w:val="single" w:sz="4" w:space="0" w:color="000000"/>
                              <w:left w:val="single" w:sz="8"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textAlignment w:val="baseline"/>
                              <w:rPr>
                                <w:sz w:val="20"/>
                                <w:lang w:eastAsia="lt-LT"/>
                              </w:rPr>
                            </w:pPr>
                          </w:p>
                        </w:tc>
                        <w:tc>
                          <w:tcPr>
                            <w:tcW w:w="1194" w:type="dxa"/>
                            <w:vMerge/>
                            <w:tcBorders>
                              <w:top w:val="single" w:sz="4"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textAlignment w:val="baseline"/>
                              <w:rPr>
                                <w:sz w:val="20"/>
                                <w:lang w:eastAsia="lt-LT"/>
                              </w:rPr>
                            </w:pPr>
                          </w:p>
                        </w:tc>
                        <w:tc>
                          <w:tcPr>
                            <w:tcW w:w="899" w:type="dxa"/>
                            <w:tcBorders>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ind w:firstLine="53"/>
                              <w:textAlignment w:val="baseline"/>
                              <w:rPr>
                                <w:sz w:val="20"/>
                                <w:lang w:eastAsia="lt-LT"/>
                              </w:rPr>
                            </w:pPr>
                          </w:p>
                        </w:tc>
                        <w:tc>
                          <w:tcPr>
                            <w:tcW w:w="1134" w:type="dxa"/>
                            <w:tcBorders>
                              <w:bottom w:val="single" w:sz="4" w:space="0" w:color="000000"/>
                              <w:right w:val="single" w:sz="8" w:space="0" w:color="000000"/>
                            </w:tcBorders>
                            <w:shd w:val="clear" w:color="auto" w:fill="auto"/>
                            <w:tcMar>
                              <w:top w:w="0" w:type="dxa"/>
                              <w:left w:w="28" w:type="dxa"/>
                              <w:bottom w:w="0" w:type="dxa"/>
                              <w:right w:w="28" w:type="dxa"/>
                            </w:tcMar>
                          </w:tcPr>
                          <w:p>
                            <w:pPr>
                              <w:suppressAutoHyphens/>
                              <w:ind w:firstLine="53"/>
                              <w:textAlignment w:val="baseline"/>
                              <w:rPr>
                                <w:sz w:val="20"/>
                                <w:lang w:eastAsia="lt-LT"/>
                              </w:rPr>
                            </w:pPr>
                          </w:p>
                        </w:tc>
                        <w:tc>
                          <w:tcPr>
                            <w:tcW w:w="1134" w:type="dxa"/>
                            <w:tcBorders>
                              <w:bottom w:val="single" w:sz="4" w:space="0" w:color="000000"/>
                              <w:right w:val="single" w:sz="8" w:space="0" w:color="000000"/>
                            </w:tcBorders>
                            <w:shd w:val="clear" w:color="auto" w:fill="auto"/>
                            <w:tcMar>
                              <w:top w:w="0" w:type="dxa"/>
                              <w:left w:w="28" w:type="dxa"/>
                              <w:bottom w:w="0" w:type="dxa"/>
                              <w:right w:w="28" w:type="dxa"/>
                            </w:tcMar>
                          </w:tcPr>
                          <w:p>
                            <w:pPr>
                              <w:suppressAutoHyphens/>
                              <w:ind w:firstLine="53"/>
                              <w:textAlignment w:val="baseline"/>
                              <w:rPr>
                                <w:sz w:val="20"/>
                                <w:lang w:eastAsia="lt-LT"/>
                              </w:rPr>
                            </w:pPr>
                          </w:p>
                        </w:tc>
                        <w:tc>
                          <w:tcPr>
                            <w:tcW w:w="1134" w:type="dxa"/>
                            <w:tcBorders>
                              <w:bottom w:val="single" w:sz="4" w:space="0" w:color="000000"/>
                              <w:right w:val="single" w:sz="8" w:space="0" w:color="000000"/>
                            </w:tcBorders>
                            <w:shd w:val="clear" w:color="auto" w:fill="auto"/>
                            <w:tcMar>
                              <w:top w:w="0" w:type="dxa"/>
                              <w:left w:w="28" w:type="dxa"/>
                              <w:bottom w:w="0" w:type="dxa"/>
                              <w:right w:w="28" w:type="dxa"/>
                            </w:tcMar>
                          </w:tcPr>
                          <w:p>
                            <w:pPr>
                              <w:suppressAutoHyphens/>
                              <w:ind w:firstLine="53"/>
                              <w:textAlignment w:val="baseline"/>
                              <w:rPr>
                                <w:sz w:val="20"/>
                                <w:lang w:eastAsia="lt-LT"/>
                              </w:rPr>
                            </w:pPr>
                          </w:p>
                        </w:tc>
                        <w:tc>
                          <w:tcPr>
                            <w:tcW w:w="2398" w:type="dxa"/>
                            <w:vMerge/>
                            <w:tcBorders>
                              <w:top w:val="single" w:sz="4"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textAlignment w:val="baseline"/>
                              <w:rPr>
                                <w:sz w:val="20"/>
                                <w:lang w:eastAsia="lt-LT"/>
                              </w:rPr>
                            </w:pPr>
                          </w:p>
                        </w:tc>
                      </w:tr>
                    </w:tbl>
                    <w:p>
                      <w:pPr>
                        <w:ind w:firstLine="67"/>
                        <w:rPr>
                          <w:color w:val="000000"/>
                          <w:szCs w:val="24"/>
                          <w:lang w:eastAsia="lt-LT"/>
                        </w:rPr>
                      </w:pPr>
                    </w:p>
                    <w:p>
                      <w:pPr>
                        <w:ind w:firstLine="567"/>
                        <w:rPr>
                          <w:color w:val="000000"/>
                          <w:sz w:val="22"/>
                          <w:szCs w:val="24"/>
                          <w:lang w:eastAsia="lt-LT"/>
                        </w:rPr>
                      </w:pPr>
                      <w:r>
                        <w:rPr>
                          <w:b/>
                          <w:bCs/>
                          <w:color w:val="000000"/>
                          <w:sz w:val="22"/>
                          <w:szCs w:val="24"/>
                          <w:lang w:eastAsia="lt-LT"/>
                        </w:rPr>
                        <w:t>21 lentelė.</w:t>
                      </w:r>
                      <w:r>
                        <w:rPr>
                          <w:color w:val="000000"/>
                          <w:sz w:val="22"/>
                          <w:szCs w:val="24"/>
                          <w:lang w:eastAsia="lt-LT"/>
                        </w:rPr>
                        <w:t xml:space="preserve"> Leidžiamas laikyti pavojingųjų atliekų kiekis jų susidarymo vietoje iki surinkimo (S8)</w:t>
                      </w:r>
                    </w:p>
                    <w:p>
                      <w:pPr>
                        <w:rPr>
                          <w:color w:val="000000"/>
                          <w:sz w:val="22"/>
                          <w:szCs w:val="24"/>
                          <w:lang w:eastAsia="lt-LT"/>
                        </w:rPr>
                      </w:pPr>
                    </w:p>
                    <w:p>
                      <w:pPr>
                        <w:rPr>
                          <w:rFonts w:ascii="Symbol" w:hAnsi="Symbol"/>
                          <w:color w:val="000000"/>
                          <w:sz w:val="22"/>
                          <w:szCs w:val="24"/>
                          <w:lang w:eastAsia="lt-LT"/>
                        </w:rPr>
                      </w:pPr>
                      <w:r>
                        <w:rPr>
                          <w:color w:val="000000"/>
                          <w:sz w:val="22"/>
                          <w:szCs w:val="24"/>
                          <w:lang w:eastAsia="lt-LT"/>
                        </w:rPr>
                        <w:t>Įrenginio pavadinimas</w:t>
                      </w:r>
                      <w:r>
                        <w:rPr>
                          <w:rFonts w:ascii="Symbol" w:hAnsi="Symbol"/>
                          <w:color w:val="000000"/>
                          <w:sz w:val="22"/>
                          <w:szCs w:val="24"/>
                          <w:lang w:eastAsia="lt-LT"/>
                        </w:rPr>
                        <w:t></w:t>
                      </w:r>
                    </w:p>
                    <w:p>
                      <w:pPr>
                        <w:rPr>
                          <w:color w:val="000000"/>
                          <w:sz w:val="22"/>
                          <w:szCs w:val="24"/>
                          <w:lang w:eastAsia="lt-LT"/>
                        </w:rPr>
                      </w:pPr>
                    </w:p>
                    <w:tbl>
                      <w:tblPr>
                        <w:tblW w:w="5000" w:type="pct"/>
                        <w:tblCellMar>
                          <w:left w:w="10" w:type="dxa"/>
                          <w:right w:w="10" w:type="dxa"/>
                        </w:tblCellMar>
                        <w:tblLook w:val="04A0" w:firstRow="1" w:lastRow="0" w:firstColumn="1" w:lastColumn="0" w:noHBand="0" w:noVBand="1"/>
                      </w:tblPr>
                      <w:tblGrid>
                        <w:gridCol w:w="589"/>
                        <w:gridCol w:w="2054"/>
                        <w:gridCol w:w="1903"/>
                        <w:gridCol w:w="1208"/>
                        <w:gridCol w:w="2173"/>
                        <w:gridCol w:w="2239"/>
                        <w:gridCol w:w="3444"/>
                      </w:tblGrid>
                      <w:tr>
                        <w:tc>
                          <w:tcPr>
                            <w:tcW w:w="410" w:type="dxa"/>
                            <w:vMerge w:val="restart"/>
                            <w:tcBorders>
                              <w:top w:val="single" w:sz="8" w:space="0" w:color="000000"/>
                              <w:left w:val="single" w:sz="8" w:space="0" w:color="000000"/>
                              <w:bottom w:val="single" w:sz="4" w:space="0" w:color="000000"/>
                              <w:right w:val="single" w:sz="8" w:space="0" w:color="000000"/>
                            </w:tcBorders>
                            <w:shd w:val="clear" w:color="auto" w:fill="auto"/>
                            <w:tcMar>
                              <w:top w:w="0" w:type="dxa"/>
                              <w:left w:w="0" w:type="dxa"/>
                              <w:bottom w:w="0" w:type="dxa"/>
                              <w:right w:w="0" w:type="dxa"/>
                            </w:tcMar>
                            <w:vAlign w:val="center"/>
                          </w:tcPr>
                          <w:p>
                            <w:pPr>
                              <w:suppressAutoHyphens/>
                              <w:jc w:val="center"/>
                              <w:textAlignment w:val="baseline"/>
                              <w:rPr>
                                <w:sz w:val="20"/>
                                <w:lang w:eastAsia="lt-LT"/>
                              </w:rPr>
                            </w:pPr>
                            <w:r>
                              <w:rPr>
                                <w:sz w:val="20"/>
                                <w:lang w:eastAsia="lt-LT"/>
                              </w:rPr>
                              <w:t>Eil. Nr.</w:t>
                            </w:r>
                          </w:p>
                        </w:tc>
                        <w:tc>
                          <w:tcPr>
                            <w:tcW w:w="1430" w:type="dxa"/>
                            <w:vMerge w:val="restart"/>
                            <w:tcBorders>
                              <w:top w:val="single" w:sz="8" w:space="0" w:color="000000"/>
                              <w:left w:val="single" w:sz="8"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jc w:val="center"/>
                              <w:textAlignment w:val="baseline"/>
                              <w:rPr>
                                <w:sz w:val="20"/>
                                <w:lang w:eastAsia="lt-LT"/>
                              </w:rPr>
                            </w:pPr>
                            <w:r>
                              <w:rPr>
                                <w:sz w:val="20"/>
                                <w:lang w:eastAsia="lt-LT"/>
                              </w:rPr>
                              <w:t>Pavojingųjų atliekų technologinio srauto žymėjimas</w:t>
                            </w:r>
                          </w:p>
                        </w:tc>
                        <w:tc>
                          <w:tcPr>
                            <w:tcW w:w="1325" w:type="dxa"/>
                            <w:vMerge w:val="restart"/>
                            <w:tcBorders>
                              <w:top w:val="single" w:sz="8"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jc w:val="center"/>
                              <w:textAlignment w:val="baseline"/>
                              <w:rPr>
                                <w:sz w:val="20"/>
                                <w:lang w:eastAsia="lt-LT"/>
                              </w:rPr>
                            </w:pPr>
                            <w:r>
                              <w:rPr>
                                <w:sz w:val="20"/>
                                <w:lang w:eastAsia="lt-LT"/>
                              </w:rPr>
                              <w:t>Pavojingųjų atliekų technologinio srauto pavadinimas</w:t>
                            </w:r>
                          </w:p>
                        </w:tc>
                        <w:tc>
                          <w:tcPr>
                            <w:tcW w:w="841" w:type="dxa"/>
                            <w:vMerge w:val="restart"/>
                            <w:tcBorders>
                              <w:top w:val="single" w:sz="8"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jc w:val="center"/>
                              <w:textAlignment w:val="baseline"/>
                              <w:rPr>
                                <w:sz w:val="20"/>
                                <w:lang w:eastAsia="lt-LT"/>
                              </w:rPr>
                            </w:pPr>
                            <w:r>
                              <w:rPr>
                                <w:sz w:val="20"/>
                                <w:lang w:eastAsia="lt-LT"/>
                              </w:rPr>
                              <w:t>Atliekos kodas</w:t>
                            </w:r>
                          </w:p>
                        </w:tc>
                        <w:tc>
                          <w:tcPr>
                            <w:tcW w:w="1513" w:type="dxa"/>
                            <w:vMerge w:val="restart"/>
                            <w:tcBorders>
                              <w:top w:val="single" w:sz="8"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Atliekos pavadinimas</w:t>
                            </w:r>
                          </w:p>
                        </w:tc>
                        <w:tc>
                          <w:tcPr>
                            <w:tcW w:w="1559" w:type="dxa"/>
                            <w:vMerge w:val="restart"/>
                            <w:tcBorders>
                              <w:top w:val="single" w:sz="8"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jc w:val="center"/>
                              <w:textAlignment w:val="baseline"/>
                              <w:rPr>
                                <w:sz w:val="20"/>
                                <w:lang w:eastAsia="lt-LT"/>
                              </w:rPr>
                            </w:pPr>
                            <w:r>
                              <w:rPr>
                                <w:sz w:val="20"/>
                                <w:lang w:eastAsia="lt-LT"/>
                              </w:rPr>
                              <w:t>Patikslintas atliekos pavadinimas</w:t>
                            </w:r>
                          </w:p>
                        </w:tc>
                        <w:tc>
                          <w:tcPr>
                            <w:tcW w:w="2398" w:type="dxa"/>
                            <w:tcBorders>
                              <w:top w:val="single" w:sz="8" w:space="0" w:color="000000"/>
                              <w:bottom w:val="single" w:sz="8" w:space="0" w:color="000000"/>
                              <w:right w:val="single" w:sz="8" w:space="0" w:color="000000"/>
                            </w:tcBorders>
                            <w:shd w:val="clear" w:color="auto" w:fill="auto"/>
                            <w:tcMar>
                              <w:top w:w="0" w:type="dxa"/>
                              <w:left w:w="28" w:type="dxa"/>
                              <w:bottom w:w="0" w:type="dxa"/>
                              <w:right w:w="28" w:type="dxa"/>
                            </w:tcMar>
                            <w:vAlign w:val="center"/>
                          </w:tcPr>
                          <w:p>
                            <w:pPr>
                              <w:suppressAutoHyphens/>
                              <w:jc w:val="center"/>
                              <w:textAlignment w:val="baseline"/>
                              <w:rPr>
                                <w:sz w:val="20"/>
                                <w:lang w:eastAsia="lt-LT"/>
                              </w:rPr>
                            </w:pPr>
                            <w:r>
                              <w:rPr>
                                <w:sz w:val="20"/>
                                <w:lang w:eastAsia="lt-LT"/>
                              </w:rPr>
                              <w:t>Atliekų laikymas</w:t>
                            </w:r>
                          </w:p>
                        </w:tc>
                      </w:tr>
                      <w:tr>
                        <w:trPr>
                          <w:trHeight w:val="855"/>
                        </w:trPr>
                        <w:tc>
                          <w:tcPr>
                            <w:tcW w:w="410" w:type="dxa"/>
                            <w:vMerge/>
                            <w:tcBorders>
                              <w:top w:val="single" w:sz="8" w:space="0" w:color="000000"/>
                              <w:left w:val="single" w:sz="8" w:space="0" w:color="000000"/>
                              <w:bottom w:val="single" w:sz="4" w:space="0" w:color="000000"/>
                              <w:right w:val="single" w:sz="8" w:space="0" w:color="000000"/>
                            </w:tcBorders>
                            <w:shd w:val="clear" w:color="auto" w:fill="auto"/>
                            <w:tcMar>
                              <w:top w:w="0" w:type="dxa"/>
                              <w:left w:w="0" w:type="dxa"/>
                              <w:bottom w:w="0" w:type="dxa"/>
                              <w:right w:w="0" w:type="dxa"/>
                            </w:tcMar>
                            <w:vAlign w:val="center"/>
                          </w:tcPr>
                          <w:p>
                            <w:pPr>
                              <w:suppressAutoHyphens/>
                              <w:textAlignment w:val="baseline"/>
                              <w:rPr>
                                <w:sz w:val="20"/>
                                <w:lang w:eastAsia="lt-LT"/>
                              </w:rPr>
                            </w:pPr>
                          </w:p>
                        </w:tc>
                        <w:tc>
                          <w:tcPr>
                            <w:tcW w:w="1430" w:type="dxa"/>
                            <w:vMerge/>
                            <w:tcBorders>
                              <w:top w:val="single" w:sz="8" w:space="0" w:color="000000"/>
                              <w:left w:val="single" w:sz="8"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textAlignment w:val="baseline"/>
                              <w:rPr>
                                <w:sz w:val="20"/>
                                <w:lang w:eastAsia="lt-LT"/>
                              </w:rPr>
                            </w:pPr>
                          </w:p>
                        </w:tc>
                        <w:tc>
                          <w:tcPr>
                            <w:tcW w:w="1325" w:type="dxa"/>
                            <w:vMerge/>
                            <w:tcBorders>
                              <w:top w:val="single" w:sz="8"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textAlignment w:val="baseline"/>
                              <w:rPr>
                                <w:sz w:val="20"/>
                                <w:lang w:eastAsia="lt-LT"/>
                              </w:rPr>
                            </w:pPr>
                          </w:p>
                        </w:tc>
                        <w:tc>
                          <w:tcPr>
                            <w:tcW w:w="841" w:type="dxa"/>
                            <w:vMerge/>
                            <w:tcBorders>
                              <w:top w:val="single" w:sz="8"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textAlignment w:val="baseline"/>
                              <w:rPr>
                                <w:sz w:val="20"/>
                                <w:lang w:eastAsia="lt-LT"/>
                              </w:rPr>
                            </w:pPr>
                          </w:p>
                        </w:tc>
                        <w:tc>
                          <w:tcPr>
                            <w:tcW w:w="1513" w:type="dxa"/>
                            <w:vMerge/>
                            <w:tcBorders>
                              <w:top w:val="single" w:sz="8"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pPr>
                              <w:suppressAutoHyphens/>
                              <w:textAlignment w:val="baseline"/>
                              <w:rPr>
                                <w:sz w:val="20"/>
                                <w:lang w:eastAsia="lt-LT"/>
                              </w:rPr>
                            </w:pPr>
                          </w:p>
                        </w:tc>
                        <w:tc>
                          <w:tcPr>
                            <w:tcW w:w="1559" w:type="dxa"/>
                            <w:vMerge/>
                            <w:tcBorders>
                              <w:top w:val="single" w:sz="8"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textAlignment w:val="baseline"/>
                              <w:rPr>
                                <w:sz w:val="20"/>
                                <w:lang w:eastAsia="lt-LT"/>
                              </w:rPr>
                            </w:pPr>
                          </w:p>
                        </w:tc>
                        <w:tc>
                          <w:tcPr>
                            <w:tcW w:w="2398" w:type="dxa"/>
                            <w:tcBorders>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jc w:val="center"/>
                              <w:textAlignment w:val="baseline"/>
                              <w:rPr>
                                <w:sz w:val="20"/>
                                <w:lang w:eastAsia="lt-LT"/>
                              </w:rPr>
                            </w:pPr>
                            <w:r>
                              <w:rPr>
                                <w:sz w:val="20"/>
                                <w:lang w:eastAsia="lt-LT"/>
                              </w:rPr>
                              <w:t>Didžiausias vienu metu leidžiamas laikyti bendras atliekų kiekis, t</w:t>
                            </w:r>
                          </w:p>
                        </w:tc>
                      </w:tr>
                      <w:tr>
                        <w:trPr>
                          <w:trHeight w:val="243"/>
                        </w:trPr>
                        <w:tc>
                          <w:tcPr>
                            <w:tcW w:w="41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pPr>
                              <w:suppressAutoHyphens/>
                              <w:jc w:val="center"/>
                              <w:textAlignment w:val="baseline"/>
                              <w:rPr>
                                <w:sz w:val="20"/>
                                <w:lang w:eastAsia="lt-LT"/>
                              </w:rPr>
                            </w:pPr>
                            <w:r>
                              <w:rPr>
                                <w:sz w:val="20"/>
                                <w:lang w:eastAsia="lt-LT"/>
                              </w:rPr>
                              <w:t>1</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pPr>
                              <w:suppressAutoHyphens/>
                              <w:jc w:val="center"/>
                              <w:textAlignment w:val="baseline"/>
                              <w:rPr>
                                <w:sz w:val="20"/>
                                <w:lang w:eastAsia="lt-LT"/>
                              </w:rPr>
                            </w:pPr>
                            <w:r>
                              <w:rPr>
                                <w:sz w:val="20"/>
                                <w:lang w:eastAsia="lt-LT"/>
                              </w:rPr>
                              <w:t>2</w:t>
                            </w:r>
                          </w:p>
                        </w:tc>
                        <w:tc>
                          <w:tcPr>
                            <w:tcW w:w="132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pPr>
                              <w:suppressAutoHyphens/>
                              <w:jc w:val="center"/>
                              <w:textAlignment w:val="baseline"/>
                              <w:rPr>
                                <w:sz w:val="20"/>
                                <w:lang w:eastAsia="lt-LT"/>
                              </w:rPr>
                            </w:pPr>
                            <w:r>
                              <w:rPr>
                                <w:sz w:val="20"/>
                                <w:lang w:eastAsia="lt-LT"/>
                              </w:rPr>
                              <w:t>3</w:t>
                            </w:r>
                          </w:p>
                        </w:tc>
                        <w:tc>
                          <w:tcPr>
                            <w:tcW w:w="84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pPr>
                              <w:suppressAutoHyphens/>
                              <w:jc w:val="center"/>
                              <w:textAlignment w:val="baseline"/>
                              <w:rPr>
                                <w:sz w:val="20"/>
                                <w:lang w:eastAsia="lt-LT"/>
                              </w:rPr>
                            </w:pPr>
                            <w:r>
                              <w:rPr>
                                <w:sz w:val="20"/>
                                <w:lang w:eastAsia="lt-LT"/>
                              </w:rPr>
                              <w:t>4</w:t>
                            </w: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textAlignment w:val="baseline"/>
                              <w:rPr>
                                <w:sz w:val="20"/>
                                <w:lang w:eastAsia="lt-LT"/>
                              </w:rPr>
                            </w:pPr>
                            <w:r>
                              <w:rPr>
                                <w:sz w:val="20"/>
                                <w:lang w:eastAsia="lt-LT"/>
                              </w:rPr>
                              <w:t>5</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suppressAutoHyphens/>
                              <w:jc w:val="center"/>
                              <w:textAlignment w:val="baseline"/>
                              <w:rPr>
                                <w:sz w:val="20"/>
                                <w:lang w:eastAsia="lt-LT"/>
                              </w:rPr>
                            </w:pPr>
                            <w:r>
                              <w:rPr>
                                <w:sz w:val="20"/>
                                <w:lang w:eastAsia="lt-LT"/>
                              </w:rPr>
                              <w:t>6</w:t>
                            </w:r>
                          </w:p>
                        </w:tc>
                        <w:tc>
                          <w:tcPr>
                            <w:tcW w:w="2398"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suppressAutoHyphens/>
                              <w:jc w:val="center"/>
                              <w:textAlignment w:val="baseline"/>
                              <w:rPr>
                                <w:sz w:val="20"/>
                                <w:lang w:eastAsia="lt-LT"/>
                              </w:rPr>
                            </w:pPr>
                            <w:r>
                              <w:rPr>
                                <w:sz w:val="20"/>
                                <w:lang w:eastAsia="lt-LT"/>
                              </w:rPr>
                              <w:t>7“.</w:t>
                            </w:r>
                          </w:p>
                        </w:tc>
                      </w:tr>
                      <w:tr>
                        <w:trPr>
                          <w:trHeight w:val="243"/>
                        </w:trPr>
                        <w:tc>
                          <w:tcPr>
                            <w:tcW w:w="410" w:type="dxa"/>
                            <w:tcBorders>
                              <w:top w:val="single" w:sz="4"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tcPr>
                          <w:p>
                            <w:pPr>
                              <w:suppressAutoHyphens/>
                              <w:textAlignment w:val="baseline"/>
                              <w:rPr>
                                <w:sz w:val="20"/>
                                <w:lang w:eastAsia="lt-LT"/>
                              </w:rPr>
                            </w:pPr>
                          </w:p>
                        </w:tc>
                        <w:tc>
                          <w:tcPr>
                            <w:tcW w:w="1430" w:type="dxa"/>
                            <w:vMerge w:val="restart"/>
                            <w:tcBorders>
                              <w:top w:val="single" w:sz="4" w:space="0" w:color="000000"/>
                              <w:left w:val="single" w:sz="8"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ind w:firstLine="53"/>
                              <w:textAlignment w:val="baseline"/>
                              <w:rPr>
                                <w:sz w:val="20"/>
                                <w:lang w:eastAsia="lt-LT"/>
                              </w:rPr>
                            </w:pPr>
                          </w:p>
                        </w:tc>
                        <w:tc>
                          <w:tcPr>
                            <w:tcW w:w="1325" w:type="dxa"/>
                            <w:vMerge w:val="restart"/>
                            <w:tcBorders>
                              <w:top w:val="single" w:sz="4"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ind w:firstLine="53"/>
                              <w:textAlignment w:val="baseline"/>
                              <w:rPr>
                                <w:sz w:val="20"/>
                                <w:lang w:eastAsia="lt-LT"/>
                              </w:rPr>
                            </w:pPr>
                          </w:p>
                        </w:tc>
                        <w:tc>
                          <w:tcPr>
                            <w:tcW w:w="841" w:type="dxa"/>
                            <w:tcBorders>
                              <w:top w:val="single" w:sz="4" w:space="0" w:color="000000"/>
                              <w:bottom w:val="single" w:sz="8" w:space="0" w:color="000000"/>
                              <w:right w:val="single" w:sz="8" w:space="0" w:color="000000"/>
                            </w:tcBorders>
                            <w:shd w:val="clear" w:color="auto" w:fill="auto"/>
                            <w:tcMar>
                              <w:top w:w="0" w:type="dxa"/>
                              <w:left w:w="28" w:type="dxa"/>
                              <w:bottom w:w="0" w:type="dxa"/>
                              <w:right w:w="28" w:type="dxa"/>
                            </w:tcMar>
                            <w:vAlign w:val="center"/>
                          </w:tcPr>
                          <w:p>
                            <w:pPr>
                              <w:suppressAutoHyphens/>
                              <w:ind w:firstLine="53"/>
                              <w:textAlignment w:val="baseline"/>
                              <w:rPr>
                                <w:sz w:val="20"/>
                                <w:lang w:eastAsia="lt-LT"/>
                              </w:rPr>
                            </w:pPr>
                          </w:p>
                        </w:tc>
                        <w:tc>
                          <w:tcPr>
                            <w:tcW w:w="1513" w:type="dxa"/>
                            <w:tcBorders>
                              <w:top w:val="single" w:sz="4" w:space="0" w:color="000000"/>
                              <w:bottom w:val="single" w:sz="8" w:space="0" w:color="000000"/>
                              <w:right w:val="single" w:sz="8" w:space="0" w:color="000000"/>
                            </w:tcBorders>
                            <w:shd w:val="clear" w:color="auto" w:fill="auto"/>
                            <w:tcMar>
                              <w:top w:w="0" w:type="dxa"/>
                              <w:left w:w="108" w:type="dxa"/>
                              <w:bottom w:w="0" w:type="dxa"/>
                              <w:right w:w="108" w:type="dxa"/>
                            </w:tcMar>
                          </w:tcPr>
                          <w:p>
                            <w:pPr>
                              <w:suppressAutoHyphens/>
                              <w:ind w:firstLine="53"/>
                              <w:textAlignment w:val="baseline"/>
                              <w:rPr>
                                <w:sz w:val="20"/>
                                <w:lang w:eastAsia="lt-LT"/>
                              </w:rPr>
                            </w:pPr>
                          </w:p>
                        </w:tc>
                        <w:tc>
                          <w:tcPr>
                            <w:tcW w:w="1559" w:type="dxa"/>
                            <w:tcBorders>
                              <w:top w:val="single" w:sz="4" w:space="0" w:color="000000"/>
                              <w:bottom w:val="single" w:sz="8" w:space="0" w:color="000000"/>
                              <w:right w:val="single" w:sz="8" w:space="0" w:color="000000"/>
                            </w:tcBorders>
                            <w:shd w:val="clear" w:color="auto" w:fill="auto"/>
                            <w:tcMar>
                              <w:top w:w="0" w:type="dxa"/>
                              <w:left w:w="28" w:type="dxa"/>
                              <w:bottom w:w="0" w:type="dxa"/>
                              <w:right w:w="28" w:type="dxa"/>
                            </w:tcMar>
                          </w:tcPr>
                          <w:p>
                            <w:pPr>
                              <w:suppressAutoHyphens/>
                              <w:ind w:firstLine="53"/>
                              <w:textAlignment w:val="baseline"/>
                              <w:rPr>
                                <w:sz w:val="20"/>
                                <w:lang w:eastAsia="lt-LT"/>
                              </w:rPr>
                            </w:pPr>
                          </w:p>
                        </w:tc>
                        <w:tc>
                          <w:tcPr>
                            <w:tcW w:w="2398" w:type="dxa"/>
                            <w:vMerge w:val="restart"/>
                            <w:tcBorders>
                              <w:top w:val="single" w:sz="4" w:space="0" w:color="000000"/>
                              <w:bottom w:val="single" w:sz="4" w:space="0" w:color="000000"/>
                              <w:right w:val="single" w:sz="8" w:space="0" w:color="000000"/>
                            </w:tcBorders>
                            <w:shd w:val="clear" w:color="auto" w:fill="auto"/>
                            <w:tcMar>
                              <w:top w:w="0" w:type="dxa"/>
                              <w:left w:w="28" w:type="dxa"/>
                              <w:bottom w:w="0" w:type="dxa"/>
                              <w:right w:w="28" w:type="dxa"/>
                            </w:tcMar>
                          </w:tcPr>
                          <w:p>
                            <w:pPr>
                              <w:suppressAutoHyphens/>
                              <w:ind w:firstLine="53"/>
                              <w:textAlignment w:val="baseline"/>
                              <w:rPr>
                                <w:sz w:val="20"/>
                                <w:lang w:eastAsia="lt-LT"/>
                              </w:rPr>
                            </w:pPr>
                          </w:p>
                          <w:p>
                            <w:pPr>
                              <w:suppressAutoHyphens/>
                              <w:ind w:firstLine="53"/>
                              <w:textAlignment w:val="baseline"/>
                              <w:rPr>
                                <w:sz w:val="20"/>
                                <w:lang w:eastAsia="lt-LT"/>
                              </w:rPr>
                            </w:pPr>
                          </w:p>
                          <w:p>
                            <w:pPr>
                              <w:suppressAutoHyphens/>
                              <w:textAlignment w:val="baseline"/>
                              <w:rPr>
                                <w:sz w:val="20"/>
                                <w:lang w:eastAsia="lt-LT"/>
                              </w:rPr>
                            </w:pPr>
                          </w:p>
                        </w:tc>
                      </w:tr>
                      <w:tr>
                        <w:trPr>
                          <w:trHeight w:val="277"/>
                        </w:trPr>
                        <w:tc>
                          <w:tcPr>
                            <w:tcW w:w="410" w:type="dxa"/>
                            <w:tcBorders>
                              <w:left w:val="single" w:sz="8" w:space="0" w:color="000000"/>
                              <w:bottom w:val="single" w:sz="8" w:space="0" w:color="000000"/>
                              <w:right w:val="single" w:sz="8" w:space="0" w:color="000000"/>
                            </w:tcBorders>
                            <w:shd w:val="clear" w:color="auto" w:fill="auto"/>
                            <w:tcMar>
                              <w:top w:w="0" w:type="dxa"/>
                              <w:left w:w="0" w:type="dxa"/>
                              <w:bottom w:w="0" w:type="dxa"/>
                              <w:right w:w="0" w:type="dxa"/>
                            </w:tcMar>
                          </w:tcPr>
                          <w:p>
                            <w:pPr>
                              <w:suppressAutoHyphens/>
                              <w:textAlignment w:val="baseline"/>
                              <w:rPr>
                                <w:sz w:val="20"/>
                                <w:lang w:eastAsia="lt-LT"/>
                              </w:rPr>
                            </w:pPr>
                          </w:p>
                        </w:tc>
                        <w:tc>
                          <w:tcPr>
                            <w:tcW w:w="1430" w:type="dxa"/>
                            <w:vMerge/>
                            <w:tcBorders>
                              <w:top w:val="single" w:sz="4" w:space="0" w:color="000000"/>
                              <w:left w:val="single" w:sz="8"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textAlignment w:val="baseline"/>
                              <w:rPr>
                                <w:sz w:val="20"/>
                                <w:lang w:eastAsia="lt-LT"/>
                              </w:rPr>
                            </w:pPr>
                          </w:p>
                        </w:tc>
                        <w:tc>
                          <w:tcPr>
                            <w:tcW w:w="1325" w:type="dxa"/>
                            <w:vMerge/>
                            <w:tcBorders>
                              <w:top w:val="single" w:sz="4"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textAlignment w:val="baseline"/>
                              <w:rPr>
                                <w:sz w:val="20"/>
                                <w:lang w:eastAsia="lt-LT"/>
                              </w:rPr>
                            </w:pPr>
                          </w:p>
                        </w:tc>
                        <w:tc>
                          <w:tcPr>
                            <w:tcW w:w="841" w:type="dxa"/>
                            <w:tcBorders>
                              <w:bottom w:val="single" w:sz="8" w:space="0" w:color="000000"/>
                              <w:right w:val="single" w:sz="8" w:space="0" w:color="000000"/>
                            </w:tcBorders>
                            <w:shd w:val="clear" w:color="auto" w:fill="auto"/>
                            <w:tcMar>
                              <w:top w:w="0" w:type="dxa"/>
                              <w:left w:w="28" w:type="dxa"/>
                              <w:bottom w:w="0" w:type="dxa"/>
                              <w:right w:w="28" w:type="dxa"/>
                            </w:tcMar>
                            <w:vAlign w:val="center"/>
                          </w:tcPr>
                          <w:p>
                            <w:pPr>
                              <w:suppressAutoHyphens/>
                              <w:ind w:firstLine="53"/>
                              <w:textAlignment w:val="baseline"/>
                              <w:rPr>
                                <w:sz w:val="20"/>
                                <w:lang w:eastAsia="lt-LT"/>
                              </w:rPr>
                            </w:pPr>
                          </w:p>
                        </w:tc>
                        <w:tc>
                          <w:tcPr>
                            <w:tcW w:w="1513" w:type="dxa"/>
                            <w:tcBorders>
                              <w:bottom w:val="single" w:sz="8" w:space="0" w:color="000000"/>
                              <w:right w:val="single" w:sz="8" w:space="0" w:color="000000"/>
                            </w:tcBorders>
                            <w:shd w:val="clear" w:color="auto" w:fill="auto"/>
                            <w:tcMar>
                              <w:top w:w="0" w:type="dxa"/>
                              <w:left w:w="108" w:type="dxa"/>
                              <w:bottom w:w="0" w:type="dxa"/>
                              <w:right w:w="108" w:type="dxa"/>
                            </w:tcMar>
                          </w:tcPr>
                          <w:p>
                            <w:pPr>
                              <w:suppressAutoHyphens/>
                              <w:ind w:firstLine="53"/>
                              <w:textAlignment w:val="baseline"/>
                              <w:rPr>
                                <w:sz w:val="20"/>
                                <w:lang w:eastAsia="lt-LT"/>
                              </w:rPr>
                            </w:pPr>
                          </w:p>
                        </w:tc>
                        <w:tc>
                          <w:tcPr>
                            <w:tcW w:w="1559" w:type="dxa"/>
                            <w:tcBorders>
                              <w:bottom w:val="single" w:sz="8" w:space="0" w:color="000000"/>
                              <w:right w:val="single" w:sz="8" w:space="0" w:color="000000"/>
                            </w:tcBorders>
                            <w:shd w:val="clear" w:color="auto" w:fill="auto"/>
                            <w:tcMar>
                              <w:top w:w="0" w:type="dxa"/>
                              <w:left w:w="28" w:type="dxa"/>
                              <w:bottom w:w="0" w:type="dxa"/>
                              <w:right w:w="28" w:type="dxa"/>
                            </w:tcMar>
                          </w:tcPr>
                          <w:p>
                            <w:pPr>
                              <w:suppressAutoHyphens/>
                              <w:ind w:firstLine="53"/>
                              <w:textAlignment w:val="baseline"/>
                              <w:rPr>
                                <w:sz w:val="20"/>
                                <w:lang w:eastAsia="lt-LT"/>
                              </w:rPr>
                            </w:pPr>
                          </w:p>
                        </w:tc>
                        <w:tc>
                          <w:tcPr>
                            <w:tcW w:w="2398" w:type="dxa"/>
                            <w:vMerge/>
                            <w:tcBorders>
                              <w:top w:val="single" w:sz="4" w:space="0" w:color="000000"/>
                              <w:bottom w:val="single" w:sz="4" w:space="0" w:color="000000"/>
                              <w:right w:val="single" w:sz="8" w:space="0" w:color="000000"/>
                            </w:tcBorders>
                            <w:shd w:val="clear" w:color="auto" w:fill="auto"/>
                            <w:tcMar>
                              <w:top w:w="0" w:type="dxa"/>
                              <w:left w:w="28" w:type="dxa"/>
                              <w:bottom w:w="0" w:type="dxa"/>
                              <w:right w:w="28" w:type="dxa"/>
                            </w:tcMar>
                          </w:tcPr>
                          <w:p>
                            <w:pPr>
                              <w:suppressAutoHyphens/>
                              <w:textAlignment w:val="baseline"/>
                              <w:rPr>
                                <w:sz w:val="20"/>
                                <w:lang w:eastAsia="lt-LT"/>
                              </w:rPr>
                            </w:pPr>
                          </w:p>
                        </w:tc>
                      </w:tr>
                      <w:tr>
                        <w:trPr>
                          <w:trHeight w:val="268"/>
                        </w:trPr>
                        <w:tc>
                          <w:tcPr>
                            <w:tcW w:w="410" w:type="dxa"/>
                            <w:tcBorders>
                              <w:left w:val="single" w:sz="8" w:space="0" w:color="000000"/>
                              <w:bottom w:val="single" w:sz="4" w:space="0" w:color="000000"/>
                              <w:right w:val="single" w:sz="8" w:space="0" w:color="000000"/>
                            </w:tcBorders>
                            <w:shd w:val="clear" w:color="auto" w:fill="auto"/>
                            <w:tcMar>
                              <w:top w:w="0" w:type="dxa"/>
                              <w:left w:w="0" w:type="dxa"/>
                              <w:bottom w:w="0" w:type="dxa"/>
                              <w:right w:w="0" w:type="dxa"/>
                            </w:tcMar>
                          </w:tcPr>
                          <w:p>
                            <w:pPr>
                              <w:suppressAutoHyphens/>
                              <w:textAlignment w:val="baseline"/>
                              <w:rPr>
                                <w:sz w:val="20"/>
                                <w:lang w:eastAsia="lt-LT"/>
                              </w:rPr>
                            </w:pPr>
                          </w:p>
                        </w:tc>
                        <w:tc>
                          <w:tcPr>
                            <w:tcW w:w="1430" w:type="dxa"/>
                            <w:vMerge/>
                            <w:tcBorders>
                              <w:top w:val="single" w:sz="4" w:space="0" w:color="000000"/>
                              <w:left w:val="single" w:sz="8"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textAlignment w:val="baseline"/>
                              <w:rPr>
                                <w:sz w:val="20"/>
                                <w:lang w:eastAsia="lt-LT"/>
                              </w:rPr>
                            </w:pPr>
                          </w:p>
                        </w:tc>
                        <w:tc>
                          <w:tcPr>
                            <w:tcW w:w="1325" w:type="dxa"/>
                            <w:vMerge/>
                            <w:tcBorders>
                              <w:top w:val="single" w:sz="4" w:space="0" w:color="000000"/>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textAlignment w:val="baseline"/>
                              <w:rPr>
                                <w:sz w:val="20"/>
                                <w:lang w:eastAsia="lt-LT"/>
                              </w:rPr>
                            </w:pPr>
                          </w:p>
                        </w:tc>
                        <w:tc>
                          <w:tcPr>
                            <w:tcW w:w="841" w:type="dxa"/>
                            <w:tcBorders>
                              <w:bottom w:val="single" w:sz="4" w:space="0" w:color="000000"/>
                              <w:right w:val="single" w:sz="8" w:space="0" w:color="000000"/>
                            </w:tcBorders>
                            <w:shd w:val="clear" w:color="auto" w:fill="auto"/>
                            <w:tcMar>
                              <w:top w:w="0" w:type="dxa"/>
                              <w:left w:w="28" w:type="dxa"/>
                              <w:bottom w:w="0" w:type="dxa"/>
                              <w:right w:w="28" w:type="dxa"/>
                            </w:tcMar>
                            <w:vAlign w:val="center"/>
                          </w:tcPr>
                          <w:p>
                            <w:pPr>
                              <w:suppressAutoHyphens/>
                              <w:ind w:firstLine="53"/>
                              <w:textAlignment w:val="baseline"/>
                              <w:rPr>
                                <w:sz w:val="20"/>
                                <w:lang w:eastAsia="lt-LT"/>
                              </w:rPr>
                            </w:pPr>
                          </w:p>
                        </w:tc>
                        <w:tc>
                          <w:tcPr>
                            <w:tcW w:w="1513" w:type="dxa"/>
                            <w:tcBorders>
                              <w:bottom w:val="single" w:sz="4" w:space="0" w:color="000000"/>
                              <w:right w:val="single" w:sz="8" w:space="0" w:color="000000"/>
                            </w:tcBorders>
                            <w:shd w:val="clear" w:color="auto" w:fill="auto"/>
                            <w:tcMar>
                              <w:top w:w="0" w:type="dxa"/>
                              <w:left w:w="108" w:type="dxa"/>
                              <w:bottom w:w="0" w:type="dxa"/>
                              <w:right w:w="108" w:type="dxa"/>
                            </w:tcMar>
                          </w:tcPr>
                          <w:p>
                            <w:pPr>
                              <w:suppressAutoHyphens/>
                              <w:ind w:firstLine="53"/>
                              <w:textAlignment w:val="baseline"/>
                              <w:rPr>
                                <w:sz w:val="20"/>
                                <w:lang w:eastAsia="lt-LT"/>
                              </w:rPr>
                            </w:pPr>
                          </w:p>
                        </w:tc>
                        <w:tc>
                          <w:tcPr>
                            <w:tcW w:w="1559" w:type="dxa"/>
                            <w:tcBorders>
                              <w:bottom w:val="single" w:sz="4" w:space="0" w:color="000000"/>
                              <w:right w:val="single" w:sz="8" w:space="0" w:color="000000"/>
                            </w:tcBorders>
                            <w:shd w:val="clear" w:color="auto" w:fill="auto"/>
                            <w:tcMar>
                              <w:top w:w="0" w:type="dxa"/>
                              <w:left w:w="28" w:type="dxa"/>
                              <w:bottom w:w="0" w:type="dxa"/>
                              <w:right w:w="28" w:type="dxa"/>
                            </w:tcMar>
                          </w:tcPr>
                          <w:p>
                            <w:pPr>
                              <w:suppressAutoHyphens/>
                              <w:ind w:firstLine="53"/>
                              <w:textAlignment w:val="baseline"/>
                              <w:rPr>
                                <w:sz w:val="20"/>
                                <w:lang w:eastAsia="lt-LT"/>
                              </w:rPr>
                            </w:pPr>
                          </w:p>
                        </w:tc>
                        <w:tc>
                          <w:tcPr>
                            <w:tcW w:w="2398" w:type="dxa"/>
                            <w:vMerge/>
                            <w:tcBorders>
                              <w:top w:val="single" w:sz="4" w:space="0" w:color="000000"/>
                              <w:bottom w:val="single" w:sz="4" w:space="0" w:color="000000"/>
                              <w:right w:val="single" w:sz="8" w:space="0" w:color="000000"/>
                            </w:tcBorders>
                            <w:shd w:val="clear" w:color="auto" w:fill="auto"/>
                            <w:tcMar>
                              <w:top w:w="0" w:type="dxa"/>
                              <w:left w:w="28" w:type="dxa"/>
                              <w:bottom w:w="0" w:type="dxa"/>
                              <w:right w:w="28" w:type="dxa"/>
                            </w:tcMar>
                          </w:tcPr>
                          <w:p>
                            <w:pPr>
                              <w:suppressAutoHyphens/>
                              <w:textAlignment w:val="baseline"/>
                              <w:rPr>
                                <w:sz w:val="20"/>
                                <w:lang w:eastAsia="lt-LT"/>
                              </w:rPr>
                            </w:pPr>
                          </w:p>
                        </w:tc>
                      </w:tr>
                    </w:tbl>
                    <w:p>
                      <w:pPr>
                        <w:suppressAutoHyphens/>
                        <w:ind w:firstLine="567"/>
                        <w:jc w:val="both"/>
                        <w:textAlignment w:val="baseline"/>
                        <w:rPr>
                          <w:sz w:val="22"/>
                          <w:szCs w:val="24"/>
                          <w:lang w:eastAsia="lt-LT"/>
                        </w:rPr>
                      </w:pP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5344301d2e11edb4cae1b158f98ea5">
                    <w:r w:rsidRPr="00532B9F">
                      <w:rPr>
                        <w:rFonts w:ascii="Arial" w:eastAsia="MS Mincho" w:hAnsi="Arial"/>
                        <w:sz w:val="20"/>
                        <w:i/>
                        <w:iCs/>
                        <w:color w:val="0000FF" w:themeColor="hyperlink"/>
                        <w:u w:val="single"/>
                      </w:rPr>
                      <w:t>D1-263</w:t>
                    </w:r>
                  </w:fldSimple>
                  <w:r>
                    <w:rPr>
                      <w:rFonts w:ascii="Arial" w:eastAsia="MS Mincho" w:hAnsi="Arial"/>
                      <w:sz w:val="20"/>
                      <w:i/>
                      <w:iCs/>
                    </w:rPr>
                    <w:t>,
2022-08-16,
paskelbta TAR 2022-08-16, i. k. 2022-17141            </w:t>
                  </w:r>
                </w:p>
                <w:p/>
              </w:sdtContent>
            </w:sdt>
            <w:sdt>
              <w:sdtPr>
                <w:alias w:val="5 pr. 13 p."/>
                <w:tag w:val="part_c2225ec383c44f35925fbb347fef2c41"/>
                <w:lock w:val="sdtLocked"/>
                <w:richText/>
              </w:sdtPr>
              <w:sdtContent>
                <w:p>
                  <w:pPr>
                    <w:ind w:firstLine="567"/>
                    <w:jc w:val="both"/>
                    <w:rPr>
                      <w:sz w:val="22"/>
                      <w:szCs w:val="24"/>
                      <w:lang w:eastAsia="lt-LT"/>
                    </w:rPr>
                  </w:pPr>
                  <w:sdt>
                    <w:sdtPr>
                      <w:alias w:val="Numeris"/>
                      <w:tag w:val="nr_c2225ec383c44f35925fbb347fef2c41"/>
                      <w:lock w:val="sdtLocked"/>
                      <w:richText/>
                    </w:sdtPr>
                    <w:sdtContent>
                      <w:r>
                        <w:rPr>
                          <w:sz w:val="22"/>
                          <w:szCs w:val="24"/>
                        </w:rPr>
                        <w:t>13</w:t>
                      </w:r>
                    </w:sdtContent>
                  </w:sdt>
                  <w:r>
                    <w:rPr>
                      <w:sz w:val="22"/>
                      <w:szCs w:val="24"/>
                    </w:rPr>
                    <w:t>. Sąlygos pagal Atliekų deginimo aplinkosauginių reikalavimų, patvirtintų Lietuvos Respublikos aplinkos ministro 2002 m. gruodžio 31 d. įsakymu Nr. 699 „Dėl Atliekų deginimo aplinkosauginių reikalavimų patvirtinimo“, 8, 8</w:t>
                  </w:r>
                  <w:r>
                    <w:rPr>
                      <w:sz w:val="22"/>
                      <w:szCs w:val="24"/>
                      <w:vertAlign w:val="superscript"/>
                    </w:rPr>
                    <w:t xml:space="preserve">1 </w:t>
                  </w:r>
                  <w:r>
                    <w:rPr>
                      <w:sz w:val="22"/>
                      <w:szCs w:val="24"/>
                    </w:rPr>
                    <w:t>punktuose nurodytą informaciją.</w:t>
                  </w:r>
                  <w:r>
                    <w:rPr>
                      <w:sz w:val="22"/>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e6e470accc11e78a4c904b1afa0332">
                    <w:r w:rsidRPr="00532B9F">
                      <w:rPr>
                        <w:rFonts w:ascii="Arial" w:eastAsia="MS Mincho" w:hAnsi="Arial"/>
                        <w:sz w:val="20"/>
                        <w:i/>
                        <w:iCs/>
                        <w:color w:val="0000FF" w:themeColor="hyperlink"/>
                        <w:u w:val="single"/>
                      </w:rPr>
                      <w:t>D1-798</w:t>
                    </w:r>
                  </w:fldSimple>
                  <w:r>
                    <w:rPr>
                      <w:rFonts w:ascii="Arial" w:eastAsia="MS Mincho" w:hAnsi="Arial"/>
                      <w:sz w:val="20"/>
                      <w:i/>
                      <w:iCs/>
                    </w:rPr>
                    <w:t>,
2017-09-29,
paskelbta TAR 2017-10-09, i. k. 2017-15989            </w:t>
                  </w:r>
                </w:p>
                <w:p/>
              </w:sdtContent>
            </w:sdt>
            <w:sdt>
              <w:sdtPr>
                <w:alias w:val="5 pr. 14 p."/>
                <w:tag w:val="part_4fe55d4bcacb45e08513f998d618653a"/>
                <w:lock w:val="sdtLocked"/>
                <w:richText/>
              </w:sdtPr>
              <w:sdtContent>
                <w:p>
                  <w:pPr>
                    <w:ind w:firstLine="567"/>
                    <w:jc w:val="both"/>
                  </w:pPr>
                  <w:sdt>
                    <w:sdtPr>
                      <w:alias w:val="Numeris"/>
                      <w:tag w:val="nr_4fe55d4bcacb45e08513f998d618653a"/>
                      <w:lock w:val="sdtLocked"/>
                      <w:richText/>
                    </w:sdtPr>
                    <w:sdtContent>
                      <w:r>
                        <w:rPr>
                          <w:sz w:val="22"/>
                          <w:szCs w:val="24"/>
                          <w:lang w:eastAsia="lt-LT"/>
                        </w:rPr>
                        <w:t>14</w:t>
                      </w:r>
                    </w:sdtContent>
                  </w:sdt>
                  <w:r>
                    <w:rPr>
                      <w:sz w:val="22"/>
                      <w:szCs w:val="24"/>
                      <w:lang w:eastAsia="lt-LT"/>
                    </w:rPr>
                    <w:t>. Sąlygos pagal Atliekų sąvartynų įrengimo, eksploatavimo, uždarymo ir priežiūros po uždarymo taisyklių, patvirtintų Lietuvos Respublikos aplinkos ministro 2000 m. spalio 18 d. įsakymu Nr. 444 „Dėl Atliekų sąvartynų įrengimo, eksploatavimo, uždarymo ir priežiūros po uždarymo taisyklių patvirtinimo“, 50, 51 ir 52 punktų reikalavimus.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e6e470accc11e78a4c904b1afa0332">
                    <w:r w:rsidRPr="00532B9F">
                      <w:rPr>
                        <w:rFonts w:ascii="Arial" w:eastAsia="MS Mincho" w:hAnsi="Arial"/>
                        <w:sz w:val="20"/>
                        <w:i/>
                        <w:iCs/>
                        <w:color w:val="0000FF" w:themeColor="hyperlink"/>
                        <w:u w:val="single"/>
                      </w:rPr>
                      <w:t>D1-798</w:t>
                    </w:r>
                  </w:fldSimple>
                  <w:r>
                    <w:rPr>
                      <w:rFonts w:ascii="Arial" w:eastAsia="MS Mincho" w:hAnsi="Arial"/>
                      <w:sz w:val="20"/>
                      <w:i/>
                      <w:iCs/>
                    </w:rPr>
                    <w:t>,
2017-09-29,
paskelbta TAR 2017-10-09, i. k. 2017-15989            </w:t>
                  </w:r>
                </w:p>
                <w:p/>
              </w:sdtContent>
            </w:sdt>
            <w:sdt>
              <w:sdtPr>
                <w:alias w:val="5 pr. 15 p."/>
                <w:tag w:val="part_b75d86e586f741f8a9d5d948417d029f"/>
                <w:lock w:val="sdtLocked"/>
                <w:richText/>
              </w:sdtPr>
              <w:sdtContent>
                <w:p>
                  <w:pPr>
                    <w:ind w:firstLine="567"/>
                    <w:jc w:val="both"/>
                    <w:rPr>
                      <w:sz w:val="22"/>
                      <w:szCs w:val="24"/>
                      <w:lang w:eastAsia="lt-LT"/>
                    </w:rPr>
                  </w:pPr>
                  <w:sdt>
                    <w:sdtPr>
                      <w:alias w:val="Numeris"/>
                      <w:tag w:val="nr_b75d86e586f741f8a9d5d948417d029f"/>
                      <w:lock w:val="sdtLocked"/>
                      <w:richText/>
                    </w:sdtPr>
                    <w:sdtContent>
                      <w:r>
                        <w:rPr>
                          <w:sz w:val="22"/>
                          <w:szCs w:val="24"/>
                          <w:lang w:eastAsia="lt-LT"/>
                        </w:rPr>
                        <w:t>15</w:t>
                      </w:r>
                    </w:sdtContent>
                  </w:sdt>
                  <w:r>
                    <w:rPr>
                      <w:sz w:val="22"/>
                      <w:szCs w:val="24"/>
                      <w:lang w:eastAsia="lt-LT"/>
                    </w:rPr>
                    <w:t>. Atliekų stebėsenos priemonės.</w:t>
                  </w:r>
                </w:p>
                <w:p>
                  <w:pPr>
                    <w:ind w:firstLine="567"/>
                    <w:jc w:val="both"/>
                    <w:rPr>
                      <w:sz w:val="22"/>
                      <w:szCs w:val="24"/>
                      <w:lang w:eastAsia="lt-LT"/>
                    </w:rPr>
                  </w:pPr>
                </w:p>
              </w:sdtContent>
            </w:sdt>
            <w:sdt>
              <w:sdtPr>
                <w:alias w:val="5 pr. 16 p."/>
                <w:tag w:val="part_074f6eea99d7479b956c91d21d3c935c"/>
                <w:lock w:val="sdtLocked"/>
                <w:richText/>
              </w:sdtPr>
              <w:sdtContent>
                <w:p>
                  <w:pPr>
                    <w:ind w:firstLine="567"/>
                    <w:jc w:val="both"/>
                    <w:rPr>
                      <w:bCs/>
                      <w:sz w:val="22"/>
                      <w:szCs w:val="24"/>
                      <w:lang w:eastAsia="lt-LT"/>
                    </w:rPr>
                  </w:pPr>
                  <w:sdt>
                    <w:sdtPr>
                      <w:alias w:val="Numeris"/>
                      <w:tag w:val="nr_074f6eea99d7479b956c91d21d3c935c"/>
                      <w:lock w:val="sdtLocked"/>
                      <w:richText/>
                    </w:sdtPr>
                    <w:sdtContent>
                      <w:r>
                        <w:rPr>
                          <w:sz w:val="22"/>
                          <w:szCs w:val="24"/>
                          <w:lang w:eastAsia="lt-LT"/>
                        </w:rPr>
                        <w:t>16</w:t>
                      </w:r>
                    </w:sdtContent>
                  </w:sdt>
                  <w:r>
                    <w:rPr>
                      <w:sz w:val="22"/>
                      <w:szCs w:val="24"/>
                      <w:lang w:eastAsia="lt-LT"/>
                    </w:rPr>
                    <w:t>.</w:t>
                  </w:r>
                  <w:r>
                    <w:rPr>
                      <w:bCs/>
                      <w:sz w:val="22"/>
                      <w:szCs w:val="24"/>
                      <w:lang w:eastAsia="lt-LT"/>
                    </w:rPr>
                    <w:t xml:space="preserve"> Reikalavimai ūkio subjektų aplinkos monitoringui (stebėsenai), ūkio subjekto monitoringo programai vykdyti.</w:t>
                  </w:r>
                </w:p>
                <w:p>
                  <w:pPr>
                    <w:ind w:firstLine="567"/>
                    <w:jc w:val="both"/>
                    <w:rPr>
                      <w:spacing w:val="-3"/>
                      <w:sz w:val="22"/>
                      <w:szCs w:val="24"/>
                      <w:lang w:eastAsia="lt-LT"/>
                    </w:rPr>
                  </w:pPr>
                </w:p>
              </w:sdtContent>
            </w:sdt>
            <w:sdt>
              <w:sdtPr>
                <w:alias w:val="5 pr. 17 p."/>
                <w:tag w:val="part_0272db8c5d9d4c2aa3aca39c3fa9c246"/>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 w:val="22"/>
                      <w:szCs w:val="24"/>
                      <w:lang w:eastAsia="lt-LT"/>
                    </w:rPr>
                  </w:pPr>
                  <w:sdt>
                    <w:sdtPr>
                      <w:alias w:val="Numeris"/>
                      <w:tag w:val="nr_0272db8c5d9d4c2aa3aca39c3fa9c246"/>
                      <w:lock w:val="sdtLocked"/>
                      <w:richText/>
                    </w:sdtPr>
                    <w:sdtContent>
                      <w:r>
                        <w:rPr>
                          <w:sz w:val="22"/>
                          <w:szCs w:val="24"/>
                          <w:lang w:eastAsia="lt-LT"/>
                        </w:rPr>
                        <w:t>17</w:t>
                      </w:r>
                    </w:sdtContent>
                  </w:sdt>
                  <w:r>
                    <w:rPr>
                      <w:sz w:val="22"/>
                      <w:szCs w:val="24"/>
                      <w:lang w:eastAsia="lt-LT"/>
                    </w:rPr>
                    <w:t>. Leidžiamas triukšmo išmetimas, reikalavimai triukšmui valdyti ir triukšmo mažinimo priemonės.</w:t>
                  </w:r>
                  <w:r>
                    <w:rPr>
                      <w:sz w:val="22"/>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sdtContent>
            </w:sdt>
            <w:sdt>
              <w:sdtPr>
                <w:alias w:val="5 pr. 18 p."/>
                <w:tag w:val="part_6fea27e1c0df45049fb6c2ac9f08568f"/>
                <w:lock w:val="sdtLocked"/>
                <w:richText/>
              </w:sdtPr>
              <w:sdtContent>
                <w:p>
                  <w:pPr>
                    <w:ind w:firstLine="567"/>
                    <w:jc w:val="both"/>
                    <w:rPr>
                      <w:sz w:val="22"/>
                      <w:szCs w:val="24"/>
                      <w:lang w:eastAsia="lt-LT"/>
                    </w:rPr>
                  </w:pPr>
                  <w:sdt>
                    <w:sdtPr>
                      <w:alias w:val="Numeris"/>
                      <w:tag w:val="nr_6fea27e1c0df45049fb6c2ac9f08568f"/>
                      <w:lock w:val="sdtLocked"/>
                      <w:richText/>
                    </w:sdtPr>
                    <w:sdtContent>
                      <w:r>
                        <w:rPr>
                          <w:sz w:val="22"/>
                          <w:szCs w:val="24"/>
                          <w:lang w:eastAsia="lt-LT"/>
                        </w:rPr>
                        <w:t>18</w:t>
                      </w:r>
                    </w:sdtContent>
                  </w:sdt>
                  <w:r>
                    <w:rPr>
                      <w:sz w:val="22"/>
                      <w:szCs w:val="24"/>
                      <w:lang w:eastAsia="lt-LT"/>
                    </w:rPr>
                    <w:t>. Įrenginio eksploatavimo laiko ribojimas.</w:t>
                  </w:r>
                </w:p>
                <w:p>
                  <w:pPr>
                    <w:ind w:firstLine="567"/>
                    <w:jc w:val="both"/>
                    <w:rPr>
                      <w:sz w:val="22"/>
                      <w:szCs w:val="24"/>
                      <w:lang w:eastAsia="lt-LT"/>
                    </w:rPr>
                  </w:pPr>
                  <w:r>
                    <w:rPr>
                      <w:sz w:val="22"/>
                      <w:szCs w:val="24"/>
                      <w:lang w:eastAsia="lt-LT"/>
                    </w:rPr>
                    <w:t>Įrenginio padaliniai, cechai ar kt. įrenginio dalys, kurių darbo laikas gali būti apribotas, ir priežastys, jei dėl veiklos ypatumų neigiamo poveikio negalima apriboti kitomis priemonėmis. Specialios sąlygos (pvz., apriboti galimybę triukšmą skleidžiančią veiklą vykdyti savaitgaliais bei vakarais / naktimis (apdorojimas smėliu, apdorojimas garais ir kt.), gamybos proceso, iš kurio skleidžiamas triukšmas, pradžios / pertraukų laikas, kitos sąlygos).</w:t>
                  </w:r>
                </w:p>
                <w:p>
                  <w:pPr>
                    <w:suppressAutoHyphens/>
                    <w:ind w:firstLine="567"/>
                    <w:jc w:val="both"/>
                    <w:textAlignment w:val="baseline"/>
                    <w:rPr>
                      <w:sz w:val="22"/>
                      <w:szCs w:val="24"/>
                      <w:lang w:eastAsia="lt-LT"/>
                    </w:rPr>
                  </w:pPr>
                </w:p>
              </w:sdtContent>
            </w:sdt>
            <w:sdt>
              <w:sdtPr>
                <w:alias w:val="5 pr. p."/>
                <w:tag w:val="part_20cf393ca17a49f8ac6998fdfa14932f"/>
                <w:lock w:val="sdtLocked"/>
                <w:richText/>
              </w:sdtPr>
              <w:sdtContent>
                <w:p>
                  <w:pPr>
                    <w:widowControl w:val="0"/>
                    <w:ind w:firstLine="567"/>
                    <w:jc w:val="both"/>
                    <w:rPr>
                      <w:strike/>
                      <w:sz w:val="22"/>
                    </w:rPr>
                  </w:pPr>
                  <w:r>
                    <w:rPr>
                      <w:sz w:val="22"/>
                    </w:rPr>
                    <w:t>19. Leidžiamas kvapo išmetimas ir kvapų valdymo (mažinimo) priemonės.</w:t>
                  </w:r>
                </w:p>
                <w:p>
                  <w:pPr>
                    <w:rPr>
                      <w:sz w:val="22"/>
                    </w:rPr>
                  </w:pPr>
                </w:p>
                <w:p>
                  <w:pPr>
                    <w:suppressAutoHyphens/>
                    <w:ind w:firstLine="567"/>
                    <w:jc w:val="both"/>
                    <w:rPr>
                      <w:sz w:val="22"/>
                      <w:lang w:eastAsia="lt-LT"/>
                    </w:rPr>
                  </w:pPr>
                  <w:r>
                    <w:rPr>
                      <w:b/>
                      <w:sz w:val="22"/>
                      <w:lang w:eastAsia="lt-LT"/>
                    </w:rPr>
                    <w:t xml:space="preserve">22 lentelė. </w:t>
                  </w:r>
                  <w:r>
                    <w:rPr>
                      <w:sz w:val="22"/>
                      <w:lang w:eastAsia="lt-LT"/>
                    </w:rPr>
                    <w:t>Leidžiamas kvapų išmetimas</w:t>
                  </w:r>
                </w:p>
                <w:p>
                  <w:pPr>
                    <w:suppressAutoHyphens/>
                    <w:jc w:val="both"/>
                    <w:rPr>
                      <w:lang w:eastAsia="lt-LT"/>
                    </w:rPr>
                  </w:pPr>
                </w:p>
                <w:tbl>
                  <w:tblPr>
                    <w:tblW w:w="49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8"/>
                    <w:gridCol w:w="2011"/>
                    <w:gridCol w:w="3618"/>
                    <w:gridCol w:w="2096"/>
                    <w:gridCol w:w="4713"/>
                  </w:tblGrid>
                  <w:tr>
                    <w:trPr>
                      <w:trHeight w:val="619"/>
                    </w:trPr>
                    <w:tc>
                      <w:tcPr>
                        <w:tcW w:w="466" w:type="pct"/>
                        <w:vMerge w:val="restart"/>
                        <w:shd w:val="clear" w:color="auto" w:fill="auto"/>
                        <w:vAlign w:val="center"/>
                        <w:hideMark/>
                      </w:tcPr>
                      <w:p>
                        <w:pPr>
                          <w:suppressAutoHyphens/>
                          <w:jc w:val="center"/>
                          <w:rPr>
                            <w:sz w:val="20"/>
                            <w:lang w:eastAsia="lt-LT"/>
                          </w:rPr>
                        </w:pPr>
                        <w:r>
                          <w:rPr>
                            <w:bCs/>
                            <w:sz w:val="20"/>
                            <w:lang w:eastAsia="lt-LT"/>
                          </w:rPr>
                          <w:t>Kvapo šaltinio Nr.</w:t>
                        </w:r>
                      </w:p>
                    </w:tc>
                    <w:tc>
                      <w:tcPr>
                        <w:tcW w:w="2816" w:type="pct"/>
                        <w:gridSpan w:val="3"/>
                        <w:shd w:val="clear" w:color="auto" w:fill="auto"/>
                        <w:vAlign w:val="center"/>
                      </w:tcPr>
                      <w:p>
                        <w:pPr>
                          <w:suppressAutoHyphens/>
                          <w:jc w:val="center"/>
                          <w:rPr>
                            <w:bCs/>
                            <w:sz w:val="20"/>
                            <w:lang w:eastAsia="lt-LT"/>
                          </w:rPr>
                        </w:pPr>
                        <w:r>
                          <w:rPr>
                            <w:bCs/>
                            <w:sz w:val="20"/>
                            <w:lang w:eastAsia="lt-LT"/>
                          </w:rPr>
                          <w:t>Kvapų valdymo (mažinimo) priemonės</w:t>
                        </w:r>
                      </w:p>
                    </w:tc>
                    <w:tc>
                      <w:tcPr>
                        <w:tcW w:w="1719" w:type="pct"/>
                        <w:vMerge w:val="restart"/>
                        <w:vAlign w:val="center"/>
                      </w:tcPr>
                      <w:p>
                        <w:pPr>
                          <w:suppressAutoHyphens/>
                          <w:jc w:val="center"/>
                          <w:rPr>
                            <w:bCs/>
                            <w:sz w:val="20"/>
                            <w:lang w:eastAsia="lt-LT"/>
                          </w:rPr>
                        </w:pPr>
                        <w:r>
                          <w:rPr>
                            <w:bCs/>
                            <w:sz w:val="20"/>
                            <w:lang w:eastAsia="lt-LT"/>
                          </w:rPr>
                          <w:t>Leidžiamas kvapo emisijos rodiklis</w:t>
                        </w:r>
                      </w:p>
                      <w:p>
                        <w:pPr>
                          <w:suppressAutoHyphens/>
                          <w:jc w:val="center"/>
                          <w:rPr>
                            <w:bCs/>
                            <w:sz w:val="20"/>
                            <w:lang w:eastAsia="lt-LT"/>
                          </w:rPr>
                        </w:pPr>
                        <w:r>
                          <w:rPr>
                            <w:bCs/>
                            <w:sz w:val="20"/>
                            <w:lang w:eastAsia="lt-LT"/>
                          </w:rPr>
                          <w:t>OUE/s, OUE/m/s, OUE/m</w:t>
                        </w:r>
                        <w:r>
                          <w:rPr>
                            <w:bCs/>
                            <w:sz w:val="20"/>
                            <w:vertAlign w:val="superscript"/>
                            <w:lang w:eastAsia="lt-LT"/>
                          </w:rPr>
                          <w:t>2</w:t>
                        </w:r>
                        <w:r>
                          <w:rPr>
                            <w:bCs/>
                            <w:sz w:val="20"/>
                            <w:lang w:eastAsia="lt-LT"/>
                          </w:rPr>
                          <w:t>/s, OUE/m</w:t>
                        </w:r>
                        <w:r>
                          <w:rPr>
                            <w:bCs/>
                            <w:sz w:val="20"/>
                            <w:vertAlign w:val="superscript"/>
                            <w:lang w:eastAsia="lt-LT"/>
                          </w:rPr>
                          <w:t>3</w:t>
                        </w:r>
                        <w:r>
                          <w:rPr>
                            <w:bCs/>
                            <w:sz w:val="20"/>
                            <w:lang w:eastAsia="lt-LT"/>
                          </w:rPr>
                          <w:t>/s</w:t>
                        </w:r>
                      </w:p>
                    </w:tc>
                  </w:tr>
                  <w:tr>
                    <w:trPr>
                      <w:trHeight w:val="283"/>
                    </w:trPr>
                    <w:tc>
                      <w:tcPr>
                        <w:tcW w:w="466" w:type="pct"/>
                        <w:vMerge/>
                        <w:shd w:val="clear" w:color="auto" w:fill="auto"/>
                        <w:vAlign w:val="center"/>
                        <w:hideMark/>
                      </w:tcPr>
                      <w:p>
                        <w:pPr>
                          <w:suppressAutoHyphens/>
                          <w:jc w:val="center"/>
                          <w:rPr>
                            <w:sz w:val="20"/>
                            <w:lang w:eastAsia="lt-LT"/>
                          </w:rPr>
                        </w:pPr>
                      </w:p>
                    </w:tc>
                    <w:tc>
                      <w:tcPr>
                        <w:tcW w:w="733" w:type="pct"/>
                        <w:shd w:val="clear" w:color="auto" w:fill="auto"/>
                        <w:vAlign w:val="center"/>
                      </w:tcPr>
                      <w:p>
                        <w:pPr>
                          <w:suppressAutoHyphens/>
                          <w:jc w:val="center"/>
                          <w:rPr>
                            <w:sz w:val="20"/>
                            <w:lang w:eastAsia="lt-LT"/>
                          </w:rPr>
                        </w:pPr>
                        <w:r>
                          <w:rPr>
                            <w:sz w:val="20"/>
                            <w:lang w:eastAsia="lt-LT"/>
                          </w:rPr>
                          <w:t>pavadinimas</w:t>
                        </w:r>
                      </w:p>
                    </w:tc>
                    <w:tc>
                      <w:tcPr>
                        <w:tcW w:w="1319" w:type="pct"/>
                        <w:shd w:val="clear" w:color="auto" w:fill="auto"/>
                        <w:vAlign w:val="center"/>
                      </w:tcPr>
                      <w:p>
                        <w:pPr>
                          <w:suppressAutoHyphens/>
                          <w:jc w:val="center"/>
                          <w:rPr>
                            <w:sz w:val="20"/>
                            <w:lang w:eastAsia="lt-LT"/>
                          </w:rPr>
                        </w:pPr>
                        <w:r>
                          <w:rPr>
                            <w:sz w:val="20"/>
                            <w:lang w:eastAsia="lt-LT"/>
                          </w:rPr>
                          <w:t>įrengimo vieta, koordinatės, LKS</w:t>
                        </w:r>
                      </w:p>
                    </w:tc>
                    <w:tc>
                      <w:tcPr>
                        <w:tcW w:w="764" w:type="pct"/>
                        <w:vAlign w:val="center"/>
                      </w:tcPr>
                      <w:p>
                        <w:pPr>
                          <w:suppressAutoHyphens/>
                          <w:jc w:val="center"/>
                          <w:rPr>
                            <w:sz w:val="20"/>
                            <w:lang w:eastAsia="lt-LT"/>
                          </w:rPr>
                        </w:pPr>
                        <w:r>
                          <w:rPr>
                            <w:sz w:val="20"/>
                            <w:lang w:eastAsia="lt-LT"/>
                          </w:rPr>
                          <w:t>efektyvumas, proc.</w:t>
                        </w:r>
                      </w:p>
                    </w:tc>
                    <w:tc>
                      <w:tcPr>
                        <w:tcW w:w="1719" w:type="pct"/>
                        <w:vMerge/>
                      </w:tcPr>
                      <w:p>
                        <w:pPr>
                          <w:suppressAutoHyphens/>
                          <w:jc w:val="center"/>
                          <w:rPr>
                            <w:sz w:val="20"/>
                            <w:lang w:eastAsia="lt-LT"/>
                          </w:rPr>
                        </w:pPr>
                      </w:p>
                    </w:tc>
                  </w:tr>
                  <w:tr>
                    <w:trPr>
                      <w:trHeight w:val="283"/>
                    </w:trPr>
                    <w:tc>
                      <w:tcPr>
                        <w:tcW w:w="466" w:type="pct"/>
                        <w:shd w:val="clear" w:color="auto" w:fill="auto"/>
                        <w:vAlign w:val="center"/>
                      </w:tcPr>
                      <w:p>
                        <w:pPr>
                          <w:suppressAutoHyphens/>
                          <w:jc w:val="center"/>
                          <w:rPr>
                            <w:sz w:val="20"/>
                            <w:lang w:eastAsia="lt-LT"/>
                          </w:rPr>
                        </w:pPr>
                        <w:r>
                          <w:rPr>
                            <w:sz w:val="20"/>
                            <w:lang w:eastAsia="lt-LT"/>
                          </w:rPr>
                          <w:t>1</w:t>
                        </w:r>
                      </w:p>
                    </w:tc>
                    <w:tc>
                      <w:tcPr>
                        <w:tcW w:w="733" w:type="pct"/>
                        <w:shd w:val="clear" w:color="auto" w:fill="auto"/>
                        <w:vAlign w:val="center"/>
                      </w:tcPr>
                      <w:p>
                        <w:pPr>
                          <w:suppressAutoHyphens/>
                          <w:jc w:val="center"/>
                          <w:rPr>
                            <w:sz w:val="20"/>
                            <w:lang w:eastAsia="lt-LT"/>
                          </w:rPr>
                        </w:pPr>
                        <w:r>
                          <w:rPr>
                            <w:sz w:val="20"/>
                            <w:lang w:eastAsia="lt-LT"/>
                          </w:rPr>
                          <w:t>2</w:t>
                        </w:r>
                      </w:p>
                    </w:tc>
                    <w:tc>
                      <w:tcPr>
                        <w:tcW w:w="1319" w:type="pct"/>
                        <w:shd w:val="clear" w:color="auto" w:fill="auto"/>
                        <w:vAlign w:val="center"/>
                      </w:tcPr>
                      <w:p>
                        <w:pPr>
                          <w:suppressAutoHyphens/>
                          <w:jc w:val="center"/>
                          <w:rPr>
                            <w:sz w:val="20"/>
                            <w:lang w:eastAsia="lt-LT"/>
                          </w:rPr>
                        </w:pPr>
                        <w:r>
                          <w:rPr>
                            <w:sz w:val="20"/>
                            <w:lang w:eastAsia="lt-LT"/>
                          </w:rPr>
                          <w:t>3</w:t>
                        </w:r>
                      </w:p>
                    </w:tc>
                    <w:tc>
                      <w:tcPr>
                        <w:tcW w:w="764" w:type="pct"/>
                        <w:vAlign w:val="center"/>
                      </w:tcPr>
                      <w:p>
                        <w:pPr>
                          <w:suppressAutoHyphens/>
                          <w:jc w:val="center"/>
                          <w:rPr>
                            <w:sz w:val="20"/>
                            <w:lang w:eastAsia="lt-LT"/>
                          </w:rPr>
                        </w:pPr>
                        <w:r>
                          <w:rPr>
                            <w:sz w:val="20"/>
                            <w:lang w:eastAsia="lt-LT"/>
                          </w:rPr>
                          <w:t>4</w:t>
                        </w:r>
                      </w:p>
                    </w:tc>
                    <w:tc>
                      <w:tcPr>
                        <w:tcW w:w="1719" w:type="pct"/>
                        <w:vAlign w:val="center"/>
                      </w:tcPr>
                      <w:p>
                        <w:pPr>
                          <w:suppressAutoHyphens/>
                          <w:jc w:val="center"/>
                          <w:rPr>
                            <w:sz w:val="20"/>
                            <w:lang w:eastAsia="lt-LT"/>
                          </w:rPr>
                        </w:pPr>
                        <w:r>
                          <w:rPr>
                            <w:sz w:val="20"/>
                            <w:lang w:eastAsia="lt-LT"/>
                          </w:rPr>
                          <w:t>5</w:t>
                        </w:r>
                      </w:p>
                    </w:tc>
                  </w:tr>
                  <w:tr>
                    <w:trPr>
                      <w:trHeight w:val="283"/>
                    </w:trPr>
                    <w:tc>
                      <w:tcPr>
                        <w:tcW w:w="466" w:type="pct"/>
                        <w:shd w:val="clear" w:color="auto" w:fill="auto"/>
                      </w:tcPr>
                      <w:p>
                        <w:pPr>
                          <w:suppressAutoHyphens/>
                          <w:jc w:val="center"/>
                          <w:rPr>
                            <w:sz w:val="20"/>
                            <w:lang w:eastAsia="lt-LT"/>
                          </w:rPr>
                        </w:pPr>
                      </w:p>
                    </w:tc>
                    <w:tc>
                      <w:tcPr>
                        <w:tcW w:w="733" w:type="pct"/>
                        <w:shd w:val="clear" w:color="auto" w:fill="auto"/>
                      </w:tcPr>
                      <w:p>
                        <w:pPr>
                          <w:suppressAutoHyphens/>
                          <w:jc w:val="center"/>
                          <w:rPr>
                            <w:sz w:val="20"/>
                            <w:lang w:eastAsia="lt-LT"/>
                          </w:rPr>
                        </w:pPr>
                      </w:p>
                    </w:tc>
                    <w:tc>
                      <w:tcPr>
                        <w:tcW w:w="1319" w:type="pct"/>
                        <w:shd w:val="clear" w:color="auto" w:fill="auto"/>
                      </w:tcPr>
                      <w:p>
                        <w:pPr>
                          <w:suppressAutoHyphens/>
                          <w:jc w:val="center"/>
                          <w:rPr>
                            <w:sz w:val="20"/>
                            <w:lang w:eastAsia="lt-LT"/>
                          </w:rPr>
                        </w:pPr>
                      </w:p>
                    </w:tc>
                    <w:tc>
                      <w:tcPr>
                        <w:tcW w:w="764" w:type="pct"/>
                        <w:vAlign w:val="center"/>
                      </w:tcPr>
                      <w:p>
                        <w:pPr>
                          <w:suppressAutoHyphens/>
                          <w:jc w:val="center"/>
                          <w:rPr>
                            <w:sz w:val="20"/>
                            <w:lang w:eastAsia="lt-LT"/>
                          </w:rPr>
                        </w:pPr>
                      </w:p>
                    </w:tc>
                    <w:tc>
                      <w:tcPr>
                        <w:tcW w:w="1719" w:type="pct"/>
                      </w:tcPr>
                      <w:p>
                        <w:pPr>
                          <w:suppressAutoHyphens/>
                          <w:jc w:val="center"/>
                          <w:rPr>
                            <w:sz w:val="20"/>
                            <w:lang w:eastAsia="lt-LT"/>
                          </w:rPr>
                        </w:pPr>
                      </w:p>
                    </w:tc>
                  </w:tr>
                  <w:tr>
                    <w:trPr>
                      <w:trHeight w:val="283"/>
                    </w:trPr>
                    <w:tc>
                      <w:tcPr>
                        <w:tcW w:w="466" w:type="pct"/>
                        <w:shd w:val="clear" w:color="auto" w:fill="auto"/>
                      </w:tcPr>
                      <w:p>
                        <w:pPr>
                          <w:suppressAutoHyphens/>
                          <w:jc w:val="both"/>
                          <w:rPr>
                            <w:b/>
                            <w:sz w:val="20"/>
                            <w:lang w:eastAsia="lt-LT"/>
                          </w:rPr>
                        </w:pPr>
                      </w:p>
                    </w:tc>
                    <w:tc>
                      <w:tcPr>
                        <w:tcW w:w="733" w:type="pct"/>
                        <w:shd w:val="clear" w:color="auto" w:fill="auto"/>
                      </w:tcPr>
                      <w:p>
                        <w:pPr>
                          <w:suppressAutoHyphens/>
                          <w:jc w:val="both"/>
                          <w:rPr>
                            <w:b/>
                            <w:sz w:val="20"/>
                            <w:lang w:eastAsia="lt-LT"/>
                          </w:rPr>
                        </w:pPr>
                      </w:p>
                    </w:tc>
                    <w:tc>
                      <w:tcPr>
                        <w:tcW w:w="1319" w:type="pct"/>
                        <w:shd w:val="clear" w:color="auto" w:fill="auto"/>
                      </w:tcPr>
                      <w:p>
                        <w:pPr>
                          <w:suppressAutoHyphens/>
                          <w:jc w:val="both"/>
                          <w:rPr>
                            <w:b/>
                            <w:sz w:val="20"/>
                            <w:lang w:eastAsia="lt-LT"/>
                          </w:rPr>
                        </w:pPr>
                      </w:p>
                    </w:tc>
                    <w:tc>
                      <w:tcPr>
                        <w:tcW w:w="764" w:type="pct"/>
                        <w:vAlign w:val="center"/>
                      </w:tcPr>
                      <w:p>
                        <w:pPr>
                          <w:suppressAutoHyphens/>
                          <w:jc w:val="both"/>
                          <w:rPr>
                            <w:b/>
                            <w:sz w:val="20"/>
                            <w:lang w:eastAsia="lt-LT"/>
                          </w:rPr>
                        </w:pPr>
                      </w:p>
                    </w:tc>
                    <w:tc>
                      <w:tcPr>
                        <w:tcW w:w="1719" w:type="pct"/>
                      </w:tcPr>
                      <w:p>
                        <w:pPr>
                          <w:suppressAutoHyphens/>
                          <w:jc w:val="both"/>
                          <w:rPr>
                            <w:b/>
                            <w:sz w:val="20"/>
                            <w:lang w:eastAsia="lt-LT"/>
                          </w:rPr>
                        </w:pPr>
                      </w:p>
                    </w:tc>
                  </w:tr>
                  <w:tr>
                    <w:trPr>
                      <w:trHeight w:val="283"/>
                    </w:trPr>
                    <w:tc>
                      <w:tcPr>
                        <w:tcW w:w="466" w:type="pct"/>
                        <w:shd w:val="clear" w:color="auto" w:fill="auto"/>
                      </w:tcPr>
                      <w:p>
                        <w:pPr>
                          <w:suppressAutoHyphens/>
                          <w:jc w:val="both"/>
                          <w:rPr>
                            <w:b/>
                            <w:sz w:val="20"/>
                            <w:lang w:eastAsia="lt-LT"/>
                          </w:rPr>
                        </w:pPr>
                      </w:p>
                    </w:tc>
                    <w:tc>
                      <w:tcPr>
                        <w:tcW w:w="733" w:type="pct"/>
                        <w:shd w:val="clear" w:color="auto" w:fill="auto"/>
                      </w:tcPr>
                      <w:p>
                        <w:pPr>
                          <w:suppressAutoHyphens/>
                          <w:jc w:val="both"/>
                          <w:rPr>
                            <w:b/>
                            <w:sz w:val="20"/>
                            <w:lang w:eastAsia="lt-LT"/>
                          </w:rPr>
                        </w:pPr>
                      </w:p>
                    </w:tc>
                    <w:tc>
                      <w:tcPr>
                        <w:tcW w:w="1319" w:type="pct"/>
                        <w:shd w:val="clear" w:color="auto" w:fill="auto"/>
                      </w:tcPr>
                      <w:p>
                        <w:pPr>
                          <w:suppressAutoHyphens/>
                          <w:jc w:val="both"/>
                          <w:rPr>
                            <w:b/>
                            <w:sz w:val="20"/>
                            <w:lang w:eastAsia="lt-LT"/>
                          </w:rPr>
                        </w:pPr>
                      </w:p>
                    </w:tc>
                    <w:tc>
                      <w:tcPr>
                        <w:tcW w:w="764" w:type="pct"/>
                        <w:vAlign w:val="center"/>
                      </w:tcPr>
                      <w:p>
                        <w:pPr>
                          <w:suppressAutoHyphens/>
                          <w:jc w:val="both"/>
                          <w:rPr>
                            <w:b/>
                            <w:sz w:val="20"/>
                            <w:lang w:eastAsia="lt-LT"/>
                          </w:rPr>
                        </w:pPr>
                      </w:p>
                    </w:tc>
                    <w:tc>
                      <w:tcPr>
                        <w:tcW w:w="1719" w:type="pct"/>
                      </w:tcPr>
                      <w:p>
                        <w:pPr>
                          <w:suppressAutoHyphens/>
                          <w:jc w:val="right"/>
                          <w:rPr>
                            <w:b/>
                            <w:sz w:val="20"/>
                            <w:lang w:eastAsia="lt-LT"/>
                          </w:rPr>
                        </w:pPr>
                        <w:r>
                          <w:rPr>
                            <w:b/>
                            <w:sz w:val="20"/>
                            <w:lang w:eastAsia="lt-LT"/>
                          </w:rPr>
                          <w:t>“</w:t>
                        </w:r>
                      </w:p>
                    </w:tc>
                  </w:tr>
                </w:tbl>
                <w:p>
                  <w:pPr>
                    <w:suppressAutoHyphens/>
                    <w:jc w:val="both"/>
                    <w:rPr>
                      <w:sz w:val="22"/>
                      <w:szCs w:val="24"/>
                      <w:lang w:eastAsia="lt-LT"/>
                    </w:rPr>
                  </w:pP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b422b0072011e8b3e7ba9cffd043b1">
                    <w:r w:rsidRPr="00532B9F">
                      <w:rPr>
                        <w:rFonts w:ascii="Arial" w:eastAsia="MS Mincho" w:hAnsi="Arial"/>
                        <w:sz w:val="20"/>
                        <w:i/>
                        <w:iCs/>
                        <w:color w:val="0000FF" w:themeColor="hyperlink"/>
                        <w:u w:val="single"/>
                      </w:rPr>
                      <w:t>D1-75</w:t>
                    </w:r>
                  </w:fldSimple>
                  <w:r>
                    <w:rPr>
                      <w:rFonts w:ascii="Arial" w:eastAsia="MS Mincho" w:hAnsi="Arial"/>
                      <w:sz w:val="20"/>
                      <w:i/>
                      <w:iCs/>
                    </w:rPr>
                    <w:t>,
2018-01-31,
paskelbta TAR 2018-02-01, i. k. 2018-01594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
              <w:sdtPr>
                <w:alias w:val="5 pr. 20 p."/>
                <w:tag w:val="part_5e6bbcb6f4f7464983b98f1168cdeeb0"/>
                <w:lock w:val="sdtLocked"/>
                <w:richText/>
              </w:sdtPr>
              <w:sdtContent>
                <w:p>
                  <w:pPr>
                    <w:ind w:firstLine="567"/>
                    <w:jc w:val="both"/>
                    <w:rPr>
                      <w:b/>
                      <w:sz w:val="18"/>
                      <w:szCs w:val="24"/>
                      <w:lang w:eastAsia="lt-LT"/>
                    </w:rPr>
                  </w:pPr>
                  <w:sdt>
                    <w:sdtPr>
                      <w:alias w:val="Numeris"/>
                      <w:tag w:val="nr_5e6bbcb6f4f7464983b98f1168cdeeb0"/>
                      <w:lock w:val="sdtLocked"/>
                      <w:richText/>
                    </w:sdtPr>
                    <w:sdtContent>
                      <w:r>
                        <w:rPr>
                          <w:sz w:val="22"/>
                          <w:szCs w:val="24"/>
                          <w:lang w:eastAsia="lt-LT"/>
                        </w:rPr>
                        <w:t>20</w:t>
                      </w:r>
                    </w:sdtContent>
                  </w:sdt>
                  <w:r>
                    <w:rPr>
                      <w:sz w:val="22"/>
                      <w:szCs w:val="24"/>
                      <w:lang w:eastAsia="lt-LT"/>
                    </w:rPr>
                    <w:t>. Kitos leidimo sąlygos ir reikalavimai pagal Taisyklių 65 punktą.</w:t>
                  </w:r>
                </w:p>
              </w:sdtContent>
            </w:sdt>
          </w:sdtContent>
        </w:sdt>
        <w:sdt>
          <w:sdtPr>
            <w:alias w:val="skyrius"/>
            <w:tag w:val="part_da22116e93ca4a97a7bd5076abec7e53"/>
            <w:lock w:val="sdtLocked"/>
            <w:richText/>
          </w:sdtPr>
          <w:sdtContent>
            <w:p>
              <w:pPr>
                <w:pStyle w:val="PlainText"/>
                <w:ind w:firstLine="567"/>
                <w:jc w:val="both"/>
                <w:rPr>
                  <w:rFonts w:ascii="Arial" w:hAnsi="Arial"/>
                  <w:b/>
                  <w:bCs/>
                  <w:sz w:val="22"/>
                </w:rPr>
              </w:pPr>
              <w:r>
                <w:rPr>
                  <w:rFonts w:ascii="Arial" w:hAnsi="Arial"/>
                  <w:b/>
                  <w:sz w:val="22"/>
                </w:rPr>
                <w:t>3</w:t>
              </w:r>
              <w:r>
                <w:rPr>
                  <w:rFonts w:ascii="Arial" w:hAnsi="Arial"/>
                  <w:b/>
                  <w:sz w:val="22"/>
                </w:rPr>
                <w:t xml:space="preserve"> skyrius.</w:t>
              </w:r>
              <w:r>
                <w:rPr>
                  <w:rFonts w:ascii="Arial" w:eastAsia="MS Mincho" w:hAnsi="Arial"/>
                  <w:sz w:val="20"/>
                  <w:i/>
                  <w:iCs/>
                </w:rPr>
                <w:t xml:space="preserve"> Neteko galios nuo 2016-01-12</w:t>
              </w:r>
            </w:p>
            <w:p>
              <w:pPr>
                <w:pStyle w:val="PlainText"/>
                <w:rPr>
                  <w:rFonts w:ascii="Arial" w:eastAsia="MS Mincho" w:hAnsi="Arial"/>
                  <w:sz w:val="20"/>
                  <w:i/>
                  <w:iCs/>
                </w:rPr>
              </w:pPr>
              <w:r>
                <w:rPr>
                  <w:rFonts w:ascii="Arial" w:eastAsia="MS Mincho" w:hAnsi="Arial"/>
                  <w:sz w:val="20"/>
                  <w:i/>
                  <w:iCs/>
                </w:rPr>
                <w:t>Skyriaus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1 pr."/>
        <w:tag w:val="part_73075031d83d4d4eb03a8e2b0390edf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954"/>
            <w:jc w:val="both"/>
            <w:sectPr>
              <w:headerReference w:type="default" r:id="rId42"/>
              <w:headerReference w:type="first" r:id="rId43"/>
              <w:pgSz w:w="15840" w:h="12240" w:orient="landscape" w:code="1"/>
              <w:pgMar w:top="1701" w:right="1134" w:bottom="851" w:left="1134" w:header="720" w:footer="720" w:gutter="0"/>
              <w:cols w:space="720"/>
              <w:noEndnote/>
              <w:docGrid w:linePitch="326"/>
            </w:sect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954"/>
            <w:jc w:val="both"/>
            <w:rPr>
              <w:rFonts w:eastAsia="Calibri"/>
              <w:szCs w:val="24"/>
              <w:lang w:eastAsia="lt-LT"/>
            </w:rPr>
          </w:pPr>
          <w:r>
            <w:rPr>
              <w:rFonts w:eastAsia="Calibri"/>
              <w:szCs w:val="24"/>
              <w:lang w:eastAsia="lt-LT"/>
            </w:rPr>
            <w:t xml:space="preserve">Taršos integruotos prevencijos ir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954"/>
            <w:jc w:val="both"/>
            <w:rPr>
              <w:rFonts w:eastAsia="Calibri"/>
              <w:szCs w:val="24"/>
              <w:lang w:eastAsia="lt-LT"/>
            </w:rPr>
          </w:pPr>
          <w:r>
            <w:rPr>
              <w:rFonts w:eastAsia="Calibri"/>
              <w:szCs w:val="24"/>
              <w:lang w:eastAsia="lt-LT"/>
            </w:rPr>
            <w:t xml:space="preserve">kontrolės leidimų išdavimo,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954"/>
            <w:jc w:val="both"/>
            <w:rPr>
              <w:rFonts w:eastAsia="Calibri"/>
              <w:szCs w:val="24"/>
              <w:lang w:eastAsia="lt-LT"/>
            </w:rPr>
          </w:pPr>
          <w:r>
            <w:rPr>
              <w:rFonts w:eastAsia="Calibri"/>
              <w:szCs w:val="24"/>
              <w:lang w:eastAsia="lt-LT"/>
            </w:rPr>
            <w:t>pakeitimo ir galiojimo</w:t>
          </w:r>
          <w:r>
            <w:rPr>
              <w:rFonts w:eastAsia="Calibri"/>
              <w:b/>
              <w:szCs w:val="24"/>
              <w:lang w:eastAsia="lt-LT"/>
            </w:rPr>
            <w:t xml:space="preserve"> </w:t>
          </w:r>
          <w:r>
            <w:rPr>
              <w:rFonts w:eastAsia="Calibri"/>
              <w:szCs w:val="24"/>
              <w:lang w:eastAsia="lt-LT"/>
            </w:rPr>
            <w:t xml:space="preserve">panaikinimo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954"/>
            <w:jc w:val="both"/>
            <w:rPr>
              <w:rFonts w:eastAsia="Calibri"/>
              <w:szCs w:val="24"/>
              <w:lang w:eastAsia="lt-LT"/>
            </w:rPr>
          </w:pPr>
          <w:r>
            <w:rPr>
              <w:rFonts w:eastAsia="Calibri"/>
              <w:szCs w:val="24"/>
              <w:lang w:eastAsia="lt-LT"/>
            </w:rPr>
            <w:t xml:space="preserve">taisyklių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954"/>
            <w:jc w:val="both"/>
            <w:rPr>
              <w:rFonts w:eastAsia="Calibri"/>
              <w:szCs w:val="24"/>
              <w:lang w:eastAsia="lt-LT"/>
            </w:rPr>
          </w:pPr>
          <w:r>
            <w:rPr>
              <w:rFonts w:eastAsia="Calibri"/>
              <w:szCs w:val="24"/>
              <w:lang w:eastAsia="lt-LT"/>
            </w:rPr>
            <w:t xml:space="preserve">5 priedo </w:t>
          </w:r>
          <w:sdt>
            <w:sdtPr>
              <w:alias w:val="Numeris"/>
              <w:tag w:val="nr_73075031d83d4d4eb03a8e2b0390edf3"/>
              <w:lock w:val="sdtLocked"/>
              <w:richText/>
            </w:sdtPr>
            <w:sdtContent>
              <w:r>
                <w:rPr>
                  <w:rFonts w:eastAsia="Calibri"/>
                  <w:szCs w:val="24"/>
                  <w:lang w:eastAsia="lt-LT"/>
                </w:rPr>
                <w:t>1</w:t>
              </w:r>
            </w:sdtContent>
          </w:sdt>
          <w:r>
            <w:rPr>
              <w:rFonts w:eastAsia="Calibri"/>
              <w:szCs w:val="24"/>
              <w:lang w:eastAsia="lt-LT"/>
            </w:rPr>
            <w:t xml:space="preserve"> priedėlis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p>
        <w:sdt>
          <w:sdtPr>
            <w:alias w:val="Pavadinimas"/>
            <w:tag w:val="title_73075031d83d4d4eb03a8e2b0390edf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b/>
                  <w:szCs w:val="24"/>
                  <w:lang w:eastAsia="lt-LT"/>
                </w:rPr>
              </w:pPr>
              <w:r>
                <w:rPr>
                  <w:rFonts w:eastAsia="Calibri"/>
                  <w:b/>
                  <w:szCs w:val="24"/>
                  <w:lang w:eastAsia="lt-LT"/>
                </w:rPr>
                <w:t xml:space="preserve">TARŠOS INTEGRUOTOS PREVENCIJOS IR KONTROLĖS LEIDIMO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b/>
                  <w:szCs w:val="24"/>
                  <w:lang w:eastAsia="lt-LT"/>
                </w:rPr>
              </w:pPr>
              <w:r>
                <w:rPr>
                  <w:rFonts w:eastAsia="Calibri"/>
                  <w:b/>
                  <w:szCs w:val="24"/>
                  <w:lang w:eastAsia="lt-LT"/>
                </w:rPr>
                <w:t>NR. .......................... PRIEDAI</w:t>
              </w:r>
            </w:p>
          </w:sdtContent>
        </w:sd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p>
        <w:sdt>
          <w:sdtPr>
            <w:alias w:val="1 pr. 1 p."/>
            <w:tag w:val="part_f3dc6bbb67194de88d0ad276a5c43a5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sdt>
                <w:sdtPr>
                  <w:alias w:val="Numeris"/>
                  <w:tag w:val="nr_f3dc6bbb67194de88d0ad276a5c43a5f"/>
                  <w:lock w:val="sdtLocked"/>
                  <w:richText/>
                </w:sdtPr>
                <w:sdtContent>
                  <w:r>
                    <w:rPr>
                      <w:rFonts w:eastAsia="Calibri"/>
                      <w:szCs w:val="24"/>
                      <w:lang w:eastAsia="lt-LT"/>
                    </w:rPr>
                    <w:t>1</w:t>
                  </w:r>
                </w:sdtContent>
              </w:sdt>
              <w:r>
                <w:rPr>
                  <w:rFonts w:eastAsia="Calibri"/>
                  <w:szCs w:val="24"/>
                  <w:lang w:eastAsia="lt-LT"/>
                </w:rPr>
                <w:t>.</w:t>
              </w:r>
            </w:p>
          </w:sdtContent>
        </w:sdt>
        <w:sdt>
          <w:sdtPr>
            <w:alias w:val="1 pr. 2 p."/>
            <w:tag w:val="part_352e8fe7a36641cea8081f16450958e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sdt>
                <w:sdtPr>
                  <w:alias w:val="Numeris"/>
                  <w:tag w:val="nr_352e8fe7a36641cea8081f16450958e9"/>
                  <w:lock w:val="sdtLocked"/>
                  <w:richText/>
                </w:sdtPr>
                <w:sdtContent>
                  <w:r>
                    <w:rPr>
                      <w:rFonts w:eastAsia="Calibri"/>
                      <w:szCs w:val="24"/>
                      <w:lang w:eastAsia="lt-LT"/>
                    </w:rPr>
                    <w:t>2</w:t>
                  </w:r>
                </w:sdtContent>
              </w:sdt>
              <w:r>
                <w:rPr>
                  <w:rFonts w:eastAsia="Calibri"/>
                  <w:szCs w:val="24"/>
                  <w:lang w:eastAsia="lt-LT"/>
                </w:rPr>
                <w:t>.</w:t>
              </w:r>
            </w:p>
          </w:sdtContent>
        </w:sdt>
        <w:sdt>
          <w:sdtPr>
            <w:alias w:val="1 pr. 3 p."/>
            <w:tag w:val="part_d9608965e409417c8c64f5c8556d027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sdt>
                <w:sdtPr>
                  <w:alias w:val="Numeris"/>
                  <w:tag w:val="nr_d9608965e409417c8c64f5c8556d0278"/>
                  <w:lock w:val="sdtLocked"/>
                  <w:richText/>
                </w:sdtPr>
                <w:sdtContent>
                  <w:r>
                    <w:rPr>
                      <w:rFonts w:eastAsia="Calibri"/>
                      <w:szCs w:val="24"/>
                      <w:lang w:eastAsia="lt-LT"/>
                    </w:rPr>
                    <w:t>3</w:t>
                  </w:r>
                </w:sdtContent>
              </w:sdt>
              <w:r>
                <w:rPr>
                  <w:rFonts w:eastAsia="Calibri"/>
                  <w:szCs w:val="24"/>
                  <w:lang w:eastAsia="lt-LT"/>
                </w:rPr>
                <w:t>.</w:t>
              </w:r>
            </w:p>
          </w:sdtContent>
        </w:sdt>
        <w:sdt>
          <w:sdtPr>
            <w:alias w:val="1 pr. 4 p."/>
            <w:tag w:val="part_b9c0f6c3c96c4e00b878aac5045ab9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sdt>
                <w:sdtPr>
                  <w:alias w:val="Numeris"/>
                  <w:tag w:val="nr_b9c0f6c3c96c4e00b878aac5045ab954"/>
                  <w:lock w:val="sdtLocked"/>
                  <w:richText/>
                </w:sdtPr>
                <w:sdtContent>
                  <w:r>
                    <w:rPr>
                      <w:rFonts w:eastAsia="Calibri"/>
                      <w:szCs w:val="24"/>
                      <w:lang w:eastAsia="lt-LT"/>
                    </w:rPr>
                    <w:t>4</w:t>
                  </w:r>
                </w:sdtContent>
              </w:sdt>
              <w:r>
                <w:rPr>
                  <w:rFonts w:eastAsia="Calibri"/>
                  <w:szCs w:val="24"/>
                  <w:lang w:eastAsia="lt-LT"/>
                </w:rPr>
                <w:t>.</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r>
                <w:rPr>
                  <w:rFonts w:eastAsia="Calibri"/>
                  <w:szCs w:val="24"/>
                  <w:lang w:eastAsia="lt-LT"/>
                </w:rPr>
                <w:t>______________ m. __________________. d.</w:t>
              </w:r>
            </w:p>
            <w:p>
              <w:pPr>
                <w:tabs>
                  <w:tab w:val="left" w:pos="0"/>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r>
                <w:rPr>
                  <w:rFonts w:eastAsia="Calibri"/>
                  <w:szCs w:val="24"/>
                  <w:lang w:eastAsia="lt-LT"/>
                </w:rPr>
                <w:t>(Priedų sąrašo sudarymo data)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r>
                <w:rPr>
                  <w:rFonts w:eastAsia="Calibri"/>
                  <w:szCs w:val="24"/>
                  <w:lang w:eastAsia="lt-LT"/>
                </w:rPr>
                <w:t xml:space="preserve">AAA direktorius ________________________________           _______________</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2748"/>
                <w:jc w:val="both"/>
                <w:rPr>
                  <w:rFonts w:eastAsia="Calibri"/>
                  <w:szCs w:val="24"/>
                  <w:lang w:eastAsia="lt-LT"/>
                </w:rPr>
              </w:pPr>
              <w:r>
                <w:rPr>
                  <w:rFonts w:eastAsia="Calibri"/>
                  <w:szCs w:val="24"/>
                  <w:lang w:eastAsia="lt-LT"/>
                </w:rPr>
                <w:t>(Vardas, pavardė)</w:t>
                <w:tab/>
                <w:tab/>
                <w:tab/>
                <w:t xml:space="preserve">      (parašas)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64"/>
                <w:jc w:val="both"/>
                <w:rPr>
                  <w:rFonts w:eastAsia="Calibri"/>
                  <w:szCs w:val="24"/>
                  <w:lang w:eastAsia="lt-LT"/>
                </w:rPr>
              </w:pPr>
              <w:r>
                <w:rPr>
                  <w:rFonts w:eastAsia="Calibri"/>
                  <w:szCs w:val="24"/>
                  <w:lang w:eastAsia="lt-LT"/>
                </w:rPr>
                <w:t>A. V</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iCs/>
                  <w:sz w:val="22"/>
                  <w:szCs w:val="24"/>
                  <w:lang w:eastAsia="lt-LT"/>
                </w:rP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6 pr."/>
        <w:tag w:val="part_25e1cfe3d59a4d1a81a498263398265b"/>
        <w:lock w:val="sdtLocked"/>
        <w:richText/>
      </w:sdtPr>
      <w:sdtContent>
        <w:p>
          <w:pPr>
            <w:widowControl w:val="0"/>
            <w:ind w:firstLine="567"/>
            <w:jc w:val="both"/>
            <w:sectPr>
              <w:headerReference w:type="even" r:id="rId31"/>
              <w:headerReference w:type="default" r:id="rId32"/>
              <w:footerReference w:type="even" r:id="rId33"/>
              <w:footerReference w:type="default" r:id="rId34"/>
              <w:headerReference w:type="first" r:id="rId35"/>
              <w:footerReference w:type="first" r:id="rId36"/>
              <w:pgSz w:w="12240" w:h="15840" w:code="1"/>
              <w:pgMar w:top="1701" w:right="1134" w:bottom="1134" w:left="1701" w:header="720" w:footer="720" w:gutter="0"/>
              <w:pgNumType w:start="1"/>
              <w:cols w:space="720"/>
              <w:noEndnote/>
              <w:titlePg/>
              <w:docGrid w:linePitch="326"/>
            </w:sectPr>
          </w:pPr>
        </w:p>
        <w:p>
          <w:pPr>
            <w:widowControl w:val="0"/>
            <w:ind w:firstLine="567"/>
            <w:jc w:val="both"/>
          </w:pPr>
        </w:p>
        <w:p>
          <w:pPr>
            <w:keepNext/>
            <w:ind w:left="4535"/>
            <w:outlineLvl w:val="1"/>
            <w:rPr>
              <w:bCs/>
              <w:iCs/>
              <w:szCs w:val="24"/>
              <w:lang w:eastAsia="lt-LT"/>
            </w:rPr>
          </w:pPr>
          <w:r>
            <w:rPr>
              <w:bCs/>
              <w:iCs/>
              <w:szCs w:val="24"/>
              <w:lang w:eastAsia="lt-LT"/>
            </w:rPr>
            <w:t xml:space="preserve">Taršos integruotos prevencijos ir kontrolės </w:t>
          </w:r>
        </w:p>
        <w:p>
          <w:pPr>
            <w:keepNext/>
            <w:ind w:left="4535"/>
            <w:outlineLvl w:val="1"/>
            <w:rPr>
              <w:bCs/>
              <w:iCs/>
              <w:szCs w:val="24"/>
              <w:lang w:eastAsia="lt-LT"/>
            </w:rPr>
          </w:pPr>
          <w:r>
            <w:rPr>
              <w:bCs/>
              <w:iCs/>
              <w:szCs w:val="24"/>
              <w:lang w:eastAsia="lt-LT"/>
            </w:rPr>
            <w:t xml:space="preserve">leidimų išdavimo, pakeitimo ir galiojimo </w:t>
          </w:r>
        </w:p>
        <w:p>
          <w:pPr>
            <w:keepNext/>
            <w:ind w:left="4535"/>
            <w:outlineLvl w:val="1"/>
            <w:rPr>
              <w:bCs/>
              <w:iCs/>
              <w:szCs w:val="24"/>
              <w:lang w:eastAsia="lt-LT"/>
            </w:rPr>
          </w:pPr>
          <w:r>
            <w:rPr>
              <w:bCs/>
              <w:iCs/>
              <w:szCs w:val="24"/>
              <w:lang w:eastAsia="lt-LT"/>
            </w:rPr>
            <w:t xml:space="preserve">panaikinimo taisyklių </w:t>
          </w:r>
        </w:p>
        <w:p>
          <w:pPr>
            <w:keepNext/>
            <w:ind w:left="4535"/>
            <w:outlineLvl w:val="1"/>
            <w:rPr>
              <w:bCs/>
              <w:iCs/>
              <w:szCs w:val="24"/>
              <w:lang w:eastAsia="lt-LT"/>
            </w:rPr>
          </w:pPr>
          <w:r>
            <w:rPr>
              <w:bCs/>
              <w:iCs/>
              <w:szCs w:val="24"/>
              <w:lang w:eastAsia="lt-LT"/>
            </w:rPr>
            <w:t>6 priedas (informacinis)</w:t>
          </w:r>
        </w:p>
        <w:p>
          <w:pPr>
            <w:rPr>
              <w:szCs w:val="24"/>
              <w:lang w:eastAsia="lt-LT"/>
            </w:rPr>
          </w:pPr>
        </w:p>
        <w:sdt>
          <w:sdtPr>
            <w:alias w:val="Pavadinimas"/>
            <w:tag w:val="title_25e1cfe3d59a4d1a81a498263398265b"/>
            <w:lock w:val="sdtLocked"/>
            <w:richText/>
          </w:sdtPr>
          <w:sdtContent>
            <w:p>
              <w:pPr>
                <w:jc w:val="center"/>
                <w:rPr>
                  <w:b/>
                  <w:szCs w:val="24"/>
                  <w:lang w:eastAsia="lt-LT"/>
                </w:rPr>
              </w:pPr>
              <w:r>
                <w:rPr>
                  <w:b/>
                  <w:szCs w:val="24"/>
                  <w:lang w:eastAsia="lt-LT"/>
                </w:rPr>
                <w:t>PAAIŠKINIMAI DĖL KAI KURIŲ PARAIŠKOS DALIŲ PILDYMO</w:t>
              </w:r>
            </w:p>
          </w:sdtContent>
        </w:sdt>
        <w:p>
          <w:pPr>
            <w:rPr>
              <w:szCs w:val="24"/>
              <w:lang w:eastAsia="lt-LT"/>
            </w:rPr>
          </w:pPr>
        </w:p>
        <w:sdt>
          <w:sdtPr>
            <w:alias w:val="skirsnis"/>
            <w:tag w:val="part_234a09cd1bfa4dc693f83401e921f736"/>
            <w:lock w:val="sdtLocked"/>
            <w:richText/>
          </w:sdtPr>
          <w:sdtContent>
            <w:p>
              <w:pPr>
                <w:jc w:val="center"/>
                <w:rPr>
                  <w:b/>
                  <w:szCs w:val="24"/>
                  <w:lang w:eastAsia="lt-LT"/>
                </w:rPr>
              </w:pPr>
              <w:sdt>
                <w:sdtPr>
                  <w:alias w:val="Pavadinimas"/>
                  <w:tag w:val="title_234a09cd1bfa4dc693f83401e921f736"/>
                  <w:lock w:val="sdtLocked"/>
                  <w:richText/>
                </w:sdtPr>
                <w:sdtContent>
                  <w:r>
                    <w:rPr>
                      <w:b/>
                      <w:szCs w:val="24"/>
                      <w:lang w:eastAsia="lt-LT"/>
                    </w:rPr>
                    <w:t>II PARAIŠKOS DALIES „INFORMACIJA APIE ĮRENGINĮ IR JAME VYKDOMĄ ŪKINĘ VEIKLĄ“ PILDYMAS</w:t>
                  </w:r>
                </w:sdtContent>
              </w:sdt>
            </w:p>
            <w:p>
              <w:pPr>
                <w:jc w:val="center"/>
                <w:rPr>
                  <w:b/>
                  <w:szCs w:val="24"/>
                  <w:lang w:eastAsia="lt-LT"/>
                </w:rPr>
              </w:pPr>
            </w:p>
            <w:p>
              <w:pPr>
                <w:ind w:firstLine="567"/>
                <w:jc w:val="both"/>
                <w:rPr>
                  <w:szCs w:val="24"/>
                  <w:lang w:eastAsia="lt-LT"/>
                </w:rPr>
              </w:pPr>
              <w:r>
                <w:rPr>
                  <w:b/>
                  <w:szCs w:val="24"/>
                  <w:lang w:eastAsia="lt-LT"/>
                </w:rPr>
                <w:t>2 lentelėje</w:t>
              </w:r>
              <w:r>
                <w:rPr>
                  <w:szCs w:val="24"/>
                  <w:lang w:eastAsia="lt-LT"/>
                </w:rPr>
                <w:t xml:space="preserve"> pateikiama informacija apie veiklos vykdytojo eksploatuojamuose įrenginiuose planuojamus naudoti energetinius ir technologinius išteklius. Kai veiklos vykdytojas atskiriems leidimo galiojimo metams planuoja skirtingus energetinių ir technologinių išteklių sunaudojimo kiekius, pildant </w:t>
              </w:r>
              <w:r>
                <w:rPr>
                  <w:b/>
                  <w:szCs w:val="24"/>
                  <w:lang w:eastAsia="lt-LT"/>
                </w:rPr>
                <w:t>2 lentelę</w:t>
              </w:r>
              <w:r>
                <w:rPr>
                  <w:szCs w:val="24"/>
                  <w:lang w:eastAsia="lt-LT"/>
                </w:rPr>
                <w:t xml:space="preserve"> ji gali būti pratęsiama kartojant 3 grafą, kurioje informuojama apie numatomą naudoti kiekį kiekvienu konkrečiu 3 antgalvyje įrašytu laikotarpiu.</w:t>
              </w:r>
            </w:p>
            <w:p>
              <w:pPr>
                <w:ind w:firstLine="567"/>
                <w:jc w:val="both"/>
                <w:rPr>
                  <w:szCs w:val="24"/>
                  <w:lang w:eastAsia="lt-LT"/>
                </w:rPr>
              </w:pPr>
              <w:r>
                <w:rPr>
                  <w:b/>
                  <w:szCs w:val="24"/>
                  <w:lang w:eastAsia="lt-LT"/>
                </w:rPr>
                <w:t>3 lentelėje</w:t>
              </w:r>
              <w:r>
                <w:rPr>
                  <w:szCs w:val="24"/>
                  <w:lang w:eastAsia="lt-LT"/>
                </w:rPr>
                <w:t xml:space="preserve"> pateikiama informacija apie veiklos vykdytojo eksploatuojamų įrenginių pajėgumą ir planuojamą pagaminti energiją. Kai veiklos vykdytojas atskiriems leidimo galiojimo metams planuoja skirtingus energijos pagaminimo kiekius, pildant </w:t>
              </w:r>
              <w:r>
                <w:rPr>
                  <w:b/>
                  <w:szCs w:val="24"/>
                  <w:lang w:eastAsia="lt-LT"/>
                </w:rPr>
                <w:t>3 lentelę</w:t>
              </w:r>
              <w:r>
                <w:rPr>
                  <w:szCs w:val="24"/>
                  <w:lang w:eastAsia="lt-LT"/>
                </w:rPr>
                <w:t xml:space="preserve"> ji gali būti pratęsiama kartojant grafas, kuriose pateikiama informacija apie numatomą pagaminti kiekį kiekvienu konkrečiu grafų antgalviuose įrašytu laikotarpiu.</w:t>
              </w:r>
            </w:p>
            <w:p>
              <w:pPr>
                <w:rPr>
                  <w:szCs w:val="24"/>
                  <w:lang w:eastAsia="lt-LT"/>
                </w:rPr>
              </w:pPr>
            </w:p>
          </w:sdtContent>
        </w:sdt>
        <w:sdt>
          <w:sdtPr>
            <w:alias w:val="skirsnis"/>
            <w:tag w:val="part_54c652288e624cf2911387bcd794bee6"/>
            <w:lock w:val="sdtLocked"/>
            <w:richText/>
          </w:sdtPr>
          <w:sdtContent>
            <w:p>
              <w:pPr>
                <w:jc w:val="center"/>
                <w:rPr>
                  <w:b/>
                  <w:szCs w:val="24"/>
                  <w:lang w:eastAsia="lt-LT"/>
                </w:rPr>
              </w:pPr>
              <w:sdt>
                <w:sdtPr>
                  <w:alias w:val="Pavadinimas"/>
                  <w:tag w:val="title_54c652288e624cf2911387bcd794bee6"/>
                  <w:lock w:val="sdtLocked"/>
                  <w:richText/>
                </w:sdtPr>
                <w:sdtContent>
                  <w:r>
                    <w:rPr>
                      <w:b/>
                      <w:szCs w:val="24"/>
                      <w:lang w:eastAsia="lt-LT"/>
                    </w:rPr>
                    <w:t>III PARAIŠKOS DALIES „GAMYBOS PROCESAI“ PILDYMAS</w:t>
                  </w:r>
                </w:sdtContent>
              </w:sdt>
            </w:p>
            <w:p>
              <w:pPr>
                <w:jc w:val="center"/>
                <w:rPr>
                  <w:b/>
                  <w:szCs w:val="24"/>
                  <w:lang w:eastAsia="lt-LT"/>
                </w:rPr>
              </w:pPr>
            </w:p>
            <w:p>
              <w:pPr>
                <w:ind w:firstLine="567"/>
                <w:jc w:val="both"/>
                <w:rPr>
                  <w:iCs/>
                  <w:szCs w:val="24"/>
                  <w:lang w:eastAsia="lt-LT"/>
                </w:rPr>
              </w:pPr>
              <w:r>
                <w:rPr>
                  <w:szCs w:val="24"/>
                  <w:lang w:eastAsia="lt-LT"/>
                </w:rPr>
                <w:t>10 punkte a</w:t>
              </w:r>
              <w:r>
                <w:rPr>
                  <w:iCs/>
                  <w:szCs w:val="24"/>
                  <w:lang w:eastAsia="lt-LT"/>
                </w:rPr>
                <w:t xml:space="preserve">prašoma kiekviena įrenginyje vykdoma ar planuojama vykdyti veikla, kurios metu susidaro ir į aplinką išmetami teršalai, ir visi taršos šaltiniai. Nurodomi procesai, kada ir kokie teršalai susidaro. Pateikiama įrenginyje vykdomų technologinių procesų schema nurodant įeinančius žaliavų, papildomų medžiagų, kuro, energijos, išeinančius nuotekų, atliekų, išmetimų į aplinkos orą, skleidžiamo triukšmo, kvapo srautus. </w:t>
              </w:r>
            </w:p>
            <w:p>
              <w:pPr>
                <w:ind w:firstLine="567"/>
                <w:jc w:val="both"/>
                <w:rPr>
                  <w:b/>
                  <w:szCs w:val="24"/>
                  <w:lang w:eastAsia="lt-LT"/>
                </w:rPr>
              </w:pPr>
            </w:p>
          </w:sdtContent>
        </w:sdt>
        <w:sdt>
          <w:sdtPr>
            <w:alias w:val="skirsnis"/>
            <w:tag w:val="part_d6859bf144ec428f901e33756c873617"/>
            <w:lock w:val="sdtLocked"/>
            <w:richText/>
          </w:sdtPr>
          <w:sdtContent>
            <w:p>
              <w:pPr>
                <w:jc w:val="center"/>
                <w:rPr>
                  <w:b/>
                  <w:szCs w:val="24"/>
                </w:rPr>
              </w:pPr>
              <w:sdt>
                <w:sdtPr>
                  <w:alias w:val="Pavadinimas"/>
                  <w:tag w:val="title_d6859bf144ec428f901e33756c873617"/>
                  <w:lock w:val="sdtLocked"/>
                  <w:richText/>
                </w:sdtPr>
                <w:sdtContent>
                  <w:r>
                    <w:rPr>
                      <w:b/>
                      <w:szCs w:val="24"/>
                    </w:rPr>
                    <w:t>IV PARAIŠKOS DALIES „ŽALIAVŲ IR MEDŽIAGŲ NAUDOJIMAS, SAUGOJIMAS“ PILDYMAS</w:t>
                  </w:r>
                </w:sdtContent>
              </w:sdt>
            </w:p>
            <w:p>
              <w:pPr>
                <w:ind w:firstLine="567"/>
                <w:rPr>
                  <w:szCs w:val="24"/>
                </w:rPr>
              </w:pPr>
            </w:p>
            <w:p>
              <w:pPr>
                <w:ind w:firstLine="567"/>
                <w:jc w:val="both"/>
                <w:rPr>
                  <w:b/>
                  <w:szCs w:val="24"/>
                </w:rPr>
              </w:pPr>
              <w:r>
                <w:rPr>
                  <w:b/>
                  <w:szCs w:val="24"/>
                </w:rPr>
                <w:t xml:space="preserve">6 lentelėje </w:t>
              </w:r>
              <w:r>
                <w:rPr>
                  <w:szCs w:val="24"/>
                </w:rPr>
                <w:t>pateikiama informacija apie veiklos vykdytojo eksploatuojamuose įrenginiuose numatomas naudoti ir saugoti tirpiklių turinčias medžiagas ir mišinius, jų kiekį:</w:t>
              </w:r>
            </w:p>
            <w:sdt>
              <w:sdtPr>
                <w:alias w:val="6 pr. 1 p."/>
                <w:tag w:val="part_f99cc848f02e4109b206f1eb5cbaff0e"/>
                <w:lock w:val="sdtLocked"/>
                <w:richText/>
              </w:sdtPr>
              <w:sdtContent>
                <w:p>
                  <w:pPr>
                    <w:ind w:firstLine="567"/>
                    <w:jc w:val="both"/>
                    <w:rPr>
                      <w:szCs w:val="24"/>
                    </w:rPr>
                  </w:pPr>
                  <w:sdt>
                    <w:sdtPr>
                      <w:alias w:val="Numeris"/>
                      <w:tag w:val="nr_f99cc848f02e4109b206f1eb5cbaff0e"/>
                      <w:lock w:val="sdtLocked"/>
                      <w:richText/>
                    </w:sdtPr>
                    <w:sdtContent>
                      <w:r>
                        <w:rPr>
                          <w:szCs w:val="24"/>
                        </w:rPr>
                        <w:t>1</w:t>
                      </w:r>
                    </w:sdtContent>
                  </w:sdt>
                  <w:r>
                    <w:rPr>
                      <w:szCs w:val="24"/>
                    </w:rPr>
                    <w:t>. 1 ir 8 grafos pildomos vadovaujantis Tirpiklių tvarkos 1 ir 2 priedais;</w:t>
                  </w:r>
                </w:p>
              </w:sdtContent>
            </w:sdt>
            <w:sdt>
              <w:sdtPr>
                <w:alias w:val="6 pr. 2 p."/>
                <w:tag w:val="part_f9efcf4dbf3e474b9b8bcc381f84e2dd"/>
                <w:lock w:val="sdtLocked"/>
                <w:richText/>
              </w:sdtPr>
              <w:sdtContent>
                <w:p>
                  <w:pPr>
                    <w:widowControl w:val="0"/>
                    <w:suppressAutoHyphens/>
                    <w:ind w:firstLine="567"/>
                    <w:jc w:val="both"/>
                    <w:rPr>
                      <w:szCs w:val="24"/>
                    </w:rPr>
                  </w:pPr>
                  <w:sdt>
                    <w:sdtPr>
                      <w:alias w:val="Numeris"/>
                      <w:tag w:val="nr_f9efcf4dbf3e474b9b8bcc381f84e2dd"/>
                      <w:lock w:val="sdtLocked"/>
                      <w:richText/>
                    </w:sdtPr>
                    <w:sdtContent>
                      <w:r>
                        <w:rPr>
                          <w:szCs w:val="24"/>
                          <w:lang w:eastAsia="zh-CN"/>
                        </w:rPr>
                        <w:t>2</w:t>
                      </w:r>
                    </w:sdtContent>
                  </w:sdt>
                  <w:r>
                    <w:rPr>
                      <w:szCs w:val="24"/>
                      <w:lang w:eastAsia="zh-CN"/>
                    </w:rPr>
                    <w:t>. 2–6 grafose įrašomi duomenys vadovaujantis atskirų cheminių medžiagų ar cheminių mišinių saugos duomenų lapais arba kita viešai prieinama informacija apie cheminę medžiagą ar cheminį mišinį (duomenų bazės ar pan.).</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sdtContent>
            </w:sdt>
            <w:sdt>
              <w:sdtPr>
                <w:alias w:val="6 pr. 3 p."/>
                <w:tag w:val="part_d4e010bcfd0e4153a2c196cd38c17e3c"/>
                <w:lock w:val="sdtLocked"/>
                <w:richText/>
              </w:sdtPr>
              <w:sdtContent>
                <w:p>
                  <w:pPr>
                    <w:suppressAutoHyphens/>
                    <w:ind w:firstLine="567"/>
                    <w:jc w:val="both"/>
                    <w:textAlignment w:val="baseline"/>
                    <w:rPr>
                      <w:szCs w:val="24"/>
                    </w:rPr>
                  </w:pPr>
                  <w:sdt>
                    <w:sdtPr>
                      <w:alias w:val="Numeris"/>
                      <w:tag w:val="nr_d4e010bcfd0e4153a2c196cd38c17e3c"/>
                      <w:lock w:val="sdtLocked"/>
                      <w:richText/>
                    </w:sdtPr>
                    <w:sdtContent>
                      <w:r>
                        <w:rPr>
                          <w:szCs w:val="24"/>
                        </w:rPr>
                        <w:t>3</w:t>
                      </w:r>
                    </w:sdtContent>
                  </w:sdt>
                  <w:r>
                    <w:rPr>
                      <w:szCs w:val="24"/>
                    </w:rPr>
                    <w:t>. Eilutėje „Iš viso pagal veiklos rūšį“ pateikiamos bendros n</w:t>
                  </w:r>
                  <w:r>
                    <w:rPr>
                      <w:szCs w:val="24"/>
                      <w:lang w:eastAsia="lt-LT"/>
                    </w:rPr>
                    <w:t xml:space="preserve">umatomos (prašomos leisti) </w:t>
                  </w:r>
                  <w:r>
                    <w:rPr>
                      <w:szCs w:val="24"/>
                    </w:rPr>
                    <w:t xml:space="preserve">(maksimalios) tirpiklio sąnaudos ir </w:t>
                  </w:r>
                  <w:r>
                    <w:rPr>
                      <w:color w:val="000000"/>
                      <w:szCs w:val="24"/>
                    </w:rPr>
                    <w:t>tirpiklio suvartojimo riba</w:t>
                  </w:r>
                  <w:r>
                    <w:rPr>
                      <w:szCs w:val="24"/>
                    </w:rPr>
                    <w:t xml:space="preserve">. Kai vykdomos kelios veiklos, kuriose </w:t>
                  </w:r>
                  <w:r>
                    <w:rPr>
                      <w:szCs w:val="24"/>
                      <w:lang w:eastAsia="lt-LT"/>
                    </w:rPr>
                    <w:t>naudojamos tirpiklių turinčios medžiagos ir mišiniai,</w:t>
                  </w:r>
                  <w:r>
                    <w:rPr>
                      <w:szCs w:val="24"/>
                    </w:rPr>
                    <w:t xml:space="preserve"> rūšys, lentelė papildoma kiekvienai veiklos rūšiai skirtose eilutėse. </w:t>
                  </w:r>
                </w:p>
                <w:p>
                  <w:pPr>
                    <w:suppressAutoHyphens/>
                    <w:ind w:firstLine="567"/>
                    <w:jc w:val="both"/>
                    <w:textAlignment w:val="baseline"/>
                    <w:rPr>
                      <w:szCs w:val="24"/>
                    </w:rPr>
                  </w:pPr>
                </w:p>
              </w:sdtContent>
            </w:sdt>
          </w:sdtContent>
        </w:sdt>
        <w:sdt>
          <w:sdtPr>
            <w:alias w:val="skirsnis"/>
            <w:tag w:val="part_de767ff77cc24db6b53ab6e4a6271768"/>
            <w:lock w:val="sdtLocked"/>
            <w:richText/>
          </w:sdtPr>
          <w:sdtContent>
            <w:p>
              <w:pPr>
                <w:ind w:firstLine="567"/>
                <w:jc w:val="center"/>
                <w:rPr>
                  <w:b/>
                  <w:szCs w:val="24"/>
                  <w:lang w:eastAsia="lt-LT"/>
                </w:rPr>
              </w:pPr>
              <w:sdt>
                <w:sdtPr>
                  <w:alias w:val="Pavadinimas"/>
                  <w:tag w:val="title_de767ff77cc24db6b53ab6e4a6271768"/>
                  <w:lock w:val="sdtLocked"/>
                  <w:richText/>
                </w:sdtPr>
                <w:sdtContent>
                  <w:r>
                    <w:rPr>
                      <w:b/>
                      <w:szCs w:val="24"/>
                      <w:lang w:eastAsia="lt-LT"/>
                    </w:rPr>
                    <w:t>V PARAIŠKOS DALIES „VANDENS IŠGAVIMAS“ PILDYMAS</w:t>
                  </w:r>
                </w:sdtContent>
              </w:sdt>
            </w:p>
            <w:p>
              <w:pPr>
                <w:ind w:firstLine="567"/>
                <w:jc w:val="center"/>
                <w:rPr>
                  <w:b/>
                  <w:szCs w:val="24"/>
                  <w:lang w:eastAsia="lt-LT"/>
                </w:rPr>
              </w:pPr>
            </w:p>
            <w:p>
              <w:pPr>
                <w:ind w:firstLine="567"/>
                <w:jc w:val="both"/>
                <w:rPr>
                  <w:b/>
                  <w:szCs w:val="24"/>
                  <w:lang w:eastAsia="lt-LT"/>
                </w:rPr>
              </w:pPr>
              <w:r>
                <w:rPr>
                  <w:b/>
                  <w:szCs w:val="24"/>
                  <w:lang w:eastAsia="lt-LT"/>
                </w:rPr>
                <w:t>Šioje dalyje teikiama informacija apie vandens telkinius ir planuojamą išgauti vandens kiekį.</w:t>
              </w:r>
            </w:p>
            <w:p>
              <w:pPr>
                <w:ind w:firstLine="567"/>
                <w:jc w:val="both"/>
                <w:rPr>
                  <w:szCs w:val="24"/>
                  <w:lang w:eastAsia="lt-LT"/>
                </w:rPr>
              </w:pPr>
              <w:r>
                <w:rPr>
                  <w:b/>
                  <w:szCs w:val="24"/>
                  <w:lang w:eastAsia="lt-LT"/>
                </w:rPr>
                <w:t>7 lentelės</w:t>
              </w:r>
              <w:r>
                <w:rPr>
                  <w:szCs w:val="24"/>
                  <w:lang w:eastAsia="lt-LT"/>
                </w:rPr>
                <w:t xml:space="preserve"> pildymo reikalavimai:</w:t>
              </w:r>
            </w:p>
            <w:sdt>
              <w:sdtPr>
                <w:alias w:val="6 pr. 1 p."/>
                <w:tag w:val="part_f8d285f086cd4abbb5d51a168212e375"/>
                <w:lock w:val="sdtLocked"/>
                <w:richText/>
              </w:sdtPr>
              <w:sdtContent>
                <w:p>
                  <w:pPr>
                    <w:ind w:firstLine="567"/>
                    <w:jc w:val="both"/>
                    <w:rPr>
                      <w:szCs w:val="24"/>
                      <w:lang w:eastAsia="lt-LT"/>
                    </w:rPr>
                  </w:pPr>
                  <w:sdt>
                    <w:sdtPr>
                      <w:alias w:val="Numeris"/>
                      <w:tag w:val="nr_f8d285f086cd4abbb5d51a168212e375"/>
                      <w:lock w:val="sdtLocked"/>
                      <w:richText/>
                    </w:sdtPr>
                    <w:sdtContent>
                      <w:r>
                        <w:rPr>
                          <w:szCs w:val="24"/>
                          <w:lang w:eastAsia="lt-LT"/>
                        </w:rPr>
                        <w:t>1</w:t>
                      </w:r>
                    </w:sdtContent>
                  </w:sdt>
                  <w:r>
                    <w:rPr>
                      <w:szCs w:val="24"/>
                      <w:lang w:eastAsia="lt-LT"/>
                    </w:rPr>
                    <w:t>. Lentelė pildoma, kai planuojama išgauti 100 m</w:t>
                  </w:r>
                  <w:r>
                    <w:rPr>
                      <w:szCs w:val="24"/>
                      <w:vertAlign w:val="superscript"/>
                      <w:lang w:eastAsia="lt-LT"/>
                    </w:rPr>
                    <w:t>3</w:t>
                  </w:r>
                  <w:r>
                    <w:rPr>
                      <w:szCs w:val="24"/>
                      <w:lang w:eastAsia="lt-LT"/>
                    </w:rPr>
                    <w:t xml:space="preserve"> per parą (vidutinis metinis paėmimas) ar daugiau vandens iš vieno paviršinio vandens telkinio.</w:t>
                  </w:r>
                </w:p>
              </w:sdtContent>
            </w:sdt>
            <w:sdt>
              <w:sdtPr>
                <w:alias w:val="6 pr. 2 p."/>
                <w:tag w:val="part_ccd77f7478c34c94badaef63c5d91b6b"/>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ccd77f7478c34c94badaef63c5d91b6b"/>
                      <w:lock w:val="sdtLocked"/>
                      <w:richText/>
                    </w:sdtPr>
                    <w:sdtContent>
                      <w:r>
                        <w:rPr>
                          <w:szCs w:val="24"/>
                          <w:lang w:eastAsia="lt-LT"/>
                        </w:rPr>
                        <w:t>2</w:t>
                      </w:r>
                    </w:sdtContent>
                  </w:sdt>
                  <w:r>
                    <w:rPr>
                      <w:szCs w:val="24"/>
                      <w:lang w:eastAsia="lt-LT"/>
                    </w:rPr>
                    <w:t>. Vandens išgavimo vietos numeris turi sutapti su numeriu, pateiktu vandens išgavimo priemonės išdėstymo vietovėje schemoje / plane.</w:t>
                  </w:r>
                </w:p>
              </w:sdtContent>
            </w:sdt>
            <w:sdt>
              <w:sdtPr>
                <w:alias w:val="6 pr. 3 p."/>
                <w:tag w:val="part_368541a7baba4e7d8941b8dfd535a14a"/>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68541a7baba4e7d8941b8dfd535a14a"/>
                      <w:lock w:val="sdtLocked"/>
                      <w:richText/>
                    </w:sdtPr>
                    <w:sdtContent>
                      <w:r>
                        <w:rPr>
                          <w:szCs w:val="24"/>
                          <w:lang w:eastAsia="lt-LT"/>
                        </w:rPr>
                        <w:t>3</w:t>
                      </w:r>
                    </w:sdtContent>
                  </w:sdt>
                  <w:r>
                    <w:rPr>
                      <w:szCs w:val="24"/>
                      <w:lang w:eastAsia="lt-LT"/>
                    </w:rPr>
                    <w:t xml:space="preserve">. Vandens telkinio identifikavimo kodas nustatomas vadovaujantis Lietuvos Respublikos aplinkos ministro 2001 m. gruodžio 12 d. įsakymu Nr. 594 „Dėl Lietuvos Respublikos upių ir tvenkinių klasifikatoriaus patvirtinimo“ (Žin., 2001, Nr. </w:t>
                  </w:r>
                  <w:hyperlink r:id="rId37" w:tgtFrame="_blank" w:history="1">
                    <w:r>
                      <w:rPr>
                        <w:color w:val="0000FF" w:themeColor="hyperlink"/>
                        <w:szCs w:val="24"/>
                        <w:u w:val="single"/>
                        <w:lang w:eastAsia="lt-LT"/>
                      </w:rPr>
                      <w:t>107-3888</w:t>
                    </w:r>
                  </w:hyperlink>
                  <w:r>
                    <w:rPr>
                      <w:szCs w:val="24"/>
                      <w:lang w:eastAsia="lt-LT"/>
                    </w:rPr>
                    <w:t xml:space="preserve">) ir Lietuvos Respublikos aplinkos ministro 2003 m. kovo 21 d. įsakymu Nr. 130 „Dėl Lietuvos Respublikos ežerų klasifikatoriaus patvirtinimo“ (Žin., 2003, Nr. </w:t>
                  </w:r>
                  <w:hyperlink r:id="rId38" w:tgtFrame="_blank" w:history="1">
                    <w:r>
                      <w:rPr>
                        <w:color w:val="0000FF" w:themeColor="hyperlink"/>
                        <w:szCs w:val="24"/>
                        <w:u w:val="single"/>
                        <w:lang w:eastAsia="lt-LT"/>
                      </w:rPr>
                      <w:t>34-1442</w:t>
                    </w:r>
                  </w:hyperlink>
                  <w:r>
                    <w:rPr>
                      <w:szCs w:val="24"/>
                      <w:lang w:eastAsia="lt-LT"/>
                    </w:rPr>
                    <w:t>).</w:t>
                  </w:r>
                </w:p>
              </w:sdtContent>
            </w:sdt>
            <w:sdt>
              <w:sdtPr>
                <w:alias w:val="6 pr. 4 p."/>
                <w:tag w:val="part_535b38d28526420fbb1d1af8885bff43"/>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535b38d28526420fbb1d1af8885bff43"/>
                      <w:lock w:val="sdtLocked"/>
                      <w:richText/>
                    </w:sdtPr>
                    <w:sdtContent>
                      <w:r>
                        <w:rPr>
                          <w:szCs w:val="24"/>
                          <w:lang w:eastAsia="lt-LT"/>
                        </w:rPr>
                        <w:t>4</w:t>
                      </w:r>
                    </w:sdtContent>
                  </w:sdt>
                  <w:r>
                    <w:rPr>
                      <w:szCs w:val="24"/>
                      <w:lang w:eastAsia="lt-LT"/>
                    </w:rPr>
                    <w:t>. Ežero, tvenkinio tūris nustatomas pagal atitinkamo vandens telkinio plotą ir vidutinį gylį.</w:t>
                  </w:r>
                </w:p>
              </w:sdtContent>
            </w:sdt>
            <w:sdt>
              <w:sdtPr>
                <w:alias w:val="6 pr. 5 p."/>
                <w:tag w:val="part_e459b1ed13254c1286bfad36992b4148"/>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459b1ed13254c1286bfad36992b4148"/>
                      <w:lock w:val="sdtLocked"/>
                      <w:richText/>
                    </w:sdtPr>
                    <w:sdtContent>
                      <w:r>
                        <w:rPr>
                          <w:szCs w:val="24"/>
                          <w:lang w:eastAsia="lt-LT"/>
                        </w:rPr>
                        <w:t>5</w:t>
                      </w:r>
                    </w:sdtContent>
                  </w:sdt>
                  <w:r>
                    <w:rPr>
                      <w:szCs w:val="24"/>
                      <w:lang w:eastAsia="lt-LT"/>
                    </w:rPr>
                    <w:t>. Vandens išgavimo vietos koordinatės – taško, kuriame iš vandens telkinio išgaunamas vanduo, koordinatės visuotinėje padėties nustatymo sistemoje (GPS).</w:t>
                  </w:r>
                </w:p>
                <w:p>
                  <w:pPr>
                    <w:ind w:firstLine="567"/>
                    <w:rPr>
                      <w:szCs w:val="24"/>
                      <w:lang w:eastAsia="lt-LT"/>
                    </w:rPr>
                  </w:pPr>
                </w:p>
              </w:sdtContent>
            </w:sdt>
          </w:sdtContent>
        </w:sdt>
        <w:sdt>
          <w:sdtPr>
            <w:alias w:val="skirsnis"/>
            <w:tag w:val="part_a3cfa08cee0b4b9aa03305241c6ccdd8"/>
            <w:lock w:val="sdtLocked"/>
            <w:richText/>
          </w:sdtPr>
          <w:sdtContent>
            <w:p>
              <w:pPr>
                <w:jc w:val="center"/>
                <w:rPr>
                  <w:b/>
                  <w:szCs w:val="24"/>
                </w:rPr>
              </w:pPr>
              <w:sdt>
                <w:sdtPr>
                  <w:alias w:val="Pavadinimas"/>
                  <w:tag w:val="title_a3cfa08cee0b4b9aa03305241c6ccdd8"/>
                  <w:lock w:val="sdtLocked"/>
                  <w:richText/>
                </w:sdtPr>
                <w:sdtContent>
                  <w:r>
                    <w:rPr>
                      <w:b/>
                      <w:szCs w:val="24"/>
                    </w:rPr>
                    <w:t>VI PARAIŠKOS DALIES „TARŠA Į APLINKOS ORĄ“ PILDYMAS</w:t>
                  </w:r>
                </w:sdtContent>
              </w:sdt>
            </w:p>
            <w:p>
              <w:pPr>
                <w:jc w:val="center"/>
                <w:rPr>
                  <w:b/>
                  <w:szCs w:val="24"/>
                </w:rPr>
              </w:pPr>
            </w:p>
            <w:sdt>
              <w:sdtPr>
                <w:alias w:val="skirsnis"/>
                <w:tag w:val="part_42cacded39564bfab41cc01d6eecc320"/>
                <w:lock w:val="sdtLocked"/>
                <w:richText/>
              </w:sdtPr>
              <w:sdtContent>
                <w:p>
                  <w:pPr>
                    <w:ind w:firstLine="567"/>
                    <w:jc w:val="both"/>
                    <w:rPr>
                      <w:b/>
                      <w:szCs w:val="24"/>
                    </w:rPr>
                  </w:pPr>
                  <w:sdt>
                    <w:sdtPr>
                      <w:alias w:val="Pavadinimas"/>
                      <w:tag w:val="title_42cacded39564bfab41cc01d6eecc320"/>
                      <w:lock w:val="sdtLocked"/>
                      <w:richText/>
                    </w:sdtPr>
                    <w:sdtContent>
                      <w:r>
                        <w:rPr>
                          <w:b/>
                          <w:szCs w:val="24"/>
                        </w:rPr>
                        <w:t>A. Šioje dalyje turi būti pateikiama informacija apie:</w:t>
                      </w:r>
                    </w:sdtContent>
                  </w:sdt>
                </w:p>
                <w:p>
                  <w:pPr>
                    <w:ind w:firstLine="567"/>
                    <w:jc w:val="both"/>
                    <w:rPr>
                      <w:szCs w:val="24"/>
                    </w:rPr>
                  </w:pPr>
                  <w:r>
                    <w:rPr>
                      <w:szCs w:val="24"/>
                    </w:rPr>
                    <w:t xml:space="preserve">A.1. pagal Taisyklių reikalavimus nustatytus planuojamus iš visų veiklos vykdytojo eksploatuojamų įrenginių į aplinkos orą išmesti teršalus ir jų kiekį (informacija teikiama </w:t>
                  </w:r>
                  <w:r>
                    <w:rPr>
                      <w:b/>
                      <w:szCs w:val="24"/>
                    </w:rPr>
                    <w:t>9 lentelėje</w:t>
                  </w:r>
                  <w:r>
                    <w:rPr>
                      <w:szCs w:val="24"/>
                    </w:rPr>
                    <w:t xml:space="preserve"> „Į aplinkos orą numatomi išmesti teršalai“, užpildytoje atsižvelgiant į šio priedo </w:t>
                  </w:r>
                  <w:r>
                    <w:rPr>
                      <w:b/>
                      <w:szCs w:val="24"/>
                    </w:rPr>
                    <w:t>B</w:t>
                  </w:r>
                  <w:r>
                    <w:rPr>
                      <w:szCs w:val="24"/>
                    </w:rPr>
                    <w:t xml:space="preserve"> ir </w:t>
                  </w:r>
                  <w:r>
                    <w:rPr>
                      <w:b/>
                      <w:szCs w:val="24"/>
                    </w:rPr>
                    <w:t>C</w:t>
                  </w:r>
                  <w:r>
                    <w:rPr>
                      <w:szCs w:val="24"/>
                    </w:rPr>
                    <w:t xml:space="preserve"> punktų nuostatas);</w:t>
                  </w:r>
                </w:p>
                <w:p>
                  <w:pPr>
                    <w:ind w:firstLine="567"/>
                    <w:jc w:val="both"/>
                    <w:rPr>
                      <w:szCs w:val="24"/>
                    </w:rPr>
                  </w:pPr>
                  <w:r>
                    <w:rPr>
                      <w:szCs w:val="24"/>
                    </w:rPr>
                    <w:t xml:space="preserve">A.2. veiklos vykdytojo kiekvieno eksploatuojamo įrenginio stacionarių aplinkos oro taršos šaltinių fizinius duomenis (informacija teikiama </w:t>
                  </w:r>
                  <w:r>
                    <w:rPr>
                      <w:b/>
                      <w:szCs w:val="24"/>
                    </w:rPr>
                    <w:t xml:space="preserve">10 lentelėje </w:t>
                  </w:r>
                  <w:r>
                    <w:rPr>
                      <w:szCs w:val="24"/>
                    </w:rPr>
                    <w:t xml:space="preserve">„Stacionarių aplinkos oro taršos šaltinių fiziniai duomenys“, užpildytoje atsižvelgiant į šio priedo </w:t>
                  </w:r>
                  <w:r>
                    <w:rPr>
                      <w:b/>
                      <w:szCs w:val="24"/>
                    </w:rPr>
                    <w:t>B</w:t>
                  </w:r>
                  <w:r>
                    <w:rPr>
                      <w:szCs w:val="24"/>
                    </w:rPr>
                    <w:t xml:space="preserve"> ir </w:t>
                  </w:r>
                  <w:r>
                    <w:rPr>
                      <w:b/>
                      <w:szCs w:val="24"/>
                    </w:rPr>
                    <w:t>D</w:t>
                  </w:r>
                  <w:r>
                    <w:rPr>
                      <w:szCs w:val="24"/>
                    </w:rPr>
                    <w:t xml:space="preserve"> punktų nuostatas);</w:t>
                  </w:r>
                </w:p>
                <w:p>
                  <w:pPr>
                    <w:ind w:firstLine="567"/>
                    <w:jc w:val="both"/>
                    <w:rPr>
                      <w:sz w:val="20"/>
                      <w:szCs w:val="24"/>
                      <w:lang w:eastAsia="lt-LT"/>
                    </w:rPr>
                  </w:pPr>
                  <w:r>
                    <w:rPr>
                      <w:szCs w:val="24"/>
                    </w:rPr>
                    <w:t xml:space="preserve">A.3. taršą į aplinkos orą iš veiklos vykdytojo kiekvieno eksploatuojamo įrenginio (informacija teikiama </w:t>
                  </w:r>
                  <w:r>
                    <w:rPr>
                      <w:b/>
                      <w:szCs w:val="24"/>
                    </w:rPr>
                    <w:t>11 lentelėje</w:t>
                  </w:r>
                  <w:r>
                    <w:rPr>
                      <w:szCs w:val="24"/>
                    </w:rPr>
                    <w:t xml:space="preserve"> „</w:t>
                  </w:r>
                  <w:r>
                    <w:rPr>
                      <w:szCs w:val="24"/>
                      <w:lang w:eastAsia="lt-LT"/>
                    </w:rPr>
                    <w:t>Tarša į aplinkos orą“</w:t>
                  </w:r>
                  <w:r>
                    <w:rPr>
                      <w:szCs w:val="24"/>
                    </w:rPr>
                    <w:t xml:space="preserve">, užpildytoje atsižvelgiant į šio priedo </w:t>
                  </w:r>
                  <w:r>
                    <w:rPr>
                      <w:b/>
                      <w:szCs w:val="24"/>
                    </w:rPr>
                    <w:t>B ir E</w:t>
                  </w:r>
                  <w:r>
                    <w:rPr>
                      <w:szCs w:val="24"/>
                    </w:rPr>
                    <w:t xml:space="preserve"> punktų nuostatas);</w:t>
                  </w:r>
                </w:p>
                <w:p>
                  <w:pPr>
                    <w:ind w:firstLine="567"/>
                    <w:jc w:val="both"/>
                    <w:rPr>
                      <w:szCs w:val="24"/>
                    </w:rPr>
                  </w:pPr>
                  <w:r>
                    <w:rPr>
                      <w:szCs w:val="24"/>
                    </w:rPr>
                    <w:t xml:space="preserve">A.4. aplinkos oro teršalų valymo įrenginius ir taršos prevencijos priemones (informacija teikiama </w:t>
                  </w:r>
                  <w:r>
                    <w:rPr>
                      <w:b/>
                      <w:szCs w:val="24"/>
                    </w:rPr>
                    <w:t xml:space="preserve">12 lentelėje </w:t>
                  </w:r>
                  <w:r>
                    <w:rPr>
                      <w:szCs w:val="24"/>
                    </w:rPr>
                    <w:t>„</w:t>
                  </w:r>
                  <w:r>
                    <w:rPr>
                      <w:szCs w:val="24"/>
                      <w:lang w:eastAsia="lt-LT"/>
                    </w:rPr>
                    <w:t>Aplinkos oro teršalų valymo įrenginiai ir taršos prevencijos priemonės“</w:t>
                  </w:r>
                  <w:r>
                    <w:rPr>
                      <w:szCs w:val="24"/>
                    </w:rPr>
                    <w:t xml:space="preserve">, užpildytoje atsižvelgiant į šio priedo </w:t>
                  </w:r>
                  <w:r>
                    <w:rPr>
                      <w:b/>
                      <w:szCs w:val="24"/>
                    </w:rPr>
                    <w:t>B</w:t>
                  </w:r>
                  <w:r>
                    <w:rPr>
                      <w:szCs w:val="24"/>
                    </w:rPr>
                    <w:t xml:space="preserve"> ir </w:t>
                  </w:r>
                  <w:r>
                    <w:rPr>
                      <w:b/>
                      <w:szCs w:val="24"/>
                    </w:rPr>
                    <w:t>F</w:t>
                  </w:r>
                  <w:r>
                    <w:rPr>
                      <w:szCs w:val="24"/>
                    </w:rPr>
                    <w:t xml:space="preserve"> punkto nuostatas);</w:t>
                  </w:r>
                </w:p>
                <w:p>
                  <w:pPr>
                    <w:ind w:firstLine="567"/>
                    <w:jc w:val="both"/>
                    <w:rPr>
                      <w:szCs w:val="24"/>
                    </w:rPr>
                  </w:pPr>
                  <w:r>
                    <w:rPr>
                      <w:szCs w:val="24"/>
                    </w:rPr>
                    <w:t xml:space="preserve">A.5. taršą į aplinkos orą esant neįprastoms (neatitiktinėms) veiklos sąlygoms (informacija teikiama </w:t>
                  </w:r>
                  <w:r>
                    <w:rPr>
                      <w:b/>
                      <w:szCs w:val="24"/>
                    </w:rPr>
                    <w:t xml:space="preserve">13 lentelėje </w:t>
                  </w:r>
                  <w:r>
                    <w:rPr>
                      <w:szCs w:val="24"/>
                    </w:rPr>
                    <w:t>„</w:t>
                  </w:r>
                  <w:r>
                    <w:rPr>
                      <w:szCs w:val="24"/>
                      <w:lang w:eastAsia="lt-LT"/>
                    </w:rPr>
                    <w:t>Tarša į aplinkos orą esant neįprastoms (neatitiktinėms) veiklos sąlygoms“</w:t>
                  </w:r>
                  <w:r>
                    <w:rPr>
                      <w:szCs w:val="24"/>
                    </w:rPr>
                    <w:t xml:space="preserve">, užpildytoje atsižvelgiant į šio priedo </w:t>
                  </w:r>
                  <w:r>
                    <w:rPr>
                      <w:b/>
                      <w:szCs w:val="24"/>
                    </w:rPr>
                    <w:t>B</w:t>
                  </w:r>
                  <w:r>
                    <w:rPr>
                      <w:szCs w:val="24"/>
                    </w:rPr>
                    <w:t xml:space="preserve"> ir </w:t>
                  </w:r>
                  <w:r>
                    <w:rPr>
                      <w:b/>
                      <w:szCs w:val="24"/>
                    </w:rPr>
                    <w:t>G</w:t>
                  </w:r>
                  <w:r>
                    <w:rPr>
                      <w:szCs w:val="24"/>
                    </w:rPr>
                    <w:t xml:space="preserve"> punktų nuostatas).</w:t>
                  </w:r>
                </w:p>
                <w:p>
                  <w:pPr>
                    <w:ind w:firstLine="567"/>
                    <w:jc w:val="both"/>
                    <w:rPr>
                      <w:b/>
                      <w:szCs w:val="24"/>
                    </w:rPr>
                  </w:pPr>
                </w:p>
              </w:sdtContent>
            </w:sdt>
            <w:sdt>
              <w:sdtPr>
                <w:alias w:val="skirsnis"/>
                <w:tag w:val="part_aed5dca3bdc24353962c2735c7b29e11"/>
                <w:lock w:val="sdtLocked"/>
                <w:richText/>
              </w:sdtPr>
              <w:sdtContent>
                <w:p>
                  <w:pPr>
                    <w:ind w:firstLine="567"/>
                    <w:jc w:val="both"/>
                    <w:rPr>
                      <w:b/>
                      <w:szCs w:val="24"/>
                    </w:rPr>
                  </w:pPr>
                  <w:sdt>
                    <w:sdtPr>
                      <w:alias w:val="Pavadinimas"/>
                      <w:tag w:val="title_aed5dca3bdc24353962c2735c7b29e11"/>
                      <w:lock w:val="sdtLocked"/>
                      <w:richText/>
                    </w:sdtPr>
                    <w:sdtContent>
                      <w:r>
                        <w:rPr>
                          <w:b/>
                          <w:szCs w:val="24"/>
                        </w:rPr>
                        <w:t>B. Šios paraiškos dalies lentelėse informacija apie:</w:t>
                      </w:r>
                    </w:sdtContent>
                  </w:sdt>
                </w:p>
                <w:p>
                  <w:pPr>
                    <w:ind w:firstLine="567"/>
                    <w:jc w:val="both"/>
                    <w:rPr>
                      <w:i/>
                      <w:szCs w:val="24"/>
                    </w:rPr>
                  </w:pPr>
                  <w:r>
                    <w:rPr>
                      <w:szCs w:val="24"/>
                    </w:rPr>
                    <w:t xml:space="preserve">B.1. į aplinkos orą išmetamų teršalų pavadinimus ir kodus teikiama vadovaujantis Inventorizacijos taisyklėse arba Teršalų išmetimo į aplinkos orą apskaitos ir ataskaitų teikimo tvarkoje, patvirtintoje Lietuvos Respublikos aplinkos ministro 1999 m. gruodžio 20 d. įsakymu Nr. 408 (Žin., 2000, Nr. </w:t>
                  </w:r>
                  <w:hyperlink r:id="rId39" w:tgtFrame="_blank" w:history="1">
                    <w:r>
                      <w:rPr>
                        <w:color w:val="0000FF" w:themeColor="hyperlink"/>
                        <w:szCs w:val="24"/>
                        <w:u w:val="single"/>
                      </w:rPr>
                      <w:t>8-213</w:t>
                    </w:r>
                  </w:hyperlink>
                  <w:r>
                    <w:rPr>
                      <w:szCs w:val="24"/>
                    </w:rPr>
                    <w:t>; 2012 m. pakeitimas) (toliau – Apskaitos tvarka), pateiktu Aplinkos oro teršalų ir jų kodų sąrašu</w:t>
                  </w:r>
                  <w:r>
                    <w:rPr>
                      <w:i/>
                      <w:szCs w:val="24"/>
                    </w:rPr>
                    <w:t>;</w:t>
                  </w:r>
                </w:p>
                <w:p>
                  <w:pPr>
                    <w:ind w:firstLine="567"/>
                    <w:jc w:val="both"/>
                    <w:rPr>
                      <w:szCs w:val="24"/>
                    </w:rPr>
                  </w:pPr>
                  <w:r>
                    <w:rPr>
                      <w:szCs w:val="24"/>
                    </w:rPr>
                    <w:t>B.2. stacionariųjų aplinkos oro taršos šaltinių fizinius duomenis teikiama vadovaujantis pagal Inventorizacijos taisykles parengta Inventorizacijos ataskaita (eksploatuojamo įrenginio atveju) arba planuojamos ūkinės veiklos poveikio aplinkai vertinimo dokumentais, nurodytais Taisyklių 3 priedo 15 punkte;</w:t>
                  </w:r>
                </w:p>
                <w:p>
                  <w:pPr>
                    <w:ind w:firstLine="567"/>
                    <w:jc w:val="both"/>
                    <w:rPr>
                      <w:szCs w:val="24"/>
                    </w:rPr>
                  </w:pPr>
                  <w:r>
                    <w:rPr>
                      <w:szCs w:val="24"/>
                    </w:rPr>
                    <w:t>B.3. aplinkos oro teršalų valymo įrenginių pavadinimus ir jų kodus teikiama vadovaujantis Inventorizacijos taisyklėse arba Apskaitos tvarkoje pateiktu Išmetamųjų dujų valymo įrenginių ir jų kodų sąrašu;</w:t>
                  </w:r>
                </w:p>
                <w:p>
                  <w:pPr>
                    <w:ind w:firstLine="567"/>
                    <w:jc w:val="both"/>
                    <w:rPr>
                      <w:szCs w:val="24"/>
                    </w:rPr>
                  </w:pPr>
                  <w:r>
                    <w:rPr>
                      <w:szCs w:val="24"/>
                    </w:rPr>
                    <w:t xml:space="preserve">B.4. į aplinkos orą išmetamų teršalų koncentraciją teikiama prie normaliųjų sąlygų (101,3 kPa ir 0 </w:t>
                  </w:r>
                  <w:r>
                    <w:rPr>
                      <w:szCs w:val="24"/>
                      <w:vertAlign w:val="superscript"/>
                    </w:rPr>
                    <w:t>o</w:t>
                  </w:r>
                  <w:r>
                    <w:rPr>
                      <w:szCs w:val="24"/>
                    </w:rPr>
                    <w:t>C).</w:t>
                  </w:r>
                </w:p>
                <w:p>
                  <w:pPr>
                    <w:ind w:firstLine="567"/>
                    <w:jc w:val="both"/>
                    <w:rPr>
                      <w:b/>
                      <w:szCs w:val="24"/>
                    </w:rPr>
                  </w:pPr>
                </w:p>
              </w:sdtContent>
            </w:sdt>
            <w:sdt>
              <w:sdtPr>
                <w:alias w:val="skirsnis"/>
                <w:tag w:val="part_07dafa5adaf54016a7f18ee58c5f4a78"/>
                <w:lock w:val="sdtLocked"/>
                <w:richText/>
              </w:sdtPr>
              <w:sdtContent>
                <w:p>
                  <w:pPr>
                    <w:ind w:firstLine="567"/>
                    <w:jc w:val="both"/>
                    <w:rPr>
                      <w:szCs w:val="24"/>
                      <w:lang w:eastAsia="lt-LT"/>
                    </w:rPr>
                  </w:pPr>
                  <w:sdt>
                    <w:sdtPr>
                      <w:alias w:val="Numeris"/>
                      <w:tag w:val="nr_07dafa5adaf54016a7f18ee58c5f4a78"/>
                      <w:lock w:val="sdtLocked"/>
                      <w:richText/>
                    </w:sdtPr>
                    <w:sdtContent>
                      <w:r>
                        <w:rPr>
                          <w:b/>
                          <w:szCs w:val="24"/>
                        </w:rPr>
                        <w:t>C</w:t>
                      </w:r>
                    </w:sdtContent>
                  </w:sdt>
                  <w:r>
                    <w:rPr>
                      <w:b/>
                      <w:szCs w:val="24"/>
                    </w:rPr>
                    <w:t>.</w:t>
                  </w:r>
                  <w:r>
                    <w:rPr>
                      <w:szCs w:val="24"/>
                    </w:rPr>
                    <w:t xml:space="preserve"> Paraiškos </w:t>
                  </w:r>
                  <w:r>
                    <w:rPr>
                      <w:b/>
                      <w:szCs w:val="24"/>
                    </w:rPr>
                    <w:t>9 lentelėje</w:t>
                  </w:r>
                  <w:r>
                    <w:rPr>
                      <w:szCs w:val="24"/>
                    </w:rPr>
                    <w:t xml:space="preserve"> teikiama informacija apie planuojamus </w:t>
                  </w:r>
                  <w:r>
                    <w:rPr>
                      <w:szCs w:val="24"/>
                      <w:lang w:eastAsia="lt-LT"/>
                    </w:rPr>
                    <w:t>į aplinkos orą išmesti teršalus:</w:t>
                  </w:r>
                </w:p>
                <w:p>
                  <w:pPr>
                    <w:ind w:firstLine="567"/>
                    <w:jc w:val="both"/>
                    <w:rPr>
                      <w:szCs w:val="24"/>
                    </w:rPr>
                  </w:pPr>
                  <w:r>
                    <w:rPr>
                      <w:szCs w:val="24"/>
                      <w:lang w:eastAsia="lt-LT"/>
                    </w:rPr>
                    <w:t>C.1. l</w:t>
                  </w:r>
                  <w:r>
                    <w:rPr>
                      <w:szCs w:val="24"/>
                    </w:rPr>
                    <w:t xml:space="preserve">akieji organiniai junginiai, išskyrus metaną (toliau – LOJ), surašomi atskirose eilutėse abėcėlės tvarka, nurodomas kiekvieno jų kodas, </w:t>
                  </w:r>
                  <w:r>
                    <w:rPr>
                      <w:szCs w:val="24"/>
                      <w:lang w:eastAsia="lt-LT"/>
                    </w:rPr>
                    <w:t>išmetamas ir numatomas išmesti kiekis, o eilutės „L</w:t>
                  </w:r>
                  <w:r>
                    <w:rPr>
                      <w:szCs w:val="24"/>
                    </w:rPr>
                    <w:t>akieji organiniai junginiai (abėcėlės tvarka):“ 3 grafoje įrašomas bendras LOJ kiekis;</w:t>
                  </w:r>
                </w:p>
                <w:p>
                  <w:pPr>
                    <w:ind w:firstLine="567"/>
                    <w:jc w:val="both"/>
                    <w:rPr>
                      <w:rFonts w:eastAsia="MS Mincho"/>
                      <w:szCs w:val="24"/>
                    </w:rPr>
                  </w:pPr>
                  <w:r>
                    <w:rPr>
                      <w:szCs w:val="24"/>
                    </w:rPr>
                    <w:t xml:space="preserve">C.2. </w:t>
                  </w:r>
                  <w:r>
                    <w:rPr>
                      <w:szCs w:val="24"/>
                      <w:lang w:eastAsia="lt-LT"/>
                    </w:rPr>
                    <w:t xml:space="preserve">kiti teršalai, išskyrus azoto oksidus, kietąsias daleles, sieros dioksidą, amoniaką ir LOJ, surašomi </w:t>
                  </w:r>
                  <w:r>
                    <w:rPr>
                      <w:szCs w:val="24"/>
                    </w:rPr>
                    <w:t>atskirose eilutėse abėcėlės tvarka po eilute „</w:t>
                  </w:r>
                  <w:r>
                    <w:rPr>
                      <w:szCs w:val="24"/>
                      <w:lang w:eastAsia="lt-LT"/>
                    </w:rPr>
                    <w:t>Kiti teršalai (abėcėlės tvarka):“;</w:t>
                  </w:r>
                </w:p>
                <w:p>
                  <w:pPr>
                    <w:ind w:firstLine="567"/>
                    <w:jc w:val="both"/>
                    <w:rPr>
                      <w:szCs w:val="24"/>
                    </w:rPr>
                  </w:pPr>
                  <w:r>
                    <w:rPr>
                      <w:szCs w:val="24"/>
                    </w:rPr>
                    <w:t xml:space="preserve">C.3. eilutėje „Iš viso“ rašomas bendras </w:t>
                  </w:r>
                  <w:r>
                    <w:rPr>
                      <w:szCs w:val="24"/>
                      <w:lang w:eastAsia="lt-LT"/>
                    </w:rPr>
                    <w:t>prašomas leisti išmesti</w:t>
                  </w:r>
                  <w:r>
                    <w:rPr>
                      <w:szCs w:val="24"/>
                    </w:rPr>
                    <w:t xml:space="preserve"> teršalų kiekis.</w:t>
                  </w:r>
                </w:p>
                <w:p>
                  <w:pPr>
                    <w:ind w:firstLine="567"/>
                    <w:jc w:val="both"/>
                    <w:rPr>
                      <w:b/>
                      <w:szCs w:val="24"/>
                    </w:rPr>
                  </w:pPr>
                </w:p>
              </w:sdtContent>
            </w:sdt>
            <w:sdt>
              <w:sdtPr>
                <w:alias w:val="skirsnis"/>
                <w:tag w:val="part_b3fc24d702944545a630fa8d6582764f"/>
                <w:lock w:val="sdtLocked"/>
                <w:richText/>
              </w:sdtPr>
              <w:sdtContent>
                <w:p>
                  <w:pPr>
                    <w:ind w:firstLine="567"/>
                    <w:jc w:val="both"/>
                    <w:rPr>
                      <w:szCs w:val="24"/>
                    </w:rPr>
                  </w:pPr>
                  <w:sdt>
                    <w:sdtPr>
                      <w:alias w:val="Numeris"/>
                      <w:tag w:val="nr_b3fc24d702944545a630fa8d6582764f"/>
                      <w:lock w:val="sdtLocked"/>
                      <w:richText/>
                    </w:sdtPr>
                    <w:sdtContent>
                      <w:r>
                        <w:rPr>
                          <w:b/>
                          <w:szCs w:val="24"/>
                        </w:rPr>
                        <w:t>D</w:t>
                      </w:r>
                    </w:sdtContent>
                  </w:sdt>
                  <w:r>
                    <w:rPr>
                      <w:b/>
                      <w:szCs w:val="24"/>
                    </w:rPr>
                    <w:t>.</w:t>
                  </w:r>
                  <w:r>
                    <w:rPr>
                      <w:szCs w:val="24"/>
                    </w:rPr>
                    <w:t xml:space="preserve"> Pateikiant duomenis apie stacionarių taršos šaltinių fizinius duomenis, kiekvienam įrenginiui pildoma atskira </w:t>
                  </w:r>
                  <w:r>
                    <w:rPr>
                      <w:b/>
                      <w:szCs w:val="24"/>
                    </w:rPr>
                    <w:t>10 lentelė</w:t>
                  </w:r>
                  <w:r>
                    <w:rPr>
                      <w:szCs w:val="24"/>
                    </w:rPr>
                    <w:t>:</w:t>
                  </w:r>
                </w:p>
                <w:p>
                  <w:pPr>
                    <w:ind w:firstLine="567"/>
                    <w:jc w:val="both"/>
                    <w:rPr>
                      <w:szCs w:val="24"/>
                    </w:rPr>
                  </w:pPr>
                  <w:r>
                    <w:rPr>
                      <w:szCs w:val="24"/>
                    </w:rPr>
                    <w:t>D.1. šios lentelės viršuje užrašomas konkretaus įrenginio pavadinimas;</w:t>
                  </w:r>
                </w:p>
                <w:p>
                  <w:pPr>
                    <w:ind w:firstLine="567"/>
                    <w:jc w:val="both"/>
                    <w:rPr>
                      <w:szCs w:val="24"/>
                    </w:rPr>
                  </w:pPr>
                  <w:r>
                    <w:rPr>
                      <w:szCs w:val="24"/>
                    </w:rPr>
                    <w:t>D.2. įrenginyje vykdomai veiklai, duomenys teikiami iš Inventorizacijos ataskaitos;</w:t>
                  </w:r>
                </w:p>
                <w:p>
                  <w:pPr>
                    <w:ind w:firstLine="567"/>
                    <w:jc w:val="both"/>
                    <w:rPr>
                      <w:szCs w:val="24"/>
                    </w:rPr>
                  </w:pPr>
                  <w:r>
                    <w:rPr>
                      <w:szCs w:val="24"/>
                    </w:rPr>
                    <w:t>D.3. įrenginyje planuojamai vykdyti veiklai, duomenys teikiami vadovaujantis planuojamos ūkinės veiklos poveikio aplinkai vertinimo dokumentais.</w:t>
                  </w:r>
                </w:p>
                <w:p>
                  <w:pPr>
                    <w:ind w:firstLine="567"/>
                    <w:jc w:val="both"/>
                    <w:rPr>
                      <w:b/>
                      <w:szCs w:val="24"/>
                    </w:rPr>
                  </w:pPr>
                </w:p>
              </w:sdtContent>
            </w:sdt>
            <w:sdt>
              <w:sdtPr>
                <w:alias w:val="skirsnis"/>
                <w:tag w:val="part_0262f52d9d664292a74d63f48fa2dbe3"/>
                <w:lock w:val="sdtLocked"/>
                <w:richText/>
              </w:sdtPr>
              <w:sdtContent>
                <w:p>
                  <w:pPr>
                    <w:ind w:firstLine="567"/>
                    <w:jc w:val="both"/>
                    <w:rPr>
                      <w:szCs w:val="24"/>
                    </w:rPr>
                  </w:pPr>
                  <w:r>
                    <w:rPr>
                      <w:b/>
                      <w:szCs w:val="24"/>
                    </w:rPr>
                    <w:t>E.</w:t>
                  </w:r>
                  <w:r>
                    <w:rPr>
                      <w:szCs w:val="24"/>
                    </w:rPr>
                    <w:t xml:space="preserve"> Paraiškos </w:t>
                  </w:r>
                  <w:r>
                    <w:rPr>
                      <w:b/>
                      <w:szCs w:val="24"/>
                    </w:rPr>
                    <w:t>11 lentelėje</w:t>
                  </w:r>
                  <w:r>
                    <w:rPr>
                      <w:szCs w:val="24"/>
                    </w:rPr>
                    <w:t xml:space="preserve"> teikiama informacija apie taršą į aplinkos orą iš kiekvieno atskiro įrenginio, kurio pavadinimas užrašomas lentelės viršuje:</w:t>
                  </w:r>
                </w:p>
                <w:p>
                  <w:pPr>
                    <w:ind w:firstLine="567"/>
                    <w:jc w:val="both"/>
                    <w:rPr>
                      <w:szCs w:val="24"/>
                    </w:rPr>
                  </w:pPr>
                  <w:r>
                    <w:rPr>
                      <w:szCs w:val="24"/>
                    </w:rPr>
                    <w:t>E.1. lentelės 5 grafoje įrašomi vienetai, kuriais pateikiamas kiekvienas į 3 ir 4 grafą įrašyto teršalo 6 grafoje nurodomas vienkartinis taršos dydis;</w:t>
                  </w:r>
                </w:p>
                <w:p>
                  <w:pPr>
                    <w:ind w:firstLine="567"/>
                    <w:jc w:val="both"/>
                    <w:rPr>
                      <w:szCs w:val="24"/>
                    </w:rPr>
                  </w:pPr>
                  <w:r>
                    <w:rPr>
                      <w:szCs w:val="24"/>
                    </w:rPr>
                    <w:t>E.2. lentelės 7 grafoje duomenys susumuojami visam įrenginiui (eilutėje „Iš viso įrenginiui“).</w:t>
                  </w:r>
                </w:p>
                <w:p>
                  <w:pPr>
                    <w:ind w:firstLine="567"/>
                    <w:jc w:val="both"/>
                    <w:rPr>
                      <w:szCs w:val="24"/>
                    </w:rPr>
                  </w:pPr>
                </w:p>
              </w:sdtContent>
            </w:sdt>
            <w:sdt>
              <w:sdtPr>
                <w:alias w:val="skirsnis"/>
                <w:tag w:val="part_8474d374f0784d6cbf0f331733ad9ff6"/>
                <w:lock w:val="sdtLocked"/>
                <w:richText/>
              </w:sdtPr>
              <w:sdtContent>
                <w:p>
                  <w:pPr>
                    <w:ind w:firstLine="567"/>
                    <w:jc w:val="both"/>
                    <w:rPr>
                      <w:szCs w:val="24"/>
                    </w:rPr>
                  </w:pPr>
                  <w:r>
                    <w:rPr>
                      <w:b/>
                      <w:szCs w:val="24"/>
                    </w:rPr>
                    <w:t xml:space="preserve">F. </w:t>
                  </w:r>
                  <w:r>
                    <w:rPr>
                      <w:szCs w:val="24"/>
                    </w:rPr>
                    <w:t xml:space="preserve">Kiekvienam įrenginiui, kuriame sumontuotas bent vienas aplinkos oro teršalų valymo įrenginys arba taikomos aplinkos oro taršos prevencijos priemonės, informacija apie kiekviename oro teršalų valymo įrenginyje surenkamus (nukenksminamus) teršalus teikiama </w:t>
                  </w:r>
                  <w:r>
                    <w:rPr>
                      <w:b/>
                      <w:szCs w:val="24"/>
                    </w:rPr>
                    <w:t>12 lentelėje</w:t>
                  </w:r>
                  <w:r>
                    <w:rPr>
                      <w:szCs w:val="24"/>
                    </w:rPr>
                    <w:t xml:space="preserve"> „</w:t>
                  </w:r>
                  <w:r>
                    <w:rPr>
                      <w:szCs w:val="24"/>
                      <w:lang w:eastAsia="lt-LT"/>
                    </w:rPr>
                    <w:t>Aplinkos oro teršalų valymo įrenginiai ir taršos prevencijos priemonės“</w:t>
                  </w:r>
                  <w:r>
                    <w:rPr>
                      <w:szCs w:val="24"/>
                    </w:rPr>
                    <w:t>:</w:t>
                  </w:r>
                </w:p>
                <w:p>
                  <w:pPr>
                    <w:ind w:firstLine="567"/>
                    <w:jc w:val="both"/>
                    <w:rPr>
                      <w:szCs w:val="24"/>
                    </w:rPr>
                  </w:pPr>
                  <w:r>
                    <w:rPr>
                      <w:szCs w:val="24"/>
                    </w:rPr>
                    <w:t>F.1. pateikiant informaciją apie kiekvieną valymo įrenginį, prie įrenginio pavadinimo papildomai teikiama informacija, apibūdinanti valymo įrenginį (paskirtį, veikimą, sugaudomų (nukenksminamų) teršalų projektinį ar faktinį išvalymo laipsnį (jei buvo nustatytas);</w:t>
                  </w:r>
                </w:p>
                <w:p>
                  <w:pPr>
                    <w:ind w:firstLine="567"/>
                    <w:jc w:val="both"/>
                    <w:rPr>
                      <w:szCs w:val="24"/>
                    </w:rPr>
                  </w:pPr>
                  <w:r>
                    <w:rPr>
                      <w:szCs w:val="24"/>
                    </w:rPr>
                    <w:t>F.2. informuojant apie taikomas taršos prevencijos priemones, gali būti teikiama nuoroda į paraiškos priede pridedamas schemas, pagrindžiamąją ar iliustruojančią medžiagą.</w:t>
                  </w:r>
                </w:p>
                <w:p>
                  <w:pPr>
                    <w:ind w:firstLine="567"/>
                    <w:jc w:val="both"/>
                    <w:rPr>
                      <w:b/>
                      <w:szCs w:val="24"/>
                    </w:rPr>
                  </w:pPr>
                </w:p>
              </w:sdtContent>
            </w:sdt>
            <w:sdt>
              <w:sdtPr>
                <w:alias w:val="skirsnis"/>
                <w:tag w:val="part_aa9234b9e56c4b019459c693bb6fc2a6"/>
                <w:lock w:val="sdtLocked"/>
                <w:richText/>
              </w:sdtPr>
              <w:sdtContent>
                <w:p>
                  <w:pPr>
                    <w:ind w:firstLine="567"/>
                    <w:jc w:val="both"/>
                    <w:rPr>
                      <w:szCs w:val="24"/>
                    </w:rPr>
                  </w:pPr>
                  <w:r>
                    <w:rPr>
                      <w:b/>
                      <w:szCs w:val="24"/>
                    </w:rPr>
                    <w:t xml:space="preserve">G. </w:t>
                  </w:r>
                  <w:r>
                    <w:rPr>
                      <w:szCs w:val="24"/>
                    </w:rPr>
                    <w:t xml:space="preserve">Duomenims apie taršą į aplinkos orą esant neįprastoms (neatitiktinėms) veiklos sąlygoms pateikti kiekvienam įrenginiui pildoma atskira </w:t>
                  </w:r>
                  <w:r>
                    <w:rPr>
                      <w:b/>
                      <w:szCs w:val="24"/>
                    </w:rPr>
                    <w:t>13 lentelė</w:t>
                  </w:r>
                  <w:r>
                    <w:rPr>
                      <w:szCs w:val="24"/>
                    </w:rPr>
                    <w:t xml:space="preserve"> „</w:t>
                  </w:r>
                  <w:r>
                    <w:rPr>
                      <w:szCs w:val="24"/>
                      <w:lang w:eastAsia="lt-LT"/>
                    </w:rPr>
                    <w:t>Tarša į aplinkos orą esant neįprastoms (neatitiktinėms) veiklos sąlygoms“</w:t>
                  </w:r>
                  <w:r>
                    <w:rPr>
                      <w:szCs w:val="24"/>
                    </w:rPr>
                    <w:t>:</w:t>
                  </w:r>
                </w:p>
                <w:p>
                  <w:pPr>
                    <w:ind w:firstLine="567"/>
                    <w:jc w:val="both"/>
                    <w:rPr>
                      <w:szCs w:val="24"/>
                    </w:rPr>
                  </w:pPr>
                  <w:r>
                    <w:rPr>
                      <w:szCs w:val="24"/>
                    </w:rPr>
                    <w:t>G.1. lentelės viršuje užrašomas konkretaus įrenginio pavadinimas;</w:t>
                  </w:r>
                </w:p>
                <w:p>
                  <w:pPr>
                    <w:ind w:firstLine="567"/>
                    <w:jc w:val="both"/>
                    <w:rPr>
                      <w:szCs w:val="24"/>
                    </w:rPr>
                  </w:pPr>
                  <w:r>
                    <w:rPr>
                      <w:szCs w:val="24"/>
                    </w:rPr>
                    <w:t>G.2. įrenginyje vykdomai veiklai, duomenys pateikiami iš Inventorizacijos ataskaitos;</w:t>
                  </w:r>
                </w:p>
                <w:p>
                  <w:pPr>
                    <w:ind w:firstLine="567"/>
                    <w:jc w:val="both"/>
                    <w:rPr>
                      <w:szCs w:val="24"/>
                    </w:rPr>
                  </w:pPr>
                  <w:r>
                    <w:rPr>
                      <w:szCs w:val="24"/>
                    </w:rPr>
                    <w:t>G.3. įrenginyje planuojamai vykdyti veiklai, duomenys teikiami vadovaujantis planuojamos ūkinės veiklos poveikio aplinkai vertinimo dokumentais;</w:t>
                  </w:r>
                </w:p>
                <w:p>
                  <w:pPr>
                    <w:ind w:firstLine="567"/>
                    <w:jc w:val="both"/>
                    <w:rPr>
                      <w:szCs w:val="24"/>
                    </w:rPr>
                  </w:pPr>
                  <w:r>
                    <w:rPr>
                      <w:szCs w:val="24"/>
                    </w:rPr>
                    <w:t>G.4. turi būti nurodomos maksimalios vertės, galimos esant įrenginio techniniame reglamente ar kt. įrenginio veiklą reglamentuojančiame dokumente nurodytoms neįprastoms (neatitiktinėms) veiklos sąlygoms.</w:t>
                  </w:r>
                </w:p>
                <w:p>
                  <w:pPr>
                    <w:ind w:firstLine="567"/>
                    <w:jc w:val="both"/>
                    <w:rPr>
                      <w:b/>
                      <w:szCs w:val="24"/>
                    </w:rPr>
                  </w:pPr>
                </w:p>
              </w:sdtContent>
            </w:sdt>
          </w:sdtContent>
        </w:sdt>
        <w:sdt>
          <w:sdtPr>
            <w:alias w:val="skirsnis"/>
            <w:tag w:val="part_11df2742f5e740cc9bc2a45edb637f4a"/>
            <w:lock w:val="sdtLocked"/>
            <w:richText/>
          </w:sdtPr>
          <w:sdtContent>
            <w:p>
              <w:pPr>
                <w:jc w:val="center"/>
                <w:rPr>
                  <w:b/>
                  <w:szCs w:val="24"/>
                  <w:lang w:eastAsia="lt-LT"/>
                </w:rPr>
              </w:pPr>
              <w:sdt>
                <w:sdtPr>
                  <w:alias w:val="Pavadinimas"/>
                  <w:tag w:val="title_11df2742f5e740cc9bc2a45edb637f4a"/>
                  <w:lock w:val="sdtLocked"/>
                  <w:richText/>
                </w:sdtPr>
                <w:sdtContent>
                  <w:r>
                    <w:rPr>
                      <w:b/>
                      <w:szCs w:val="24"/>
                      <w:lang w:eastAsia="lt-LT"/>
                    </w:rPr>
                    <w:t>VIII PARAIŠKOS DALIES „TERŠALŲ IŠLEIDIMAS SU NUOTEKOMIS Į APLINKĄ“ PILDYMAS</w:t>
                  </w:r>
                </w:sdtContent>
              </w:sdt>
            </w:p>
            <w:p>
              <w:pPr>
                <w:jc w:val="center"/>
                <w:rPr>
                  <w:b/>
                  <w:szCs w:val="24"/>
                  <w:lang w:eastAsia="lt-LT"/>
                </w:rPr>
              </w:pPr>
            </w:p>
            <w:sdt>
              <w:sdtPr>
                <w:alias w:val="skirsnis"/>
                <w:tag w:val="part_e133f763b11d4698837ffeaac5805ac3"/>
                <w:lock w:val="sdtLocked"/>
                <w:richText/>
              </w:sdtPr>
              <w:sdtContent>
                <w:p>
                  <w:pPr>
                    <w:ind w:firstLine="567"/>
                    <w:jc w:val="both"/>
                    <w:rPr>
                      <w:b/>
                      <w:szCs w:val="24"/>
                      <w:lang w:eastAsia="lt-LT"/>
                    </w:rPr>
                  </w:pPr>
                  <w:sdt>
                    <w:sdtPr>
                      <w:alias w:val="Pavadinimas"/>
                      <w:tag w:val="title_e133f763b11d4698837ffeaac5805ac3"/>
                      <w:lock w:val="sdtLocked"/>
                      <w:richText/>
                    </w:sdtPr>
                    <w:sdtContent>
                      <w:r>
                        <w:rPr>
                          <w:b/>
                          <w:szCs w:val="24"/>
                          <w:lang w:eastAsia="lt-LT"/>
                        </w:rPr>
                        <w:t>A. Šioje paraiškos dalyje turi būti pateikiama informacija:</w:t>
                      </w:r>
                    </w:sdtContent>
                  </w:sdt>
                </w:p>
                <w:p>
                  <w:pPr>
                    <w:ind w:firstLine="567"/>
                    <w:jc w:val="both"/>
                    <w:rPr>
                      <w:szCs w:val="24"/>
                      <w:lang w:eastAsia="lt-LT"/>
                    </w:rPr>
                  </w:pPr>
                  <w:r>
                    <w:rPr>
                      <w:szCs w:val="24"/>
                      <w:lang w:eastAsia="lt-LT"/>
                    </w:rPr>
                    <w:t xml:space="preserve">A.1. apie paviršinį vandens telkinį (priimtuvą), į kurį planuojama išleisti nuotekas (informacija teikiama </w:t>
                  </w:r>
                  <w:r>
                    <w:rPr>
                      <w:b/>
                      <w:szCs w:val="24"/>
                      <w:lang w:eastAsia="lt-LT"/>
                    </w:rPr>
                    <w:t>15 lentelėje</w:t>
                  </w:r>
                  <w:r>
                    <w:rPr>
                      <w:szCs w:val="24"/>
                      <w:lang w:eastAsia="lt-LT"/>
                    </w:rPr>
                    <w:t xml:space="preserve">, užpildytoje atsižvelgiant į šio priedo </w:t>
                  </w:r>
                  <w:r>
                    <w:rPr>
                      <w:b/>
                      <w:szCs w:val="24"/>
                      <w:lang w:eastAsia="lt-LT"/>
                    </w:rPr>
                    <w:t>B</w:t>
                  </w:r>
                  <w:r>
                    <w:rPr>
                      <w:szCs w:val="24"/>
                      <w:lang w:eastAsia="lt-LT"/>
                    </w:rPr>
                    <w:t xml:space="preserve"> punkto nuostatas). Ši lentelė pildoma, jeigu numatomas nuotekų išleidimas į paviršinį vandens telkinį;</w:t>
                  </w:r>
                </w:p>
                <w:p>
                  <w:pPr>
                    <w:ind w:firstLine="567"/>
                    <w:jc w:val="both"/>
                    <w:rPr>
                      <w:szCs w:val="24"/>
                      <w:lang w:eastAsia="lt-LT"/>
                    </w:rPr>
                  </w:pPr>
                  <w:r>
                    <w:rPr>
                      <w:szCs w:val="24"/>
                      <w:lang w:eastAsia="lt-LT"/>
                    </w:rPr>
                    <w:t>A.2. apie nuotekų išleidimo vietą (išskyrus paviršinius vandens telkinius), į kurią planuojama išleisti nuotekas (informacija teikiama 16 lentelėje, užpildytoje atsižvelgiant į šio priedo C punkto nuostatas). Ši lentelė pildoma, kai nuotekas planuojama infiltruoti į gruntą tam tikslui įrengtuose filtravimo įrenginiuose, perduoti tvarkyti kitiems asmenims (išleisti į kitiems asmenims priklausančius nuotekų tinklus), kaupti rezervuaruose periodiškai išvežant ar pan.);</w:t>
                  </w:r>
                </w:p>
                <w:p>
                  <w:pPr>
                    <w:ind w:firstLine="567"/>
                    <w:jc w:val="both"/>
                    <w:rPr>
                      <w:szCs w:val="24"/>
                      <w:lang w:eastAsia="lt-LT"/>
                    </w:rPr>
                  </w:pPr>
                  <w:r>
                    <w:rPr>
                      <w:szCs w:val="24"/>
                      <w:lang w:eastAsia="lt-LT"/>
                    </w:rPr>
                    <w:t xml:space="preserve">A.3. apie nuotekų šaltinius ir (arba) išleistuvus (informacija teikiama </w:t>
                  </w:r>
                  <w:r>
                    <w:rPr>
                      <w:b/>
                      <w:szCs w:val="24"/>
                      <w:lang w:eastAsia="lt-LT"/>
                    </w:rPr>
                    <w:t>17 lentelėje</w:t>
                  </w:r>
                  <w:r>
                    <w:rPr>
                      <w:szCs w:val="24"/>
                      <w:lang w:eastAsia="lt-LT"/>
                    </w:rPr>
                    <w:t xml:space="preserve">, užpildytoje atsižvelgiant į šio priedo </w:t>
                  </w:r>
                  <w:r>
                    <w:rPr>
                      <w:b/>
                      <w:szCs w:val="24"/>
                      <w:lang w:eastAsia="lt-LT"/>
                    </w:rPr>
                    <w:t>D</w:t>
                  </w:r>
                  <w:r>
                    <w:rPr>
                      <w:szCs w:val="24"/>
                      <w:lang w:eastAsia="lt-LT"/>
                    </w:rPr>
                    <w:t xml:space="preserve"> punkto nuostatas);</w:t>
                  </w:r>
                </w:p>
                <w:p>
                  <w:pPr>
                    <w:ind w:firstLine="567"/>
                    <w:jc w:val="both"/>
                    <w:rPr>
                      <w:szCs w:val="24"/>
                      <w:lang w:eastAsia="lt-LT"/>
                    </w:rPr>
                  </w:pPr>
                  <w:r>
                    <w:rPr>
                      <w:szCs w:val="24"/>
                      <w:lang w:eastAsia="lt-LT"/>
                    </w:rPr>
                    <w:t xml:space="preserve">A.4. apie planuojamų išleisti nuotekų užterštumą (informacija teikiama </w:t>
                  </w:r>
                  <w:r>
                    <w:rPr>
                      <w:b/>
                      <w:szCs w:val="24"/>
                      <w:lang w:eastAsia="lt-LT"/>
                    </w:rPr>
                    <w:t>18 lentelėje</w:t>
                  </w:r>
                  <w:r>
                    <w:rPr>
                      <w:szCs w:val="24"/>
                      <w:lang w:eastAsia="lt-LT"/>
                    </w:rPr>
                    <w:t xml:space="preserve">, užpildytoje atsižvelgiant į šio priedo </w:t>
                  </w:r>
                  <w:r>
                    <w:rPr>
                      <w:b/>
                      <w:szCs w:val="24"/>
                      <w:lang w:eastAsia="lt-LT"/>
                    </w:rPr>
                    <w:t>E</w:t>
                  </w:r>
                  <w:r>
                    <w:rPr>
                      <w:szCs w:val="24"/>
                      <w:lang w:eastAsia="lt-LT"/>
                    </w:rPr>
                    <w:t xml:space="preserve"> punkto nuostatas);</w:t>
                  </w:r>
                </w:p>
                <w:p>
                  <w:pPr>
                    <w:ind w:firstLine="567"/>
                    <w:jc w:val="both"/>
                    <w:rPr>
                      <w:szCs w:val="24"/>
                      <w:lang w:eastAsia="lt-LT"/>
                    </w:rPr>
                  </w:pPr>
                  <w:r>
                    <w:rPr>
                      <w:szCs w:val="24"/>
                      <w:lang w:eastAsia="lt-LT"/>
                    </w:rPr>
                    <w:t xml:space="preserve">A.5. apie objekte / įrenginyje naudojamas nuotekų kiekio ir taršos mažinimo priemones (informacija teikiama </w:t>
                  </w:r>
                  <w:r>
                    <w:rPr>
                      <w:b/>
                      <w:szCs w:val="24"/>
                      <w:lang w:eastAsia="lt-LT"/>
                    </w:rPr>
                    <w:t>19 lentelėje</w:t>
                  </w:r>
                  <w:r>
                    <w:rPr>
                      <w:szCs w:val="24"/>
                      <w:lang w:eastAsia="lt-LT"/>
                    </w:rPr>
                    <w:t xml:space="preserve">, užpildytoje atsižvelgiant į šio priedo </w:t>
                  </w:r>
                  <w:r>
                    <w:rPr>
                      <w:b/>
                      <w:szCs w:val="24"/>
                      <w:lang w:eastAsia="lt-LT"/>
                    </w:rPr>
                    <w:t>F</w:t>
                  </w:r>
                  <w:r>
                    <w:rPr>
                      <w:szCs w:val="24"/>
                      <w:lang w:eastAsia="lt-LT"/>
                    </w:rPr>
                    <w:t xml:space="preserve"> punkto nuostatas);</w:t>
                  </w:r>
                </w:p>
                <w:p>
                  <w:pPr>
                    <w:ind w:firstLine="567"/>
                    <w:jc w:val="both"/>
                    <w:rPr>
                      <w:szCs w:val="24"/>
                      <w:lang w:eastAsia="lt-LT"/>
                    </w:rPr>
                  </w:pPr>
                  <w:r>
                    <w:rPr>
                      <w:szCs w:val="24"/>
                      <w:lang w:eastAsia="lt-LT"/>
                    </w:rPr>
                    <w:t xml:space="preserve">A.6. apie planuojamas vandenų apsaugos nuo taršos priemones (informacija teikiama </w:t>
                  </w:r>
                  <w:r>
                    <w:rPr>
                      <w:b/>
                      <w:szCs w:val="24"/>
                      <w:lang w:eastAsia="lt-LT"/>
                    </w:rPr>
                    <w:t>20 lentelėje</w:t>
                  </w:r>
                  <w:r>
                    <w:rPr>
                      <w:szCs w:val="24"/>
                      <w:lang w:eastAsia="lt-LT"/>
                    </w:rPr>
                    <w:t xml:space="preserve">, užpildytoje atsižvelgiant į šio priedo </w:t>
                  </w:r>
                  <w:r>
                    <w:rPr>
                      <w:b/>
                      <w:szCs w:val="24"/>
                      <w:lang w:eastAsia="lt-LT"/>
                    </w:rPr>
                    <w:t>G</w:t>
                  </w:r>
                  <w:r>
                    <w:rPr>
                      <w:szCs w:val="24"/>
                      <w:lang w:eastAsia="lt-LT"/>
                    </w:rPr>
                    <w:t xml:space="preserve"> punkto nuostatas);</w:t>
                  </w:r>
                </w:p>
                <w:p>
                  <w:pPr>
                    <w:ind w:firstLine="567"/>
                    <w:jc w:val="both"/>
                    <w:rPr>
                      <w:szCs w:val="24"/>
                      <w:lang w:eastAsia="lt-LT"/>
                    </w:rPr>
                  </w:pPr>
                  <w:r>
                    <w:rPr>
                      <w:szCs w:val="24"/>
                      <w:lang w:eastAsia="lt-LT"/>
                    </w:rPr>
                    <w:t xml:space="preserve">A.7. apie pramonės įmones ir kitus abonentus, iš kurių planuojama priimti nuotekas ir planuojamų priimti nuotekų savybes ((informacija teikiama </w:t>
                  </w:r>
                  <w:r>
                    <w:rPr>
                      <w:b/>
                      <w:szCs w:val="24"/>
                      <w:lang w:eastAsia="lt-LT"/>
                    </w:rPr>
                    <w:t>21 lentelėje</w:t>
                  </w:r>
                  <w:r>
                    <w:rPr>
                      <w:szCs w:val="24"/>
                      <w:lang w:eastAsia="lt-LT"/>
                    </w:rPr>
                    <w:t xml:space="preserve">, užpildytoje atsižvelgiant į šio priedo </w:t>
                  </w:r>
                  <w:r>
                    <w:rPr>
                      <w:b/>
                      <w:szCs w:val="24"/>
                      <w:lang w:eastAsia="lt-LT"/>
                    </w:rPr>
                    <w:t>H</w:t>
                  </w:r>
                  <w:r>
                    <w:rPr>
                      <w:szCs w:val="24"/>
                      <w:lang w:eastAsia="lt-LT"/>
                    </w:rPr>
                    <w:t xml:space="preserve"> punkto nuostatas). Ši lentelė pildoma, kai planuojama priimti tvarkyti kitų įmonių / abonentų nuotekas;</w:t>
                  </w:r>
                </w:p>
                <w:p>
                  <w:pPr>
                    <w:ind w:firstLine="567"/>
                    <w:jc w:val="both"/>
                    <w:rPr>
                      <w:b/>
                      <w:szCs w:val="24"/>
                      <w:lang w:eastAsia="lt-LT"/>
                    </w:rPr>
                  </w:pPr>
                  <w:r>
                    <w:rPr>
                      <w:szCs w:val="24"/>
                      <w:lang w:eastAsia="lt-LT"/>
                    </w:rPr>
                    <w:t xml:space="preserve">A.8. apie nuotekų apskaitos įrenginius (informacija teikiama </w:t>
                  </w:r>
                  <w:r>
                    <w:rPr>
                      <w:b/>
                      <w:szCs w:val="24"/>
                      <w:lang w:eastAsia="lt-LT"/>
                    </w:rPr>
                    <w:t>22 lentelėje</w:t>
                  </w:r>
                  <w:r>
                    <w:rPr>
                      <w:szCs w:val="24"/>
                      <w:lang w:eastAsia="lt-LT"/>
                    </w:rPr>
                    <w:t xml:space="preserve">, užpildytoje atsižvelgiant į šio priedo </w:t>
                  </w:r>
                  <w:r>
                    <w:rPr>
                      <w:b/>
                      <w:szCs w:val="24"/>
                      <w:lang w:eastAsia="lt-LT"/>
                    </w:rPr>
                    <w:t>I</w:t>
                  </w:r>
                  <w:r>
                    <w:rPr>
                      <w:szCs w:val="24"/>
                      <w:lang w:eastAsia="lt-LT"/>
                    </w:rPr>
                    <w:t xml:space="preserve"> punkto nuostatas). Ši lentelė pildoma kiekvienam išleistuvui.</w:t>
                  </w:r>
                </w:p>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skirsnis"/>
                <w:tag w:val="part_7dc4040cf97c43ddb46bfa4be4eb9d63"/>
                <w:lock w:val="sdtLocked"/>
                <w:richText/>
              </w:sdtPr>
              <w:sdtContent>
                <w:p>
                  <w:pPr>
                    <w:ind w:firstLine="567"/>
                    <w:jc w:val="both"/>
                    <w:rPr>
                      <w:b/>
                      <w:szCs w:val="24"/>
                      <w:lang w:eastAsia="lt-LT"/>
                    </w:rPr>
                  </w:pPr>
                  <w:sdt>
                    <w:sdtPr>
                      <w:alias w:val="Pavadinimas"/>
                      <w:tag w:val="title_7dc4040cf97c43ddb46bfa4be4eb9d63"/>
                      <w:lock w:val="sdtLocked"/>
                      <w:richText/>
                    </w:sdtPr>
                    <w:sdtContent>
                      <w:r>
                        <w:rPr>
                          <w:b/>
                          <w:szCs w:val="24"/>
                          <w:lang w:eastAsia="lt-LT"/>
                        </w:rPr>
                        <w:t>B. Teikiant informaciją apie paviršinį vandens telkinį (priimtuvą), į kurį planuojama išleisti nuotekas, nurodoma:</w:t>
                      </w:r>
                    </w:sdtContent>
                  </w:sdt>
                </w:p>
                <w:p>
                  <w:pPr>
                    <w:ind w:firstLine="567"/>
                    <w:jc w:val="both"/>
                    <w:rPr>
                      <w:szCs w:val="24"/>
                      <w:lang w:eastAsia="lt-LT"/>
                    </w:rPr>
                  </w:pPr>
                  <w:r>
                    <w:rPr>
                      <w:szCs w:val="24"/>
                      <w:lang w:eastAsia="lt-LT"/>
                    </w:rPr>
                    <w:t>B.1. pirmoje grafoje nurodomas nuotekų priimtuvo (paviršinio vandens telkinio) eilės numeris. Priimtuvas turi būti pažymėtas prie paraiškos pridedamoje schemoje;</w:t>
                  </w:r>
                </w:p>
                <w:p>
                  <w:pPr>
                    <w:ind w:firstLine="567"/>
                    <w:jc w:val="both"/>
                    <w:rPr>
                      <w:szCs w:val="24"/>
                      <w:lang w:eastAsia="lt-LT"/>
                    </w:rPr>
                  </w:pPr>
                  <w:r>
                    <w:rPr>
                      <w:szCs w:val="24"/>
                      <w:lang w:eastAsia="lt-LT"/>
                    </w:rPr>
                    <w:t xml:space="preserve">B.2. antroje grafoje nurodomas paviršinis vandens telkinys, į kurį planuojama išleisti nuotekas arba kurio baseine yra išleistuvas (jeigu numatoma išleisti į vandens telkinį be pavadinimo (pvz., melioracijos griovį, kūdrą ir pan.) nurodoma telkinio kategorija: upė, ežeras, tvenkinys, kūdra, melioracijos griovys ar kt.; vandens telkinio kodas nurodomas vadovaujantis Lietuvos Respublikos aplinkos ministro 2001 m. gruodžio 12 d. įsakymu Nr. 594 „Dėl Lietuvos Respublikos upių ir tvenkinių klasifikatoriaus patvirtinimo“ (Žin., 2001, Nr. </w:t>
                  </w:r>
                  <w:hyperlink r:id="rId40" w:tgtFrame="_blank" w:history="1">
                    <w:r>
                      <w:rPr>
                        <w:color w:val="0000FF" w:themeColor="hyperlink"/>
                        <w:szCs w:val="24"/>
                        <w:u w:val="single"/>
                        <w:lang w:eastAsia="lt-LT"/>
                      </w:rPr>
                      <w:t>107-3888</w:t>
                    </w:r>
                  </w:hyperlink>
                  <w:r>
                    <w:rPr>
                      <w:szCs w:val="24"/>
                      <w:lang w:eastAsia="lt-LT"/>
                    </w:rPr>
                    <w:t xml:space="preserve">) ir Lietuvos Respublikos aplinkos ministro 2003 m. kovo 21 d. įsakymu Nr. 130 „Dėl Lietuvos Respublikos ežerų klasifikatoriaus patvirtinimo“ (Žin., 2003, Nr. </w:t>
                  </w:r>
                  <w:hyperlink r:id="rId41" w:tgtFrame="_blank" w:history="1">
                    <w:r>
                      <w:rPr>
                        <w:color w:val="0000FF" w:themeColor="hyperlink"/>
                        <w:szCs w:val="24"/>
                        <w:u w:val="single"/>
                        <w:lang w:eastAsia="lt-LT"/>
                      </w:rPr>
                      <w:t>34-1442</w:t>
                    </w:r>
                  </w:hyperlink>
                  <w:r>
                    <w:rPr>
                      <w:szCs w:val="24"/>
                      <w:lang w:eastAsia="lt-LT"/>
                    </w:rPr>
                    <w:t>);</w:t>
                  </w:r>
                </w:p>
                <w:p>
                  <w:pPr>
                    <w:ind w:firstLine="567"/>
                    <w:jc w:val="both"/>
                    <w:rPr>
                      <w:szCs w:val="24"/>
                      <w:lang w:eastAsia="lt-LT"/>
                    </w:rPr>
                  </w:pPr>
                  <w:r>
                    <w:rPr>
                      <w:szCs w:val="24"/>
                      <w:lang w:eastAsia="lt-LT"/>
                    </w:rPr>
                    <w:t>B.3. ketvirta grafa pildoma vadovaujantis Gamtosauginio vandens debito apskaičiavimo tvarkos aprašu;</w:t>
                  </w:r>
                </w:p>
                <w:p>
                  <w:pPr>
                    <w:ind w:firstLine="567"/>
                    <w:jc w:val="both"/>
                    <w:rPr>
                      <w:szCs w:val="24"/>
                      <w:lang w:eastAsia="lt-LT"/>
                    </w:rPr>
                  </w:pPr>
                  <w:r>
                    <w:rPr>
                      <w:szCs w:val="24"/>
                      <w:lang w:eastAsia="lt-LT"/>
                    </w:rPr>
                    <w:t>B.4. 5–10 grafos pildomos, kai teisės aktų nustatyta tvarka su paraiška reikia pateikti išleidžiamų nuotekų daromo poveikio priimtuvui skaičiavimą;</w:t>
                  </w:r>
                </w:p>
                <w:p>
                  <w:pPr>
                    <w:ind w:firstLine="567"/>
                    <w:jc w:val="both"/>
                    <w:rPr>
                      <w:szCs w:val="24"/>
                      <w:lang w:eastAsia="lt-LT"/>
                    </w:rPr>
                  </w:pPr>
                  <w:r>
                    <w:rPr>
                      <w:szCs w:val="24"/>
                      <w:lang w:eastAsia="lt-LT"/>
                    </w:rPr>
                    <w:t>B.5. 5 grafoje nurodomi parametrai, pagal kuriuos vertinamas nuotekų poveikis priimtuvui;</w:t>
                  </w:r>
                </w:p>
                <w:p>
                  <w:pPr>
                    <w:ind w:firstLine="567"/>
                    <w:jc w:val="both"/>
                    <w:rPr>
                      <w:szCs w:val="24"/>
                      <w:lang w:eastAsia="lt-LT"/>
                    </w:rPr>
                  </w:pPr>
                  <w:r>
                    <w:rPr>
                      <w:szCs w:val="24"/>
                      <w:lang w:eastAsia="lt-LT"/>
                    </w:rPr>
                    <w:t>B.6. 6–7 grafose nurodoma vandens telkinio būklė aukščiau nuotekų išleistuvo;</w:t>
                  </w:r>
                </w:p>
                <w:p>
                  <w:pPr>
                    <w:ind w:firstLine="567"/>
                    <w:jc w:val="both"/>
                    <w:rPr>
                      <w:b/>
                      <w:szCs w:val="24"/>
                      <w:lang w:eastAsia="lt-LT"/>
                    </w:rPr>
                  </w:pPr>
                  <w:r>
                    <w:rPr>
                      <w:szCs w:val="24"/>
                      <w:lang w:eastAsia="lt-LT"/>
                    </w:rPr>
                    <w:t xml:space="preserve">B.7. 8–10 grafose nurodomi teisės aktų nustatyta tvarka atlikto leistino poveikio vandens telkiniui planuojamoje nuotekų išleidimo vietoje rezultatai. Leistino poveikio skaičiavimai (pagrindimas) pridedami prie paraiškos (gali būti išrašas iš PAV ataskaitos). </w:t>
                  </w:r>
                </w:p>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skirsnis"/>
                <w:tag w:val="part_6a1c734eaa1540998e9ec8b398014240"/>
                <w:lock w:val="sdtLocked"/>
                <w:richText/>
              </w:sdtPr>
              <w:sdtContent>
                <w:p>
                  <w:pPr>
                    <w:suppressAutoHyphens/>
                    <w:ind w:firstLine="567"/>
                    <w:jc w:val="both"/>
                    <w:rPr>
                      <w:szCs w:val="24"/>
                      <w:lang w:eastAsia="lt-LT"/>
                    </w:rPr>
                  </w:pPr>
                  <w:r>
                    <w:rPr>
                      <w:b/>
                      <w:szCs w:val="24"/>
                      <w:lang w:eastAsia="lt-LT"/>
                    </w:rPr>
                    <w:t>C. Teikiant informaciją apie nuotekų išleidimo vietą (išskyrus paviršinius vandens telkinius), į kurią planuojama išleisti nuotekas, nurodoma</w:t>
                  </w:r>
                  <w:r>
                    <w:rPr>
                      <w:szCs w:val="24"/>
                      <w:lang w:eastAsia="lt-LT"/>
                    </w:rPr>
                    <w:t>:</w:t>
                  </w:r>
                </w:p>
                <w:p>
                  <w:pPr>
                    <w:suppressAutoHyphens/>
                    <w:ind w:firstLine="567"/>
                    <w:jc w:val="both"/>
                    <w:rPr>
                      <w:szCs w:val="24"/>
                      <w:lang w:eastAsia="lt-LT"/>
                    </w:rPr>
                  </w:pPr>
                  <w:r>
                    <w:rPr>
                      <w:szCs w:val="24"/>
                      <w:lang w:eastAsia="lt-LT"/>
                    </w:rPr>
                    <w:t>C.1. pirmoje grafoje – nuotekų išleidimo vietos eilės numeris. Numeracija tęsiama nuo paskutinio priimtuvo (paviršinio vandens telkinio) numerio, nurodyto 15 lentelėje. Numeris turi sutapti su numeriu, kuriuo nuotekų išleidimo vieta pažymėta su paraiška teikiamoje objekto / įrenginio schemoje;</w:t>
                  </w:r>
                </w:p>
                <w:p>
                  <w:pPr>
                    <w:ind w:firstLine="567"/>
                    <w:jc w:val="both"/>
                    <w:rPr>
                      <w:szCs w:val="24"/>
                      <w:lang w:eastAsia="lt-LT"/>
                    </w:rPr>
                  </w:pPr>
                  <w:r>
                    <w:rPr>
                      <w:szCs w:val="24"/>
                      <w:lang w:eastAsia="lt-LT"/>
                    </w:rPr>
                    <w:t>C.2. antroje grafoje aprašoma kur ir kokiomis priemonėmis numatoma išleisti (šalinti) nuotekas iš objekto / įrenginio (pvz., nuotekos kaupiamos 300 m</w:t>
                  </w:r>
                  <w:r>
                    <w:rPr>
                      <w:szCs w:val="24"/>
                      <w:vertAlign w:val="superscript"/>
                      <w:lang w:eastAsia="lt-LT"/>
                    </w:rPr>
                    <w:t>3</w:t>
                  </w:r>
                  <w:r>
                    <w:rPr>
                      <w:szCs w:val="24"/>
                      <w:lang w:eastAsia="lt-LT"/>
                    </w:rPr>
                    <w:t xml:space="preserve"> talpos rezervuare ir kartą per mėnesį išvežamos į miesto valymo įrenginius (nurodomas vežėjas, valymo įrenginių pavadinimas ir juos eksploatuojantis asmuo); nuotekos infiltruojamos į gruntą 1000 m</w:t>
                  </w:r>
                  <w:r>
                    <w:rPr>
                      <w:szCs w:val="24"/>
                      <w:vertAlign w:val="superscript"/>
                      <w:lang w:eastAsia="lt-LT"/>
                    </w:rPr>
                    <w:t>2</w:t>
                  </w:r>
                  <w:r>
                    <w:rPr>
                      <w:szCs w:val="24"/>
                      <w:lang w:eastAsia="lt-LT"/>
                    </w:rPr>
                    <w:t xml:space="preserve"> požeminės filtracijos lauke; nuotekos išleidžiamos į nuotekų tinklus (nurodomas tinklus eksploatuojantis asmuo) ir pan.);</w:t>
                  </w:r>
                </w:p>
                <w:p>
                  <w:pPr>
                    <w:ind w:firstLine="567"/>
                    <w:jc w:val="both"/>
                    <w:rPr>
                      <w:szCs w:val="24"/>
                      <w:lang w:eastAsia="lt-LT"/>
                    </w:rPr>
                  </w:pPr>
                  <w:r>
                    <w:rPr>
                      <w:szCs w:val="24"/>
                      <w:lang w:eastAsia="lt-LT"/>
                    </w:rPr>
                    <w:t>C.3. trečioje grafoje nurodomas nuotekų išleidimo juridinis pagrindas (pvz., jeigu nuotekas planuojama išleisti į kitiems asmenims priklausančius nuotekų tinklus, nurodoma nuotekų tvarkymo paslaugų pirkimo–pardavimo sutarties data, galiojimo trukmė, numeris ir sutarties šalių pavadinimai; jeigu nuotekas planuojama infiltruoti į gruntą, nurodoma filtravimo įrenginio pripažinimo tinkamu naudoti akto pasirašymo data, numeris, priėmimo komisiją sudariusio asmens pavadinimas ar pan.);</w:t>
                  </w:r>
                </w:p>
                <w:p>
                  <w:pPr>
                    <w:suppressAutoHyphens/>
                    <w:ind w:firstLine="567"/>
                    <w:jc w:val="both"/>
                    <w:rPr>
                      <w:szCs w:val="24"/>
                      <w:lang w:eastAsia="lt-LT"/>
                    </w:rPr>
                  </w:pPr>
                  <w:r>
                    <w:rPr>
                      <w:szCs w:val="24"/>
                      <w:lang w:eastAsia="lt-LT"/>
                    </w:rPr>
                    <w:t>C.4. informacija apie leistiną išleidimo vietos apkrovą nurodoma, jeigu aprašomos (numatomos naudoti) nuotekų išleidimo vietos leistina apkrova ribojama (pvz., ribinės sąlygos, nustatytos nuotekų tvarkymo paslaugų pirkimo–pardavimo sutartyje; nustatytos leistinos apkrovos filtracijos įrenginių projekte ar pan.);</w:t>
                  </w:r>
                </w:p>
                <w:p>
                  <w:pPr>
                    <w:suppressAutoHyphens/>
                    <w:ind w:firstLine="567"/>
                    <w:jc w:val="both"/>
                    <w:rPr>
                      <w:b/>
                      <w:szCs w:val="24"/>
                      <w:lang w:eastAsia="lt-LT"/>
                    </w:rPr>
                  </w:pPr>
                  <w:r>
                    <w:rPr>
                      <w:szCs w:val="24"/>
                      <w:lang w:eastAsia="lt-LT"/>
                    </w:rPr>
                    <w:t>C.5. 6 grafoje nurodomi parametrai, pagal kuriuos gali būti ribojamas pareiškėjo planuojamų išleisti nuotekų priėmimas.</w:t>
                  </w:r>
                  <w:r>
                    <w:t xml:space="preserve"> </w:t>
                  </w:r>
                </w:p>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skirsnis"/>
                <w:tag w:val="part_96cca290a8084abda4c078f97b0e09a9"/>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b/>
                      <w:szCs w:val="24"/>
                    </w:rPr>
                  </w:pPr>
                  <w:r>
                    <w:rPr>
                      <w:b/>
                      <w:szCs w:val="24"/>
                    </w:rPr>
                    <w:t>D. Teikiant informaciją apie nuotekų šaltinius ir (arba) išleistuvus, nurodoma:</w:t>
                  </w:r>
                </w:p>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Cs w:val="24"/>
                    </w:rPr>
                  </w:pPr>
                  <w:r>
                    <w:rPr>
                      <w:szCs w:val="24"/>
                    </w:rPr>
                    <w:t>D.1. pirmoje grafoje – nuotekų išleistuvo arba šaltinio (nuotekų šaltinis aprašomas, kai nuotekos išleidžiamos į aplinką arba perduodamos kitiems asmenims ne per stacionarų išleistuvą (pvz., išvežamos asenizacinėmis mašinomis ar pan.) numeris. Lentelėje nurodomas numeris turi atitikti numerį, kuriuo nuotekų išleistuvas arba šaltinis pažymėtas pridedamame plane;</w:t>
                  </w:r>
                </w:p>
                <w:p>
                  <w:pPr>
                    <w:ind w:firstLine="567"/>
                    <w:jc w:val="both"/>
                    <w:rPr>
                      <w:szCs w:val="24"/>
                      <w:lang w:eastAsia="lt-LT"/>
                    </w:rPr>
                  </w:pPr>
                  <w:r>
                    <w:rPr>
                      <w:szCs w:val="24"/>
                      <w:lang w:eastAsia="lt-LT"/>
                    </w:rPr>
                    <w:t>D.2. antroje grafoje nurodomos koordinatės taško / vietos, kurioje nuotekos išteka į aplinką (pvz., paskutinis šulinys prieš nuotekų išleidimą į požeminės filtracijos įrenginį, išleistuvo į upę galas ir pan.), išleidžiamos į kitiems asmenims priklausančius nuotekų tinklus, perpilamos į mobilias talpas arba paimamos iš šaltinio kitokiu būdu;</w:t>
                  </w:r>
                </w:p>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Cs w:val="24"/>
                    </w:rPr>
                  </w:pPr>
                  <w:r>
                    <w:rPr>
                      <w:szCs w:val="24"/>
                    </w:rPr>
                    <w:t>D.3. trečioje grafoje nurodoma priimtuvo / išleidimo vietos, į kurį / kurią numatoma išleisti nuotekas per aprašomą išleistuvą arba iš aprašomo nuotekų šaltinio, numeris iš 16 arba 17 lentelės;</w:t>
                  </w:r>
                </w:p>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textAlignment w:val="baseline"/>
                    <w:rPr>
                      <w:szCs w:val="24"/>
                    </w:rPr>
                  </w:pPr>
                  <w:r>
                    <w:rPr>
                      <w:szCs w:val="24"/>
                    </w:rPr>
                    <w:t>D.4. ketvirtoje grafoje nurodomas nuotekų tipas (pramoninės, buitinės, paviršinės, mišrios, srutos, žlaugtai ar pan.) ir veikla (veiklos), kurios metu susidaro nuotekos, planuojamos išleisti per aprašomą išleistuvą arba iš aprašomo nuotekų šaltinio; jeigu per išleistuvą planuojama išleisti abonentų nuotekas, nurodomi ir abonentų numeriai pagal 21 lentelę (jeigu per skirtingus išleistuvus planuojama išleisti skirtingų abonentų nuotekas);</w:t>
                  </w:r>
                </w:p>
                <w:p>
                  <w:pPr>
                    <w:ind w:firstLine="567"/>
                    <w:jc w:val="both"/>
                    <w:rPr>
                      <w:szCs w:val="24"/>
                      <w:lang w:eastAsia="lt-LT"/>
                    </w:rPr>
                  </w:pPr>
                  <w:r>
                    <w:rPr>
                      <w:szCs w:val="24"/>
                      <w:lang w:eastAsia="lt-LT"/>
                    </w:rPr>
                    <w:t>D.5. penktoje grafoje nurodomas išleistuvo arba nuotekų šaltinio tipas (pvz., krantinis, vaginis, dugninis, paviršinė filtracija, požeminė filtracija, išleistuvas į nuotekų tinklus, sukaupimo rezervuaras ar pan.) ir techniniai duomenys (išleidimo atstumas nuo kranto, gylis, skersmuo, talpa ir pan.);</w:t>
                  </w:r>
                </w:p>
                <w:p>
                  <w:pPr>
                    <w:ind w:firstLine="567"/>
                    <w:jc w:val="both"/>
                    <w:rPr>
                      <w:szCs w:val="24"/>
                      <w:lang w:eastAsia="lt-LT"/>
                    </w:rPr>
                  </w:pPr>
                  <w:r>
                    <w:rPr>
                      <w:szCs w:val="24"/>
                      <w:lang w:eastAsia="lt-LT"/>
                    </w:rPr>
                    <w:t>D.6. šeštoje grafoje aprašoma išleistuvo vieta, pvz., išleistuvo vieta vagos atžvilgiu (dešinysis krantas, kairysis krantas, upės vidurys), prisijungimo į nuotakyną vieta (gatvės pavadinimas ir pan.);</w:t>
                  </w:r>
                </w:p>
                <w:p>
                  <w:pPr>
                    <w:suppressAutoHyphens/>
                    <w:ind w:firstLine="567"/>
                    <w:jc w:val="both"/>
                    <w:rPr>
                      <w:b/>
                      <w:szCs w:val="24"/>
                      <w:lang w:eastAsia="lt-LT"/>
                    </w:rPr>
                  </w:pPr>
                  <w:r>
                    <w:rPr>
                      <w:lang w:eastAsia="lt-LT"/>
                    </w:rPr>
                    <w:t>D.7. septintoje ir aštuntoje grafose nurodomas planuojamas išleisti didžiausias nuotekų kiekis negali būti didesnis už priimtuvo / išleidimo vietos didžiausią galimą hidraulinę apkrovą, nurodytą 15 arba 16 lentelėse.</w:t>
                  </w:r>
                  <w:r>
                    <w:t xml:space="preserve"> </w:t>
                  </w:r>
                </w:p>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skirsnis"/>
                <w:tag w:val="part_b782410877c0414899d132712c12bfad"/>
                <w:lock w:val="sdtLocked"/>
                <w:richText/>
              </w:sdtPr>
              <w:sdtContent>
                <w:p>
                  <w:pPr>
                    <w:ind w:firstLine="567"/>
                    <w:jc w:val="both"/>
                    <w:rPr>
                      <w:b/>
                      <w:szCs w:val="24"/>
                      <w:lang w:eastAsia="lt-LT"/>
                    </w:rPr>
                  </w:pPr>
                  <w:sdt>
                    <w:sdtPr>
                      <w:alias w:val="Pavadinimas"/>
                      <w:tag w:val="title_b782410877c0414899d132712c12bfad"/>
                      <w:lock w:val="sdtLocked"/>
                      <w:richText/>
                    </w:sdtPr>
                    <w:sdtContent>
                      <w:r>
                        <w:rPr>
                          <w:b/>
                          <w:szCs w:val="24"/>
                          <w:lang w:eastAsia="lt-LT"/>
                        </w:rPr>
                        <w:t>E. Teikiant informaciją apie planuojamų išleisti nuotekų užterštumą, nurodoma:</w:t>
                      </w:r>
                    </w:sdtContent>
                  </w:sdt>
                </w:p>
                <w:p>
                  <w:pPr>
                    <w:ind w:firstLine="567"/>
                    <w:jc w:val="both"/>
                    <w:rPr>
                      <w:szCs w:val="24"/>
                      <w:lang w:eastAsia="lt-LT"/>
                    </w:rPr>
                  </w:pPr>
                  <w:r>
                    <w:rPr>
                      <w:szCs w:val="24"/>
                      <w:lang w:eastAsia="lt-LT"/>
                    </w:rPr>
                    <w:t xml:space="preserve">E.1. pirmoje grafoje – išleistuvo / šaltinio numeris pagal </w:t>
                  </w:r>
                  <w:r>
                    <w:rPr>
                      <w:b/>
                      <w:szCs w:val="24"/>
                      <w:lang w:eastAsia="lt-LT"/>
                    </w:rPr>
                    <w:t>17 lentelę</w:t>
                  </w:r>
                  <w:r>
                    <w:rPr>
                      <w:szCs w:val="24"/>
                      <w:lang w:eastAsia="lt-LT"/>
                    </w:rPr>
                    <w:t>;</w:t>
                  </w:r>
                </w:p>
                <w:p>
                  <w:pPr>
                    <w:ind w:firstLine="567"/>
                    <w:jc w:val="both"/>
                    <w:rPr>
                      <w:szCs w:val="24"/>
                      <w:lang w:eastAsia="lt-LT"/>
                    </w:rPr>
                  </w:pPr>
                  <w:r>
                    <w:rPr>
                      <w:szCs w:val="24"/>
                      <w:lang w:eastAsia="lt-LT"/>
                    </w:rPr>
                    <w:t>E.2. antroje grafoje nurodomi teršalai, kurių išleidimui pagal galiojančius teisės aktus reikalingas leidimas;</w:t>
                  </w:r>
                </w:p>
                <w:p>
                  <w:pPr>
                    <w:ind w:firstLine="567"/>
                    <w:jc w:val="both"/>
                    <w:rPr>
                      <w:szCs w:val="24"/>
                      <w:lang w:eastAsia="lt-LT"/>
                    </w:rPr>
                  </w:pPr>
                  <w:r>
                    <w:rPr>
                      <w:szCs w:val="24"/>
                      <w:lang w:eastAsia="lt-LT"/>
                    </w:rPr>
                    <w:t>E.3. trečioje grafoje – didžiausia numatoma teršalo koncentracija momentiniame arba vidutiniame paros nuotekų mėginyje prieš valymą;</w:t>
                  </w:r>
                </w:p>
                <w:p>
                  <w:pPr>
                    <w:ind w:firstLine="567"/>
                    <w:jc w:val="both"/>
                    <w:rPr>
                      <w:szCs w:val="24"/>
                      <w:lang w:eastAsia="lt-LT"/>
                    </w:rPr>
                  </w:pPr>
                  <w:r>
                    <w:rPr>
                      <w:szCs w:val="24"/>
                      <w:lang w:eastAsia="lt-LT"/>
                    </w:rPr>
                    <w:t>E.4. ketvirtoje grafoje – didžiausia numatoma teršalo vidutinė metinė koncentracija nuotekose prieš valymą. 3–6 grafos pildomos, jeigu nuotekas prieš išleidimą iš objekto / įrenginio numatoma valyti;</w:t>
                  </w:r>
                </w:p>
                <w:p>
                  <w:pPr>
                    <w:ind w:firstLine="567"/>
                    <w:jc w:val="both"/>
                    <w:rPr>
                      <w:szCs w:val="24"/>
                      <w:lang w:eastAsia="lt-LT"/>
                    </w:rPr>
                  </w:pPr>
                  <w:r>
                    <w:rPr>
                      <w:szCs w:val="24"/>
                      <w:lang w:eastAsia="lt-LT"/>
                    </w:rPr>
                    <w:t>E.5. 6 grafoje – pagal galiojančius teisės aktus ir Taisykles nustatyta / apskaičiuota teršalo didžiausia leistina koncentracija (DLK) nuotekų momentiniame arba vidutiniame paros mėginyje (atsižvelgiant į priimtuvą, vykdomos veiklos pobūdį ir pan.). Prie paraiškos turi būti pridedamas DLK nustatymo pagrindimas;</w:t>
                  </w:r>
                </w:p>
                <w:p>
                  <w:pPr>
                    <w:ind w:firstLine="567"/>
                    <w:jc w:val="both"/>
                    <w:rPr>
                      <w:szCs w:val="24"/>
                      <w:lang w:eastAsia="lt-LT"/>
                    </w:rPr>
                  </w:pPr>
                  <w:r>
                    <w:rPr>
                      <w:szCs w:val="24"/>
                      <w:lang w:eastAsia="lt-LT"/>
                    </w:rPr>
                    <w:t>E.6. 7 grafoje – pageidaujama leidime įrašyti leistina teršalo koncentracija momentiniame arba vidutiniame paros nuotekų mėginyje (DLK/LLK). Norint, kad leidime būtų nustatyta leistina teršalo koncentracija didesnė už nurodytą 7 grafoje DLK koncentraciją (t. y. kai prašoma nustatyti LLK), prie paraiškos turi būti pridedamas atitinkamas pagrindimas pagal Taisyklių reikalavimus;</w:t>
                  </w:r>
                </w:p>
                <w:p>
                  <w:pPr>
                    <w:ind w:firstLine="567"/>
                    <w:jc w:val="both"/>
                    <w:rPr>
                      <w:szCs w:val="24"/>
                      <w:lang w:eastAsia="lt-LT"/>
                    </w:rPr>
                  </w:pPr>
                  <w:r>
                    <w:rPr>
                      <w:szCs w:val="24"/>
                      <w:lang w:eastAsia="lt-LT"/>
                    </w:rPr>
                    <w:t>E.7. 8 grafoje – pagal galiojančius teisės aktus ir Taisykles nustatyta / apskaičiuota teršalo didžiausia leistina vidutinė metinė koncentracija (DLK) (atsižvelgiant į priimtuvą, vykdomos veiklos pobūdį ir pan.). Prie paraiškos turi būti pridedamas DLK nustatymo pagrindimas;</w:t>
                  </w:r>
                </w:p>
                <w:p>
                  <w:pPr>
                    <w:ind w:firstLine="567"/>
                    <w:jc w:val="both"/>
                    <w:rPr>
                      <w:szCs w:val="24"/>
                      <w:lang w:eastAsia="lt-LT"/>
                    </w:rPr>
                  </w:pPr>
                  <w:r>
                    <w:rPr>
                      <w:szCs w:val="24"/>
                      <w:lang w:eastAsia="lt-LT"/>
                    </w:rPr>
                    <w:t>E.8. 9 grafoje – pageidaujama leidime nustatyti leistina teršalo vidutinė metinė koncentracija (DLK/LLK). Norint, kad leidime būtų nustatyta leistina teršalo koncentracija didesnė už nurodytą 8 grafoje DLK koncentraciją (t. y. kai prašoma nustatyti LLK), prie paraiškos turi būti pridedamas atitinkamas pagrindimas pagal Taisyklių reikalavimus;</w:t>
                  </w:r>
                </w:p>
                <w:p>
                  <w:pPr>
                    <w:ind w:firstLine="567"/>
                    <w:jc w:val="both"/>
                    <w:rPr>
                      <w:szCs w:val="24"/>
                      <w:lang w:eastAsia="lt-LT"/>
                    </w:rPr>
                  </w:pPr>
                  <w:r>
                    <w:rPr>
                      <w:szCs w:val="24"/>
                      <w:lang w:eastAsia="lt-LT"/>
                    </w:rPr>
                    <w:t>E.9. 10 grafoje – pagal galiojančius teisės aktus ir Taisykles nustatytas / apskaičiuotas didžiausias leidžiamas išleisti per parą teršalo kiekis (DLT) (atsižvelgiant į priimtuvą, vykdomos veiklos pobūdį ir pan.). Prie paraiškos turi būti pridedamas DLT skaičiavimas;</w:t>
                  </w:r>
                </w:p>
                <w:p>
                  <w:pPr>
                    <w:ind w:firstLine="567"/>
                    <w:jc w:val="both"/>
                    <w:rPr>
                      <w:szCs w:val="24"/>
                      <w:lang w:eastAsia="lt-LT"/>
                    </w:rPr>
                  </w:pPr>
                  <w:r>
                    <w:rPr>
                      <w:szCs w:val="24"/>
                      <w:lang w:eastAsia="lt-LT"/>
                    </w:rPr>
                    <w:t>E.10. 11 grafoje – pageidaujama leidime nustatyti leistinas per parą išleisti teršalo kiekis (leistina tarša). Norint, kad leidime būtų nustatyta leistina tarša didesnė už nurodytą 11 grafoje DLT (t. y. kai prašoma nustatyti LLT), prie paraiškos turi būti pridedamas atitinkamas pagrindimas pagal Taisyklių ir kitų teisės aktų reikalavimus;</w:t>
                  </w:r>
                </w:p>
                <w:p>
                  <w:pPr>
                    <w:ind w:firstLine="567"/>
                    <w:jc w:val="both"/>
                    <w:rPr>
                      <w:szCs w:val="24"/>
                      <w:lang w:eastAsia="lt-LT"/>
                    </w:rPr>
                  </w:pPr>
                  <w:r>
                    <w:rPr>
                      <w:szCs w:val="24"/>
                      <w:lang w:eastAsia="lt-LT"/>
                    </w:rPr>
                    <w:t>E.11. 12 grafoje – pagal galiojančius teisės aktus ir Taisykles nustatytas / apskaičiuotas didžiausias leidžiamas išleisti per metus teršalo kiekis (DLT) (atsižvelgiant į priimtuvą, vykdomos veiklos pobūdį ir pan.). Prie paraiškos turi būti pridedamas DLT skaičiavimas;</w:t>
                  </w:r>
                </w:p>
                <w:p>
                  <w:pPr>
                    <w:ind w:firstLine="567"/>
                    <w:jc w:val="both"/>
                    <w:rPr>
                      <w:szCs w:val="24"/>
                      <w:lang w:eastAsia="lt-LT"/>
                    </w:rPr>
                  </w:pPr>
                  <w:r>
                    <w:rPr>
                      <w:szCs w:val="24"/>
                      <w:lang w:eastAsia="lt-LT"/>
                    </w:rPr>
                    <w:t>E.12. 13 grafoje – pageidaujama leidime nustatyti leistinas per metus išleisti teršalo kiekis (leistina tarša). Norint, kad leidime būtų nustatyta leistina tarša didesnė už nurodytą 13 grafoje DLT (t. y. kai prašoma nustatyti LLT), prie paraiškos turi būti pridedamas atitinkamas pagrindimas pagal Taisyklių ir kitų teisės aktų reikalavimus.</w:t>
                  </w:r>
                </w:p>
                <w:p>
                  <w:pPr>
                    <w:ind w:firstLine="567"/>
                    <w:jc w:val="both"/>
                    <w:rPr>
                      <w:b/>
                      <w:szCs w:val="24"/>
                      <w:lang w:eastAsia="lt-LT"/>
                    </w:rPr>
                  </w:pPr>
                </w:p>
              </w:sdtContent>
            </w:sdt>
            <w:sdt>
              <w:sdtPr>
                <w:alias w:val="skirsnis"/>
                <w:tag w:val="part_e3c7bf35bd6f4416b7dc7908b9d87c8c"/>
                <w:lock w:val="sdtLocked"/>
                <w:richText/>
              </w:sdtPr>
              <w:sdtContent>
                <w:p>
                  <w:pPr>
                    <w:ind w:firstLine="567"/>
                    <w:jc w:val="both"/>
                    <w:rPr>
                      <w:b/>
                      <w:szCs w:val="24"/>
                      <w:lang w:eastAsia="lt-LT"/>
                    </w:rPr>
                  </w:pPr>
                  <w:sdt>
                    <w:sdtPr>
                      <w:alias w:val="Pavadinimas"/>
                      <w:tag w:val="title_e3c7bf35bd6f4416b7dc7908b9d87c8c"/>
                      <w:lock w:val="sdtLocked"/>
                      <w:richText/>
                    </w:sdtPr>
                    <w:sdtContent>
                      <w:r>
                        <w:rPr>
                          <w:b/>
                          <w:szCs w:val="24"/>
                          <w:lang w:eastAsia="lt-LT"/>
                        </w:rPr>
                        <w:t>F. Teikiant informaciją apie objekte / įrenginyje naudojamas nuotekų kiekio ir taršos mažinimo priemones, nurodoma:</w:t>
                      </w:r>
                    </w:sdtContent>
                  </w:sdt>
                </w:p>
                <w:p>
                  <w:pPr>
                    <w:ind w:firstLine="567"/>
                    <w:jc w:val="both"/>
                    <w:rPr>
                      <w:szCs w:val="24"/>
                      <w:lang w:eastAsia="lt-LT"/>
                    </w:rPr>
                  </w:pPr>
                  <w:r>
                    <w:rPr>
                      <w:szCs w:val="24"/>
                      <w:lang w:eastAsia="lt-LT"/>
                    </w:rPr>
                    <w:t>F.1. pirmoje grafoje nurodomas nuotekų kiekio arba taršos mažinimo priemonės numeris;</w:t>
                  </w:r>
                </w:p>
                <w:p>
                  <w:pPr>
                    <w:ind w:firstLine="567"/>
                    <w:jc w:val="both"/>
                    <w:rPr>
                      <w:szCs w:val="24"/>
                      <w:lang w:eastAsia="lt-LT"/>
                    </w:rPr>
                  </w:pPr>
                  <w:r>
                    <w:rPr>
                      <w:szCs w:val="24"/>
                      <w:lang w:eastAsia="lt-LT"/>
                    </w:rPr>
                    <w:t xml:space="preserve">F.2. antroje grafoje – nuotekų šaltinio / išleistuvo numeris iš </w:t>
                  </w:r>
                  <w:r>
                    <w:rPr>
                      <w:b/>
                      <w:szCs w:val="24"/>
                      <w:lang w:eastAsia="lt-LT"/>
                    </w:rPr>
                    <w:t>17 lentelės</w:t>
                  </w:r>
                  <w:r>
                    <w:rPr>
                      <w:szCs w:val="24"/>
                      <w:lang w:eastAsia="lt-LT"/>
                    </w:rPr>
                    <w:t>, per kurį išleidžiamų nuotekų poveikio mažinimui taikoma aprašoma priemonė;</w:t>
                  </w:r>
                </w:p>
                <w:p>
                  <w:pPr>
                    <w:ind w:firstLine="567"/>
                    <w:jc w:val="both"/>
                    <w:rPr>
                      <w:szCs w:val="24"/>
                      <w:lang w:eastAsia="lt-LT"/>
                    </w:rPr>
                  </w:pPr>
                  <w:r>
                    <w:rPr>
                      <w:szCs w:val="24"/>
                      <w:lang w:eastAsia="lt-LT"/>
                    </w:rPr>
                    <w:t>F.3. trečioje grafoje trumpai aprašoma nuotekų kiekio mažinimo (pvz., automobilių plovyklos vandens apytakinė sistema ar pan.) ar taršos mažinimo (gamybinių, buitinių, paviršinių nuotekų valymo įrenginiai ir pan.) priemonė ir jos paskirtis (pvz., pašalinti iš paviršinių nuotekų naftos produktus ir skendinčias medžiagas, sumažinti nuotekų kiekį ir pan.);</w:t>
                  </w:r>
                </w:p>
                <w:p>
                  <w:pPr>
                    <w:ind w:firstLine="567"/>
                    <w:jc w:val="both"/>
                    <w:rPr>
                      <w:szCs w:val="24"/>
                      <w:lang w:eastAsia="lt-LT"/>
                    </w:rPr>
                  </w:pPr>
                  <w:r>
                    <w:rPr>
                      <w:szCs w:val="24"/>
                      <w:lang w:eastAsia="lt-LT"/>
                    </w:rPr>
                    <w:t>F.4. ketvirtoje grafoje – priemonės įdiegimo data;</w:t>
                  </w:r>
                </w:p>
                <w:p>
                  <w:pPr>
                    <w:ind w:firstLine="567"/>
                    <w:jc w:val="both"/>
                    <w:rPr>
                      <w:szCs w:val="24"/>
                      <w:lang w:eastAsia="lt-LT"/>
                    </w:rPr>
                  </w:pPr>
                  <w:r>
                    <w:rPr>
                      <w:szCs w:val="24"/>
                      <w:lang w:eastAsia="lt-LT"/>
                    </w:rPr>
                    <w:t>F.5. 5–7 grafose nurodomos priemonės projektinės savybės, nurodytos projektinėje dokumentacijoje. 5, 6 grafose nurodomi projektiniai rodikliai, mažinantys nuotekų kiekį ir taršą, susiję su parametrais, kurie prašomi leidime (pvz., įrenginio našumas – m</w:t>
                  </w:r>
                  <w:r>
                    <w:rPr>
                      <w:szCs w:val="24"/>
                      <w:vertAlign w:val="superscript"/>
                      <w:lang w:eastAsia="lt-LT"/>
                    </w:rPr>
                    <w:t>3</w:t>
                  </w:r>
                  <w:r>
                    <w:rPr>
                      <w:szCs w:val="24"/>
                      <w:lang w:eastAsia="lt-LT"/>
                    </w:rPr>
                    <w:t>/d, apytakinis debitas – l/s; projektinis į valymo įrenginius patenkančių nuotekų užterštumas pagal BDS, N, P, naftos produktus, bendrą Cr ar pan. – mg/l, t/d.; liekamasis užterštumas pagal BDS, N, P, naftos produktus, bendrą Cr ir pan. – mg/l; išvalymo efektyvumas – procentais ar pan.).</w:t>
                  </w:r>
                </w:p>
                <w:p>
                  <w:pPr>
                    <w:ind w:firstLine="567"/>
                    <w:jc w:val="both"/>
                    <w:rPr>
                      <w:b/>
                      <w:szCs w:val="24"/>
                      <w:lang w:eastAsia="lt-LT"/>
                    </w:rPr>
                  </w:pPr>
                </w:p>
              </w:sdtContent>
            </w:sdt>
            <w:sdt>
              <w:sdtPr>
                <w:alias w:val="skirsnis"/>
                <w:tag w:val="part_89bfd7f4de464e128266ccb4369eca15"/>
                <w:lock w:val="sdtLocked"/>
                <w:richText/>
              </w:sdtPr>
              <w:sdtContent>
                <w:p>
                  <w:pPr>
                    <w:ind w:firstLine="567"/>
                    <w:jc w:val="both"/>
                    <w:rPr>
                      <w:b/>
                      <w:szCs w:val="24"/>
                      <w:lang w:eastAsia="lt-LT"/>
                    </w:rPr>
                  </w:pPr>
                  <w:sdt>
                    <w:sdtPr>
                      <w:alias w:val="Pavadinimas"/>
                      <w:tag w:val="title_89bfd7f4de464e128266ccb4369eca15"/>
                      <w:lock w:val="sdtLocked"/>
                      <w:richText/>
                    </w:sdtPr>
                    <w:sdtContent>
                      <w:r>
                        <w:rPr>
                          <w:b/>
                          <w:szCs w:val="24"/>
                          <w:lang w:eastAsia="lt-LT"/>
                        </w:rPr>
                        <w:t>G. Teikiant informaciją apie numatomas vandenų apsaugos nuo taršos priemones, nurodoma:</w:t>
                      </w:r>
                    </w:sdtContent>
                  </w:sdt>
                </w:p>
                <w:p>
                  <w:pPr>
                    <w:ind w:firstLine="567"/>
                    <w:jc w:val="both"/>
                    <w:rPr>
                      <w:szCs w:val="24"/>
                      <w:lang w:eastAsia="lt-LT"/>
                    </w:rPr>
                  </w:pPr>
                  <w:r>
                    <w:rPr>
                      <w:szCs w:val="24"/>
                      <w:lang w:eastAsia="lt-LT"/>
                    </w:rPr>
                    <w:t>G.1. pirmoje grafoje nurodomas priemonės eilės numeris;</w:t>
                  </w:r>
                </w:p>
                <w:p>
                  <w:pPr>
                    <w:ind w:firstLine="567"/>
                    <w:jc w:val="both"/>
                    <w:rPr>
                      <w:szCs w:val="24"/>
                      <w:lang w:eastAsia="lt-LT"/>
                    </w:rPr>
                  </w:pPr>
                  <w:r>
                    <w:rPr>
                      <w:szCs w:val="24"/>
                      <w:lang w:eastAsia="lt-LT"/>
                    </w:rPr>
                    <w:t xml:space="preserve">G.2. antroje grafoje – nuotekų šaltinio/išleistuvo numeris iš </w:t>
                  </w:r>
                  <w:r>
                    <w:rPr>
                      <w:b/>
                      <w:szCs w:val="24"/>
                      <w:lang w:eastAsia="lt-LT"/>
                    </w:rPr>
                    <w:t>17 lentelės</w:t>
                  </w:r>
                  <w:r>
                    <w:rPr>
                      <w:szCs w:val="24"/>
                      <w:lang w:eastAsia="lt-LT"/>
                    </w:rPr>
                    <w:t>, per kurį išleidžiamų nuotekų poveikio mažinimui įdiegta aprašoma priemonė;</w:t>
                  </w:r>
                </w:p>
                <w:p>
                  <w:pPr>
                    <w:ind w:firstLine="567"/>
                    <w:jc w:val="both"/>
                    <w:rPr>
                      <w:szCs w:val="24"/>
                      <w:lang w:eastAsia="lt-LT"/>
                    </w:rPr>
                  </w:pPr>
                  <w:r>
                    <w:rPr>
                      <w:szCs w:val="24"/>
                      <w:lang w:eastAsia="lt-LT"/>
                    </w:rPr>
                    <w:t>G.3. trečioje grafoje – trumpas priemonės aprašymas (pvz., nuotekų valymo įrenginių modernizavimas įdiegiant N ir P šalinimą; aplinkai palankesnės gamybos technologijos, atsisakant vandens aplinkai pavojingų medžiagų naudojimo, diegimas (nurodomi atsisakomos ir diegiamos technologijos pavadinimai); pašarų bazės keitimas siekiant sumažinti maisto medžiagų kiekį srutose, ir pan.). Jeigu priemonė bus įgyvendinama etapais, po kiekvieno etapo, pasiekiant tarpinius rezultatus, kiekvienas priemonės įgyvendinimo etapas turi būti aprašomas kaip atskira priemonė;</w:t>
                  </w:r>
                </w:p>
                <w:p>
                  <w:pPr>
                    <w:ind w:firstLine="567"/>
                    <w:jc w:val="both"/>
                    <w:rPr>
                      <w:szCs w:val="24"/>
                      <w:lang w:eastAsia="lt-LT"/>
                    </w:rPr>
                  </w:pPr>
                  <w:r>
                    <w:rPr>
                      <w:szCs w:val="24"/>
                      <w:lang w:eastAsia="lt-LT"/>
                    </w:rPr>
                    <w:t>G.4. ketvirtoje grafoje pateikiamas trumpas planuojamo aplinkosauginio efekto, įgyvendinus priemonę, aprašymas (pvz., srutų susidarymo sumažėjimas 20 procentų; gyvsidabrio išmetimo sumažėjimas 50 procentų ir pan.);</w:t>
                  </w:r>
                </w:p>
                <w:p>
                  <w:pPr>
                    <w:ind w:firstLine="567"/>
                    <w:jc w:val="both"/>
                    <w:rPr>
                      <w:szCs w:val="24"/>
                      <w:lang w:eastAsia="lt-LT"/>
                    </w:rPr>
                  </w:pPr>
                  <w:r>
                    <w:rPr>
                      <w:szCs w:val="24"/>
                      <w:lang w:eastAsia="lt-LT"/>
                    </w:rPr>
                    <w:t>G.5. penktoje grafoje nurodomi leidimo lentelių numeriai ir parametrai, kurie galės būti peržiūrimi po priemonės įgyvendinimo ar keičiant leidimą;</w:t>
                  </w:r>
                </w:p>
                <w:p>
                  <w:pPr>
                    <w:ind w:firstLine="567"/>
                    <w:jc w:val="both"/>
                    <w:rPr>
                      <w:szCs w:val="24"/>
                      <w:lang w:eastAsia="lt-LT"/>
                    </w:rPr>
                  </w:pPr>
                  <w:r>
                    <w:rPr>
                      <w:szCs w:val="24"/>
                      <w:lang w:eastAsia="lt-LT"/>
                    </w:rPr>
                    <w:t>G.6. 6–7 grafose nurodomos priemonės diegimo pradžios ir pabaigos planuojamos datos.</w:t>
                  </w:r>
                </w:p>
                <w:p>
                  <w:pPr>
                    <w:ind w:firstLine="567"/>
                    <w:jc w:val="both"/>
                    <w:rPr>
                      <w:b/>
                      <w:szCs w:val="24"/>
                      <w:lang w:eastAsia="lt-LT"/>
                    </w:rPr>
                  </w:pPr>
                </w:p>
              </w:sdtContent>
            </w:sdt>
            <w:sdt>
              <w:sdtPr>
                <w:alias w:val="skirsnis"/>
                <w:tag w:val="part_840a4564d253448ca20f4b439aa1fd94"/>
                <w:lock w:val="sdtLocked"/>
                <w:richText/>
              </w:sdtPr>
              <w:sdtContent>
                <w:p>
                  <w:pPr>
                    <w:ind w:firstLine="567"/>
                    <w:jc w:val="both"/>
                    <w:rPr>
                      <w:b/>
                      <w:szCs w:val="24"/>
                      <w:lang w:eastAsia="lt-LT"/>
                    </w:rPr>
                  </w:pPr>
                  <w:sdt>
                    <w:sdtPr>
                      <w:alias w:val="Pavadinimas"/>
                      <w:tag w:val="title_840a4564d253448ca20f4b439aa1fd94"/>
                      <w:lock w:val="sdtLocked"/>
                      <w:richText/>
                    </w:sdtPr>
                    <w:sdtContent>
                      <w:r>
                        <w:rPr>
                          <w:b/>
                          <w:szCs w:val="24"/>
                          <w:lang w:eastAsia="lt-LT"/>
                        </w:rPr>
                        <w:t>H. Informaciją apie pramonės įmones ir kitus abonentus, iš kurių planuojama priimti nuotekas (ne paviršines) ir planuojamų priimti nuotekų savybes, nurodoma:</w:t>
                      </w:r>
                    </w:sdtContent>
                  </w:sdt>
                </w:p>
                <w:p>
                  <w:pPr>
                    <w:ind w:firstLine="567"/>
                    <w:jc w:val="both"/>
                    <w:rPr>
                      <w:szCs w:val="24"/>
                      <w:lang w:eastAsia="lt-LT"/>
                    </w:rPr>
                  </w:pPr>
                  <w:r>
                    <w:rPr>
                      <w:szCs w:val="24"/>
                      <w:lang w:eastAsia="lt-LT"/>
                    </w:rPr>
                    <w:t>H.1. 4 grafoje nurodomi teršalai, kurių išleidimas reglamentuojamas teisės aktuose nuotekoms išleisti;</w:t>
                  </w:r>
                </w:p>
                <w:p>
                  <w:pPr>
                    <w:ind w:firstLine="567"/>
                    <w:jc w:val="both"/>
                    <w:rPr>
                      <w:szCs w:val="24"/>
                      <w:lang w:eastAsia="lt-LT"/>
                    </w:rPr>
                  </w:pPr>
                  <w:r>
                    <w:rPr>
                      <w:szCs w:val="24"/>
                      <w:lang w:eastAsia="lt-LT"/>
                    </w:rPr>
                    <w:t>H.2. potencialiai teršiamos teritorijos, nurodytos (aprašytos) galiojančiuose teisės aktuose, reglamentuojančiuose paviršinių nuotekų tvarkymą.</w:t>
                  </w:r>
                </w:p>
                <w:p>
                  <w:pPr>
                    <w:ind w:firstLine="567"/>
                    <w:jc w:val="both"/>
                    <w:rPr>
                      <w:b/>
                      <w:szCs w:val="24"/>
                      <w:lang w:eastAsia="lt-LT"/>
                    </w:rPr>
                  </w:pPr>
                </w:p>
              </w:sdtContent>
            </w:sdt>
            <w:sdt>
              <w:sdtPr>
                <w:alias w:val="skirsnis"/>
                <w:tag w:val="part_fbd13f87dd4043ddafc5fb68e0ebb76a"/>
                <w:lock w:val="sdtLocked"/>
                <w:richText/>
              </w:sdtPr>
              <w:sdtContent>
                <w:sdt>
                  <w:sdtPr>
                    <w:alias w:val="Pavadinimas"/>
                    <w:tag w:val="title_fbd13f87dd4043ddafc5fb68e0ebb76a"/>
                    <w:lock w:val="sdtLocked"/>
                    <w:richText/>
                  </w:sdtPr>
                  <w:sdtContent>
                    <w:p>
                      <w:pPr>
                        <w:ind w:firstLine="567"/>
                        <w:jc w:val="both"/>
                        <w:rPr>
                          <w:b/>
                          <w:szCs w:val="24"/>
                          <w:lang w:eastAsia="lt-LT"/>
                        </w:rPr>
                      </w:pPr>
                      <w:sdt>
                        <w:sdtPr>
                          <w:alias w:val="Numeris"/>
                          <w:tag w:val="nr_fbd13f87dd4043ddafc5fb68e0ebb76a"/>
                          <w:lock w:val="sdtLocked"/>
                          <w:richText/>
                        </w:sdtPr>
                        <w:sdtContent>
                          <w:r>
                            <w:rPr>
                              <w:b/>
                              <w:szCs w:val="24"/>
                              <w:lang w:eastAsia="lt-LT"/>
                            </w:rPr>
                            <w:t>I</w:t>
                          </w:r>
                        </w:sdtContent>
                      </w:sdt>
                      <w:r>
                        <w:rPr>
                          <w:b/>
                          <w:szCs w:val="24"/>
                          <w:lang w:eastAsia="lt-LT"/>
                        </w:rPr>
                        <w:t>. Informuojant apie nuotekų apskaitos prietaisus, nurodoma:</w:t>
                      </w:r>
                    </w:p>
                  </w:sdtContent>
                </w:sdt>
                <w:p>
                  <w:pPr>
                    <w:ind w:firstLine="567"/>
                    <w:jc w:val="both"/>
                    <w:rPr>
                      <w:szCs w:val="24"/>
                      <w:lang w:eastAsia="lt-LT"/>
                    </w:rPr>
                  </w:pPr>
                  <w:r>
                    <w:rPr>
                      <w:szCs w:val="24"/>
                      <w:lang w:eastAsia="lt-LT"/>
                    </w:rPr>
                    <w:t>I.1. pirmoje grafoje – apskaitos įrenginio eilės numeris. Numeris, kuriuo apskaitos įrenginys pažymėtas lentelėje ir prie paraiškos pridedamoje schemoje turi sutapti;</w:t>
                  </w:r>
                </w:p>
                <w:p>
                  <w:pPr>
                    <w:ind w:firstLine="567"/>
                    <w:jc w:val="both"/>
                    <w:rPr>
                      <w:szCs w:val="24"/>
                      <w:lang w:eastAsia="lt-LT"/>
                    </w:rPr>
                  </w:pPr>
                  <w:r>
                    <w:rPr>
                      <w:szCs w:val="24"/>
                      <w:lang w:eastAsia="lt-LT"/>
                    </w:rPr>
                    <w:t xml:space="preserve">I.2. antroje grafoje – išleistuvo numeris iš </w:t>
                  </w:r>
                  <w:r>
                    <w:rPr>
                      <w:b/>
                      <w:szCs w:val="24"/>
                      <w:lang w:eastAsia="lt-LT"/>
                    </w:rPr>
                    <w:t>17 lentelės</w:t>
                  </w:r>
                  <w:r>
                    <w:rPr>
                      <w:szCs w:val="24"/>
                      <w:lang w:eastAsia="lt-LT"/>
                    </w:rPr>
                    <w:t>;</w:t>
                  </w:r>
                </w:p>
                <w:p>
                  <w:pPr>
                    <w:ind w:firstLine="567"/>
                    <w:jc w:val="both"/>
                    <w:rPr>
                      <w:szCs w:val="24"/>
                      <w:lang w:eastAsia="lt-LT"/>
                    </w:rPr>
                  </w:pPr>
                  <w:r>
                    <w:rPr>
                      <w:szCs w:val="24"/>
                      <w:lang w:eastAsia="lt-LT"/>
                    </w:rPr>
                    <w:t>I.3. trečiame grafoje aprašoma apskaitos prietaiso vieta. Kai apskaitos prietaiso nėra, aprašoma, kaip apskaita bus vykdoma;</w:t>
                  </w:r>
                </w:p>
                <w:p>
                  <w:pPr>
                    <w:ind w:firstLine="567"/>
                    <w:jc w:val="both"/>
                    <w:rPr>
                      <w:szCs w:val="24"/>
                      <w:lang w:eastAsia="lt-LT"/>
                    </w:rPr>
                  </w:pPr>
                  <w:r>
                    <w:rPr>
                      <w:szCs w:val="24"/>
                      <w:lang w:eastAsia="lt-LT"/>
                    </w:rPr>
                    <w:t>I.4. ketvirtoje grafoje nurodomas numeris, kuriuo apskaitos prietaisas įrašytas įrenginio/objekto registracijos žurnale.</w:t>
                  </w:r>
                </w:p>
                <w:p>
                  <w:pPr>
                    <w:ind w:firstLine="567"/>
                    <w:jc w:val="both"/>
                    <w:rPr>
                      <w:szCs w:val="24"/>
                      <w:lang w:eastAsia="lt-LT"/>
                    </w:rPr>
                  </w:pPr>
                </w:p>
              </w:sdtContent>
            </w:sdt>
          </w:sdtContent>
        </w:sdt>
        <w:sdt>
          <w:sdtPr>
            <w:alias w:val="skirsnis"/>
            <w:tag w:val="part_bbb32408890a464482da4c9387576072"/>
            <w:lock w:val="sdtLocked"/>
            <w:richText/>
          </w:sdtPr>
          <w:sdtContent>
            <w:p>
              <w:pPr>
                <w:suppressAutoHyphens/>
                <w:jc w:val="center"/>
                <w:rPr>
                  <w:rFonts w:eastAsia="Calibri"/>
                  <w:b/>
                  <w:szCs w:val="24"/>
                </w:rPr>
              </w:pPr>
              <w:sdt>
                <w:sdtPr>
                  <w:alias w:val="Pavadinimas"/>
                  <w:tag w:val="title_bbb32408890a464482da4c9387576072"/>
                  <w:lock w:val="sdtLocked"/>
                  <w:richText/>
                </w:sdtPr>
                <w:sdtContent>
                  <w:r>
                    <w:rPr>
                      <w:rFonts w:eastAsia="Calibri"/>
                      <w:b/>
                      <w:szCs w:val="24"/>
                    </w:rPr>
                    <w:t>XI PARAIŠKOS DALIES „ATLIEKŲ APDOROJIMAS (NAUDOJIMAS AR</w:t>
                  </w:r>
                  <w:r>
                    <w:rPr>
                      <w:rFonts w:eastAsia="Calibri"/>
                      <w:szCs w:val="24"/>
                    </w:rPr>
                    <w:t xml:space="preserve"> </w:t>
                  </w:r>
                  <w:r>
                    <w:rPr>
                      <w:rFonts w:eastAsia="Calibri"/>
                      <w:b/>
                      <w:szCs w:val="24"/>
                    </w:rPr>
                    <w:t xml:space="preserve">ŠALINIMAS, ĮSKAITANT </w:t>
                  </w:r>
                  <w:r>
                    <w:rPr>
                      <w:b/>
                      <w:szCs w:val="24"/>
                      <w:lang w:eastAsia="lt-LT"/>
                    </w:rPr>
                    <w:t xml:space="preserve">LAIKYMĄ IR </w:t>
                  </w:r>
                  <w:r>
                    <w:rPr>
                      <w:rFonts w:eastAsia="Calibri"/>
                      <w:b/>
                      <w:szCs w:val="24"/>
                    </w:rPr>
                    <w:t>PARUOŠIMĄ NAUDOTI AR ŠALINTI)“ PILDYMAS</w:t>
                  </w:r>
                </w:sdtContent>
              </w:sdt>
            </w:p>
            <w:p>
              <w:pPr>
                <w:ind w:left="5182"/>
                <w:jc w:val="right"/>
                <w:rPr>
                  <w:rFonts w:eastAsia="Calibri"/>
                  <w:szCs w:val="24"/>
                </w:rPr>
              </w:pPr>
            </w:p>
            <w:p>
              <w:pPr>
                <w:ind w:firstLine="567"/>
                <w:jc w:val="both"/>
                <w:rPr>
                  <w:rFonts w:eastAsia="Calibri"/>
                  <w:szCs w:val="24"/>
                </w:rPr>
              </w:pPr>
              <w:r>
                <w:rPr>
                  <w:rFonts w:eastAsia="Calibri"/>
                  <w:szCs w:val="24"/>
                </w:rPr>
                <w:t xml:space="preserve">A. Paraiškos XI A ir B dalyse įrašoma informacija apie numatomą nepavojingųjų ir pavojingųjų atliekų apdorojimą (naudojimą ar šalinimą, įskaitant paruošimą </w:t>
              </w:r>
              <w:r>
                <w:rPr>
                  <w:szCs w:val="24"/>
                  <w:lang w:eastAsia="lt-LT"/>
                </w:rPr>
                <w:t>laikyti ir</w:t>
              </w:r>
              <w:r>
                <w:rPr>
                  <w:rFonts w:eastAsia="Calibri"/>
                  <w:szCs w:val="24"/>
                </w:rPr>
                <w:t xml:space="preserve"> naudoti ar šalinti). Pildant 23,  24, 25, 27, 28, 29, 30, 31, 32 lentelių grafas:</w:t>
              </w:r>
            </w:p>
            <w:p>
              <w:pPr>
                <w:ind w:firstLine="567"/>
                <w:jc w:val="both"/>
                <w:rPr>
                  <w:rFonts w:eastAsia="Calibri"/>
                  <w:szCs w:val="24"/>
                </w:rPr>
              </w:pPr>
              <w:r>
                <w:rPr>
                  <w:rFonts w:eastAsia="Calibri"/>
                  <w:szCs w:val="24"/>
                </w:rPr>
                <w:t>A.1. grafose „Kodas“</w:t>
              </w:r>
              <w:r>
                <w:rPr>
                  <w:szCs w:val="24"/>
                  <w:lang w:eastAsia="lt-LT"/>
                </w:rPr>
                <w:t xml:space="preserve"> nurodomas šešių skaitmenų atliekų kodas iš atliekų sąrašo</w:t>
              </w:r>
              <w:r>
                <w:rPr>
                  <w:rFonts w:eastAsia="Calibri"/>
                  <w:szCs w:val="24"/>
                </w:rPr>
                <w:t>, nurodyto Atliekų tvarkymo taisyklių 1 priede, pvz., 15 01 03;</w:t>
              </w:r>
            </w:p>
            <w:p>
              <w:pPr>
                <w:ind w:firstLine="567"/>
                <w:jc w:val="both"/>
                <w:rPr>
                  <w:rFonts w:eastAsia="Calibri"/>
                  <w:szCs w:val="24"/>
                </w:rPr>
              </w:pPr>
              <w:r>
                <w:rPr>
                  <w:rFonts w:eastAsia="Calibri"/>
                  <w:szCs w:val="24"/>
                </w:rPr>
                <w:t>A.2. grafose „Pavadinimas“ nurodomas atliekos pavadinimas, vadovaujantis Atliekų tvarkymo taisyklių 1 priedu, pvz., medinės pakuotės;</w:t>
              </w:r>
            </w:p>
            <w:p>
              <w:pPr>
                <w:ind w:firstLine="567"/>
                <w:jc w:val="both"/>
                <w:rPr>
                  <w:rFonts w:eastAsia="Calibri"/>
                  <w:szCs w:val="24"/>
                </w:rPr>
              </w:pPr>
              <w:r>
                <w:rPr>
                  <w:rFonts w:eastAsia="Calibri"/>
                  <w:szCs w:val="24"/>
                </w:rPr>
                <w:t>A.3. grafose „Patikslintas pavadinimas“ nurodomas išsamus atliekos apibūdinimas, pvz., patikslintas atliekos pavadinimas gali būti padėklai, medinės dėžutės ir pan.;</w:t>
              </w:r>
            </w:p>
            <w:p>
              <w:pPr>
                <w:ind w:firstLine="567"/>
                <w:jc w:val="both"/>
                <w:rPr>
                  <w:rFonts w:eastAsia="Calibri"/>
                  <w:szCs w:val="24"/>
                </w:rPr>
              </w:pPr>
              <w:r>
                <w:rPr>
                  <w:rFonts w:eastAsia="Calibri"/>
                  <w:szCs w:val="24"/>
                </w:rPr>
                <w:t>A.4. grafose „Pavojingųjų atliekų technologinio srauto žymėjimas“ nurodomas</w:t>
              </w:r>
              <w:r>
                <w:rPr>
                  <w:rFonts w:eastAsia="Calibri"/>
                  <w:szCs w:val="24"/>
                  <w:lang w:eastAsia="lt-LT"/>
                </w:rPr>
                <w:t xml:space="preserve"> pavojingųjų</w:t>
              </w:r>
              <w:r>
                <w:rPr>
                  <w:rFonts w:eastAsia="Calibri"/>
                  <w:szCs w:val="24"/>
                </w:rPr>
                <w:t xml:space="preserve"> atliekų technologinio srauto žymėjimas, vadovaujantis Pavojingų atliekų tvarkymo licencijavimo taisyklių, patvirtintų Lietuvos Respublikos aplinkos ministro 2003 m. gruodžio 19 d. įsakymu Nr. 684 „Dėl P</w:t>
              </w:r>
              <w:r>
                <w:rPr>
                  <w:rFonts w:eastAsia="Calibri"/>
                  <w:szCs w:val="24"/>
                  <w:shd w:val="clear" w:color="auto" w:fill="FFFFFF"/>
                </w:rPr>
                <w:t>avojingų atliekų tvarkymo licencijavimo taisyklių</w:t>
              </w:r>
              <w:r>
                <w:rPr>
                  <w:rFonts w:eastAsia="Calibri"/>
                  <w:szCs w:val="24"/>
                </w:rPr>
                <w:t> patvirtinimo“ (toliau – Pavojingų atliekų tvarkymo licencijavimo taisyklės), 1 priedu, pvz., TS-01;</w:t>
              </w:r>
            </w:p>
            <w:p>
              <w:pPr>
                <w:ind w:firstLine="567"/>
                <w:jc w:val="both"/>
                <w:rPr>
                  <w:rFonts w:eastAsia="Calibri"/>
                  <w:szCs w:val="24"/>
                </w:rPr>
              </w:pPr>
              <w:r>
                <w:rPr>
                  <w:rFonts w:eastAsia="Calibri"/>
                  <w:szCs w:val="24"/>
                </w:rPr>
                <w:t xml:space="preserve">A.5. A. Paraiškos XI A ir B dalyse įrašoma informacija apie numatomą nepavojingųjų ir pavojingųjų atliekų apdorojimą (naudojimą ar šalinimą, įskaitant paruošimą </w:t>
              </w:r>
              <w:r>
                <w:rPr>
                  <w:szCs w:val="24"/>
                  <w:lang w:eastAsia="lt-LT"/>
                </w:rPr>
                <w:t>laikyti ir</w:t>
              </w:r>
              <w:r>
                <w:rPr>
                  <w:rFonts w:eastAsia="Calibri"/>
                  <w:szCs w:val="24"/>
                </w:rPr>
                <w:t xml:space="preserve"> naudoti ar šalinti). Pildant 23, 24, 25, 26, 27, 28, 29, 30, 31, 32 lenteles:</w:t>
              </w:r>
            </w:p>
            <w:p>
              <w:pPr>
                <w:ind w:firstLine="567"/>
                <w:jc w:val="both"/>
                <w:rPr>
                  <w:rFonts w:eastAsia="Calibri"/>
                  <w:szCs w:val="24"/>
                </w:rPr>
              </w:pPr>
              <w:r>
                <w:rPr>
                  <w:rFonts w:eastAsia="Calibri"/>
                  <w:szCs w:val="24"/>
                </w:rPr>
                <w:t>A.1. grafoje „Eil. Nr.“</w:t>
              </w:r>
              <w:r>
                <w:rPr>
                  <w:szCs w:val="24"/>
                  <w:lang w:eastAsia="lt-LT"/>
                </w:rPr>
                <w:t xml:space="preserve"> nurodomas eilės numeris;</w:t>
              </w:r>
            </w:p>
            <w:p>
              <w:pPr>
                <w:ind w:firstLine="567"/>
                <w:jc w:val="both"/>
                <w:rPr>
                  <w:rFonts w:eastAsia="Calibri"/>
                  <w:szCs w:val="24"/>
                </w:rPr>
              </w:pPr>
              <w:r>
                <w:rPr>
                  <w:rFonts w:eastAsia="Calibri"/>
                  <w:szCs w:val="24"/>
                </w:rPr>
                <w:t>A.2. grafoje „Kodas“</w:t>
              </w:r>
              <w:r>
                <w:rPr>
                  <w:szCs w:val="24"/>
                  <w:lang w:eastAsia="lt-LT"/>
                </w:rPr>
                <w:t xml:space="preserve"> nurodomas šešių skaitmenų atliekų kodas iš atliekų sąrašo</w:t>
              </w:r>
              <w:r>
                <w:rPr>
                  <w:rFonts w:eastAsia="Calibri"/>
                  <w:szCs w:val="24"/>
                </w:rPr>
                <w:t>, nurodyto Atliekų tvarkymo taisyklių 1 priede, pvz., 15 01 03;</w:t>
              </w:r>
            </w:p>
            <w:p>
              <w:pPr>
                <w:ind w:firstLine="567"/>
                <w:jc w:val="both"/>
                <w:rPr>
                  <w:rFonts w:eastAsia="Calibri"/>
                  <w:szCs w:val="24"/>
                </w:rPr>
              </w:pPr>
              <w:r>
                <w:rPr>
                  <w:rFonts w:eastAsia="Calibri"/>
                  <w:szCs w:val="24"/>
                </w:rPr>
                <w:t>A.3. grafoje „Pavadinimas“ nurodomas atliekos pavadinimas, vadovaujantis Atliekų tvarkymo taisyklių 1 priedu, pvz., medinės pakuotės;</w:t>
              </w:r>
            </w:p>
            <w:p>
              <w:pPr>
                <w:ind w:firstLine="567"/>
                <w:jc w:val="both"/>
                <w:rPr>
                  <w:rFonts w:eastAsia="Calibri"/>
                  <w:szCs w:val="24"/>
                </w:rPr>
              </w:pPr>
              <w:r>
                <w:rPr>
                  <w:rFonts w:eastAsia="Calibri"/>
                  <w:szCs w:val="24"/>
                </w:rPr>
                <w:t>A.4. grafoje „Patikslintas pavadinimas“ nurodomas išsamus atliekos apibūdinimas, pvz., padėklai, medinės dėžutės ir pan.;</w:t>
              </w:r>
            </w:p>
            <w:p>
              <w:pPr>
                <w:ind w:firstLine="567"/>
                <w:jc w:val="both"/>
                <w:rPr>
                  <w:rFonts w:eastAsia="Calibri"/>
                  <w:szCs w:val="24"/>
                </w:rPr>
              </w:pPr>
              <w:r>
                <w:rPr>
                  <w:rFonts w:eastAsia="Calibri"/>
                  <w:szCs w:val="24"/>
                </w:rPr>
                <w:t>A.5. grafoje „Pavojingųjų atliekų technologinio srauto žymėjimas“ nurodomas</w:t>
              </w:r>
              <w:r>
                <w:rPr>
                  <w:rFonts w:eastAsia="Calibri"/>
                  <w:szCs w:val="24"/>
                  <w:lang w:eastAsia="lt-LT"/>
                </w:rPr>
                <w:t xml:space="preserve"> pavojingųjų</w:t>
              </w:r>
              <w:r>
                <w:rPr>
                  <w:rFonts w:eastAsia="Calibri"/>
                  <w:szCs w:val="24"/>
                </w:rPr>
                <w:t xml:space="preserve"> atliekų technologinio srauto žymėjimas, vadovaujantis Pavojingų atliekų tvarkymo licencijavimo taisyklių, patvirtintų Lietuvos Respublikos aplinkos ministro 2003 m. gruodžio 19 d. įsakymu Nr. 684 „Dėl P</w:t>
              </w:r>
              <w:r>
                <w:rPr>
                  <w:rFonts w:eastAsia="Calibri"/>
                  <w:szCs w:val="24"/>
                  <w:shd w:val="clear" w:color="auto" w:fill="FFFFFF"/>
                </w:rPr>
                <w:t>avojingų atliekų tvarkymo licencijavimo taisyklių</w:t>
              </w:r>
              <w:r>
                <w:rPr>
                  <w:rFonts w:eastAsia="Calibri"/>
                  <w:szCs w:val="24"/>
                </w:rPr>
                <w:t xml:space="preserve"> patvirtinimo“ (toliau – Pavojingų atliekų tvarkymo licencijavimo taisyklės), 1 priedu, pvz., TS-01;</w:t>
              </w:r>
            </w:p>
            <w:p>
              <w:pPr>
                <w:ind w:firstLine="567"/>
                <w:jc w:val="both"/>
                <w:rPr>
                  <w:rFonts w:eastAsia="Calibri"/>
                  <w:szCs w:val="24"/>
                </w:rPr>
              </w:pPr>
              <w:r>
                <w:rPr>
                  <w:rFonts w:eastAsia="Calibri"/>
                  <w:szCs w:val="24"/>
                </w:rPr>
                <w:t>A.6. grafoje „Pavojingųjų atliekų technologinio srauto pavadinimas“ nurodomas</w:t>
              </w:r>
              <w:r>
                <w:rPr>
                  <w:rFonts w:eastAsia="Calibri"/>
                  <w:szCs w:val="24"/>
                  <w:lang w:eastAsia="lt-LT"/>
                </w:rPr>
                <w:t xml:space="preserve"> pavojingųjų</w:t>
              </w:r>
              <w:r>
                <w:rPr>
                  <w:rFonts w:eastAsia="Calibri"/>
                  <w:szCs w:val="24"/>
                </w:rPr>
                <w:t xml:space="preserve"> atliekų technologinio srauto pavadinimas, vadovaujantis Pavojingų atliekų tvarkymo licencijavimo taisyklių 1 priedu, pvz., atliekos, kuriose yra polichlorintųjų bifenilų (PCB).</w:t>
              </w:r>
            </w:p>
            <w:p>
              <w:pPr>
                <w:ind w:firstLine="567"/>
                <w:jc w:val="both"/>
                <w:rPr>
                  <w:rFonts w:eastAsia="Calibri"/>
                  <w:szCs w:val="24"/>
                </w:rPr>
              </w:pPr>
              <w:r>
                <w:rPr>
                  <w:rFonts w:eastAsia="Calibri"/>
                  <w:szCs w:val="24"/>
                </w:rPr>
                <w:t xml:space="preserve">B. 23, 28 lenteles pildo </w:t>
              </w:r>
              <w:r>
                <w:rPr>
                  <w:szCs w:val="24"/>
                  <w:lang w:eastAsia="lt-LT"/>
                </w:rPr>
                <w:t>numatantys</w:t>
              </w:r>
              <w:r>
                <w:rPr>
                  <w:rFonts w:eastAsia="Calibri"/>
                  <w:szCs w:val="24"/>
                </w:rPr>
                <w:t xml:space="preserve"> atliekas </w:t>
              </w:r>
              <w:r>
                <w:rPr>
                  <w:szCs w:val="24"/>
                  <w:lang w:eastAsia="lt-LT"/>
                </w:rPr>
                <w:t>naudoti</w:t>
              </w:r>
              <w:r>
                <w:rPr>
                  <w:rFonts w:eastAsia="Calibri"/>
                  <w:szCs w:val="24"/>
                </w:rPr>
                <w:t xml:space="preserve"> (išskyrus naudoti skirtų atliekų laikymą ir pradinį apdorojimą vykdančius) </w:t>
              </w:r>
              <w:r>
                <w:rPr>
                  <w:szCs w:val="24"/>
                  <w:lang w:eastAsia="lt-LT"/>
                </w:rPr>
                <w:t>veiklos vykdytojai. Pildant:</w:t>
              </w:r>
            </w:p>
            <w:p>
              <w:pPr>
                <w:ind w:firstLine="567"/>
                <w:jc w:val="both"/>
                <w:rPr>
                  <w:rFonts w:eastAsia="Calibri"/>
                  <w:szCs w:val="24"/>
                </w:rPr>
              </w:pPr>
              <w:r>
                <w:rPr>
                  <w:rFonts w:eastAsia="Calibri"/>
                  <w:szCs w:val="24"/>
                </w:rPr>
                <w:t>B.1. grafoje „Atliekos naudojimo veiklos kodas (R1–R11)“ nurodomas atliekų naudojimo veiklos kodas (R1–R11), vadovaujantis Atliekų tvarkymo taisyklių 2 priedu;</w:t>
              </w:r>
            </w:p>
            <w:p>
              <w:pPr>
                <w:ind w:firstLine="629"/>
                <w:jc w:val="both"/>
                <w:rPr>
                  <w:rFonts w:eastAsia="Calibri"/>
                  <w:szCs w:val="24"/>
                </w:rPr>
              </w:pPr>
              <w:r>
                <w:rPr>
                  <w:rFonts w:eastAsia="Calibri"/>
                  <w:szCs w:val="24"/>
                </w:rPr>
                <w:t>B.2. grafoje „Projektinis įrenginio pajėgumas, t/m.“ nurodomas projektinis atliekų naudojimo įrenginio pajėgumas tonomis per metus.</w:t>
              </w:r>
            </w:p>
            <w:p>
              <w:pPr>
                <w:ind w:firstLine="567"/>
                <w:jc w:val="both"/>
                <w:rPr>
                  <w:rFonts w:eastAsia="Calibri"/>
                  <w:szCs w:val="24"/>
                </w:rPr>
              </w:pPr>
              <w:r>
                <w:rPr>
                  <w:rFonts w:eastAsia="Calibri"/>
                  <w:szCs w:val="24"/>
                </w:rPr>
                <w:t xml:space="preserve">C. 24, 29 lenteles pildo </w:t>
              </w:r>
              <w:r>
                <w:rPr>
                  <w:szCs w:val="24"/>
                  <w:lang w:eastAsia="lt-LT"/>
                </w:rPr>
                <w:t xml:space="preserve">numatantys </w:t>
              </w:r>
              <w:r>
                <w:rPr>
                  <w:rFonts w:eastAsia="Calibri"/>
                  <w:szCs w:val="24"/>
                </w:rPr>
                <w:t xml:space="preserve">atliekas </w:t>
              </w:r>
              <w:r>
                <w:rPr>
                  <w:szCs w:val="24"/>
                  <w:lang w:eastAsia="lt-LT"/>
                </w:rPr>
                <w:t>šalinti</w:t>
              </w:r>
              <w:r>
                <w:rPr>
                  <w:rFonts w:eastAsia="Calibri"/>
                  <w:szCs w:val="24"/>
                </w:rPr>
                <w:t xml:space="preserve"> (išskyrus šalinti skirtų atliekų laikymą ir pradinį apdorojimą vykdančius) </w:t>
              </w:r>
              <w:r>
                <w:rPr>
                  <w:szCs w:val="24"/>
                  <w:lang w:eastAsia="lt-LT"/>
                </w:rPr>
                <w:t>veiklos vykdytojai. Pildant:</w:t>
              </w:r>
              <w:r>
                <w:rPr>
                  <w:rFonts w:eastAsia="Calibri"/>
                  <w:szCs w:val="24"/>
                </w:rPr>
                <w:t xml:space="preserve"> </w:t>
              </w:r>
            </w:p>
            <w:p>
              <w:pPr>
                <w:ind w:firstLine="567"/>
                <w:jc w:val="both"/>
                <w:rPr>
                  <w:rFonts w:eastAsia="Calibri"/>
                  <w:szCs w:val="24"/>
                </w:rPr>
              </w:pPr>
              <w:r>
                <w:rPr>
                  <w:rFonts w:eastAsia="Calibri"/>
                  <w:szCs w:val="24"/>
                </w:rPr>
                <w:t>C.1. grafoje „Atliekos šalinimo veiklos kodas (D1–D7), D10)“ nurodomas atliekų šalinimo veiklos kodas (D1–D7), D10), vadovaujantis Atliekų tvarkymo taisyklių 2 priedu;</w:t>
              </w:r>
            </w:p>
            <w:p>
              <w:pPr>
                <w:ind w:firstLine="567"/>
                <w:jc w:val="both"/>
                <w:rPr>
                  <w:rFonts w:eastAsia="Calibri"/>
                  <w:szCs w:val="24"/>
                </w:rPr>
              </w:pPr>
              <w:r>
                <w:rPr>
                  <w:rFonts w:eastAsia="Calibri"/>
                  <w:szCs w:val="24"/>
                </w:rPr>
                <w:t>C.2. grafoje „Projektinis įrenginio pajėgumas“ nurodomas projektinis įrenginio pajėgumas. Sąvartynus eksploatuojantys veiklos vykdytojai nurodo įrenginio projektinį pajėgumą per visą sąvartyno eksploatavimo laikotarpį tonomis. Atliekų deginimo ar atliekų bendro deginimo įrenginius eksploatuojantys veiklos vykdytojai nurodo atliekų deginimo ar bendro atliekų deginimo įrenginio pajėgumą tonomis per metus;</w:t>
              </w:r>
            </w:p>
            <w:p>
              <w:pPr>
                <w:ind w:firstLine="567"/>
                <w:jc w:val="both"/>
                <w:rPr>
                  <w:rFonts w:eastAsia="Calibri"/>
                  <w:szCs w:val="24"/>
                </w:rPr>
              </w:pPr>
              <w:r>
                <w:rPr>
                  <w:rFonts w:eastAsia="Calibri"/>
                  <w:szCs w:val="24"/>
                </w:rPr>
                <w:t>C.3. grafoje „Didžiausias numatomas šalinti bendras atliekų kiekis, t/m.“ nurodomas didžiausias bendras (suminis visų šalinamų atliekų kiekis) numatomas šalinti atliekų kiekis tonomis per metus. Pavojingųjų atliekų atveju nurodomas bendras šalinamų kiekvieno pavojingųjų atliekų technologinio srauto atliekų kiekis tonomis per metus.</w:t>
              </w:r>
            </w:p>
            <w:p>
              <w:pPr>
                <w:ind w:firstLine="567"/>
                <w:jc w:val="both"/>
                <w:rPr>
                  <w:rFonts w:eastAsia="Calibri"/>
                  <w:szCs w:val="24"/>
                </w:rPr>
              </w:pPr>
              <w:r>
                <w:rPr>
                  <w:rFonts w:eastAsia="Calibri"/>
                  <w:szCs w:val="24"/>
                </w:rPr>
                <w:t xml:space="preserve">D. 25, 30 lenteles pildo </w:t>
              </w:r>
              <w:r>
                <w:rPr>
                  <w:szCs w:val="24"/>
                  <w:lang w:eastAsia="lt-LT"/>
                </w:rPr>
                <w:t xml:space="preserve">numatantys </w:t>
              </w:r>
              <w:r>
                <w:rPr>
                  <w:rFonts w:eastAsia="Calibri"/>
                  <w:szCs w:val="24"/>
                </w:rPr>
                <w:t xml:space="preserve">atliekas </w:t>
              </w:r>
              <w:r>
                <w:rPr>
                  <w:szCs w:val="24"/>
                  <w:lang w:eastAsia="lt-LT"/>
                </w:rPr>
                <w:t xml:space="preserve">paruošti </w:t>
              </w:r>
              <w:r>
                <w:rPr>
                  <w:rFonts w:eastAsia="Calibri"/>
                  <w:szCs w:val="24"/>
                </w:rPr>
                <w:t xml:space="preserve">naudoti ir (ar) šalinti </w:t>
              </w:r>
              <w:r>
                <w:rPr>
                  <w:szCs w:val="24"/>
                  <w:lang w:eastAsia="lt-LT"/>
                </w:rPr>
                <w:t>veiklos vykdytojai. Pildant:</w:t>
              </w:r>
            </w:p>
            <w:p>
              <w:pPr>
                <w:ind w:firstLine="567"/>
                <w:jc w:val="both"/>
                <w:rPr>
                  <w:rFonts w:eastAsia="Calibri"/>
                  <w:szCs w:val="24"/>
                </w:rPr>
              </w:pPr>
              <w:r>
                <w:rPr>
                  <w:rFonts w:eastAsia="Calibri"/>
                  <w:szCs w:val="24"/>
                </w:rPr>
                <w:t>D.1. grafoje „</w:t>
              </w:r>
              <w:r>
                <w:rPr>
                  <w:szCs w:val="24"/>
                  <w:lang w:eastAsia="lt-LT"/>
                </w:rPr>
                <w:t>Atliekų</w:t>
              </w:r>
              <w:r>
                <w:rPr>
                  <w:rFonts w:eastAsia="Calibri"/>
                  <w:szCs w:val="24"/>
                </w:rPr>
                <w:t xml:space="preserve"> </w:t>
              </w:r>
              <w:r>
                <w:rPr>
                  <w:szCs w:val="24"/>
                  <w:lang w:eastAsia="lt-LT"/>
                </w:rPr>
                <w:t>tvarkymo</w:t>
              </w:r>
              <w:r>
                <w:rPr>
                  <w:rFonts w:eastAsia="Calibri"/>
                  <w:szCs w:val="24"/>
                </w:rPr>
                <w:t xml:space="preserve"> veiklos kodas (D8, D9, D13, D14, R12, S5)“ nurodomas atliekų paruošimo naudoti ir (ar) šalinti kodas (D8, D9, D13, D14, R12, S5), vadovaujantis Atliekų tvarkymo taisyklių 2 priedu;</w:t>
              </w:r>
            </w:p>
            <w:p>
              <w:pPr>
                <w:ind w:firstLine="567"/>
                <w:jc w:val="both"/>
                <w:rPr>
                  <w:rFonts w:eastAsia="Calibri"/>
                  <w:szCs w:val="24"/>
                </w:rPr>
              </w:pPr>
              <w:r>
                <w:rPr>
                  <w:rFonts w:eastAsia="Calibri"/>
                  <w:szCs w:val="24"/>
                </w:rPr>
                <w:t>D.2. grafoje „Projektinis įrenginio pajėgumas, t/m.“ nurodomas paruošimo naudoti ir (ar) šalinti projektinis įrenginio pajėgumas tonomis per metus.</w:t>
              </w:r>
            </w:p>
            <w:p>
              <w:pPr>
                <w:ind w:firstLine="567"/>
                <w:jc w:val="both"/>
                <w:rPr>
                  <w:rFonts w:eastAsia="Calibri"/>
                  <w:szCs w:val="24"/>
                </w:rPr>
              </w:pPr>
              <w:r>
                <w:rPr>
                  <w:color w:val="000000"/>
                  <w:szCs w:val="24"/>
                  <w:lang w:eastAsia="lt-LT"/>
                </w:rPr>
                <w:t xml:space="preserve">E. 26 ir 31 lenteles pildo </w:t>
              </w:r>
              <w:r>
                <w:rPr>
                  <w:szCs w:val="24"/>
                  <w:lang w:eastAsia="lt-LT"/>
                </w:rPr>
                <w:t xml:space="preserve">veiklos vykdytojai, planuojantys vykdyti  naudoti ir (ar) šalinti skirtų atliekų laikymą ( „atliekų laikymas“ suprantamas taip, kaip apibrėžta Lietuvos Respublikos atliekų tvarkymo įstatyme). Lentelėje turi būti nurodomos įmonės numatomos laikyti atliekos ir atliekos, kurios susidarys atliekas apdorojant. Jei paraiška rengiama norint gauti leidimą kelių įrenginių eksploatavimui</w:t>
              </w:r>
              <w:r>
                <w:rPr>
                  <w:lang w:eastAsia="lt-LT"/>
                </w:rPr>
                <w:t>,</w:t>
              </w:r>
              <w:r>
                <w:rPr>
                  <w:szCs w:val="24"/>
                  <w:lang w:eastAsia="lt-LT"/>
                </w:rPr>
                <w:t xml:space="preserve"> kiekvienam įrenginiui pildoma atskira lentelė. Pildant</w:t>
              </w:r>
              <w:r>
                <w:rPr>
                  <w:rFonts w:eastAsia="Calibri"/>
                  <w:szCs w:val="24"/>
                </w:rPr>
                <w:t>:</w:t>
              </w:r>
            </w:p>
            <w:p>
              <w:pPr>
                <w:ind w:firstLine="567"/>
                <w:jc w:val="both"/>
                <w:rPr>
                  <w:rFonts w:eastAsia="Calibri"/>
                  <w:szCs w:val="24"/>
                </w:rPr>
              </w:pPr>
              <w:r>
                <w:rPr>
                  <w:rFonts w:eastAsia="Calibri"/>
                  <w:szCs w:val="24"/>
                </w:rPr>
                <w:t>E.1. grafoje „</w:t>
              </w:r>
              <w:r>
                <w:rPr>
                  <w:szCs w:val="24"/>
                  <w:lang w:eastAsia="lt-LT"/>
                </w:rPr>
                <w:t>Atliekų tvarkymo</w:t>
              </w:r>
              <w:r>
                <w:rPr>
                  <w:rFonts w:eastAsia="Calibri"/>
                  <w:szCs w:val="24"/>
                </w:rPr>
                <w:t xml:space="preserve"> veiklos kodas (R13 ir (ar) D15)“ nurodomas atliekų laikymo veiklos kodas (R13 ir (ar) D15), vadovaujantis Atliekų tvarkymo taisyklių 2 priedu;</w:t>
              </w:r>
            </w:p>
            <w:p>
              <w:pPr>
                <w:ind w:firstLine="567"/>
                <w:jc w:val="both"/>
                <w:rPr>
                  <w:rFonts w:eastAsia="Calibri"/>
                  <w:szCs w:val="24"/>
                </w:rPr>
              </w:pPr>
              <w:r>
                <w:rPr>
                  <w:rFonts w:eastAsia="Calibri"/>
                  <w:szCs w:val="24"/>
                </w:rPr>
                <w:t xml:space="preserve">E.2. grafoje „Didžiausias vienu metu numatomas laikyti bendras atliekų, įskaitant susidarančias apdorojimo metu, kiekis, t“ nurodomas didžiausias vienu metu numatomas laikyti bendras (suminis) visų planuojamų laikyti atliekų </w:t>
              </w:r>
              <w:r>
                <w:rPr>
                  <w:szCs w:val="24"/>
                  <w:lang w:eastAsia="lt-LT"/>
                </w:rPr>
                <w:t>ir</w:t>
              </w:r>
              <w:r>
                <w:rPr>
                  <w:rFonts w:eastAsia="Calibri"/>
                  <w:szCs w:val="24"/>
                </w:rPr>
                <w:t xml:space="preserve"> </w:t>
              </w:r>
              <w:r>
                <w:rPr>
                  <w:szCs w:val="24"/>
                  <w:lang w:eastAsia="lt-LT"/>
                </w:rPr>
                <w:t>atliekų, kurios susidarys tvarkant atliekas,</w:t>
              </w:r>
              <w:r>
                <w:rPr>
                  <w:rFonts w:eastAsia="Calibri"/>
                  <w:szCs w:val="24"/>
                </w:rPr>
                <w:t xml:space="preserve"> kiekis tonomis. Pavojingųjų atliekų atveju nurodomas bendras (suminis) kiekvieno pavojingųjų atliekų technologinio srauto atliekų kiekis.</w:t>
              </w:r>
            </w:p>
            <w:p>
              <w:pPr>
                <w:ind w:firstLine="567"/>
                <w:jc w:val="both"/>
                <w:rPr>
                  <w:rFonts w:eastAsia="Calibri"/>
                  <w:szCs w:val="24"/>
                </w:rPr>
              </w:pPr>
              <w:r>
                <w:rPr>
                  <w:rFonts w:eastAsia="Calibri"/>
                  <w:szCs w:val="24"/>
                </w:rPr>
                <w:t xml:space="preserve">F. 27, 32 lenteles pildo </w:t>
              </w:r>
              <w:r>
                <w:rPr>
                  <w:szCs w:val="24"/>
                  <w:lang w:eastAsia="lt-LT"/>
                </w:rPr>
                <w:t>veiklos vykdytojai,</w:t>
              </w:r>
              <w:r>
                <w:rPr>
                  <w:rFonts w:eastAsia="Calibri"/>
                  <w:szCs w:val="24"/>
                </w:rPr>
                <w:t xml:space="preserve"> </w:t>
              </w:r>
              <w:r>
                <w:rPr>
                  <w:szCs w:val="24"/>
                  <w:lang w:eastAsia="lt-LT"/>
                </w:rPr>
                <w:t xml:space="preserve">kurie </w:t>
              </w:r>
              <w:r>
                <w:rPr>
                  <w:rFonts w:eastAsia="Calibri"/>
                  <w:szCs w:val="24"/>
                </w:rPr>
                <w:t>ne atliekų tvarkymo metu pavojingąsias atliekas jų susidarymo vietoje laiko ilgiau kaip šešis mėnesius, o nepavojingąsias – ilgiau kaip vienus metus iki surinkimo (S8). Pildant:</w:t>
              </w:r>
            </w:p>
            <w:p>
              <w:pPr>
                <w:ind w:firstLine="567"/>
                <w:jc w:val="both"/>
              </w:pPr>
              <w:r>
                <w:rPr>
                  <w:rFonts w:eastAsia="Calibri"/>
                  <w:szCs w:val="24"/>
                </w:rPr>
                <w:t>F.1. grafoje „Didžiausias vienu metu numatomas laikyti bendras atliekų kiekis, t“ nurodomas didžiausias vienu metu numatomas laikyti bendras (suminis) nepavojingųjų atliekų jų susidarymo vietoje kiekis tonomis. Pavojingųjų atliekų atveju nurodomas bendras (suminis) kiekvieno pavojingųjų atliekų technologinio srauto atliekų kiekis.</w:t>
              </w:r>
              <w:r>
                <w:t xml:space="preserve"> </w:t>
              </w:r>
            </w:p>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e6e470accc11e78a4c904b1afa0332">
                <w:r w:rsidRPr="00532B9F">
                  <w:rPr>
                    <w:rFonts w:ascii="Arial" w:eastAsia="MS Mincho" w:hAnsi="Arial"/>
                    <w:sz w:val="20"/>
                    <w:i/>
                    <w:iCs/>
                    <w:color w:val="0000FF" w:themeColor="hyperlink"/>
                    <w:u w:val="single"/>
                  </w:rPr>
                  <w:t>D1-798</w:t>
                </w:r>
              </w:fldSimple>
              <w:r>
                <w:rPr>
                  <w:rFonts w:ascii="Arial" w:eastAsia="MS Mincho" w:hAnsi="Arial"/>
                  <w:sz w:val="20"/>
                  <w:i/>
                  <w:iCs/>
                </w:rPr>
                <w:t>,
2017-09-29,
paskelbta TAR 2017-10-09, i. k. 2017-15989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a5344301d2e11edb4cae1b158f98ea5">
                <w:r w:rsidRPr="00532B9F">
                  <w:rPr>
                    <w:rFonts w:ascii="Arial" w:eastAsia="MS Mincho" w:hAnsi="Arial"/>
                    <w:sz w:val="20"/>
                    <w:i/>
                    <w:iCs/>
                    <w:color w:val="0000FF" w:themeColor="hyperlink"/>
                    <w:u w:val="single"/>
                  </w:rPr>
                  <w:t>D1-263</w:t>
                </w:r>
              </w:fldSimple>
              <w:r>
                <w:rPr>
                  <w:rFonts w:ascii="Arial" w:eastAsia="MS Mincho" w:hAnsi="Arial"/>
                  <w:sz w:val="20"/>
                  <w:i/>
                  <w:iCs/>
                </w:rPr>
                <w:t>,
2022-08-16,
paskelbta TAR 2022-08-16, i. k. 2022-17141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de6aa8006dd11efbcbfb318996800a8">
                <w:r w:rsidRPr="00532B9F">
                  <w:rPr>
                    <w:rFonts w:ascii="Arial" w:eastAsia="MS Mincho" w:hAnsi="Arial"/>
                    <w:sz w:val="20"/>
                    <w:i/>
                    <w:iCs/>
                    <w:color w:val="0000FF" w:themeColor="hyperlink"/>
                    <w:u w:val="single"/>
                  </w:rPr>
                  <w:t>D1-143</w:t>
                </w:r>
              </w:fldSimple>
              <w:r>
                <w:rPr>
                  <w:rFonts w:ascii="Arial" w:eastAsia="MS Mincho" w:hAnsi="Arial"/>
                  <w:sz w:val="20"/>
                  <w:i/>
                  <w:iCs/>
                </w:rPr>
                <w:t>,
2024-04-30,
paskelbta TAR 2024-04-30, i. k. 2024-08081            </w:t>
              </w:r>
            </w:p>
            <w:p/>
          </w:sdtContent>
        </w:sdt>
        <w:sdt>
          <w:sdtPr>
            <w:alias w:val="skirsnis"/>
            <w:tag w:val="part_2c8b4944d8cd4cdda39070f8360f4fe5"/>
            <w:lock w:val="sdtLocked"/>
            <w:richText/>
          </w:sdtPr>
          <w:sdtContent>
            <w:p>
              <w:pPr>
                <w:suppressAutoHyphens/>
                <w:jc w:val="center"/>
                <w:rPr>
                  <w:b/>
                  <w:lang w:eastAsia="lt-LT"/>
                </w:rPr>
              </w:pPr>
              <w:sdt>
                <w:sdtPr>
                  <w:alias w:val="Pavadinimas"/>
                  <w:tag w:val="title_2c8b4944d8cd4cdda39070f8360f4fe5"/>
                  <w:lock w:val="sdtLocked"/>
                  <w:richText/>
                </w:sdtPr>
                <w:sdtContent>
                  <w:r>
                    <w:rPr>
                      <w:b/>
                      <w:lang w:eastAsia="lt-LT"/>
                    </w:rPr>
                    <w:t>XII PARAIŠKOS DALIES „TRIUKŠMO SKLIDIMAS IR KVAPŲ KONTROLĖ“ PILDYMAS</w:t>
                  </w:r>
                </w:sdtContent>
              </w:sdt>
            </w:p>
            <w:p>
              <w:pPr>
                <w:suppressAutoHyphens/>
                <w:jc w:val="both"/>
                <w:rPr>
                  <w:lang w:eastAsia="lt-LT"/>
                </w:rPr>
              </w:pPr>
            </w:p>
            <w:sdt>
              <w:sdtPr>
                <w:alias w:val="1 p."/>
                <w:tag w:val="part_21a5cbf1a2c4468394c61a6401a5495d"/>
                <w:lock w:val="sdtLocked"/>
                <w:richText/>
              </w:sdtPr>
              <w:sdtContent>
                <w:p>
                  <w:pPr>
                    <w:suppressAutoHyphens/>
                    <w:ind w:firstLine="567"/>
                    <w:jc w:val="both"/>
                    <w:rPr>
                      <w:lang w:eastAsia="lt-LT"/>
                    </w:rPr>
                  </w:pPr>
                  <w:sdt>
                    <w:sdtPr>
                      <w:alias w:val="Numeris"/>
                      <w:tag w:val="nr_21a5cbf1a2c4468394c61a6401a5495d"/>
                      <w:lock w:val="sdtLocked"/>
                      <w:richText/>
                    </w:sdtPr>
                    <w:sdtContent>
                      <w:r>
                        <w:rPr>
                          <w:lang w:eastAsia="lt-LT"/>
                        </w:rPr>
                        <w:t>1</w:t>
                      </w:r>
                    </w:sdtContent>
                  </w:sdt>
                  <w:r>
                    <w:rPr>
                      <w:lang w:eastAsia="lt-LT"/>
                    </w:rPr>
                    <w:t xml:space="preserve">. Įrenginyje vykdomos veiklos atveju stacionarių kvapų šaltinių fiziniai duomenys 33 lentelėje nurodomi iš inventorizacijos ataskaitos, parengtos </w:t>
                  </w:r>
                  <w:r>
                    <w:t>pagal Aplinkos oro taršos šaltinių ir iš jų išmetamų teršalų inventorizacijos ir ataskaitų teikimo taisykles</w:t>
                  </w:r>
                  <w:r>
                    <w:rPr>
                      <w:lang w:eastAsia="lt-LT"/>
                    </w:rPr>
                    <w:t>: įrenginyje planuojamos vykdyti veiklos atveju – iš planuojamos ūkinės veiklos poveikio aplinkai vertinimo dokumentų, įrenginio techninių dokumentų, planuojamos ūkinės veiklos poveikio visuomenės sveikatai vertinimo dokumentų, statinio projektų, kai planuojamos ūkinės veiklos poveikio aplinkai vertinimo procedūros neprivalomos. 33 lentelės skiltis „Kvapo emisijos rodiklis“ pildoma iš planuojamos ūkinės veiklos poveikio aplinkai vertinimo dokumentų, įrenginio techninių dokumentų, planuojamos ūkinės veiklos poveikio visuomenės sveikatai vertinimo dokumentų, statybos projektų ir (ar) pagal kvapų matavimo stacionariuose kvapų šaltiniuose duomenis. Jei kvapo emisijos rodiklis apskaičiuojamas, turi būti užtikrinama, kad kvapo koncentracija prie artimiausio receptoriaus (pritaikius apskaičiuotąjį kvapo emisijos rodiklį) neviršytų nustatytos kvapo koncentracijos ribinės vertės.</w:t>
                  </w:r>
                </w:p>
              </w:sdtContent>
            </w:sdt>
            <w:sdt>
              <w:sdtPr>
                <w:alias w:val="2 p."/>
                <w:tag w:val="part_a32e54c4ade9456da69ca0d50c888cf9"/>
                <w:lock w:val="sdtLocked"/>
                <w:richText/>
              </w:sdtPr>
              <w:sdtContent>
                <w:p>
                  <w:pPr>
                    <w:suppressAutoHyphens/>
                    <w:ind w:firstLine="567"/>
                    <w:jc w:val="both"/>
                    <w:rPr>
                      <w:lang w:eastAsia="lt-LT"/>
                    </w:rPr>
                  </w:pPr>
                  <w:sdt>
                    <w:sdtPr>
                      <w:alias w:val="Numeris"/>
                      <w:tag w:val="nr_a32e54c4ade9456da69ca0d50c888cf9"/>
                      <w:lock w:val="sdtLocked"/>
                      <w:richText/>
                    </w:sdtPr>
                    <w:sdtContent>
                      <w:r>
                        <w:rPr>
                          <w:lang w:eastAsia="lt-LT"/>
                        </w:rPr>
                        <w:t>2</w:t>
                      </w:r>
                    </w:sdtContent>
                  </w:sdt>
                  <w:r>
                    <w:rPr>
                      <w:lang w:eastAsia="lt-LT"/>
                    </w:rPr>
                    <w:t xml:space="preserve">. Įrenginiui, kuriame taikomos kvapų valdymo (mažinimo) priemonės, 34 lentelėje pateikta forma pateikiama informacija apie kvapų šaltiniuose taikomas kvapų valdymo (mažinimo) priemones, jų efektyvumą (proc.), numatomą kvapo emisijos rodiklį įdiegus ir taikant nurodytas kvapų valdymo (mažinimo) priemones. „Kvapų valdymo (mažinimo) priemonės“ efektyvumo skiltis pildoma atsižvelgiant į kvapų mažinimo priemonių efektyvumą, nurodytą GPGB, Lietuvos Respublikos ar kitų šalių teisės aktuose ar rekomendacijose, mokslinių tyrimų duomenis, įrenginių techninėse specifikacijose ir kt. </w:t>
                  </w:r>
                </w:p>
              </w:sdtContent>
            </w:sdt>
            <w:sdt>
              <w:sdtPr>
                <w:alias w:val="3 p."/>
                <w:tag w:val="part_f16e519aed324c4ca2653255d3caf45f"/>
                <w:lock w:val="sdtLocked"/>
                <w:richText/>
              </w:sdtPr>
              <w:sdtContent>
                <w:p>
                  <w:pPr>
                    <w:suppressAutoHyphens/>
                    <w:ind w:firstLine="567"/>
                    <w:jc w:val="both"/>
                    <w:rPr>
                      <w:lang w:eastAsia="lt-LT"/>
                    </w:rPr>
                  </w:pPr>
                  <w:sdt>
                    <w:sdtPr>
                      <w:alias w:val="Numeris"/>
                      <w:tag w:val="nr_f16e519aed324c4ca2653255d3caf45f"/>
                      <w:lock w:val="sdtLocked"/>
                      <w:richText/>
                    </w:sdtPr>
                    <w:sdtContent>
                      <w:r>
                        <w:rPr>
                          <w:lang w:eastAsia="lt-LT"/>
                        </w:rPr>
                        <w:t>3</w:t>
                      </w:r>
                    </w:sdtContent>
                  </w:sdt>
                  <w:r>
                    <w:rPr>
                      <w:lang w:eastAsia="lt-LT"/>
                    </w:rPr>
                    <w:t>. 35 lentelėje „Kvapų valdymo (mažinimo) priemonių efektyvumas prie artimiausių jautrių receptorių“ atsižvelgiant į 1 ir 2 punktuose pateiktus paaiškinimus, teikiama informacija apie įrenginio (ūkinės veiklos) skleidžiamą (apskaičiuotą ar stacionariuose taršos kvapais šaltiniuose išmatuotą ir sumodeliuotą) kvapo koncentraciją (OUE/m</w:t>
                  </w:r>
                  <w:r>
                    <w:rPr>
                      <w:vertAlign w:val="superscript"/>
                      <w:lang w:eastAsia="lt-LT"/>
                    </w:rPr>
                    <w:t>3</w:t>
                  </w:r>
                  <w:r>
                    <w:rPr>
                      <w:lang w:eastAsia="lt-LT"/>
                    </w:rPr>
                    <w:t>) prie artimiausio jautraus receptoriaus (artimiausioje gyvenamojoje aplinkoje). 35 lentelės skiltis „Nustatyta kvapo koncentracija (OUE/m</w:t>
                  </w:r>
                  <w:r>
                    <w:rPr>
                      <w:vertAlign w:val="superscript"/>
                      <w:lang w:eastAsia="lt-LT"/>
                    </w:rPr>
                    <w:t>3</w:t>
                  </w:r>
                  <w:r>
                    <w:rPr>
                      <w:lang w:eastAsia="lt-LT"/>
                    </w:rPr>
                    <w:t>) prie artimiausio jautraus receptoriaus“ pildoma atsižvelgiant į kvapų sklaidos modeliavimo (skaičiavimo) rezultatus pritaikius 34 lentelės skilties „Numatomas (prašomas leisti) kvapo emisijos rodiklis OUE/s, OUE/m/s, OUE/m</w:t>
                  </w:r>
                  <w:r>
                    <w:rPr>
                      <w:vertAlign w:val="superscript"/>
                      <w:lang w:eastAsia="lt-LT"/>
                    </w:rPr>
                    <w:t>2</w:t>
                  </w:r>
                  <w:r>
                    <w:rPr>
                      <w:lang w:eastAsia="lt-LT"/>
                    </w:rPr>
                    <w:t>/s, OUE/m</w:t>
                  </w:r>
                  <w:r>
                    <w:rPr>
                      <w:vertAlign w:val="superscript"/>
                      <w:lang w:eastAsia="lt-LT"/>
                    </w:rPr>
                    <w:t>3</w:t>
                  </w:r>
                  <w:r>
                    <w:rPr>
                      <w:lang w:eastAsia="lt-LT"/>
                    </w:rPr>
                    <w:t>/s“ duomenis.</w:t>
                  </w:r>
                </w:p>
              </w:sdtContent>
            </w:sdt>
            <w:sdt>
              <w:sdtPr>
                <w:alias w:val="4 p."/>
                <w:tag w:val="part_dd652655b53c4d4984821702e391eef2"/>
                <w:lock w:val="sdtLocked"/>
                <w:richText/>
              </w:sdtPr>
              <w:sdtContent>
                <w:p>
                  <w:pPr>
                    <w:suppressAutoHyphens/>
                    <w:ind w:firstLine="567"/>
                    <w:jc w:val="both"/>
                    <w:rPr>
                      <w:lang w:eastAsia="lt-LT"/>
                    </w:rPr>
                  </w:pPr>
                  <w:sdt>
                    <w:sdtPr>
                      <w:alias w:val="Numeris"/>
                      <w:tag w:val="nr_dd652655b53c4d4984821702e391eef2"/>
                      <w:lock w:val="sdtLocked"/>
                      <w:richText/>
                    </w:sdtPr>
                    <w:sdtContent>
                      <w:r>
                        <w:rPr>
                          <w:lang w:eastAsia="lt-LT"/>
                        </w:rPr>
                        <w:t>4</w:t>
                      </w:r>
                    </w:sdtContent>
                  </w:sdt>
                  <w:r>
                    <w:rPr>
                      <w:lang w:eastAsia="lt-LT"/>
                    </w:rPr>
                    <w:t xml:space="preserve">. Kai kvapo koncentracijos modeliavimui ir (ar) kvapo emisijos rodikliui nustatyti stacionariame kvapų šaltinyje atliekami laboratoriniai tyrimai, oro mėginiai kvapo koncentracijai nustatyti paimami ir kvapo koncentracijos laboratoriniai tyrimai atliekami akredituotu metodu pagal Lietuvos standartą LST EN 13725:2004+AC:2006 „Oro kokybė. Kvapo koncentracijos nustatymas dinamine olfaktometrija“. </w:t>
                  </w:r>
                </w:p>
              </w:sdtContent>
            </w:sdt>
            <w:sdt>
              <w:sdtPr>
                <w:alias w:val="5 p."/>
                <w:tag w:val="part_a45d606936494a2cbfb50877c20338cf"/>
                <w:lock w:val="sdtLocked"/>
                <w:richText/>
              </w:sdtPr>
              <w:sdtContent>
                <w:p>
                  <w:pPr>
                    <w:suppressAutoHyphens/>
                    <w:ind w:firstLine="567"/>
                    <w:jc w:val="both"/>
                    <w:rPr>
                      <w:bCs/>
                      <w:color w:val="000000"/>
                      <w:szCs w:val="24"/>
                      <w:lang w:eastAsia="lt-LT"/>
                    </w:rPr>
                  </w:pPr>
                  <w:sdt>
                    <w:sdtPr>
                      <w:alias w:val="Numeris"/>
                      <w:tag w:val="nr_a45d606936494a2cbfb50877c20338cf"/>
                      <w:lock w:val="sdtLocked"/>
                      <w:richText/>
                    </w:sdtPr>
                    <w:sdtContent>
                      <w:r>
                        <w:rPr>
                          <w:lang w:eastAsia="lt-LT"/>
                        </w:rPr>
                        <w:t>5</w:t>
                      </w:r>
                    </w:sdtContent>
                  </w:sdt>
                  <w:r>
                    <w:rPr>
                      <w:lang w:eastAsia="lt-LT"/>
                    </w:rPr>
                    <w:t>. Kvapo sklaidos modeliavimas atliekamas pasirenkant skaičiavimo modelį pagal Ūkinės veiklos poveikiui aplinkos orui vertinti teršalų sklaidos skaičiavimo modelių pasirinkimo rekomendacijas, patvirtintas Aplinkos apsaugos agentūros direktoriaus 2008 m. gruodžio 9 d. įsakymu Nr. AV-200 „Dėl Ūkinės veiklos poveikiui aplinkos orui vertinti teršalų sklaidos skaičiavimo modelių pasirinkimo rekomendacijų patvirtinimo</w:t>
                  </w:r>
                  <w:r>
                    <w:t>.</w:t>
                  </w:r>
                </w:p>
              </w:sdtContent>
            </w:sdt>
            <w:p>
              <w:pPr>
                <w:pStyle w:val="PlainText"/>
                <w:rPr>
                  <w:rFonts w:ascii="Arial" w:eastAsia="MS Mincho" w:hAnsi="Arial"/>
                  <w:sz w:val="20"/>
                  <w:i/>
                  <w:iCs/>
                </w:rPr>
              </w:pPr>
              <w:r>
                <w:rPr>
                  <w:rFonts w:ascii="Arial" w:eastAsia="MS Mincho" w:hAnsi="Arial"/>
                  <w:sz w:val="20"/>
                  <w:i/>
                  <w:iCs/>
                </w:rPr>
                <w:t>Papildyta skirsniu: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f7a020c72f11ea997c9ee767e856b4">
                <w:r w:rsidRPr="00532B9F">
                  <w:rPr>
                    <w:rFonts w:ascii="Arial" w:eastAsia="MS Mincho" w:hAnsi="Arial"/>
                    <w:sz w:val="20"/>
                    <w:i/>
                    <w:iCs/>
                    <w:color w:val="0000FF" w:themeColor="hyperlink"/>
                    <w:u w:val="single"/>
                  </w:rPr>
                  <w:t>D1-424</w:t>
                </w:r>
              </w:fldSimple>
              <w:r>
                <w:rPr>
                  <w:rFonts w:ascii="Arial" w:eastAsia="MS Mincho" w:hAnsi="Arial"/>
                  <w:sz w:val="20"/>
                  <w:i/>
                  <w:iCs/>
                </w:rPr>
                <w:t>,
2020-07-16,
paskelbta TAR 2020-07-16, i. k. 2020-15851        </w:t>
              </w:r>
            </w:p>
            <w:p/>
          </w:sdtContent>
        </w:sdt>
      </w:sdtContent>
    </w:sdt>
    <w:sdt>
      <w:sdtPr>
        <w:alias w:val="7 pr."/>
        <w:tag w:val="part_a2b1c01885584e4698ff9136ee17409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sectPr>
              <w:pgSz w:w="12240" w:h="15840" w:code="1"/>
              <w:pgMar w:top="1701" w:right="1134" w:bottom="1134" w:left="1701" w:header="720" w:footer="720" w:gutter="0"/>
              <w:pgNumType w:start="1"/>
              <w:cols w:space="720"/>
              <w:noEndnote/>
              <w:titlePg/>
              <w:docGrid w:linePitch="326"/>
            </w:sect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39"/>
            <w:jc w:val="both"/>
            <w:rPr>
              <w:rFonts w:eastAsia="Calibri"/>
              <w:szCs w:val="24"/>
              <w:lang w:eastAsia="lt-LT"/>
            </w:rPr>
          </w:pPr>
          <w:r>
            <w:rPr>
              <w:rFonts w:eastAsia="Calibri"/>
              <w:szCs w:val="24"/>
              <w:lang w:eastAsia="lt-LT"/>
            </w:rPr>
            <w:t xml:space="preserve">Taršos integruotos prevencijos ir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39"/>
            <w:jc w:val="both"/>
            <w:rPr>
              <w:rFonts w:eastAsia="Calibri"/>
              <w:szCs w:val="24"/>
              <w:lang w:eastAsia="lt-LT"/>
            </w:rPr>
          </w:pPr>
          <w:r>
            <w:rPr>
              <w:rFonts w:eastAsia="Calibri"/>
              <w:szCs w:val="24"/>
              <w:lang w:eastAsia="lt-LT"/>
            </w:rPr>
            <w:t xml:space="preserve">kontrolės leidimų išdavimo, pakeitimo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39"/>
            <w:jc w:val="both"/>
            <w:rPr>
              <w:rFonts w:eastAsia="Calibri"/>
              <w:szCs w:val="24"/>
              <w:lang w:eastAsia="lt-LT"/>
            </w:rPr>
          </w:pPr>
          <w:r>
            <w:rPr>
              <w:rFonts w:eastAsia="Calibri"/>
              <w:szCs w:val="24"/>
              <w:lang w:eastAsia="lt-LT"/>
            </w:rPr>
            <w:t xml:space="preserve">ir galiojimo panaikinimo taisyklių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39"/>
            <w:jc w:val="both"/>
            <w:rPr>
              <w:rFonts w:eastAsia="Calibri"/>
              <w:szCs w:val="24"/>
              <w:lang w:eastAsia="lt-LT"/>
            </w:rPr>
          </w:pPr>
          <w:sdt>
            <w:sdtPr>
              <w:alias w:val="Numeris"/>
              <w:tag w:val="nr_a2b1c01885584e4698ff9136ee174092"/>
              <w:lock w:val="sdtLocked"/>
              <w:richText/>
            </w:sdtPr>
            <w:sdtContent>
              <w:r>
                <w:rPr>
                  <w:rFonts w:eastAsia="Calibri"/>
                  <w:szCs w:val="24"/>
                  <w:lang w:eastAsia="lt-LT"/>
                </w:rPr>
                <w:t>7</w:t>
              </w:r>
            </w:sdtContent>
          </w:sdt>
          <w:r>
            <w:rPr>
              <w:rFonts w:eastAsia="Calibri"/>
              <w:szCs w:val="24"/>
              <w:lang w:eastAsia="lt-LT"/>
            </w:rPr>
            <w:t xml:space="preserve"> priedas (informacinis)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alibri"/>
              <w:szCs w:val="24"/>
              <w:lang w:eastAsia="lt-LT"/>
            </w:rPr>
          </w:pPr>
        </w:p>
        <w:sdt>
          <w:sdtPr>
            <w:alias w:val="Pavadinimas"/>
            <w:tag w:val="title_a2b1c01885584e4698ff9136ee17409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b/>
                  <w:szCs w:val="24"/>
                  <w:lang w:eastAsia="lt-LT"/>
                </w:rPr>
              </w:pPr>
              <w:r>
                <w:rPr>
                  <w:rFonts w:eastAsia="Calibri"/>
                  <w:b/>
                  <w:szCs w:val="24"/>
                  <w:lang w:eastAsia="lt-LT"/>
                </w:rPr>
                <w:t>TARŠOS INTEGRUOTOS PREVENCIJOS IR KONTROLĖS LEIDIMO TITULINIO LAPO (VIRŠELIO) PILDYMO TVARKA</w:t>
              </w:r>
            </w:p>
          </w:sdtContent>
        </w:sd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alibri"/>
              <w:b/>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79"/>
            <w:gridCol w:w="2803"/>
            <w:gridCol w:w="2803"/>
          </w:tblGrid>
          <w:tr>
            <w:tc>
              <w:tcPr>
                <w:tcW w:w="2846" w:type="pct"/>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p>
            </w:tc>
            <w:tc>
              <w:tcPr>
                <w:tcW w:w="1077" w:type="pct"/>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Cs w:val="24"/>
                    <w:lang w:eastAsia="lt-LT"/>
                  </w:rPr>
                </w:pPr>
                <w:r>
                  <w:rPr>
                    <w:rFonts w:eastAsia="Calibri"/>
                    <w:szCs w:val="24"/>
                    <w:lang w:eastAsia="lt-LT"/>
                  </w:rPr>
                  <w:t>TIPK leidimas išduodamas ar keičiamas Taisyklėse nustatyta tvarka</w:t>
                </w:r>
              </w:p>
            </w:tc>
            <w:tc>
              <w:tcPr>
                <w:tcW w:w="1077" w:type="pct"/>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Cs w:val="24"/>
                    <w:lang w:eastAsia="lt-LT"/>
                  </w:rPr>
                </w:pPr>
                <w:r>
                  <w:rPr>
                    <w:rFonts w:eastAsia="Calibri"/>
                    <w:szCs w:val="24"/>
                    <w:lang w:eastAsia="lt-LT"/>
                  </w:rPr>
                  <w:t>TIPK leidimas, išduotas vadovaujantis 2002 m. TIPK taisyklėmis, keičiamas taisyklėse nustatyta tvarka</w:t>
                </w:r>
              </w:p>
            </w:tc>
          </w:tr>
          <w:tr>
            <w:tc>
              <w:tcPr>
                <w:tcW w:w="2846" w:type="pct"/>
              </w:tcPr>
              <w:p>
                <w:pPr>
                  <w:jc w:val="center"/>
                  <w:rPr>
                    <w:b/>
                    <w:sz w:val="22"/>
                    <w:szCs w:val="22"/>
                    <w:lang w:eastAsia="lt-LT"/>
                  </w:rPr>
                </w:pPr>
                <w:r>
                  <w:rPr>
                    <w:b/>
                    <w:sz w:val="22"/>
                    <w:szCs w:val="22"/>
                    <w:lang w:eastAsia="lt-LT"/>
                  </w:rPr>
                  <w:t>(Taršos integruotos prevencijos ir kontrolės leidimo formos pavyzdys)</w:t>
                </w:r>
              </w:p>
              <w:p>
                <w:pPr>
                  <w:jc w:val="center"/>
                  <w:rPr>
                    <w:b/>
                    <w:sz w:val="22"/>
                    <w:szCs w:val="22"/>
                    <w:lang w:eastAsia="lt-LT"/>
                  </w:rPr>
                </w:pPr>
              </w:p>
              <w:p>
                <w:pPr>
                  <w:jc w:val="center"/>
                  <w:rPr>
                    <w:sz w:val="22"/>
                    <w:szCs w:val="22"/>
                    <w:lang w:eastAsia="lt-LT"/>
                  </w:rPr>
                </w:pPr>
                <w:r>
                  <w:rPr>
                    <w:sz w:val="22"/>
                    <w:szCs w:val="22"/>
                    <w:lang w:eastAsia="ko-KR"/>
                  </w:rPr>
                  <w:drawing>
                    <wp:inline distT="0" distB="0" distL="0" distR="0">
                      <wp:extent cx="523875" cy="619125"/>
                      <wp:effectExtent l="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jc w:val="center"/>
                  <w:rPr>
                    <w:b/>
                    <w:sz w:val="22"/>
                    <w:szCs w:val="22"/>
                    <w:lang w:eastAsia="lt-LT"/>
                  </w:rPr>
                </w:pPr>
                <w:r>
                  <w:rPr>
                    <w:b/>
                    <w:sz w:val="22"/>
                    <w:szCs w:val="22"/>
                    <w:lang w:eastAsia="lt-LT"/>
                  </w:rPr>
                  <w:t>APLINKOS APSAUGOS AGENTŪRA</w:t>
                </w:r>
              </w:p>
              <w:p>
                <w:pPr>
                  <w:jc w:val="center"/>
                  <w:rPr>
                    <w:b/>
                    <w:sz w:val="22"/>
                    <w:szCs w:val="22"/>
                    <w:lang w:eastAsia="lt-LT"/>
                  </w:rPr>
                </w:pPr>
              </w:p>
              <w:p>
                <w:pPr>
                  <w:jc w:val="center"/>
                  <w:rPr>
                    <w:b/>
                    <w:sz w:val="22"/>
                    <w:szCs w:val="22"/>
                    <w:lang w:eastAsia="lt-LT"/>
                  </w:rPr>
                </w:pPr>
                <w:r>
                  <w:rPr>
                    <w:b/>
                    <w:sz w:val="22"/>
                    <w:szCs w:val="22"/>
                    <w:lang w:eastAsia="lt-LT"/>
                  </w:rPr>
                  <w:t>TARŠOS INTEGRUOTOS PREVENCIJOS IR KONTROLĖS</w:t>
                </w:r>
              </w:p>
              <w:p>
                <w:pPr>
                  <w:jc w:val="center"/>
                  <w:rPr>
                    <w:b/>
                    <w:sz w:val="22"/>
                    <w:szCs w:val="22"/>
                    <w:lang w:eastAsia="lt-LT"/>
                  </w:rPr>
                </w:pPr>
                <w:r>
                  <w:rPr>
                    <w:b/>
                    <w:sz w:val="22"/>
                    <w:szCs w:val="22"/>
                    <w:lang w:eastAsia="lt-LT"/>
                  </w:rPr>
                  <w:t>LEIDIMAS Nr._____________________</w:t>
                </w:r>
              </w:p>
              <w:p>
                <w:pPr>
                  <w:jc w:val="center"/>
                  <w:rPr>
                    <w:b/>
                    <w:sz w:val="22"/>
                    <w:szCs w:val="22"/>
                    <w:lang w:eastAsia="lt-LT"/>
                  </w:rPr>
                </w:pPr>
              </w:p>
              <w:p>
                <w:pPr>
                  <w:suppressAutoHyphens/>
                  <w:jc w:val="right"/>
                  <w:textAlignment w:val="baseline"/>
                  <w:rPr>
                    <w:sz w:val="22"/>
                    <w:szCs w:val="22"/>
                    <w:lang w:eastAsia="lt-LT"/>
                  </w:rPr>
                </w:pPr>
              </w:p>
              <w:p>
                <w:pPr>
                  <w:suppressAutoHyphens/>
                  <w:jc w:val="right"/>
                  <w:textAlignment w:val="baseline"/>
                  <w:rPr>
                    <w:sz w:val="22"/>
                    <w:szCs w:val="22"/>
                    <w:lang w:eastAsia="lt-LT"/>
                  </w:rPr>
                </w:pPr>
              </w:p>
              <w:p>
                <w:pPr>
                  <w:suppressAutoHyphens/>
                  <w:jc w:val="right"/>
                  <w:textAlignment w:val="baseline"/>
                  <w:rPr>
                    <w:sz w:val="22"/>
                    <w:szCs w:val="22"/>
                    <w:lang w:eastAsia="lt-LT"/>
                  </w:rPr>
                </w:pPr>
              </w:p>
              <w:p>
                <w:pPr>
                  <w:suppressAutoHyphens/>
                  <w:jc w:val="right"/>
                  <w:textAlignment w:val="baseline"/>
                  <w:rPr>
                    <w:sz w:val="22"/>
                    <w:szCs w:val="22"/>
                    <w:lang w:eastAsia="lt-LT"/>
                  </w:rPr>
                </w:pPr>
              </w:p>
              <w:p>
                <w:pPr>
                  <w:suppressAutoHyphens/>
                  <w:jc w:val="right"/>
                  <w:textAlignment w:val="baseline"/>
                  <w:rPr>
                    <w:sz w:val="22"/>
                    <w:szCs w:val="22"/>
                    <w:lang w:eastAsia="lt-LT"/>
                  </w:rPr>
                </w:pPr>
              </w:p>
              <w:p>
                <w:pPr>
                  <w:suppressAutoHyphens/>
                  <w:jc w:val="right"/>
                  <w:textAlignment w:val="baseline"/>
                  <w:rPr>
                    <w:sz w:val="22"/>
                    <w:szCs w:val="22"/>
                    <w:lang w:eastAsia="lt-LT"/>
                  </w:rPr>
                </w:pPr>
                <w:r>
                  <w:rPr>
                    <w:sz w:val="22"/>
                    <w:szCs w:val="22"/>
                    <w:lang w:eastAsia="lt-LT"/>
                  </w:rPr>
                  <w:t>[ ] [ ] [ ] [ ] [ ] [ ] [ ] [ ] [ ]</w:t>
                </w:r>
              </w:p>
              <w:p>
                <w:pPr>
                  <w:suppressAutoHyphens/>
                  <w:jc w:val="right"/>
                  <w:textAlignment w:val="baseline"/>
                  <w:rPr>
                    <w:sz w:val="22"/>
                    <w:szCs w:val="22"/>
                    <w:lang w:eastAsia="lt-LT"/>
                  </w:rPr>
                </w:pPr>
                <w:r>
                  <w:rPr>
                    <w:sz w:val="22"/>
                    <w:szCs w:val="22"/>
                    <w:lang w:eastAsia="lt-LT"/>
                  </w:rPr>
                  <w:t>(Juridinio asmens kodas)</w:t>
                </w:r>
              </w:p>
              <w:p>
                <w:pPr>
                  <w:tabs>
                    <w:tab w:val="right" w:leader="underscore" w:pos="9072"/>
                  </w:tabs>
                  <w:jc w:val="center"/>
                  <w:rPr>
                    <w:sz w:val="22"/>
                    <w:szCs w:val="22"/>
                    <w:lang w:eastAsia="lt-LT"/>
                  </w:rPr>
                </w:pPr>
              </w:p>
              <w:p>
                <w:pPr>
                  <w:tabs>
                    <w:tab w:val="right" w:leader="underscore" w:pos="9072"/>
                  </w:tabs>
                  <w:jc w:val="center"/>
                  <w:rPr>
                    <w:sz w:val="22"/>
                    <w:szCs w:val="22"/>
                    <w:lang w:eastAsia="lt-LT"/>
                  </w:rPr>
                </w:pPr>
                <w:r>
                  <w:rPr>
                    <w:sz w:val="22"/>
                    <w:szCs w:val="22"/>
                    <w:lang w:eastAsia="lt-LT"/>
                  </w:rPr>
                  <w:t>_</w:t>
                  <w:tab/>
                </w:r>
              </w:p>
              <w:p>
                <w:pPr>
                  <w:tabs>
                    <w:tab w:val="right" w:leader="underscore" w:pos="9072"/>
                  </w:tabs>
                  <w:jc w:val="center"/>
                  <w:rPr>
                    <w:sz w:val="22"/>
                    <w:szCs w:val="22"/>
                    <w:lang w:eastAsia="lt-LT"/>
                  </w:rPr>
                </w:pPr>
                <w:r>
                  <w:rPr>
                    <w:sz w:val="22"/>
                    <w:szCs w:val="22"/>
                    <w:lang w:eastAsia="lt-LT"/>
                  </w:rPr>
                  <w:t>(ūkinės veiklos objekto pavadinimas, adresas, telefonas)</w:t>
                </w:r>
              </w:p>
              <w:p>
                <w:pPr>
                  <w:tabs>
                    <w:tab w:val="right" w:leader="underscore" w:pos="9072"/>
                  </w:tabs>
                  <w:jc w:val="center"/>
                  <w:rPr>
                    <w:sz w:val="22"/>
                    <w:szCs w:val="22"/>
                    <w:lang w:eastAsia="lt-LT"/>
                  </w:rPr>
                </w:pPr>
              </w:p>
              <w:p>
                <w:pPr>
                  <w:tabs>
                    <w:tab w:val="right" w:leader="underscore" w:pos="9072"/>
                  </w:tabs>
                  <w:jc w:val="center"/>
                  <w:rPr>
                    <w:sz w:val="22"/>
                    <w:szCs w:val="22"/>
                    <w:lang w:eastAsia="lt-LT"/>
                  </w:rPr>
                </w:pPr>
                <w:r>
                  <w:rPr>
                    <w:sz w:val="22"/>
                    <w:szCs w:val="22"/>
                    <w:lang w:eastAsia="lt-LT"/>
                  </w:rPr>
                  <w:t>_</w:t>
                  <w:tab/>
                </w:r>
              </w:p>
              <w:p>
                <w:pPr>
                  <w:tabs>
                    <w:tab w:val="right" w:leader="underscore" w:pos="9072"/>
                  </w:tabs>
                  <w:jc w:val="center"/>
                  <w:rPr>
                    <w:sz w:val="22"/>
                    <w:szCs w:val="22"/>
                    <w:lang w:eastAsia="lt-LT"/>
                  </w:rPr>
                </w:pPr>
              </w:p>
              <w:p>
                <w:pPr>
                  <w:tabs>
                    <w:tab w:val="right" w:leader="underscore" w:pos="9072"/>
                  </w:tabs>
                  <w:jc w:val="center"/>
                  <w:rPr>
                    <w:sz w:val="22"/>
                    <w:szCs w:val="22"/>
                    <w:lang w:eastAsia="lt-LT"/>
                  </w:rPr>
                </w:pPr>
                <w:r>
                  <w:rPr>
                    <w:sz w:val="22"/>
                    <w:szCs w:val="22"/>
                    <w:lang w:eastAsia="lt-LT"/>
                  </w:rPr>
                  <w:t>_</w:t>
                  <w:tab/>
                </w:r>
              </w:p>
              <w:p>
                <w:pPr>
                  <w:tabs>
                    <w:tab w:val="right" w:leader="underscore" w:pos="9072"/>
                  </w:tabs>
                  <w:jc w:val="center"/>
                  <w:rPr>
                    <w:sz w:val="22"/>
                    <w:szCs w:val="22"/>
                    <w:lang w:eastAsia="lt-LT"/>
                  </w:rPr>
                </w:pPr>
                <w:r>
                  <w:rPr>
                    <w:sz w:val="22"/>
                    <w:szCs w:val="22"/>
                    <w:lang w:eastAsia="lt-LT"/>
                  </w:rPr>
                  <w:t>(veiklos vykdytojas, jo adresas, telefono, fakso Nr., elektroninio pašto adresas)</w:t>
                </w:r>
              </w:p>
              <w:p>
                <w:pPr>
                  <w:rPr>
                    <w:sz w:val="22"/>
                    <w:szCs w:val="22"/>
                    <w:lang w:eastAsia="lt-LT"/>
                  </w:rPr>
                </w:pPr>
              </w:p>
              <w:p>
                <w:pPr>
                  <w:rPr>
                    <w:sz w:val="22"/>
                    <w:szCs w:val="22"/>
                    <w:lang w:eastAsia="lt-LT"/>
                  </w:rPr>
                </w:pPr>
                <w:r>
                  <w:rPr>
                    <w:sz w:val="22"/>
                    <w:szCs w:val="22"/>
                    <w:lang w:eastAsia="lt-LT"/>
                  </w:rPr>
                  <w:t>Leidimą (be priedų) sudaro .............................. puslapių.</w:t>
                </w:r>
              </w:p>
              <w:p>
                <w:pPr>
                  <w:rPr>
                    <w:sz w:val="22"/>
                    <w:szCs w:val="22"/>
                    <w:lang w:eastAsia="lt-LT"/>
                  </w:rPr>
                </w:pPr>
              </w:p>
              <w:p>
                <w:pPr>
                  <w:tabs>
                    <w:tab w:val="right" w:pos="9071"/>
                  </w:tabs>
                  <w:rPr>
                    <w:sz w:val="22"/>
                    <w:szCs w:val="22"/>
                    <w:lang w:eastAsia="lt-LT"/>
                  </w:rPr>
                </w:pPr>
              </w:p>
              <w:p>
                <w:pPr>
                  <w:tabs>
                    <w:tab w:val="right" w:pos="9071"/>
                  </w:tabs>
                  <w:rPr>
                    <w:sz w:val="22"/>
                    <w:szCs w:val="22"/>
                    <w:lang w:eastAsia="lt-LT"/>
                  </w:rPr>
                </w:pPr>
                <w:r>
                  <w:rPr>
                    <w:sz w:val="22"/>
                    <w:szCs w:val="22"/>
                    <w:lang w:eastAsia="lt-LT"/>
                  </w:rPr>
                  <w:t>Išduotas ..............m........................................d.</w:t>
                  <w:tab/>
                  <w:tab/>
                  <w:tab/>
                  <w:t>A.V.</w:t>
                  <w:tab/>
                  <w:tab/>
                </w:r>
              </w:p>
              <w:p>
                <w:pPr>
                  <w:tabs>
                    <w:tab w:val="right" w:pos="9071"/>
                  </w:tabs>
                  <w:rPr>
                    <w:sz w:val="22"/>
                    <w:szCs w:val="22"/>
                    <w:lang w:eastAsia="lt-LT"/>
                  </w:rPr>
                </w:pPr>
              </w:p>
              <w:p>
                <w:pPr>
                  <w:tabs>
                    <w:tab w:val="right" w:pos="9071"/>
                  </w:tabs>
                  <w:rPr>
                    <w:sz w:val="22"/>
                    <w:szCs w:val="22"/>
                    <w:lang w:eastAsia="lt-LT"/>
                  </w:rPr>
                </w:pPr>
              </w:p>
              <w:p>
                <w:pPr>
                  <w:tabs>
                    <w:tab w:val="right" w:pos="9071"/>
                  </w:tabs>
                  <w:rPr>
                    <w:sz w:val="22"/>
                    <w:szCs w:val="22"/>
                    <w:lang w:eastAsia="lt-LT"/>
                  </w:rPr>
                </w:pPr>
              </w:p>
              <w:p>
                <w:pPr>
                  <w:tabs>
                    <w:tab w:val="right" w:pos="9071"/>
                  </w:tabs>
                  <w:rPr>
                    <w:sz w:val="22"/>
                    <w:szCs w:val="22"/>
                    <w:lang w:eastAsia="lt-LT"/>
                  </w:rPr>
                </w:pPr>
              </w:p>
              <w:p>
                <w:pPr>
                  <w:tabs>
                    <w:tab w:val="right" w:pos="9071"/>
                  </w:tabs>
                  <w:rPr>
                    <w:sz w:val="22"/>
                    <w:szCs w:val="22"/>
                    <w:lang w:eastAsia="lt-LT"/>
                  </w:rPr>
                </w:pPr>
                <w:r>
                  <w:rPr>
                    <w:sz w:val="22"/>
                    <w:szCs w:val="22"/>
                    <w:lang w:eastAsia="lt-LT"/>
                  </w:rPr>
                  <w:t>Leidimą išdavusio regiono aplinkos apsaugos departamento pavadinimas, leidimo išdavimo, atnaujinimo ir (ar) koregavimo (jei tokie buvo) datos: ..........................................</w:t>
                </w:r>
              </w:p>
              <w:p>
                <w:pPr>
                  <w:tabs>
                    <w:tab w:val="right" w:pos="9071"/>
                  </w:tabs>
                  <w:rPr>
                    <w:sz w:val="22"/>
                    <w:szCs w:val="22"/>
                    <w:lang w:eastAsia="lt-LT"/>
                  </w:rPr>
                </w:pPr>
              </w:p>
              <w:p>
                <w:pPr>
                  <w:tabs>
                    <w:tab w:val="right" w:pos="9071"/>
                  </w:tabs>
                  <w:rPr>
                    <w:sz w:val="22"/>
                    <w:szCs w:val="22"/>
                    <w:lang w:eastAsia="lt-LT"/>
                  </w:rPr>
                </w:pPr>
              </w:p>
              <w:p>
                <w:pPr>
                  <w:tabs>
                    <w:tab w:val="right" w:pos="9071"/>
                  </w:tabs>
                  <w:rPr>
                    <w:sz w:val="22"/>
                    <w:szCs w:val="22"/>
                    <w:lang w:eastAsia="lt-LT"/>
                  </w:rPr>
                </w:pPr>
              </w:p>
              <w:p>
                <w:pPr>
                  <w:tabs>
                    <w:tab w:val="right" w:pos="9071"/>
                  </w:tabs>
                  <w:rPr>
                    <w:sz w:val="22"/>
                    <w:szCs w:val="22"/>
                    <w:lang w:eastAsia="lt-LT"/>
                  </w:rPr>
                </w:pPr>
              </w:p>
              <w:p>
                <w:pPr>
                  <w:tabs>
                    <w:tab w:val="right" w:pos="9071"/>
                  </w:tabs>
                  <w:rPr>
                    <w:sz w:val="22"/>
                    <w:szCs w:val="22"/>
                    <w:lang w:eastAsia="lt-LT"/>
                  </w:rPr>
                </w:pPr>
              </w:p>
              <w:p>
                <w:pPr>
                  <w:tabs>
                    <w:tab w:val="right" w:pos="9071"/>
                  </w:tabs>
                  <w:rPr>
                    <w:sz w:val="22"/>
                    <w:szCs w:val="22"/>
                    <w:lang w:eastAsia="lt-LT"/>
                  </w:rPr>
                </w:pPr>
              </w:p>
              <w:p>
                <w:pPr>
                  <w:tabs>
                    <w:tab w:val="right" w:pos="9071"/>
                  </w:tabs>
                  <w:rPr>
                    <w:sz w:val="22"/>
                    <w:szCs w:val="22"/>
                    <w:lang w:eastAsia="lt-LT"/>
                  </w:rPr>
                </w:pPr>
                <w:r>
                  <w:rPr>
                    <w:sz w:val="22"/>
                    <w:szCs w:val="22"/>
                    <w:lang w:eastAsia="lt-LT"/>
                  </w:rPr>
                  <w:t>Pakeistas ..............m........................................d.</w:t>
                  <w:tab/>
                  <w:tab/>
                  <w:tab/>
                  <w:t>A.V.</w:t>
                </w:r>
              </w:p>
              <w:p>
                <w:pPr>
                  <w:tabs>
                    <w:tab w:val="right" w:pos="9071"/>
                  </w:tabs>
                  <w:rPr>
                    <w:sz w:val="22"/>
                    <w:szCs w:val="22"/>
                    <w:lang w:eastAsia="lt-LT"/>
                  </w:rPr>
                </w:pPr>
              </w:p>
              <w:p>
                <w:pPr>
                  <w:tabs>
                    <w:tab w:val="right" w:pos="9071"/>
                  </w:tabs>
                  <w:rPr>
                    <w:sz w:val="22"/>
                    <w:szCs w:val="22"/>
                    <w:lang w:eastAsia="lt-LT"/>
                  </w:rPr>
                </w:pPr>
              </w:p>
              <w:p>
                <w:pPr>
                  <w:tabs>
                    <w:tab w:val="right" w:pos="9071"/>
                  </w:tabs>
                  <w:rPr>
                    <w:sz w:val="22"/>
                    <w:szCs w:val="22"/>
                    <w:lang w:eastAsia="lt-LT"/>
                  </w:rPr>
                </w:pPr>
              </w:p>
              <w:p>
                <w:pPr>
                  <w:tabs>
                    <w:tab w:val="right" w:pos="9071"/>
                  </w:tabs>
                  <w:rPr>
                    <w:sz w:val="22"/>
                    <w:szCs w:val="22"/>
                    <w:lang w:eastAsia="lt-LT"/>
                  </w:rPr>
                </w:pPr>
              </w:p>
              <w:p>
                <w:pPr>
                  <w:tabs>
                    <w:tab w:val="right" w:pos="9071"/>
                  </w:tabs>
                  <w:rPr>
                    <w:sz w:val="22"/>
                    <w:szCs w:val="22"/>
                    <w:lang w:eastAsia="lt-LT"/>
                  </w:rPr>
                </w:pPr>
              </w:p>
              <w:p>
                <w:pPr>
                  <w:tabs>
                    <w:tab w:val="right" w:pos="9071"/>
                  </w:tabs>
                  <w:rPr>
                    <w:sz w:val="22"/>
                    <w:szCs w:val="22"/>
                    <w:lang w:eastAsia="lt-LT"/>
                  </w:rPr>
                </w:pPr>
              </w:p>
              <w:p>
                <w:pPr>
                  <w:tabs>
                    <w:tab w:val="right" w:pos="9071"/>
                  </w:tabs>
                  <w:rPr>
                    <w:sz w:val="22"/>
                    <w:szCs w:val="22"/>
                    <w:lang w:eastAsia="lt-LT"/>
                  </w:rPr>
                </w:pPr>
              </w:p>
              <w:p>
                <w:pPr>
                  <w:tabs>
                    <w:tab w:val="right" w:pos="9071"/>
                  </w:tabs>
                  <w:rPr>
                    <w:sz w:val="22"/>
                    <w:szCs w:val="22"/>
                    <w:lang w:eastAsia="lt-LT"/>
                  </w:rPr>
                </w:pPr>
              </w:p>
              <w:p>
                <w:pPr>
                  <w:tabs>
                    <w:tab w:val="right" w:pos="9071"/>
                  </w:tabs>
                  <w:rPr>
                    <w:sz w:val="22"/>
                    <w:szCs w:val="22"/>
                    <w:lang w:eastAsia="lt-LT"/>
                  </w:rPr>
                </w:pPr>
              </w:p>
              <w:p>
                <w:pPr>
                  <w:tabs>
                    <w:tab w:val="right" w:pos="9071"/>
                  </w:tabs>
                  <w:rPr>
                    <w:sz w:val="22"/>
                    <w:szCs w:val="22"/>
                    <w:lang w:eastAsia="lt-LT"/>
                  </w:rPr>
                </w:pPr>
                <w:r>
                  <w:rPr>
                    <w:sz w:val="22"/>
                    <w:szCs w:val="22"/>
                    <w:lang w:eastAsia="lt-LT"/>
                  </w:rPr>
                  <w:t>Direktorius______________________________.............................________________</w:t>
                </w:r>
              </w:p>
              <w:p>
                <w:pPr>
                  <w:tabs>
                    <w:tab w:val="right" w:pos="9071"/>
                  </w:tabs>
                  <w:ind w:firstLine="1595"/>
                  <w:rPr>
                    <w:sz w:val="22"/>
                    <w:szCs w:val="22"/>
                    <w:lang w:eastAsia="lt-LT"/>
                  </w:rPr>
                </w:pPr>
                <w:r>
                  <w:rPr>
                    <w:sz w:val="22"/>
                    <w:szCs w:val="22"/>
                    <w:lang w:eastAsia="lt-LT"/>
                  </w:rPr>
                  <w:t xml:space="preserve">(Vardas, pavardė)                                                       (Parašas)</w:t>
                </w:r>
              </w:p>
              <w:p>
                <w:pPr>
                  <w:tabs>
                    <w:tab w:val="right" w:pos="9071"/>
                  </w:tabs>
                  <w:ind w:firstLine="4015"/>
                  <w:rPr>
                    <w:sz w:val="22"/>
                    <w:szCs w:val="22"/>
                    <w:lang w:eastAsia="lt-LT"/>
                  </w:rPr>
                </w:pPr>
                <w:r>
                  <w:rPr>
                    <w:sz w:val="22"/>
                    <w:szCs w:val="22"/>
                    <w:lang w:eastAsia="lt-LT"/>
                  </w:rPr>
                  <w:t>A. V.</w:t>
                </w:r>
              </w:p>
              <w:p>
                <w:pPr>
                  <w:rPr>
                    <w:sz w:val="22"/>
                    <w:szCs w:val="22"/>
                    <w:lang w:eastAsia="lt-LT"/>
                  </w:rPr>
                </w:pPr>
              </w:p>
              <w:p>
                <w:pPr>
                  <w:rPr>
                    <w:sz w:val="22"/>
                    <w:szCs w:val="22"/>
                    <w:lang w:eastAsia="lt-LT"/>
                  </w:rPr>
                </w:pPr>
                <w:r>
                  <w:rPr>
                    <w:sz w:val="22"/>
                    <w:szCs w:val="22"/>
                    <w:lang w:eastAsia="lt-LT"/>
                  </w:rPr>
                  <w:t>Šio leidimo parengti ...................... egzemplioriai.</w:t>
                </w:r>
              </w:p>
              <w:p>
                <w:pPr>
                  <w:rPr>
                    <w:sz w:val="22"/>
                    <w:szCs w:val="22"/>
                    <w:lang w:eastAsia="lt-LT"/>
                  </w:rPr>
                </w:pPr>
              </w:p>
              <w:p>
                <w:pPr>
                  <w:rPr>
                    <w:sz w:val="22"/>
                    <w:szCs w:val="22"/>
                    <w:lang w:eastAsia="lt-LT"/>
                  </w:rPr>
                </w:pPr>
                <w:r>
                  <w:rPr>
                    <w:sz w:val="22"/>
                    <w:szCs w:val="22"/>
                    <w:lang w:eastAsia="lt-LT"/>
                  </w:rPr>
                  <w:t xml:space="preserve">Paraiška leidimui gauti ar pakeisti suderinta su: </w:t>
                </w:r>
              </w:p>
              <w:p>
                <w:pPr>
                  <w:tabs>
                    <w:tab w:val="num" w:pos="567"/>
                  </w:tabs>
                  <w:jc w:val="both"/>
                  <w:rPr>
                    <w:sz w:val="22"/>
                    <w:szCs w:val="22"/>
                    <w:lang w:eastAsia="lt-LT"/>
                  </w:rPr>
                </w:pPr>
              </w:p>
              <w:p>
                <w:pPr>
                  <w:tabs>
                    <w:tab w:val="left" w:leader="underscore" w:pos="8901"/>
                  </w:tabs>
                  <w:jc w:val="center"/>
                  <w:rPr>
                    <w:sz w:val="22"/>
                    <w:szCs w:val="22"/>
                    <w:lang w:eastAsia="lt-LT"/>
                  </w:rPr>
                </w:pPr>
                <w:r>
                  <w:rPr>
                    <w:sz w:val="22"/>
                    <w:szCs w:val="22"/>
                    <w:lang w:eastAsia="lt-LT"/>
                  </w:rPr>
                  <w:t>_</w:t>
                  <w:tab/>
                </w:r>
              </w:p>
              <w:p>
                <w:pPr>
                  <w:tabs>
                    <w:tab w:val="num" w:pos="567"/>
                  </w:tabs>
                  <w:jc w:val="center"/>
                  <w:rPr>
                    <w:sz w:val="22"/>
                    <w:szCs w:val="22"/>
                    <w:lang w:eastAsia="lt-LT"/>
                  </w:rPr>
                </w:pPr>
                <w:r>
                  <w:rPr>
                    <w:sz w:val="22"/>
                    <w:szCs w:val="22"/>
                    <w:lang w:eastAsia="lt-LT"/>
                  </w:rPr>
                  <w:t>(derinusios institucijos pavadinimas, suderinimo data)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p>
            </w:tc>
            <w:tc>
              <w:tcPr>
                <w:tcW w:w="1077" w:type="pct"/>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r>
                  <w:rPr>
                    <w:rFonts w:eastAsia="Calibri"/>
                    <w:szCs w:val="24"/>
                    <w:lang w:eastAsia="lt-LT"/>
                  </w:rPr>
                  <w:t>Išduodant - suteikiamas naujas Nr. AAA nustatyta tvarka, keičiant – paliekamas tas pats Nr.</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r>
                  <w:rPr>
                    <w:rFonts w:eastAsia="Calibri"/>
                    <w:szCs w:val="24"/>
                    <w:lang w:eastAsia="lt-LT"/>
                  </w:rPr>
                  <w:t>Įsakymo „Dėl Taršos integruotos prevencijos ir kontrolės leidimų išdavimo, pakeitimo ir galiojimo panaikinimo taisyklių patvirtinimo“ 2.3.3 papunktyje nurodytu atveju – taip pat naujas Nr.</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 w:val="8"/>
                    <w:szCs w:val="8"/>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r>
                  <w:rPr>
                    <w:rFonts w:eastAsia="Calibri"/>
                    <w:szCs w:val="24"/>
                    <w:lang w:eastAsia="lt-LT"/>
                  </w:rPr>
                  <w:t>Nurodoma TIPK leidimo išdavimo AAA data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r>
                  <w:rPr>
                    <w:rFonts w:eastAsia="Calibri"/>
                    <w:szCs w:val="24"/>
                    <w:lang w:eastAsia="lt-LT"/>
                  </w:rPr>
                  <w:t>Nepildoma (dedamas brūkšnys)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r>
                  <w:rPr>
                    <w:rFonts w:eastAsia="Calibri"/>
                    <w:szCs w:val="24"/>
                    <w:lang w:eastAsia="lt-LT"/>
                  </w:rPr>
                  <w:t xml:space="preserve">Atskiroje eilutėje nurodoma kiekvieno AAA atlikto pakeitimo data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r>
                  <w:rPr>
                    <w:rFonts w:eastAsia="Calibri"/>
                    <w:szCs w:val="24"/>
                    <w:lang w:eastAsia="lt-LT"/>
                  </w:rPr>
                  <w:t>Pvz.,</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b/>
                    <w:szCs w:val="24"/>
                    <w:lang w:eastAsia="lt-LT"/>
                  </w:rPr>
                </w:pPr>
                <w:r>
                  <w:rPr>
                    <w:rFonts w:eastAsia="Calibri"/>
                    <w:b/>
                    <w:szCs w:val="24"/>
                    <w:lang w:eastAsia="lt-LT"/>
                  </w:rPr>
                  <w:t xml:space="preserve">Pakeistas </w:t>
                </w:r>
                <w:r>
                  <w:rPr>
                    <w:rFonts w:eastAsia="Calibri"/>
                    <w:b/>
                    <w:i/>
                    <w:szCs w:val="24"/>
                    <w:lang w:eastAsia="lt-LT"/>
                  </w:rPr>
                  <w:t>2015</w:t>
                </w:r>
                <w:r>
                  <w:rPr>
                    <w:rFonts w:eastAsia="Calibri"/>
                    <w:b/>
                    <w:szCs w:val="24"/>
                    <w:lang w:eastAsia="lt-LT"/>
                  </w:rPr>
                  <w:t xml:space="preserve"> m. </w:t>
                </w:r>
                <w:r>
                  <w:rPr>
                    <w:rFonts w:eastAsia="Calibri"/>
                    <w:b/>
                    <w:i/>
                    <w:szCs w:val="24"/>
                    <w:lang w:eastAsia="lt-LT"/>
                  </w:rPr>
                  <w:t>sausio</w:t>
                </w:r>
                <w:r>
                  <w:rPr>
                    <w:rFonts w:eastAsia="Calibri"/>
                    <w:b/>
                    <w:szCs w:val="24"/>
                    <w:lang w:eastAsia="lt-LT"/>
                  </w:rPr>
                  <w:t xml:space="preserve"> </w:t>
                </w:r>
                <w:r>
                  <w:rPr>
                    <w:rFonts w:eastAsia="Calibri"/>
                    <w:b/>
                    <w:i/>
                    <w:szCs w:val="24"/>
                    <w:lang w:eastAsia="lt-LT"/>
                  </w:rPr>
                  <w:t>1</w:t>
                </w:r>
                <w:r>
                  <w:rPr>
                    <w:rFonts w:eastAsia="Calibri"/>
                    <w:b/>
                    <w:szCs w:val="24"/>
                    <w:lang w:eastAsia="lt-LT"/>
                  </w:rPr>
                  <w:t xml:space="preserve"> d.;</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b/>
                    <w:szCs w:val="24"/>
                    <w:lang w:eastAsia="lt-LT"/>
                  </w:rPr>
                </w:pPr>
                <w:r>
                  <w:rPr>
                    <w:rFonts w:eastAsia="Calibri"/>
                    <w:b/>
                    <w:szCs w:val="24"/>
                    <w:lang w:eastAsia="lt-LT"/>
                  </w:rPr>
                  <w:t xml:space="preserve">Pakeistas </w:t>
                </w:r>
                <w:r>
                  <w:rPr>
                    <w:rFonts w:eastAsia="Calibri"/>
                    <w:b/>
                    <w:i/>
                    <w:szCs w:val="24"/>
                    <w:lang w:eastAsia="lt-LT"/>
                  </w:rPr>
                  <w:t>2015</w:t>
                </w:r>
                <w:r>
                  <w:rPr>
                    <w:rFonts w:eastAsia="Calibri"/>
                    <w:b/>
                    <w:szCs w:val="24"/>
                    <w:lang w:eastAsia="lt-LT"/>
                  </w:rPr>
                  <w:t xml:space="preserve"> m. </w:t>
                </w:r>
                <w:r>
                  <w:rPr>
                    <w:rFonts w:eastAsia="Calibri"/>
                    <w:b/>
                    <w:i/>
                    <w:szCs w:val="24"/>
                    <w:lang w:eastAsia="lt-LT"/>
                  </w:rPr>
                  <w:t>liepos</w:t>
                </w:r>
                <w:r>
                  <w:rPr>
                    <w:rFonts w:eastAsia="Calibri"/>
                    <w:b/>
                    <w:szCs w:val="24"/>
                    <w:lang w:eastAsia="lt-LT"/>
                  </w:rPr>
                  <w:t xml:space="preserve"> </w:t>
                </w:r>
                <w:r>
                  <w:rPr>
                    <w:rFonts w:eastAsia="Calibri"/>
                    <w:b/>
                    <w:i/>
                    <w:szCs w:val="24"/>
                    <w:lang w:eastAsia="lt-LT"/>
                  </w:rPr>
                  <w:t>1</w:t>
                </w:r>
                <w:r>
                  <w:rPr>
                    <w:rFonts w:eastAsia="Calibri"/>
                    <w:b/>
                    <w:szCs w:val="24"/>
                    <w:lang w:eastAsia="lt-LT"/>
                  </w:rPr>
                  <w:t xml:space="preserve"> d.;</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b/>
                    <w:szCs w:val="24"/>
                    <w:lang w:eastAsia="lt-LT"/>
                  </w:rPr>
                </w:pPr>
                <w:r>
                  <w:rPr>
                    <w:rFonts w:eastAsia="Calibri"/>
                    <w:b/>
                    <w:szCs w:val="24"/>
                    <w:lang w:eastAsia="lt-LT"/>
                  </w:rPr>
                  <w:t xml:space="preserve">Pakeistas </w:t>
                </w:r>
                <w:r>
                  <w:rPr>
                    <w:rFonts w:eastAsia="Calibri"/>
                    <w:b/>
                    <w:i/>
                    <w:szCs w:val="24"/>
                    <w:lang w:eastAsia="lt-LT"/>
                  </w:rPr>
                  <w:t>2015</w:t>
                </w:r>
                <w:r>
                  <w:rPr>
                    <w:rFonts w:eastAsia="Calibri"/>
                    <w:b/>
                    <w:szCs w:val="24"/>
                    <w:lang w:eastAsia="lt-LT"/>
                  </w:rPr>
                  <w:t xml:space="preserve"> m. </w:t>
                </w:r>
                <w:r>
                  <w:rPr>
                    <w:rFonts w:eastAsia="Calibri"/>
                    <w:b/>
                    <w:i/>
                    <w:szCs w:val="24"/>
                    <w:lang w:eastAsia="lt-LT"/>
                  </w:rPr>
                  <w:t>spalio</w:t>
                </w:r>
                <w:r>
                  <w:rPr>
                    <w:rFonts w:eastAsia="Calibri"/>
                    <w:b/>
                    <w:szCs w:val="24"/>
                    <w:lang w:eastAsia="lt-LT"/>
                  </w:rPr>
                  <w:t xml:space="preserve"> </w:t>
                </w:r>
                <w:r>
                  <w:rPr>
                    <w:rFonts w:eastAsia="Calibri"/>
                    <w:b/>
                    <w:i/>
                    <w:szCs w:val="24"/>
                    <w:lang w:eastAsia="lt-LT"/>
                  </w:rPr>
                  <w:t>1</w:t>
                </w:r>
                <w:r>
                  <w:rPr>
                    <w:rFonts w:eastAsia="Calibri"/>
                    <w:b/>
                    <w:szCs w:val="24"/>
                    <w:lang w:eastAsia="lt-LT"/>
                  </w:rPr>
                  <w:t xml:space="preserve"> d.;</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r>
                  <w:rPr>
                    <w:rFonts w:eastAsia="Calibri"/>
                    <w:szCs w:val="24"/>
                    <w:lang w:eastAsia="lt-LT"/>
                  </w:rPr>
                  <w:t>(ir t. t.)</w:t>
                </w:r>
              </w:p>
            </w:tc>
            <w:tc>
              <w:tcPr>
                <w:tcW w:w="1077" w:type="pct"/>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r>
                  <w:rPr>
                    <w:rFonts w:eastAsia="Calibri"/>
                    <w:szCs w:val="24"/>
                    <w:lang w:eastAsia="lt-LT"/>
                  </w:rPr>
                  <w:t xml:space="preserve">Suteikiamas registracijos numeris, sudarytas iš RAAD suteikto Nr. ir naujo AAA Nr.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r>
                  <w:rPr>
                    <w:rFonts w:eastAsia="Calibri"/>
                    <w:szCs w:val="24"/>
                    <w:lang w:eastAsia="lt-LT"/>
                  </w:rPr>
                  <w:t xml:space="preserve">Pvz., </w:t>
                </w:r>
                <w:r>
                  <w:rPr>
                    <w:rFonts w:eastAsia="Calibri"/>
                    <w:b/>
                    <w:szCs w:val="24"/>
                    <w:lang w:eastAsia="lt-LT"/>
                  </w:rPr>
                  <w:t>Nr. XXX/YYY</w:t>
                </w:r>
                <w:r>
                  <w:rPr>
                    <w:rFonts w:eastAsia="Calibri"/>
                    <w:szCs w:val="24"/>
                    <w:lang w:eastAsia="lt-LT"/>
                  </w:rPr>
                  <w:t xml:space="preserve">, išskyrus įsakymo „Dėl Taršos integruotos prevencijos ir kontrolės leidimų išdavimo, pakeitimo ir galiojimo panaikinimo taisyklių patvirtinimo“ 2.3.3 papunktyje nurodytą atvejį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b/>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b/>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b/>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b/>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b/>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b/>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8"/>
                    <w:szCs w:val="8"/>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r>
                  <w:rPr>
                    <w:rFonts w:eastAsia="Calibri"/>
                    <w:szCs w:val="24"/>
                    <w:lang w:eastAsia="lt-LT"/>
                  </w:rPr>
                  <w:t>Nepildoma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r>
                  <w:rPr>
                    <w:rFonts w:eastAsia="Calibri"/>
                    <w:szCs w:val="24"/>
                    <w:lang w:eastAsia="lt-LT"/>
                  </w:rPr>
                  <w:t>Nurodomas TIPK leidimą išdavusio RAAD pavadinimas, TIPK leidimo išdavimo data ir visų RAAD atliktų TIPK leidimo atnaujinimų ir (ar) koregavimų datos)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r>
                  <w:rPr>
                    <w:rFonts w:eastAsia="Calibri"/>
                    <w:szCs w:val="24"/>
                    <w:lang w:eastAsia="lt-LT"/>
                  </w:rPr>
                  <w:t>Nurodoma data, kada TIPK leidimas buvo pakeistas AAA ir visos vėliau AAA pagal Taisyklių reikalavimus atliktų pakeitimų datos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r>
                  <w:rPr>
                    <w:rFonts w:eastAsia="Calibri"/>
                    <w:szCs w:val="24"/>
                    <w:lang w:eastAsia="lt-LT"/>
                  </w:rPr>
                  <w:t>Pvz.,</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b/>
                    <w:szCs w:val="24"/>
                    <w:lang w:eastAsia="lt-LT"/>
                  </w:rPr>
                </w:pPr>
                <w:r>
                  <w:rPr>
                    <w:rFonts w:eastAsia="Calibri"/>
                    <w:b/>
                    <w:szCs w:val="24"/>
                    <w:lang w:eastAsia="lt-LT"/>
                  </w:rPr>
                  <w:t xml:space="preserve">Pakeistas </w:t>
                </w:r>
                <w:r>
                  <w:rPr>
                    <w:rFonts w:eastAsia="Calibri"/>
                    <w:b/>
                    <w:i/>
                    <w:szCs w:val="24"/>
                    <w:lang w:eastAsia="lt-LT"/>
                  </w:rPr>
                  <w:t>2015</w:t>
                </w:r>
                <w:r>
                  <w:rPr>
                    <w:rFonts w:eastAsia="Calibri"/>
                    <w:b/>
                    <w:szCs w:val="24"/>
                    <w:lang w:eastAsia="lt-LT"/>
                  </w:rPr>
                  <w:t xml:space="preserve"> m. </w:t>
                </w:r>
                <w:r>
                  <w:rPr>
                    <w:rFonts w:eastAsia="Calibri"/>
                    <w:b/>
                    <w:i/>
                    <w:szCs w:val="24"/>
                    <w:lang w:eastAsia="lt-LT"/>
                  </w:rPr>
                  <w:t>sausio</w:t>
                </w:r>
                <w:r>
                  <w:rPr>
                    <w:rFonts w:eastAsia="Calibri"/>
                    <w:b/>
                    <w:szCs w:val="24"/>
                    <w:lang w:eastAsia="lt-LT"/>
                  </w:rPr>
                  <w:t xml:space="preserve"> </w:t>
                </w:r>
                <w:r>
                  <w:rPr>
                    <w:rFonts w:eastAsia="Calibri"/>
                    <w:b/>
                    <w:i/>
                    <w:szCs w:val="24"/>
                    <w:lang w:eastAsia="lt-LT"/>
                  </w:rPr>
                  <w:t>1</w:t>
                </w:r>
                <w:r>
                  <w:rPr>
                    <w:rFonts w:eastAsia="Calibri"/>
                    <w:b/>
                    <w:szCs w:val="24"/>
                    <w:lang w:eastAsia="lt-LT"/>
                  </w:rPr>
                  <w:t xml:space="preserve"> d.;</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b/>
                    <w:szCs w:val="24"/>
                    <w:lang w:eastAsia="lt-LT"/>
                  </w:rPr>
                </w:pPr>
                <w:r>
                  <w:rPr>
                    <w:rFonts w:eastAsia="Calibri"/>
                    <w:b/>
                    <w:szCs w:val="24"/>
                    <w:lang w:eastAsia="lt-LT"/>
                  </w:rPr>
                  <w:t xml:space="preserve">Pakeistas </w:t>
                </w:r>
                <w:r>
                  <w:rPr>
                    <w:rFonts w:eastAsia="Calibri"/>
                    <w:b/>
                    <w:i/>
                    <w:szCs w:val="24"/>
                    <w:lang w:eastAsia="lt-LT"/>
                  </w:rPr>
                  <w:t>2015</w:t>
                </w:r>
                <w:r>
                  <w:rPr>
                    <w:rFonts w:eastAsia="Calibri"/>
                    <w:b/>
                    <w:szCs w:val="24"/>
                    <w:lang w:eastAsia="lt-LT"/>
                  </w:rPr>
                  <w:t xml:space="preserve"> m. </w:t>
                </w:r>
                <w:r>
                  <w:rPr>
                    <w:rFonts w:eastAsia="Calibri"/>
                    <w:b/>
                    <w:i/>
                    <w:szCs w:val="24"/>
                    <w:lang w:eastAsia="lt-LT"/>
                  </w:rPr>
                  <w:t>liepos</w:t>
                </w:r>
                <w:r>
                  <w:rPr>
                    <w:rFonts w:eastAsia="Calibri"/>
                    <w:b/>
                    <w:szCs w:val="24"/>
                    <w:lang w:eastAsia="lt-LT"/>
                  </w:rPr>
                  <w:t xml:space="preserve"> </w:t>
                </w:r>
                <w:r>
                  <w:rPr>
                    <w:rFonts w:eastAsia="Calibri"/>
                    <w:b/>
                    <w:i/>
                    <w:szCs w:val="24"/>
                    <w:lang w:eastAsia="lt-LT"/>
                  </w:rPr>
                  <w:t>1</w:t>
                </w:r>
                <w:r>
                  <w:rPr>
                    <w:rFonts w:eastAsia="Calibri"/>
                    <w:b/>
                    <w:szCs w:val="24"/>
                    <w:lang w:eastAsia="lt-LT"/>
                  </w:rPr>
                  <w:t xml:space="preserve"> d.;</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b/>
                    <w:szCs w:val="24"/>
                    <w:lang w:eastAsia="lt-LT"/>
                  </w:rPr>
                </w:pPr>
                <w:r>
                  <w:rPr>
                    <w:rFonts w:eastAsia="Calibri"/>
                    <w:b/>
                    <w:szCs w:val="24"/>
                    <w:lang w:eastAsia="lt-LT"/>
                  </w:rPr>
                  <w:t xml:space="preserve">Pakeistas </w:t>
                </w:r>
                <w:r>
                  <w:rPr>
                    <w:rFonts w:eastAsia="Calibri"/>
                    <w:b/>
                    <w:i/>
                    <w:szCs w:val="24"/>
                    <w:lang w:eastAsia="lt-LT"/>
                  </w:rPr>
                  <w:t>2015</w:t>
                </w:r>
                <w:r>
                  <w:rPr>
                    <w:rFonts w:eastAsia="Calibri"/>
                    <w:b/>
                    <w:szCs w:val="24"/>
                    <w:lang w:eastAsia="lt-LT"/>
                  </w:rPr>
                  <w:t xml:space="preserve"> m. </w:t>
                </w:r>
                <w:r>
                  <w:rPr>
                    <w:rFonts w:eastAsia="Calibri"/>
                    <w:b/>
                    <w:i/>
                    <w:szCs w:val="24"/>
                    <w:lang w:eastAsia="lt-LT"/>
                  </w:rPr>
                  <w:t>spalio</w:t>
                </w:r>
                <w:r>
                  <w:rPr>
                    <w:rFonts w:eastAsia="Calibri"/>
                    <w:b/>
                    <w:szCs w:val="24"/>
                    <w:lang w:eastAsia="lt-LT"/>
                  </w:rPr>
                  <w:t xml:space="preserve"> </w:t>
                </w:r>
                <w:r>
                  <w:rPr>
                    <w:rFonts w:eastAsia="Calibri"/>
                    <w:b/>
                    <w:i/>
                    <w:szCs w:val="24"/>
                    <w:lang w:eastAsia="lt-LT"/>
                  </w:rPr>
                  <w:t>1</w:t>
                </w:r>
                <w:r>
                  <w:rPr>
                    <w:rFonts w:eastAsia="Calibri"/>
                    <w:b/>
                    <w:szCs w:val="24"/>
                    <w:lang w:eastAsia="lt-LT"/>
                  </w:rPr>
                  <w:t xml:space="preserve"> d.;</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Cs w:val="24"/>
                    <w:lang w:eastAsia="lt-LT"/>
                  </w:rPr>
                </w:pPr>
                <w:r>
                  <w:rPr>
                    <w:rFonts w:eastAsia="Calibri"/>
                    <w:szCs w:val="24"/>
                    <w:lang w:eastAsia="lt-LT"/>
                  </w:rPr>
                  <w:t>(ir t. t.)</w:t>
                </w:r>
              </w:p>
            </w:tc>
          </w:tr>
        </w:tbl>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textAlignment w:val="baseline"/>
          </w:pP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be5280b85911e5a6588fb85a3cc84b">
            <w:r w:rsidRPr="00532B9F">
              <w:rPr>
                <w:rFonts w:ascii="Arial" w:eastAsia="MS Mincho" w:hAnsi="Arial"/>
                <w:sz w:val="20"/>
                <w:i/>
                <w:iCs/>
                <w:color w:val="0000FF" w:themeColor="hyperlink"/>
                <w:u w:val="single"/>
              </w:rPr>
              <w:t>D1-20</w:t>
            </w:r>
          </w:fldSimple>
          <w:r>
            <w:rPr>
              <w:rFonts w:ascii="Arial" w:eastAsia="MS Mincho" w:hAnsi="Arial"/>
              <w:sz w:val="20"/>
              <w:i/>
              <w:iCs/>
            </w:rPr>
            <w:t>,
2015-01-08,
paskelbta TAR 2016-01-11, i. k. 2016-00485        </w:t>
          </w:r>
        </w:p>
        <w:p/>
      </w:sdtContent>
    </w:sdt>
    <w:sdt>
      <w:sdtPr>
        <w:alias w:val="8 pr."/>
        <w:tag w:val="part_06b3927e372341e6b267bb7ee46c1697"/>
        <w:lock w:val="sdtLocked"/>
        <w:richText/>
      </w:sdtPr>
      <w:sdtContent>
        <w:p>
          <w:pPr>
            <w:suppressAutoHyphens/>
            <w:ind w:firstLine="5387"/>
            <w:sectPr>
              <w:headerReference w:type="even" r:id="rId45"/>
              <w:headerReference w:type="default" r:id="rId46"/>
              <w:footerReference w:type="even" r:id="rId47"/>
              <w:footerReference w:type="default" r:id="rId48"/>
              <w:headerReference w:type="first" r:id="rId49"/>
              <w:footerReference w:type="first" r:id="rId50"/>
              <w:pgSz w:w="16838" w:h="11906" w:orient="landscape" w:code="9"/>
              <w:pgMar w:top="1701" w:right="1418" w:bottom="709" w:left="851" w:header="964" w:footer="567" w:gutter="0"/>
              <w:pgNumType w:start="1"/>
              <w:cols w:space="1296"/>
              <w:titlePg/>
              <w:docGrid w:linePitch="360"/>
            </w:sectPr>
          </w:pPr>
        </w:p>
        <w:p>
          <w:pPr>
            <w:suppressAutoHyphens/>
            <w:ind w:firstLine="5387"/>
          </w:pPr>
          <w:r>
            <w:t xml:space="preserve">Taršos integruotos prevencijos ir </w:t>
          </w:r>
        </w:p>
        <w:p>
          <w:pPr>
            <w:suppressAutoHyphens/>
            <w:ind w:firstLine="5387"/>
          </w:pPr>
          <w:r>
            <w:t xml:space="preserve">kontrolės leidimų išdavimo, pakeitimo </w:t>
          </w:r>
        </w:p>
        <w:p>
          <w:pPr>
            <w:suppressAutoHyphens/>
            <w:ind w:firstLine="5387"/>
          </w:pPr>
          <w:r>
            <w:t>ir galiojimo panaikinimo taisyklių</w:t>
          </w:r>
        </w:p>
        <w:p>
          <w:pPr>
            <w:suppressAutoHyphens/>
            <w:ind w:firstLine="5387"/>
          </w:pPr>
          <w:sdt>
            <w:sdtPr>
              <w:alias w:val="Numeris"/>
              <w:tag w:val="nr_06b3927e372341e6b267bb7ee46c1697"/>
              <w:lock w:val="sdtLocked"/>
              <w:richText/>
            </w:sdtPr>
            <w:sdtContent>
              <w:r>
                <w:t>8</w:t>
              </w:r>
            </w:sdtContent>
          </w:sdt>
          <w:r>
            <w:t xml:space="preserve"> priedas</w:t>
          </w:r>
        </w:p>
        <w:p>
          <w:pPr>
            <w:suppressAutoHyphens/>
            <w:ind w:firstLine="567"/>
            <w:jc w:val="both"/>
            <w:rPr>
              <w:b/>
              <w:bCs/>
            </w:rPr>
          </w:pPr>
        </w:p>
        <w:p>
          <w:pPr>
            <w:suppressAutoHyphens/>
            <w:jc w:val="center"/>
            <w:rPr>
              <w:b/>
              <w:bCs/>
            </w:rPr>
          </w:pPr>
          <w:sdt>
            <w:sdtPr>
              <w:alias w:val="Pavadinimas"/>
              <w:tag w:val="title_06b3927e372341e6b267bb7ee46c1697"/>
              <w:lock w:val="sdtLocked"/>
              <w:richText/>
            </w:sdtPr>
            <w:sdtContent>
              <w:r>
                <w:rPr>
                  <w:b/>
                  <w:bCs/>
                </w:rPr>
                <w:t>METODINIAI NURODYMAI KIAULIŲ RŪŠIMS PERSKAIČIUOTI</w:t>
              </w:r>
            </w:sdtContent>
          </w:sdt>
        </w:p>
        <w:p>
          <w:pPr>
            <w:suppressAutoHyphens/>
            <w:ind w:firstLine="567"/>
            <w:jc w:val="both"/>
            <w:rPr>
              <w:b/>
              <w:bCs/>
            </w:rPr>
          </w:pPr>
        </w:p>
        <w:sdt>
          <w:sdtPr>
            <w:alias w:val="8 pr. 1 p."/>
            <w:tag w:val="part_f4f6eebbf9a04e30a0a2dc2eee380801"/>
            <w:lock w:val="sdtLocked"/>
            <w:richText/>
          </w:sdtPr>
          <w:sdtContent>
            <w:p>
              <w:pPr>
                <w:ind w:firstLine="567"/>
                <w:jc w:val="both"/>
                <w:textAlignment w:val="baseline"/>
                <w:rPr>
                  <w:color w:val="000000"/>
                  <w:szCs w:val="24"/>
                  <w:bdr w:val="none" w:sz="0" w:space="0" w:color="auto" w:frame="1"/>
                </w:rPr>
              </w:pPr>
              <w:sdt>
                <w:sdtPr>
                  <w:alias w:val="Numeris"/>
                  <w:tag w:val="nr_f4f6eebbf9a04e30a0a2dc2eee380801"/>
                  <w:lock w:val="sdtLocked"/>
                  <w:richText/>
                </w:sdtPr>
                <w:sdtContent>
                  <w:r>
                    <w:rPr>
                      <w:color w:val="000000"/>
                      <w:szCs w:val="24"/>
                      <w:bdr w:val="none" w:sz="0" w:space="0" w:color="auto" w:frame="1"/>
                    </w:rPr>
                    <w:t>1</w:t>
                  </w:r>
                </w:sdtContent>
              </w:sdt>
              <w:r>
                <w:rPr>
                  <w:color w:val="000000"/>
                  <w:szCs w:val="24"/>
                  <w:bdr w:val="none" w:sz="0" w:space="0" w:color="auto" w:frame="1"/>
                </w:rPr>
                <w:t>. Šiame priede aprašytas kiaulių kiekio perskaičiavimo principas taikomas vykdant intensyvų kiaulių auginimą ir norint iš dalies ar visiškai pakeisti kokybinę ir kiekybinę auginamų kiaulių sudėtį.</w:t>
              </w:r>
            </w:p>
          </w:sdtContent>
        </w:sdt>
        <w:sdt>
          <w:sdtPr>
            <w:alias w:val="8 pr. 2 p."/>
            <w:tag w:val="part_939969f15ae149b58751f699f6aee96e"/>
            <w:lock w:val="sdtLocked"/>
            <w:richText/>
          </w:sdtPr>
          <w:sdtContent>
            <w:p>
              <w:pPr>
                <w:ind w:firstLine="567"/>
                <w:jc w:val="both"/>
                <w:textAlignment w:val="baseline"/>
                <w:rPr>
                  <w:color w:val="000000"/>
                  <w:bdr w:val="none" w:sz="0" w:space="0" w:color="auto" w:frame="1"/>
                </w:rPr>
              </w:pPr>
              <w:sdt>
                <w:sdtPr>
                  <w:alias w:val="Numeris"/>
                  <w:tag w:val="nr_939969f15ae149b58751f699f6aee96e"/>
                  <w:lock w:val="sdtLocked"/>
                  <w:richText/>
                </w:sdtPr>
                <w:sdtContent>
                  <w:r>
                    <w:rPr>
                      <w:color w:val="000000"/>
                      <w:bdr w:val="none" w:sz="0" w:space="0" w:color="auto" w:frame="1"/>
                    </w:rPr>
                    <w:t>2</w:t>
                  </w:r>
                </w:sdtContent>
              </w:sdt>
              <w:r>
                <w:rPr>
                  <w:color w:val="000000"/>
                  <w:bdr w:val="none" w:sz="0" w:space="0" w:color="auto" w:frame="1"/>
                </w:rPr>
                <w:t>. Keičiant auginamų kiaulių grupes ar kiaulių kiekį grupėse, privaloma atlikti Lietuvos Respublikos planuojamos ūkinės veiklos poveikio aplinkai vertinimo įstatyme (toliau – PAVĮ) nustatytas planuojamos ūkinės veiklos poveikio aplinkai vertinimo (toliau – poveikio aplinkai vertinimas) arba atrankos dėl planuojamos ūkinės veiklos poveikio aplinkai vertinimo (toliau – atranka) procedūras ir prašyti Aplinkos apsaugos agentūros (toliau – AAA) pakeisti leidimą, jei planuojamas pakeitimas atitinka Lietuvos Respublikos aplinkos apsaugos įstatymo (toliau – AAĮ) 19</w:t>
              </w:r>
              <w:r>
                <w:rPr>
                  <w:color w:val="000000"/>
                  <w:bdr w:val="none" w:sz="0" w:space="0" w:color="auto" w:frame="1"/>
                  <w:vertAlign w:val="superscript"/>
                </w:rPr>
                <w:t>1</w:t>
              </w:r>
              <w:r>
                <w:rPr>
                  <w:color w:val="000000"/>
                  <w:bdr w:val="none" w:sz="0" w:space="0" w:color="auto" w:frame="1"/>
                </w:rPr>
                <w:t xml:space="preserve"> straipsnio 11 dalyje nustatytus atvejus. Bendras kiaulių kiekio pasikeitimas vertinamas visų grupių kiaulių skaičių perskaičiavus į vienos grupės kiaulių skaičių ir nustačius, kad kiaulių kiekio padidėjimas bent pagal vieną iš grupių (auginant skirtingų grupių kiaules perskaičiavus bent į vieną iš jų) viršija PAVĮ ar Taršos integruotos prevencijos ir kontrolės leidimų išdavimo, pakeitimo ir galiojimo panaikinimo taisyklių (toliau – TIPK taisyklės) 1 priedo 6.6 papunktyje nustatytą ribinį dydį.</w:t>
              </w:r>
            </w:p>
          </w:sdtContent>
        </w:sdt>
        <w:sdt>
          <w:sdtPr>
            <w:alias w:val="8 pr. 3 p."/>
            <w:tag w:val="part_700b3a44672046a68a3da12c1a97159b"/>
            <w:lock w:val="sdtLocked"/>
            <w:richText/>
          </w:sdtPr>
          <w:sdtContent>
            <w:p>
              <w:pPr>
                <w:ind w:firstLine="567"/>
                <w:jc w:val="both"/>
                <w:textAlignment w:val="baseline"/>
                <w:rPr>
                  <w:color w:val="000000"/>
                  <w:bdr w:val="none" w:sz="0" w:space="0" w:color="auto" w:frame="1"/>
                </w:rPr>
              </w:pPr>
              <w:sdt>
                <w:sdtPr>
                  <w:alias w:val="Numeris"/>
                  <w:tag w:val="nr_700b3a44672046a68a3da12c1a97159b"/>
                  <w:lock w:val="sdtLocked"/>
                  <w:richText/>
                </w:sdtPr>
                <w:sdtContent>
                  <w:r>
                    <w:rPr>
                      <w:color w:val="000000"/>
                      <w:bdr w:val="none" w:sz="0" w:space="0" w:color="auto" w:frame="1"/>
                    </w:rPr>
                    <w:t>3</w:t>
                  </w:r>
                </w:sdtContent>
              </w:sdt>
              <w:r>
                <w:rPr>
                  <w:color w:val="000000"/>
                  <w:bdr w:val="none" w:sz="0" w:space="0" w:color="auto" w:frame="1"/>
                </w:rPr>
                <w:t xml:space="preserve">. Vertinant, ar </w:t>
              </w:r>
              <w:r>
                <w:rPr>
                  <w:szCs w:val="24"/>
                  <w:lang w:eastAsia="lt-LT"/>
                </w:rPr>
                <w:t xml:space="preserve">ūkinės </w:t>
              </w:r>
              <w:r>
                <w:rPr>
                  <w:color w:val="000000"/>
                  <w:bdr w:val="none" w:sz="0" w:space="0" w:color="auto" w:frame="1"/>
                </w:rPr>
                <w:t>veiklos pakeitimas gali daryti reikšmingą neigiamą poveikį žmonių sveikatai arba aplinkai, kaip nustatyta PAVĮ, perskaičiuojant iš vienos kiaulių grupės į kitą taikomi šie koeficientai:</w:t>
              </w:r>
            </w:p>
            <w:sdt>
              <w:sdtPr>
                <w:alias w:val="8 pr. 3.1 pp."/>
                <w:tag w:val="part_72552a865d884a0aab21a0cde1dca418"/>
                <w:lock w:val="sdtLocked"/>
                <w:richText/>
              </w:sdtPr>
              <w:sdtContent>
                <w:p>
                  <w:pPr>
                    <w:ind w:firstLine="567"/>
                    <w:jc w:val="both"/>
                    <w:textAlignment w:val="baseline"/>
                    <w:rPr>
                      <w:color w:val="000000"/>
                      <w:szCs w:val="24"/>
                      <w:bdr w:val="none" w:sz="0" w:space="0" w:color="auto" w:frame="1"/>
                    </w:rPr>
                  </w:pPr>
                  <w:sdt>
                    <w:sdtPr>
                      <w:alias w:val="Numeris"/>
                      <w:tag w:val="nr_72552a865d884a0aab21a0cde1dca418"/>
                      <w:lock w:val="sdtLocked"/>
                      <w:richText/>
                    </w:sdtPr>
                    <w:sdtContent>
                      <w:r>
                        <w:rPr>
                          <w:color w:val="000000"/>
                          <w:szCs w:val="24"/>
                          <w:lang w:eastAsia="en-GB"/>
                        </w:rPr>
                        <w:t>3.1</w:t>
                      </w:r>
                    </w:sdtContent>
                  </w:sdt>
                  <w:r>
                    <w:rPr>
                      <w:color w:val="000000"/>
                      <w:szCs w:val="24"/>
                      <w:lang w:eastAsia="en-GB"/>
                    </w:rPr>
                    <w:t xml:space="preserve">. 1 </w:t>
                  </w:r>
                  <w:r>
                    <w:rPr>
                      <w:color w:val="000000"/>
                      <w:szCs w:val="24"/>
                      <w:bdr w:val="none" w:sz="0" w:space="0" w:color="auto" w:frame="1"/>
                    </w:rPr>
                    <w:t>paršavedė = 3,33 penimos kiaulės (nuo 30 kg) = 55,56 paršeliai (nuo 7 iki 30 kg);</w:t>
                  </w:r>
                </w:p>
              </w:sdtContent>
            </w:sdt>
            <w:sdt>
              <w:sdtPr>
                <w:alias w:val="8 pr. 3.2 pp."/>
                <w:tag w:val="part_5646d631235b4149be5c8e594bba29c0"/>
                <w:lock w:val="sdtLocked"/>
                <w:richText/>
              </w:sdtPr>
              <w:sdtContent>
                <w:p>
                  <w:pPr>
                    <w:ind w:firstLine="567"/>
                    <w:jc w:val="both"/>
                    <w:textAlignment w:val="baseline"/>
                    <w:rPr>
                      <w:color w:val="000000"/>
                      <w:szCs w:val="24"/>
                      <w:bdr w:val="none" w:sz="0" w:space="0" w:color="auto" w:frame="1"/>
                    </w:rPr>
                  </w:pPr>
                  <w:sdt>
                    <w:sdtPr>
                      <w:alias w:val="Numeris"/>
                      <w:tag w:val="nr_5646d631235b4149be5c8e594bba29c0"/>
                      <w:lock w:val="sdtLocked"/>
                      <w:richText/>
                    </w:sdtPr>
                    <w:sdtContent>
                      <w:r>
                        <w:rPr>
                          <w:color w:val="000000"/>
                          <w:szCs w:val="24"/>
                          <w:bdr w:val="none" w:sz="0" w:space="0" w:color="auto" w:frame="1"/>
                        </w:rPr>
                        <w:t>3.2</w:t>
                      </w:r>
                    </w:sdtContent>
                  </w:sdt>
                  <w:r>
                    <w:rPr>
                      <w:color w:val="000000"/>
                      <w:szCs w:val="24"/>
                      <w:bdr w:val="none" w:sz="0" w:space="0" w:color="auto" w:frame="1"/>
                    </w:rPr>
                    <w:t>. 1 penima kiaulė (nuo 30 kg) = 0,3 paršavedės = 16,67 paršeliai (nuo 7 iki 30 kg);</w:t>
                  </w:r>
                </w:p>
              </w:sdtContent>
            </w:sdt>
            <w:sdt>
              <w:sdtPr>
                <w:alias w:val="8 pr. 3.3 pp."/>
                <w:tag w:val="part_541bf90a151446bcae21d750b788ae37"/>
                <w:lock w:val="sdtLocked"/>
                <w:richText/>
              </w:sdtPr>
              <w:sdtContent>
                <w:p>
                  <w:pPr>
                    <w:ind w:firstLine="567"/>
                    <w:jc w:val="both"/>
                    <w:textAlignment w:val="baseline"/>
                    <w:rPr>
                      <w:color w:val="000000"/>
                      <w:szCs w:val="24"/>
                      <w:bdr w:val="none" w:sz="0" w:space="0" w:color="auto" w:frame="1"/>
                    </w:rPr>
                  </w:pPr>
                  <w:sdt>
                    <w:sdtPr>
                      <w:alias w:val="Numeris"/>
                      <w:tag w:val="nr_541bf90a151446bcae21d750b788ae37"/>
                      <w:lock w:val="sdtLocked"/>
                      <w:richText/>
                    </w:sdtPr>
                    <w:sdtContent>
                      <w:r>
                        <w:rPr>
                          <w:color w:val="000000"/>
                          <w:szCs w:val="24"/>
                          <w:bdr w:val="none" w:sz="0" w:space="0" w:color="auto" w:frame="1"/>
                        </w:rPr>
                        <w:t>3.3</w:t>
                      </w:r>
                    </w:sdtContent>
                  </w:sdt>
                  <w:r>
                    <w:rPr>
                      <w:color w:val="000000"/>
                      <w:szCs w:val="24"/>
                      <w:bdr w:val="none" w:sz="0" w:space="0" w:color="auto" w:frame="1"/>
                    </w:rPr>
                    <w:t>. 1 paršelis (nuo 7 iki 30 kg) = 0,018 paršavedės = 0,06 penimos kiaulės (nuo 30 kg).</w:t>
                  </w:r>
                </w:p>
              </w:sdtContent>
            </w:sdt>
          </w:sdtContent>
        </w:sdt>
        <w:sdt>
          <w:sdtPr>
            <w:alias w:val="8 pr. 4 p."/>
            <w:tag w:val="part_ee0a5327f46742abb29d0aeba43e32a7"/>
            <w:lock w:val="sdtLocked"/>
            <w:richText/>
          </w:sdtPr>
          <w:sdtContent>
            <w:p>
              <w:pPr>
                <w:ind w:firstLine="567"/>
                <w:jc w:val="both"/>
                <w:textAlignment w:val="baseline"/>
                <w:rPr>
                  <w:color w:val="000000"/>
                  <w:szCs w:val="24"/>
                  <w:bdr w:val="none" w:sz="0" w:space="0" w:color="auto" w:frame="1"/>
                </w:rPr>
              </w:pPr>
              <w:sdt>
                <w:sdtPr>
                  <w:alias w:val="Numeris"/>
                  <w:tag w:val="nr_ee0a5327f46742abb29d0aeba43e32a7"/>
                  <w:lock w:val="sdtLocked"/>
                  <w:richText/>
                </w:sdtPr>
                <w:sdtContent>
                  <w:r>
                    <w:rPr>
                      <w:color w:val="000000"/>
                      <w:szCs w:val="24"/>
                      <w:bdr w:val="none" w:sz="0" w:space="0" w:color="auto" w:frame="1"/>
                    </w:rPr>
                    <w:t>4</w:t>
                  </w:r>
                </w:sdtContent>
              </w:sdt>
              <w:r>
                <w:rPr>
                  <w:color w:val="000000"/>
                  <w:szCs w:val="24"/>
                  <w:bdr w:val="none" w:sz="0" w:space="0" w:color="auto" w:frame="1"/>
                </w:rPr>
                <w:t xml:space="preserve">. Vertinant, ar </w:t>
              </w:r>
              <w:r>
                <w:rPr>
                  <w:szCs w:val="24"/>
                  <w:lang w:eastAsia="lt-LT"/>
                </w:rPr>
                <w:t xml:space="preserve">ūkinės </w:t>
              </w:r>
              <w:r>
                <w:rPr>
                  <w:color w:val="000000"/>
                  <w:szCs w:val="24"/>
                  <w:bdr w:val="none" w:sz="0" w:space="0" w:color="auto" w:frame="1"/>
                </w:rPr>
                <w:t>veiklos pakeitimas ar išplėtimas atitinka arba viršija TIPK taisyklėse nustatytas įrenginio pajėgumo ribas, perskaičiuojant taikomi šie koeficientai:</w:t>
              </w:r>
            </w:p>
            <w:sdt>
              <w:sdtPr>
                <w:alias w:val="8 pr. 4.1 pp."/>
                <w:tag w:val="part_4f557e50686741c4ac1457336140e32b"/>
                <w:lock w:val="sdtLocked"/>
                <w:richText/>
              </w:sdtPr>
              <w:sdtContent>
                <w:p>
                  <w:pPr>
                    <w:ind w:firstLine="567"/>
                    <w:jc w:val="both"/>
                    <w:textAlignment w:val="baseline"/>
                    <w:rPr>
                      <w:color w:val="000000"/>
                      <w:szCs w:val="24"/>
                      <w:bdr w:val="none" w:sz="0" w:space="0" w:color="auto" w:frame="1"/>
                    </w:rPr>
                  </w:pPr>
                  <w:sdt>
                    <w:sdtPr>
                      <w:alias w:val="Numeris"/>
                      <w:tag w:val="nr_4f557e50686741c4ac1457336140e32b"/>
                      <w:lock w:val="sdtLocked"/>
                      <w:richText/>
                    </w:sdtPr>
                    <w:sdtContent>
                      <w:r>
                        <w:rPr>
                          <w:color w:val="000000"/>
                          <w:szCs w:val="24"/>
                          <w:lang w:eastAsia="en-GB"/>
                        </w:rPr>
                        <w:t>4.1</w:t>
                      </w:r>
                    </w:sdtContent>
                  </w:sdt>
                  <w:r>
                    <w:rPr>
                      <w:color w:val="000000"/>
                      <w:szCs w:val="24"/>
                      <w:lang w:eastAsia="en-GB"/>
                    </w:rPr>
                    <w:t xml:space="preserve">. 1 </w:t>
                  </w:r>
                  <w:r>
                    <w:rPr>
                      <w:color w:val="000000"/>
                      <w:szCs w:val="24"/>
                      <w:bdr w:val="none" w:sz="0" w:space="0" w:color="auto" w:frame="1"/>
                    </w:rPr>
                    <w:t>paršavedė = 2,67 penimos kiaulės (nuo 30 kg);</w:t>
                  </w:r>
                </w:p>
              </w:sdtContent>
            </w:sdt>
            <w:sdt>
              <w:sdtPr>
                <w:alias w:val="8 pr. 4.2 pp."/>
                <w:tag w:val="part_d625b57599a5471d88ba7762f9fc89c1"/>
                <w:lock w:val="sdtLocked"/>
                <w:richText/>
              </w:sdtPr>
              <w:sdtContent>
                <w:p>
                  <w:pPr>
                    <w:ind w:firstLine="567"/>
                    <w:jc w:val="both"/>
                    <w:textAlignment w:val="baseline"/>
                    <w:rPr>
                      <w:color w:val="000000"/>
                      <w:szCs w:val="24"/>
                      <w:bdr w:val="none" w:sz="0" w:space="0" w:color="auto" w:frame="1"/>
                    </w:rPr>
                  </w:pPr>
                  <w:sdt>
                    <w:sdtPr>
                      <w:alias w:val="Numeris"/>
                      <w:tag w:val="nr_d625b57599a5471d88ba7762f9fc89c1"/>
                      <w:lock w:val="sdtLocked"/>
                      <w:richText/>
                    </w:sdtPr>
                    <w:sdtContent>
                      <w:r>
                        <w:rPr>
                          <w:color w:val="000000"/>
                          <w:szCs w:val="24"/>
                          <w:bdr w:val="none" w:sz="0" w:space="0" w:color="auto" w:frame="1"/>
                        </w:rPr>
                        <w:t>4.2</w:t>
                      </w:r>
                    </w:sdtContent>
                  </w:sdt>
                  <w:r>
                    <w:rPr>
                      <w:color w:val="000000"/>
                      <w:szCs w:val="24"/>
                      <w:bdr w:val="none" w:sz="0" w:space="0" w:color="auto" w:frame="1"/>
                    </w:rPr>
                    <w:t>. 1 penima kiaulė (nuo 30 kg) = 0,375 paršavedės.</w:t>
                  </w:r>
                </w:p>
              </w:sdtContent>
            </w:sdt>
          </w:sdtContent>
        </w:sdt>
        <w:sdt>
          <w:sdtPr>
            <w:alias w:val="8 pr. 5 p."/>
            <w:tag w:val="part_4e400d7ee4a04222bd8330c357000682"/>
            <w:lock w:val="sdtLocked"/>
            <w:richText/>
          </w:sdtPr>
          <w:sdtContent>
            <w:p>
              <w:pPr>
                <w:ind w:firstLine="567"/>
                <w:jc w:val="both"/>
                <w:textAlignment w:val="baseline"/>
                <w:rPr>
                  <w:color w:val="000000"/>
                  <w:szCs w:val="24"/>
                  <w:bdr w:val="none" w:sz="0" w:space="0" w:color="auto" w:frame="1"/>
                </w:rPr>
              </w:pPr>
              <w:sdt>
                <w:sdtPr>
                  <w:alias w:val="Numeris"/>
                  <w:tag w:val="nr_4e400d7ee4a04222bd8330c357000682"/>
                  <w:lock w:val="sdtLocked"/>
                  <w:richText/>
                </w:sdtPr>
                <w:sdtContent>
                  <w:r>
                    <w:rPr>
                      <w:color w:val="000000"/>
                      <w:szCs w:val="24"/>
                      <w:bdr w:val="none" w:sz="0" w:space="0" w:color="auto" w:frame="1"/>
                    </w:rPr>
                    <w:t>5</w:t>
                  </w:r>
                </w:sdtContent>
              </w:sdt>
              <w:r>
                <w:rPr>
                  <w:color w:val="000000"/>
                  <w:szCs w:val="24"/>
                  <w:bdr w:val="none" w:sz="0" w:space="0" w:color="auto" w:frame="1"/>
                </w:rPr>
                <w:t>. Jeigu perskaičiavus kiaulių grupes šio priedo 3 ir (ar) 4 punkte nurodyta tvarka, planuojamas pakeitimas neatitinka nė vieno AAĮ nurodyto leidimo keitimo pagrindo, taip pat leidimo nereikia tikslinti TIPK taisyklėse nustatyta tvarka, nekeičiant ir netikslinant leidimo galima keisti kokybinę ir kiekybinę auginamų kiaulių sudėtį, tačiau dėl to negali būti:</w:t>
              </w:r>
            </w:p>
            <w:sdt>
              <w:sdtPr>
                <w:alias w:val="8 pr. 5.1 pp."/>
                <w:tag w:val="part_bf05bdc39c2b4d87bdaa58342332b12a"/>
                <w:lock w:val="sdtLocked"/>
                <w:richText/>
              </w:sdtPr>
              <w:sdtContent>
                <w:p>
                  <w:pPr>
                    <w:ind w:firstLine="567"/>
                    <w:jc w:val="both"/>
                    <w:textAlignment w:val="baseline"/>
                    <w:rPr>
                      <w:color w:val="000000"/>
                      <w:szCs w:val="24"/>
                      <w:bdr w:val="none" w:sz="0" w:space="0" w:color="auto" w:frame="1"/>
                    </w:rPr>
                  </w:pPr>
                  <w:sdt>
                    <w:sdtPr>
                      <w:alias w:val="Numeris"/>
                      <w:tag w:val="nr_bf05bdc39c2b4d87bdaa58342332b12a"/>
                      <w:lock w:val="sdtLocked"/>
                      <w:richText/>
                    </w:sdtPr>
                    <w:sdtContent>
                      <w:r>
                        <w:rPr>
                          <w:color w:val="000000"/>
                          <w:szCs w:val="24"/>
                          <w:bdr w:val="none" w:sz="0" w:space="0" w:color="auto" w:frame="1"/>
                        </w:rPr>
                        <w:t>5.1</w:t>
                      </w:r>
                    </w:sdtContent>
                  </w:sdt>
                  <w:r>
                    <w:rPr>
                      <w:color w:val="000000"/>
                      <w:szCs w:val="24"/>
                      <w:bdr w:val="none" w:sz="0" w:space="0" w:color="auto" w:frame="1"/>
                    </w:rPr>
                    <w:t xml:space="preserve">. keičiama leidime nurodytų stacionarių aplinkos oro taršos šaltinių vieta; </w:t>
                  </w:r>
                </w:p>
              </w:sdtContent>
            </w:sdt>
            <w:sdt>
              <w:sdtPr>
                <w:alias w:val="8 pr. 5.2 pp."/>
                <w:tag w:val="part_97383b2bb95a4af6b358548f6371502e"/>
                <w:lock w:val="sdtLocked"/>
                <w:richText/>
              </w:sdtPr>
              <w:sdtContent>
                <w:p>
                  <w:pPr>
                    <w:ind w:firstLine="567"/>
                    <w:jc w:val="both"/>
                    <w:textAlignment w:val="baseline"/>
                    <w:rPr>
                      <w:color w:val="000000"/>
                      <w:bdr w:val="none" w:sz="0" w:space="0" w:color="auto" w:frame="1"/>
                    </w:rPr>
                  </w:pPr>
                  <w:sdt>
                    <w:sdtPr>
                      <w:alias w:val="Numeris"/>
                      <w:tag w:val="nr_97383b2bb95a4af6b358548f6371502e"/>
                      <w:lock w:val="sdtLocked"/>
                      <w:richText/>
                    </w:sdtPr>
                    <w:sdtContent>
                      <w:r>
                        <w:rPr>
                          <w:color w:val="000000"/>
                          <w:bdr w:val="none" w:sz="0" w:space="0" w:color="auto" w:frame="1"/>
                        </w:rPr>
                        <w:t>5.2</w:t>
                      </w:r>
                    </w:sdtContent>
                  </w:sdt>
                  <w:r>
                    <w:rPr>
                      <w:color w:val="000000"/>
                      <w:bdr w:val="none" w:sz="0" w:space="0" w:color="auto" w:frame="1"/>
                    </w:rPr>
                    <w:t xml:space="preserve">. didėti leidime nurodytas iš stacionarių taršos šaltinių išmetamų teršalų kiekis, įvertinant kiekvieno iš šių teršalų išmetimo pokytį: amoniako, kietųjų dalelių (KD), lakiųjų organinių junginių (LOJ); </w:t>
                  </w:r>
                </w:p>
              </w:sdtContent>
            </w:sdt>
            <w:sdt>
              <w:sdtPr>
                <w:alias w:val="8 pr. 5.3 pp."/>
                <w:tag w:val="part_cfea6f7db1cb4b2889ef76b45ed762da"/>
                <w:lock w:val="sdtLocked"/>
                <w:richText/>
              </w:sdtPr>
              <w:sdtContent>
                <w:p>
                  <w:pPr>
                    <w:ind w:firstLine="567"/>
                    <w:jc w:val="both"/>
                    <w:textAlignment w:val="baseline"/>
                    <w:rPr>
                      <w:color w:val="000000"/>
                      <w:szCs w:val="24"/>
                      <w:bdr w:val="none" w:sz="0" w:space="0" w:color="auto" w:frame="1"/>
                    </w:rPr>
                  </w:pPr>
                  <w:sdt>
                    <w:sdtPr>
                      <w:alias w:val="Numeris"/>
                      <w:tag w:val="nr_cfea6f7db1cb4b2889ef76b45ed762da"/>
                      <w:lock w:val="sdtLocked"/>
                      <w:richText/>
                    </w:sdtPr>
                    <w:sdtContent>
                      <w:r>
                        <w:rPr>
                          <w:color w:val="000000"/>
                          <w:szCs w:val="24"/>
                          <w:bdr w:val="none" w:sz="0" w:space="0" w:color="auto" w:frame="1"/>
                        </w:rPr>
                        <w:t>5.3</w:t>
                      </w:r>
                    </w:sdtContent>
                  </w:sdt>
                  <w:r>
                    <w:rPr>
                      <w:color w:val="000000"/>
                      <w:szCs w:val="24"/>
                      <w:bdr w:val="none" w:sz="0" w:space="0" w:color="auto" w:frame="1"/>
                    </w:rPr>
                    <w:t>. keičiami leidime nurodyti mėšlo tvarkymo būdai;</w:t>
                  </w:r>
                </w:p>
              </w:sdtContent>
            </w:sdt>
            <w:sdt>
              <w:sdtPr>
                <w:alias w:val="8 pr. 5.4 pp."/>
                <w:tag w:val="part_edd5372799a54264b176428139407c56"/>
                <w:lock w:val="sdtLocked"/>
                <w:richText/>
              </w:sdtPr>
              <w:sdtContent>
                <w:p>
                  <w:pPr>
                    <w:ind w:firstLine="567"/>
                    <w:jc w:val="both"/>
                    <w:textAlignment w:val="baseline"/>
                    <w:rPr>
                      <w:color w:val="000000"/>
                      <w:szCs w:val="24"/>
                      <w:bdr w:val="none" w:sz="0" w:space="0" w:color="auto" w:frame="1"/>
                    </w:rPr>
                  </w:pPr>
                  <w:sdt>
                    <w:sdtPr>
                      <w:alias w:val="Numeris"/>
                      <w:tag w:val="nr_edd5372799a54264b176428139407c56"/>
                      <w:lock w:val="sdtLocked"/>
                      <w:richText/>
                    </w:sdtPr>
                    <w:sdtContent>
                      <w:r>
                        <w:rPr>
                          <w:color w:val="000000"/>
                          <w:szCs w:val="24"/>
                          <w:bdr w:val="none" w:sz="0" w:space="0" w:color="auto" w:frame="1"/>
                        </w:rPr>
                        <w:t>5.4</w:t>
                      </w:r>
                    </w:sdtContent>
                  </w:sdt>
                  <w:r>
                    <w:rPr>
                      <w:color w:val="000000"/>
                      <w:szCs w:val="24"/>
                      <w:bdr w:val="none" w:sz="0" w:space="0" w:color="auto" w:frame="1"/>
                    </w:rPr>
                    <w:t>. leidime nurodytos neigiamą poveikį mažinančios priemonės keičiamos į mažiau efektyvias;</w:t>
                  </w:r>
                </w:p>
              </w:sdtContent>
            </w:sdt>
            <w:sdt>
              <w:sdtPr>
                <w:alias w:val="8 pr. 5.5 pp."/>
                <w:tag w:val="part_37d31932152e4895b8c6ae5d38d5a98d"/>
                <w:lock w:val="sdtLocked"/>
                <w:richText/>
              </w:sdtPr>
              <w:sdtContent>
                <w:p>
                  <w:pPr>
                    <w:ind w:firstLine="567"/>
                    <w:jc w:val="both"/>
                    <w:textAlignment w:val="baseline"/>
                    <w:rPr>
                      <w:color w:val="000000"/>
                      <w:szCs w:val="24"/>
                      <w:bdr w:val="none" w:sz="0" w:space="0" w:color="auto" w:frame="1"/>
                    </w:rPr>
                  </w:pPr>
                  <w:sdt>
                    <w:sdtPr>
                      <w:alias w:val="Numeris"/>
                      <w:tag w:val="nr_37d31932152e4895b8c6ae5d38d5a98d"/>
                      <w:lock w:val="sdtLocked"/>
                      <w:richText/>
                    </w:sdtPr>
                    <w:sdtContent>
                      <w:r>
                        <w:rPr>
                          <w:color w:val="000000"/>
                          <w:szCs w:val="24"/>
                          <w:bdr w:val="none" w:sz="0" w:space="0" w:color="auto" w:frame="1"/>
                        </w:rPr>
                        <w:t>5.5</w:t>
                      </w:r>
                    </w:sdtContent>
                  </w:sdt>
                  <w:r>
                    <w:rPr>
                      <w:color w:val="000000"/>
                      <w:szCs w:val="24"/>
                      <w:bdr w:val="none" w:sz="0" w:space="0" w:color="auto" w:frame="1"/>
                    </w:rPr>
                    <w:t>. didėti leidime nurodytas maksimalus vandens suvartojimas;</w:t>
                  </w:r>
                </w:p>
              </w:sdtContent>
            </w:sdt>
            <w:sdt>
              <w:sdtPr>
                <w:alias w:val="8 pr. 5.6 pp."/>
                <w:tag w:val="part_e2a73f5ef3ff47c28697cd673f029b2e"/>
                <w:lock w:val="sdtLocked"/>
                <w:richText/>
              </w:sdtPr>
              <w:sdtContent>
                <w:p>
                  <w:pPr>
                    <w:ind w:firstLine="567"/>
                    <w:jc w:val="both"/>
                    <w:textAlignment w:val="baseline"/>
                    <w:rPr>
                      <w:color w:val="000000"/>
                      <w:bdr w:val="none" w:sz="0" w:space="0" w:color="auto" w:frame="1"/>
                    </w:rPr>
                  </w:pPr>
                  <w:sdt>
                    <w:sdtPr>
                      <w:alias w:val="Numeris"/>
                      <w:tag w:val="nr_e2a73f5ef3ff47c28697cd673f029b2e"/>
                      <w:lock w:val="sdtLocked"/>
                      <w:richText/>
                    </w:sdtPr>
                    <w:sdtContent>
                      <w:r>
                        <w:rPr>
                          <w:color w:val="000000"/>
                          <w:bdr w:val="none" w:sz="0" w:space="0" w:color="auto" w:frame="1"/>
                        </w:rPr>
                        <w:t>5.6</w:t>
                      </w:r>
                    </w:sdtContent>
                  </w:sdt>
                  <w:r>
                    <w:rPr>
                      <w:color w:val="000000"/>
                      <w:bdr w:val="none" w:sz="0" w:space="0" w:color="auto" w:frame="1"/>
                    </w:rPr>
                    <w:t xml:space="preserve">. keičiamas kiaulių laikymo būdas; </w:t>
                  </w:r>
                  <w:r>
                    <w:rPr>
                      <w:color w:val="000000"/>
                      <w:szCs w:val="24"/>
                      <w:lang w:eastAsia="zh-CN"/>
                    </w:rPr>
                    <w:t>kiaulės bus nuolatos laikomos tvartuose ant grotelėmis padengtų grindų</w:t>
                  </w:r>
                  <w:r>
                    <w:rPr>
                      <w:color w:val="000000"/>
                      <w:bdr w:val="none" w:sz="0" w:space="0" w:color="auto" w:frame="1"/>
                    </w:rPr>
                    <w:t>.</w:t>
                  </w:r>
                </w:p>
              </w:sdtContent>
            </w:sdt>
          </w:sdtContent>
        </w:sdt>
        <w:sdt>
          <w:sdtPr>
            <w:alias w:val="8 pr. 6 p."/>
            <w:tag w:val="part_6e3102b140194ecdb159ab98279db9bf"/>
            <w:lock w:val="sdtLocked"/>
            <w:richText/>
          </w:sdtPr>
          <w:sdtContent>
            <w:p>
              <w:pPr>
                <w:ind w:firstLine="567"/>
                <w:jc w:val="both"/>
                <w:textAlignment w:val="baseline"/>
                <w:rPr>
                  <w:color w:val="000000"/>
                  <w:bdr w:val="none" w:sz="0" w:space="0" w:color="auto" w:frame="1"/>
                </w:rPr>
              </w:pPr>
              <w:sdt>
                <w:sdtPr>
                  <w:alias w:val="Numeris"/>
                  <w:tag w:val="nr_6e3102b140194ecdb159ab98279db9bf"/>
                  <w:lock w:val="sdtLocked"/>
                  <w:richText/>
                </w:sdtPr>
                <w:sdtContent>
                  <w:r>
                    <w:rPr>
                      <w:color w:val="000000"/>
                      <w:bdr w:val="none" w:sz="0" w:space="0" w:color="auto" w:frame="1"/>
                    </w:rPr>
                    <w:t>6</w:t>
                  </w:r>
                </w:sdtContent>
              </w:sdt>
              <w:r>
                <w:rPr>
                  <w:color w:val="000000"/>
                  <w:bdr w:val="none" w:sz="0" w:space="0" w:color="auto" w:frame="1"/>
                </w:rPr>
                <w:t xml:space="preserve">. Skaičiuoti iš stacionarių taršos šaltinių išmetamų teršalų kiekį turi būti naudojama vėliausiai parengta Europos Aplinkos agentūros </w:t>
              </w:r>
              <w:r>
                <w:rPr>
                  <w:szCs w:val="24"/>
                  <w:lang w:eastAsia="zh-CN"/>
                </w:rPr>
                <w:t>į atmosferą išmetamų teršalų apskaitos metodika (</w:t>
              </w:r>
              <w:r>
                <w:rPr>
                  <w:i/>
                  <w:iCs/>
                  <w:szCs w:val="24"/>
                  <w:lang w:eastAsia="zh-CN"/>
                </w:rPr>
                <w:t xml:space="preserve">anglų kalba </w:t>
              </w:r>
              <w:r>
                <w:rPr>
                  <w:i/>
                  <w:iCs/>
                  <w:szCs w:val="24"/>
                  <w:lang w:val="lt" w:eastAsia="zh-CN"/>
                </w:rPr>
                <w:t xml:space="preserve">– </w:t>
              </w:r>
              <w:r>
                <w:rPr>
                  <w:szCs w:val="24"/>
                  <w:lang w:eastAsia="zh-CN"/>
                </w:rPr>
                <w:t>EMEP/CORINAIR Atmospheric emission inventory guidebook</w:t>
              </w:r>
              <w:r>
                <w:rPr>
                  <w:szCs w:val="24"/>
                  <w:lang w:val="lt" w:eastAsia="zh-CN"/>
                </w:rPr>
                <w:t xml:space="preserve"> (toliau – </w:t>
              </w:r>
              <w:r>
                <w:rPr>
                  <w:color w:val="000000"/>
                  <w:bdr w:val="none" w:sz="0" w:space="0" w:color="auto" w:frame="1"/>
                </w:rPr>
                <w:t>EMEP metodika) (žemės ūkio sektoriaus skyrius „3.B Mėšlo tvarkymas 2019“ (</w:t>
              </w:r>
              <w:r>
                <w:rPr>
                  <w:i/>
                  <w:iCs/>
                  <w:color w:val="000000"/>
                  <w:bdr w:val="none" w:sz="0" w:space="0" w:color="auto" w:frame="1"/>
                </w:rPr>
                <w:t>https://www.eea.europa.eu/publications/emep-eea-guidebook-2019/part-b-sectoral-guidance-chapters/4-agriculture/3-b-manure-management/view</w:t>
              </w:r>
              <w:r>
                <w:rPr>
                  <w:color w:val="000000"/>
                  <w:bdr w:val="none" w:sz="0" w:space="0" w:color="auto" w:frame="1"/>
                </w:rPr>
                <w:t>)).</w:t>
              </w:r>
            </w:p>
          </w:sdtContent>
        </w:sdt>
        <w:sdt>
          <w:sdtPr>
            <w:alias w:val="8 pr. 7 p."/>
            <w:tag w:val="part_e1fcd509060340bd9bf0a03b2ddba58e"/>
            <w:lock w:val="sdtLocked"/>
            <w:richText/>
          </w:sdtPr>
          <w:sdtContent>
            <w:p>
              <w:pPr>
                <w:ind w:left="-11" w:firstLine="567"/>
                <w:jc w:val="both"/>
                <w:textAlignment w:val="baseline"/>
                <w:rPr>
                  <w:color w:val="000000"/>
                  <w:bdr w:val="none" w:sz="0" w:space="0" w:color="auto" w:frame="1"/>
                  <w:shd w:val="clear" w:color="auto" w:fill="FFFFFF"/>
                </w:rPr>
              </w:pPr>
              <w:sdt>
                <w:sdtPr>
                  <w:alias w:val="Numeris"/>
                  <w:tag w:val="nr_e1fcd509060340bd9bf0a03b2ddba58e"/>
                  <w:lock w:val="sdtLocked"/>
                  <w:richText/>
                </w:sdtPr>
                <w:sdtContent>
                  <w:r>
                    <w:rPr>
                      <w:color w:val="000000"/>
                      <w:bdr w:val="none" w:sz="0" w:space="0" w:color="auto" w:frame="1"/>
                      <w:shd w:val="clear" w:color="auto" w:fill="FFFFFF"/>
                    </w:rPr>
                    <w:t>7</w:t>
                  </w:r>
                </w:sdtContent>
              </w:sdt>
              <w:r>
                <w:rPr>
                  <w:color w:val="000000"/>
                  <w:bdr w:val="none" w:sz="0" w:space="0" w:color="auto" w:frame="1"/>
                  <w:shd w:val="clear" w:color="auto" w:fill="FFFFFF"/>
                </w:rPr>
                <w:t>. Amoniako kiekis, išsiskiriantis vienoje atitinkamos kiaulių grupės laikymo vietoje, apskaičiuojamas ir pateikiamas lentelėje.</w:t>
              </w:r>
            </w:p>
            <w:p>
              <w:pPr>
                <w:ind w:left="-11" w:firstLine="567"/>
                <w:jc w:val="both"/>
                <w:textAlignment w:val="baseline"/>
                <w:rPr>
                  <w:color w:val="000000"/>
                  <w:bdr w:val="none" w:sz="0" w:space="0" w:color="auto" w:frame="1"/>
                  <w:shd w:val="clear" w:color="auto" w:fill="FFFFFF"/>
                </w:rPr>
              </w:pPr>
              <w:r>
                <w:rPr>
                  <w:color w:val="000000"/>
                  <w:bdr w:val="none" w:sz="0" w:space="0" w:color="auto" w:frame="1"/>
                  <w:shd w:val="clear" w:color="auto" w:fill="FFFFFF"/>
                </w:rPr>
                <w:t>Amoniako kiekis, išsiskiriantis kiaulių grupės laikymo vietoje</w:t>
              </w:r>
            </w:p>
            <w:tbl>
              <w:tblPr>
                <w:tblW w:w="0" w:type="auto"/>
                <w:tblInd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1355"/>
                <w:gridCol w:w="1355"/>
                <w:gridCol w:w="1355"/>
                <w:gridCol w:w="1355"/>
                <w:gridCol w:w="1355"/>
                <w:gridCol w:w="1356"/>
              </w:tblGrid>
              <w:tr>
                <w:tc>
                  <w:tcPr>
                    <w:tcW w:w="1355" w:type="dxa"/>
                    <w:vMerge w:val="restart"/>
                  </w:tcPr>
                  <w:p>
                    <w:pPr>
                      <w:jc w:val="center"/>
                      <w:textAlignment w:val="baseline"/>
                      <w:rPr>
                        <w:rFonts w:eastAsia="Calibri"/>
                        <w:color w:val="000000"/>
                        <w:sz w:val="20"/>
                        <w:bdr w:val="none" w:sz="0" w:space="0" w:color="auto" w:frame="1"/>
                        <w:shd w:val="clear" w:color="auto" w:fill="FFFFFF"/>
                      </w:rPr>
                    </w:pPr>
                    <w:r>
                      <w:rPr>
                        <w:rFonts w:eastAsia="Calibri"/>
                        <w:color w:val="000000"/>
                        <w:sz w:val="20"/>
                        <w:bdr w:val="none" w:sz="0" w:space="0" w:color="auto" w:frame="1"/>
                        <w:shd w:val="clear" w:color="auto" w:fill="FFFFFF"/>
                      </w:rPr>
                      <w:t>Kiaulių grupė</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rFonts w:eastAsia="Calibri"/>
                        <w:color w:val="000000"/>
                        <w:sz w:val="20"/>
                        <w:bdr w:val="none" w:sz="0" w:space="0" w:color="auto" w:frame="1"/>
                        <w:shd w:val="clear" w:color="auto" w:fill="FFFFFF"/>
                      </w:rPr>
                    </w:pPr>
                    <w:r>
                      <w:rPr>
                        <w:rFonts w:eastAsia="Calibri"/>
                        <w:sz w:val="20"/>
                      </w:rPr>
                      <w:t>Metinis azoto kiekis, išsiskiriantis vienoje kiaulių laikymo vietoje</w:t>
                    </w:r>
                  </w:p>
                </w:tc>
                <w:tc>
                  <w:tcPr>
                    <w:tcW w:w="1355" w:type="dxa"/>
                    <w:tcBorders>
                      <w:top w:val="single" w:sz="4" w:space="0" w:color="auto"/>
                      <w:left w:val="nil"/>
                      <w:bottom w:val="single" w:sz="4" w:space="0" w:color="auto"/>
                      <w:right w:val="single" w:sz="4" w:space="0" w:color="auto"/>
                    </w:tcBorders>
                    <w:shd w:val="clear" w:color="auto" w:fill="auto"/>
                    <w:vAlign w:val="center"/>
                  </w:tcPr>
                  <w:p>
                    <w:pPr>
                      <w:jc w:val="center"/>
                      <w:textAlignment w:val="baseline"/>
                      <w:rPr>
                        <w:rFonts w:eastAsia="Calibri"/>
                        <w:color w:val="000000"/>
                        <w:sz w:val="20"/>
                        <w:bdr w:val="none" w:sz="0" w:space="0" w:color="auto" w:frame="1"/>
                        <w:shd w:val="clear" w:color="auto" w:fill="FFFFFF"/>
                      </w:rPr>
                    </w:pPr>
                    <w:r>
                      <w:rPr>
                        <w:rFonts w:eastAsia="Calibri"/>
                        <w:sz w:val="20"/>
                      </w:rPr>
                      <w:t>Bendrojo amoniakinio azoto santykis</w:t>
                    </w:r>
                  </w:p>
                </w:tc>
                <w:tc>
                  <w:tcPr>
                    <w:tcW w:w="1355" w:type="dxa"/>
                    <w:tcBorders>
                      <w:top w:val="single" w:sz="4" w:space="0" w:color="auto"/>
                      <w:left w:val="nil"/>
                      <w:bottom w:val="single" w:sz="4" w:space="0" w:color="auto"/>
                      <w:right w:val="single" w:sz="4" w:space="0" w:color="auto"/>
                    </w:tcBorders>
                    <w:shd w:val="clear" w:color="auto" w:fill="auto"/>
                    <w:vAlign w:val="center"/>
                  </w:tcPr>
                  <w:p>
                    <w:pPr>
                      <w:jc w:val="center"/>
                      <w:textAlignment w:val="baseline"/>
                      <w:rPr>
                        <w:rFonts w:eastAsia="Calibri"/>
                        <w:color w:val="000000"/>
                        <w:sz w:val="20"/>
                        <w:bdr w:val="none" w:sz="0" w:space="0" w:color="auto" w:frame="1"/>
                        <w:shd w:val="clear" w:color="auto" w:fill="FFFFFF"/>
                      </w:rPr>
                    </w:pPr>
                    <w:r>
                      <w:rPr>
                        <w:rFonts w:eastAsia="Calibri"/>
                        <w:sz w:val="20"/>
                      </w:rPr>
                      <w:t>Kiaulių laikymo tvartuose laikotarpis</w:t>
                    </w:r>
                  </w:p>
                </w:tc>
                <w:tc>
                  <w:tcPr>
                    <w:tcW w:w="1355" w:type="dxa"/>
                    <w:tcBorders>
                      <w:top w:val="single" w:sz="4" w:space="0" w:color="auto"/>
                      <w:left w:val="nil"/>
                      <w:bottom w:val="single" w:sz="4" w:space="0" w:color="auto"/>
                      <w:right w:val="single" w:sz="4" w:space="0" w:color="auto"/>
                    </w:tcBorders>
                    <w:shd w:val="clear" w:color="auto" w:fill="auto"/>
                    <w:vAlign w:val="center"/>
                  </w:tcPr>
                  <w:p>
                    <w:pPr>
                      <w:jc w:val="center"/>
                      <w:textAlignment w:val="baseline"/>
                      <w:rPr>
                        <w:rFonts w:eastAsia="Calibri"/>
                        <w:color w:val="000000"/>
                        <w:sz w:val="20"/>
                        <w:bdr w:val="none" w:sz="0" w:space="0" w:color="auto" w:frame="1"/>
                        <w:shd w:val="clear" w:color="auto" w:fill="FFFFFF"/>
                      </w:rPr>
                    </w:pPr>
                    <w:r>
                      <w:rPr>
                        <w:rFonts w:eastAsia="Calibri"/>
                        <w:sz w:val="20"/>
                      </w:rPr>
                      <w:t>Amoniako taršos (emisijos) faktorius, išreikštas bendrojo amoniakinio azoto dalimi</w:t>
                    </w:r>
                  </w:p>
                </w:tc>
                <w:tc>
                  <w:tcPr>
                    <w:tcW w:w="1355" w:type="dxa"/>
                    <w:tcBorders>
                      <w:top w:val="single" w:sz="4" w:space="0" w:color="auto"/>
                      <w:left w:val="nil"/>
                      <w:bottom w:val="single" w:sz="4" w:space="0" w:color="auto"/>
                      <w:right w:val="single" w:sz="4" w:space="0" w:color="auto"/>
                    </w:tcBorders>
                    <w:shd w:val="clear" w:color="auto" w:fill="auto"/>
                    <w:vAlign w:val="center"/>
                  </w:tcPr>
                  <w:p>
                    <w:pPr>
                      <w:jc w:val="center"/>
                      <w:rPr>
                        <w:rFonts w:eastAsia="Calibri"/>
                        <w:sz w:val="20"/>
                        <w:lang w:eastAsia="en-GB"/>
                      </w:rPr>
                    </w:pPr>
                    <w:r>
                      <w:rPr>
                        <w:rFonts w:eastAsia="Calibri"/>
                        <w:color w:val="000000"/>
                        <w:sz w:val="20"/>
                      </w:rPr>
                      <w:t xml:space="preserve">Amoniako </w:t>
                    </w:r>
                  </w:p>
                  <w:p>
                    <w:pPr>
                      <w:jc w:val="center"/>
                      <w:textAlignment w:val="baseline"/>
                      <w:rPr>
                        <w:rFonts w:eastAsia="Calibri"/>
                        <w:color w:val="000000"/>
                        <w:sz w:val="20"/>
                        <w:bdr w:val="none" w:sz="0" w:space="0" w:color="auto" w:frame="1"/>
                        <w:shd w:val="clear" w:color="auto" w:fill="FFFFFF"/>
                      </w:rPr>
                    </w:pPr>
                    <w:r>
                      <w:rPr>
                        <w:rFonts w:eastAsia="Calibri"/>
                        <w:color w:val="000000"/>
                        <w:sz w:val="20"/>
                      </w:rPr>
                      <w:t xml:space="preserve">išmetamo kiekio mažinimo priemonės efektyvumas, išreikštas skaičiaus dalimi </w:t>
                    </w:r>
                  </w:p>
                </w:tc>
                <w:tc>
                  <w:tcPr>
                    <w:tcW w:w="1356" w:type="dxa"/>
                    <w:tcBorders>
                      <w:top w:val="single" w:sz="4" w:space="0" w:color="auto"/>
                      <w:left w:val="nil"/>
                      <w:bottom w:val="single" w:sz="4" w:space="0" w:color="auto"/>
                      <w:right w:val="single" w:sz="4" w:space="0" w:color="auto"/>
                    </w:tcBorders>
                    <w:shd w:val="clear" w:color="auto" w:fill="auto"/>
                    <w:vAlign w:val="center"/>
                  </w:tcPr>
                  <w:p>
                    <w:pPr>
                      <w:jc w:val="center"/>
                      <w:textAlignment w:val="baseline"/>
                      <w:rPr>
                        <w:rFonts w:eastAsia="Calibri"/>
                        <w:color w:val="000000"/>
                        <w:sz w:val="20"/>
                        <w:bdr w:val="none" w:sz="0" w:space="0" w:color="auto" w:frame="1"/>
                        <w:shd w:val="clear" w:color="auto" w:fill="FFFFFF"/>
                      </w:rPr>
                    </w:pPr>
                    <w:r>
                      <w:rPr>
                        <w:rFonts w:eastAsia="Calibri"/>
                        <w:sz w:val="20"/>
                      </w:rPr>
                      <w:t>Koeficientas metiniam amoniako kiekiui vienoje kiaulių laikymo vietoje apskaičiuoti</w:t>
                    </w:r>
                  </w:p>
                </w:tc>
              </w:tr>
              <w:tr>
                <w:tc>
                  <w:tcPr>
                    <w:tcW w:w="1355" w:type="dxa"/>
                    <w:vMerge/>
                  </w:tcPr>
                  <w:p>
                    <w:pPr>
                      <w:jc w:val="center"/>
                      <w:textAlignment w:val="baseline"/>
                      <w:rPr>
                        <w:rFonts w:eastAsia="Calibri"/>
                        <w:color w:val="000000"/>
                        <w:sz w:val="20"/>
                        <w:bdr w:val="none" w:sz="0" w:space="0" w:color="auto" w:frame="1"/>
                        <w:shd w:val="clear" w:color="auto" w:fill="FFFFFF"/>
                      </w:rPr>
                    </w:pPr>
                  </w:p>
                </w:tc>
                <w:tc>
                  <w:tcPr>
                    <w:tcW w:w="1355" w:type="dxa"/>
                    <w:tcBorders>
                      <w:top w:val="nil"/>
                      <w:left w:val="single" w:sz="4" w:space="0" w:color="auto"/>
                      <w:bottom w:val="single" w:sz="4" w:space="0" w:color="auto"/>
                      <w:right w:val="single" w:sz="4" w:space="0" w:color="auto"/>
                    </w:tcBorders>
                    <w:shd w:val="clear" w:color="auto" w:fill="auto"/>
                    <w:vAlign w:val="center"/>
                  </w:tcPr>
                  <w:p>
                    <w:pPr>
                      <w:jc w:val="center"/>
                      <w:textAlignment w:val="baseline"/>
                      <w:rPr>
                        <w:rFonts w:eastAsia="Calibri"/>
                        <w:color w:val="000000"/>
                        <w:sz w:val="20"/>
                        <w:bdr w:val="none" w:sz="0" w:space="0" w:color="auto" w:frame="1"/>
                        <w:shd w:val="clear" w:color="auto" w:fill="FFFFFF"/>
                      </w:rPr>
                    </w:pPr>
                    <w:r>
                      <w:rPr>
                        <w:rFonts w:eastAsia="Calibri"/>
                        <w:sz w:val="20"/>
                      </w:rPr>
                      <w:t>N</w:t>
                    </w:r>
                    <w:r>
                      <w:rPr>
                        <w:rFonts w:eastAsia="Calibri"/>
                        <w:sz w:val="20"/>
                        <w:vertAlign w:val="subscript"/>
                      </w:rPr>
                      <w:t>iš</w:t>
                    </w:r>
                    <w:r>
                      <w:rPr>
                        <w:rFonts w:eastAsia="Calibri"/>
                        <w:sz w:val="20"/>
                      </w:rPr>
                      <w:t xml:space="preserve">, kg/m. </w:t>
                    </w:r>
                  </w:p>
                </w:tc>
                <w:tc>
                  <w:tcPr>
                    <w:tcW w:w="1355" w:type="dxa"/>
                    <w:tcBorders>
                      <w:top w:val="nil"/>
                      <w:left w:val="nil"/>
                      <w:bottom w:val="single" w:sz="4" w:space="0" w:color="auto"/>
                      <w:right w:val="single" w:sz="4" w:space="0" w:color="auto"/>
                    </w:tcBorders>
                    <w:shd w:val="clear" w:color="auto" w:fill="auto"/>
                    <w:vAlign w:val="center"/>
                  </w:tcPr>
                  <w:p>
                    <w:pPr>
                      <w:jc w:val="center"/>
                      <w:textAlignment w:val="baseline"/>
                      <w:rPr>
                        <w:rFonts w:eastAsia="Calibri"/>
                        <w:color w:val="000000"/>
                        <w:sz w:val="20"/>
                        <w:bdr w:val="none" w:sz="0" w:space="0" w:color="auto" w:frame="1"/>
                        <w:shd w:val="clear" w:color="auto" w:fill="FFFFFF"/>
                      </w:rPr>
                    </w:pPr>
                    <w:r>
                      <w:rPr>
                        <w:rFonts w:eastAsia="Calibri"/>
                        <w:sz w:val="20"/>
                      </w:rPr>
                      <w:t>B</w:t>
                    </w:r>
                    <w:r>
                      <w:rPr>
                        <w:rFonts w:eastAsia="Calibri"/>
                        <w:sz w:val="20"/>
                        <w:vertAlign w:val="subscript"/>
                      </w:rPr>
                      <w:t>AN</w:t>
                    </w:r>
                  </w:p>
                </w:tc>
                <w:tc>
                  <w:tcPr>
                    <w:tcW w:w="1355" w:type="dxa"/>
                    <w:tcBorders>
                      <w:top w:val="nil"/>
                      <w:left w:val="nil"/>
                      <w:bottom w:val="single" w:sz="4" w:space="0" w:color="auto"/>
                      <w:right w:val="single" w:sz="4" w:space="0" w:color="auto"/>
                    </w:tcBorders>
                    <w:shd w:val="clear" w:color="auto" w:fill="auto"/>
                    <w:vAlign w:val="center"/>
                  </w:tcPr>
                  <w:p>
                    <w:pPr>
                      <w:jc w:val="center"/>
                      <w:textAlignment w:val="baseline"/>
                      <w:rPr>
                        <w:rFonts w:eastAsia="Calibri"/>
                        <w:color w:val="000000"/>
                        <w:sz w:val="20"/>
                        <w:bdr w:val="none" w:sz="0" w:space="0" w:color="auto" w:frame="1"/>
                        <w:shd w:val="clear" w:color="auto" w:fill="FFFFFF"/>
                      </w:rPr>
                    </w:pPr>
                    <w:r>
                      <w:rPr>
                        <w:rFonts w:eastAsia="Calibri"/>
                        <w:sz w:val="20"/>
                      </w:rPr>
                      <w:t>t</w:t>
                    </w:r>
                    <w:r>
                      <w:rPr>
                        <w:rFonts w:eastAsia="Calibri"/>
                        <w:sz w:val="20"/>
                        <w:vertAlign w:val="subscript"/>
                      </w:rPr>
                      <w:t>tv</w:t>
                    </w:r>
                    <w:r>
                      <w:rPr>
                        <w:rFonts w:eastAsia="Calibri"/>
                        <w:sz w:val="20"/>
                      </w:rPr>
                      <w:t>, d./m.</w:t>
                    </w:r>
                  </w:p>
                </w:tc>
                <w:tc>
                  <w:tcPr>
                    <w:tcW w:w="1355" w:type="dxa"/>
                    <w:tcBorders>
                      <w:top w:val="nil"/>
                      <w:left w:val="nil"/>
                      <w:bottom w:val="single" w:sz="4" w:space="0" w:color="auto"/>
                      <w:right w:val="single" w:sz="4" w:space="0" w:color="auto"/>
                    </w:tcBorders>
                    <w:shd w:val="clear" w:color="auto" w:fill="auto"/>
                    <w:vAlign w:val="center"/>
                  </w:tcPr>
                  <w:p>
                    <w:pPr>
                      <w:jc w:val="center"/>
                      <w:textAlignment w:val="baseline"/>
                      <w:rPr>
                        <w:rFonts w:eastAsia="Calibri"/>
                        <w:color w:val="000000"/>
                        <w:sz w:val="20"/>
                        <w:bdr w:val="none" w:sz="0" w:space="0" w:color="auto" w:frame="1"/>
                        <w:shd w:val="clear" w:color="auto" w:fill="FFFFFF"/>
                      </w:rPr>
                    </w:pPr>
                    <w:r>
                      <w:rPr>
                        <w:rFonts w:eastAsia="Calibri"/>
                        <w:sz w:val="20"/>
                      </w:rPr>
                      <w:t>EF</w:t>
                    </w:r>
                    <w:r>
                      <w:rPr>
                        <w:rFonts w:eastAsia="Calibri"/>
                        <w:sz w:val="20"/>
                        <w:vertAlign w:val="subscript"/>
                      </w:rPr>
                      <w:t>NH3</w:t>
                    </w:r>
                  </w:p>
                </w:tc>
                <w:tc>
                  <w:tcPr>
                    <w:tcW w:w="1355" w:type="dxa"/>
                    <w:tcBorders>
                      <w:top w:val="nil"/>
                      <w:left w:val="nil"/>
                      <w:bottom w:val="single" w:sz="4" w:space="0" w:color="auto"/>
                      <w:right w:val="single" w:sz="4" w:space="0" w:color="auto"/>
                    </w:tcBorders>
                    <w:shd w:val="clear" w:color="auto" w:fill="auto"/>
                    <w:vAlign w:val="center"/>
                  </w:tcPr>
                  <w:p>
                    <w:pPr>
                      <w:jc w:val="center"/>
                      <w:textAlignment w:val="baseline"/>
                      <w:rPr>
                        <w:rFonts w:eastAsia="Calibri"/>
                        <w:color w:val="000000"/>
                        <w:sz w:val="20"/>
                        <w:bdr w:val="none" w:sz="0" w:space="0" w:color="auto" w:frame="1"/>
                        <w:shd w:val="clear" w:color="auto" w:fill="FFFFFF"/>
                      </w:rPr>
                    </w:pPr>
                    <w:r>
                      <w:rPr>
                        <w:rFonts w:eastAsia="Calibri"/>
                        <w:color w:val="000000"/>
                        <w:sz w:val="20"/>
                      </w:rPr>
                      <w:t>r</w:t>
                    </w:r>
                  </w:p>
                </w:tc>
                <w:tc>
                  <w:tcPr>
                    <w:tcW w:w="1356" w:type="dxa"/>
                    <w:tcBorders>
                      <w:top w:val="nil"/>
                      <w:left w:val="nil"/>
                      <w:bottom w:val="single" w:sz="4" w:space="0" w:color="auto"/>
                      <w:right w:val="single" w:sz="4" w:space="0" w:color="auto"/>
                    </w:tcBorders>
                    <w:shd w:val="clear" w:color="auto" w:fill="auto"/>
                    <w:vAlign w:val="center"/>
                  </w:tcPr>
                  <w:p>
                    <w:pPr>
                      <w:jc w:val="center"/>
                      <w:textAlignment w:val="baseline"/>
                      <w:rPr>
                        <w:rFonts w:eastAsia="Calibri"/>
                        <w:color w:val="000000"/>
                        <w:sz w:val="20"/>
                        <w:bdr w:val="none" w:sz="0" w:space="0" w:color="auto" w:frame="1"/>
                        <w:shd w:val="clear" w:color="auto" w:fill="FFFFFF"/>
                      </w:rPr>
                    </w:pPr>
                    <w:r>
                      <w:rPr>
                        <w:rFonts w:eastAsia="Calibri"/>
                        <w:sz w:val="20"/>
                      </w:rPr>
                      <w:t>E</w:t>
                    </w:r>
                    <w:r>
                      <w:rPr>
                        <w:rFonts w:eastAsia="Calibri"/>
                        <w:sz w:val="20"/>
                        <w:vertAlign w:val="subscript"/>
                      </w:rPr>
                      <w:t>NH3</w:t>
                    </w:r>
                    <w:r>
                      <w:rPr>
                        <w:rFonts w:eastAsia="Calibri"/>
                        <w:sz w:val="20"/>
                      </w:rPr>
                      <w:t>, t/m.</w:t>
                    </w:r>
                  </w:p>
                </w:tc>
              </w:tr>
              <w:tr>
                <w:tc>
                  <w:tcPr>
                    <w:tcW w:w="1355" w:type="dxa"/>
                    <w:vMerge/>
                  </w:tcPr>
                  <w:p>
                    <w:pPr>
                      <w:jc w:val="center"/>
                      <w:textAlignment w:val="baseline"/>
                      <w:rPr>
                        <w:rFonts w:eastAsia="Calibri"/>
                        <w:color w:val="000000"/>
                        <w:sz w:val="20"/>
                        <w:bdr w:val="none" w:sz="0" w:space="0" w:color="auto" w:frame="1"/>
                        <w:shd w:val="clear" w:color="auto" w:fill="FFFFFF"/>
                      </w:rPr>
                    </w:pPr>
                  </w:p>
                </w:tc>
                <w:tc>
                  <w:tcPr>
                    <w:tcW w:w="1355" w:type="dxa"/>
                    <w:tcBorders>
                      <w:top w:val="nil"/>
                      <w:left w:val="single" w:sz="4" w:space="0" w:color="auto"/>
                      <w:bottom w:val="single" w:sz="4" w:space="0" w:color="auto"/>
                      <w:right w:val="single" w:sz="4" w:space="0" w:color="auto"/>
                    </w:tcBorders>
                    <w:shd w:val="clear" w:color="auto" w:fill="auto"/>
                  </w:tcPr>
                  <w:p>
                    <w:pPr>
                      <w:jc w:val="center"/>
                      <w:textAlignment w:val="baseline"/>
                      <w:rPr>
                        <w:rFonts w:eastAsia="Calibri"/>
                        <w:color w:val="000000"/>
                        <w:sz w:val="20"/>
                        <w:bdr w:val="none" w:sz="0" w:space="0" w:color="auto" w:frame="1"/>
                        <w:shd w:val="clear" w:color="auto" w:fill="FFFFFF"/>
                      </w:rPr>
                    </w:pPr>
                    <w:r>
                      <w:rPr>
                        <w:rFonts w:eastAsia="Calibri"/>
                        <w:sz w:val="20"/>
                        <w:lang w:eastAsia="en-GB"/>
                      </w:rPr>
                      <w:t>2</w:t>
                    </w:r>
                  </w:p>
                </w:tc>
                <w:tc>
                  <w:tcPr>
                    <w:tcW w:w="1355" w:type="dxa"/>
                    <w:tcBorders>
                      <w:top w:val="nil"/>
                      <w:left w:val="nil"/>
                      <w:bottom w:val="single" w:sz="4" w:space="0" w:color="auto"/>
                      <w:right w:val="single" w:sz="4" w:space="0" w:color="auto"/>
                    </w:tcBorders>
                    <w:shd w:val="clear" w:color="auto" w:fill="auto"/>
                    <w:vAlign w:val="center"/>
                  </w:tcPr>
                  <w:p>
                    <w:pPr>
                      <w:jc w:val="center"/>
                      <w:textAlignment w:val="baseline"/>
                      <w:rPr>
                        <w:rFonts w:eastAsia="Calibri"/>
                        <w:color w:val="000000"/>
                        <w:sz w:val="20"/>
                        <w:bdr w:val="none" w:sz="0" w:space="0" w:color="auto" w:frame="1"/>
                        <w:shd w:val="clear" w:color="auto" w:fill="FFFFFF"/>
                      </w:rPr>
                    </w:pPr>
                    <w:r>
                      <w:rPr>
                        <w:rFonts w:eastAsia="Calibri"/>
                        <w:sz w:val="20"/>
                        <w:lang w:eastAsia="en-GB"/>
                      </w:rPr>
                      <w:t>3</w:t>
                    </w:r>
                  </w:p>
                </w:tc>
                <w:tc>
                  <w:tcPr>
                    <w:tcW w:w="1355" w:type="dxa"/>
                    <w:tcBorders>
                      <w:top w:val="nil"/>
                      <w:left w:val="nil"/>
                      <w:bottom w:val="single" w:sz="4" w:space="0" w:color="auto"/>
                      <w:right w:val="single" w:sz="4" w:space="0" w:color="auto"/>
                    </w:tcBorders>
                    <w:shd w:val="clear" w:color="auto" w:fill="auto"/>
                    <w:vAlign w:val="center"/>
                  </w:tcPr>
                  <w:p>
                    <w:pPr>
                      <w:jc w:val="center"/>
                      <w:textAlignment w:val="baseline"/>
                      <w:rPr>
                        <w:rFonts w:eastAsia="Calibri"/>
                        <w:color w:val="000000"/>
                        <w:sz w:val="20"/>
                        <w:bdr w:val="none" w:sz="0" w:space="0" w:color="auto" w:frame="1"/>
                        <w:shd w:val="clear" w:color="auto" w:fill="FFFFFF"/>
                      </w:rPr>
                    </w:pPr>
                    <w:r>
                      <w:rPr>
                        <w:rFonts w:eastAsia="Calibri"/>
                        <w:sz w:val="20"/>
                        <w:lang w:eastAsia="en-GB"/>
                      </w:rPr>
                      <w:t>4</w:t>
                    </w:r>
                  </w:p>
                </w:tc>
                <w:tc>
                  <w:tcPr>
                    <w:tcW w:w="1355" w:type="dxa"/>
                    <w:tcBorders>
                      <w:top w:val="nil"/>
                      <w:left w:val="nil"/>
                      <w:bottom w:val="single" w:sz="4" w:space="0" w:color="auto"/>
                      <w:right w:val="single" w:sz="4" w:space="0" w:color="auto"/>
                    </w:tcBorders>
                    <w:shd w:val="clear" w:color="auto" w:fill="auto"/>
                    <w:vAlign w:val="center"/>
                  </w:tcPr>
                  <w:p>
                    <w:pPr>
                      <w:jc w:val="center"/>
                      <w:textAlignment w:val="baseline"/>
                      <w:rPr>
                        <w:rFonts w:eastAsia="Calibri"/>
                        <w:color w:val="000000"/>
                        <w:sz w:val="20"/>
                        <w:bdr w:val="none" w:sz="0" w:space="0" w:color="auto" w:frame="1"/>
                        <w:shd w:val="clear" w:color="auto" w:fill="FFFFFF"/>
                      </w:rPr>
                    </w:pPr>
                    <w:r>
                      <w:rPr>
                        <w:rFonts w:eastAsia="Calibri"/>
                        <w:sz w:val="20"/>
                        <w:lang w:eastAsia="en-GB"/>
                      </w:rPr>
                      <w:t>5</w:t>
                    </w:r>
                  </w:p>
                </w:tc>
                <w:tc>
                  <w:tcPr>
                    <w:tcW w:w="1355" w:type="dxa"/>
                    <w:tcBorders>
                      <w:top w:val="nil"/>
                      <w:left w:val="nil"/>
                      <w:bottom w:val="single" w:sz="4" w:space="0" w:color="auto"/>
                      <w:right w:val="single" w:sz="4" w:space="0" w:color="auto"/>
                    </w:tcBorders>
                    <w:shd w:val="clear" w:color="auto" w:fill="auto"/>
                    <w:vAlign w:val="center"/>
                  </w:tcPr>
                  <w:p>
                    <w:pPr>
                      <w:jc w:val="center"/>
                      <w:textAlignment w:val="baseline"/>
                      <w:rPr>
                        <w:rFonts w:eastAsia="Calibri"/>
                        <w:color w:val="000000"/>
                        <w:sz w:val="20"/>
                        <w:bdr w:val="none" w:sz="0" w:space="0" w:color="auto" w:frame="1"/>
                        <w:shd w:val="clear" w:color="auto" w:fill="FFFFFF"/>
                      </w:rPr>
                    </w:pPr>
                    <w:r>
                      <w:rPr>
                        <w:rFonts w:eastAsia="Calibri"/>
                        <w:sz w:val="20"/>
                        <w:lang w:eastAsia="en-GB"/>
                      </w:rPr>
                      <w:t>6</w:t>
                    </w:r>
                  </w:p>
                </w:tc>
                <w:tc>
                  <w:tcPr>
                    <w:tcW w:w="1356" w:type="dxa"/>
                    <w:tcBorders>
                      <w:top w:val="nil"/>
                      <w:left w:val="nil"/>
                      <w:bottom w:val="single" w:sz="4" w:space="0" w:color="auto"/>
                      <w:right w:val="single" w:sz="4" w:space="0" w:color="auto"/>
                    </w:tcBorders>
                    <w:shd w:val="clear" w:color="auto" w:fill="auto"/>
                    <w:vAlign w:val="center"/>
                  </w:tcPr>
                  <w:p>
                    <w:pPr>
                      <w:jc w:val="center"/>
                      <w:textAlignment w:val="baseline"/>
                      <w:rPr>
                        <w:rFonts w:eastAsia="Calibri"/>
                        <w:color w:val="000000"/>
                        <w:sz w:val="20"/>
                        <w:bdr w:val="none" w:sz="0" w:space="0" w:color="auto" w:frame="1"/>
                        <w:shd w:val="clear" w:color="auto" w:fill="FFFFFF"/>
                      </w:rPr>
                    </w:pPr>
                    <w:r>
                      <w:rPr>
                        <w:rFonts w:eastAsia="Calibri"/>
                        <w:sz w:val="20"/>
                        <w:lang w:eastAsia="en-GB"/>
                      </w:rPr>
                      <w:t>7</w:t>
                    </w:r>
                  </w:p>
                </w:tc>
              </w:tr>
              <w:t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rFonts w:eastAsia="Calibri"/>
                        <w:color w:val="000000"/>
                        <w:sz w:val="20"/>
                        <w:bdr w:val="none" w:sz="0" w:space="0" w:color="auto" w:frame="1"/>
                        <w:shd w:val="clear" w:color="auto" w:fill="FFFFFF"/>
                      </w:rPr>
                    </w:pPr>
                    <w:r>
                      <w:rPr>
                        <w:rFonts w:eastAsia="Calibri"/>
                        <w:color w:val="000000"/>
                        <w:sz w:val="20"/>
                        <w:lang w:eastAsia="en-GB"/>
                      </w:rPr>
                      <w:t>Paršavedės</w:t>
                    </w:r>
                  </w:p>
                </w:tc>
                <w:tc>
                  <w:tcPr>
                    <w:tcW w:w="1355" w:type="dxa"/>
                  </w:tcPr>
                  <w:p>
                    <w:pPr>
                      <w:jc w:val="center"/>
                      <w:textAlignment w:val="baseline"/>
                      <w:rPr>
                        <w:rFonts w:eastAsia="Calibri"/>
                        <w:color w:val="000000"/>
                        <w:sz w:val="20"/>
                        <w:bdr w:val="none" w:sz="0" w:space="0" w:color="auto" w:frame="1"/>
                        <w:shd w:val="clear" w:color="auto" w:fill="FFFFFF"/>
                      </w:rPr>
                    </w:pPr>
                  </w:p>
                </w:tc>
                <w:tc>
                  <w:tcPr>
                    <w:tcW w:w="1355" w:type="dxa"/>
                  </w:tcPr>
                  <w:p>
                    <w:pPr>
                      <w:jc w:val="center"/>
                      <w:textAlignment w:val="baseline"/>
                      <w:rPr>
                        <w:rFonts w:eastAsia="Calibri"/>
                        <w:color w:val="000000"/>
                        <w:sz w:val="20"/>
                        <w:bdr w:val="none" w:sz="0" w:space="0" w:color="auto" w:frame="1"/>
                        <w:shd w:val="clear" w:color="auto" w:fill="FFFFFF"/>
                      </w:rPr>
                    </w:pPr>
                  </w:p>
                </w:tc>
                <w:tc>
                  <w:tcPr>
                    <w:tcW w:w="1355" w:type="dxa"/>
                  </w:tcPr>
                  <w:p>
                    <w:pPr>
                      <w:jc w:val="center"/>
                      <w:textAlignment w:val="baseline"/>
                      <w:rPr>
                        <w:rFonts w:eastAsia="Calibri"/>
                        <w:color w:val="000000"/>
                        <w:sz w:val="20"/>
                        <w:bdr w:val="none" w:sz="0" w:space="0" w:color="auto" w:frame="1"/>
                        <w:shd w:val="clear" w:color="auto" w:fill="FFFFFF"/>
                      </w:rPr>
                    </w:pPr>
                  </w:p>
                </w:tc>
                <w:tc>
                  <w:tcPr>
                    <w:tcW w:w="1355" w:type="dxa"/>
                  </w:tcPr>
                  <w:p>
                    <w:pPr>
                      <w:jc w:val="center"/>
                      <w:textAlignment w:val="baseline"/>
                      <w:rPr>
                        <w:rFonts w:eastAsia="Calibri"/>
                        <w:color w:val="000000"/>
                        <w:sz w:val="20"/>
                        <w:bdr w:val="none" w:sz="0" w:space="0" w:color="auto" w:frame="1"/>
                        <w:shd w:val="clear" w:color="auto" w:fill="FFFFFF"/>
                      </w:rPr>
                    </w:pPr>
                  </w:p>
                </w:tc>
                <w:tc>
                  <w:tcPr>
                    <w:tcW w:w="1355" w:type="dxa"/>
                  </w:tcPr>
                  <w:p>
                    <w:pPr>
                      <w:jc w:val="center"/>
                      <w:textAlignment w:val="baseline"/>
                      <w:rPr>
                        <w:rFonts w:eastAsia="Calibri"/>
                        <w:color w:val="000000"/>
                        <w:sz w:val="20"/>
                        <w:bdr w:val="none" w:sz="0" w:space="0" w:color="auto" w:frame="1"/>
                        <w:shd w:val="clear" w:color="auto" w:fill="FFFFFF"/>
                      </w:rPr>
                    </w:pPr>
                  </w:p>
                </w:tc>
                <w:tc>
                  <w:tcPr>
                    <w:tcW w:w="1356" w:type="dxa"/>
                  </w:tcPr>
                  <w:p>
                    <w:pPr>
                      <w:jc w:val="center"/>
                      <w:textAlignment w:val="baseline"/>
                      <w:rPr>
                        <w:rFonts w:eastAsia="Calibri"/>
                        <w:color w:val="000000"/>
                        <w:sz w:val="20"/>
                        <w:bdr w:val="none" w:sz="0" w:space="0" w:color="auto" w:frame="1"/>
                        <w:shd w:val="clear" w:color="auto" w:fill="FFFFFF"/>
                      </w:rPr>
                    </w:pPr>
                  </w:p>
                </w:tc>
              </w:tr>
              <w:t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rFonts w:eastAsia="Calibri"/>
                        <w:color w:val="000000"/>
                        <w:sz w:val="20"/>
                        <w:bdr w:val="none" w:sz="0" w:space="0" w:color="auto" w:frame="1"/>
                        <w:shd w:val="clear" w:color="auto" w:fill="FFFFFF"/>
                      </w:rPr>
                    </w:pPr>
                    <w:r>
                      <w:rPr>
                        <w:rFonts w:eastAsia="Calibri"/>
                        <w:color w:val="000000"/>
                        <w:sz w:val="20"/>
                        <w:lang w:eastAsia="en-GB"/>
                      </w:rPr>
                      <w:t>Penimos kiaulės</w:t>
                    </w:r>
                  </w:p>
                </w:tc>
                <w:tc>
                  <w:tcPr>
                    <w:tcW w:w="1355" w:type="dxa"/>
                  </w:tcPr>
                  <w:p>
                    <w:pPr>
                      <w:jc w:val="center"/>
                      <w:textAlignment w:val="baseline"/>
                      <w:rPr>
                        <w:rFonts w:eastAsia="Calibri"/>
                        <w:color w:val="000000"/>
                        <w:sz w:val="20"/>
                        <w:bdr w:val="none" w:sz="0" w:space="0" w:color="auto" w:frame="1"/>
                        <w:shd w:val="clear" w:color="auto" w:fill="FFFFFF"/>
                      </w:rPr>
                    </w:pPr>
                  </w:p>
                </w:tc>
                <w:tc>
                  <w:tcPr>
                    <w:tcW w:w="1355" w:type="dxa"/>
                  </w:tcPr>
                  <w:p>
                    <w:pPr>
                      <w:jc w:val="center"/>
                      <w:textAlignment w:val="baseline"/>
                      <w:rPr>
                        <w:rFonts w:eastAsia="Calibri"/>
                        <w:color w:val="000000"/>
                        <w:sz w:val="20"/>
                        <w:bdr w:val="none" w:sz="0" w:space="0" w:color="auto" w:frame="1"/>
                        <w:shd w:val="clear" w:color="auto" w:fill="FFFFFF"/>
                      </w:rPr>
                    </w:pPr>
                  </w:p>
                </w:tc>
                <w:tc>
                  <w:tcPr>
                    <w:tcW w:w="1355" w:type="dxa"/>
                  </w:tcPr>
                  <w:p>
                    <w:pPr>
                      <w:jc w:val="center"/>
                      <w:textAlignment w:val="baseline"/>
                      <w:rPr>
                        <w:rFonts w:eastAsia="Calibri"/>
                        <w:color w:val="000000"/>
                        <w:sz w:val="20"/>
                        <w:bdr w:val="none" w:sz="0" w:space="0" w:color="auto" w:frame="1"/>
                        <w:shd w:val="clear" w:color="auto" w:fill="FFFFFF"/>
                      </w:rPr>
                    </w:pPr>
                  </w:p>
                </w:tc>
                <w:tc>
                  <w:tcPr>
                    <w:tcW w:w="1355" w:type="dxa"/>
                  </w:tcPr>
                  <w:p>
                    <w:pPr>
                      <w:jc w:val="center"/>
                      <w:textAlignment w:val="baseline"/>
                      <w:rPr>
                        <w:rFonts w:eastAsia="Calibri"/>
                        <w:color w:val="000000"/>
                        <w:sz w:val="20"/>
                        <w:bdr w:val="none" w:sz="0" w:space="0" w:color="auto" w:frame="1"/>
                        <w:shd w:val="clear" w:color="auto" w:fill="FFFFFF"/>
                      </w:rPr>
                    </w:pPr>
                  </w:p>
                </w:tc>
                <w:tc>
                  <w:tcPr>
                    <w:tcW w:w="1355" w:type="dxa"/>
                  </w:tcPr>
                  <w:p>
                    <w:pPr>
                      <w:jc w:val="center"/>
                      <w:textAlignment w:val="baseline"/>
                      <w:rPr>
                        <w:rFonts w:eastAsia="Calibri"/>
                        <w:color w:val="000000"/>
                        <w:sz w:val="20"/>
                        <w:bdr w:val="none" w:sz="0" w:space="0" w:color="auto" w:frame="1"/>
                        <w:shd w:val="clear" w:color="auto" w:fill="FFFFFF"/>
                      </w:rPr>
                    </w:pPr>
                  </w:p>
                </w:tc>
                <w:tc>
                  <w:tcPr>
                    <w:tcW w:w="1356" w:type="dxa"/>
                  </w:tcPr>
                  <w:p>
                    <w:pPr>
                      <w:jc w:val="center"/>
                      <w:textAlignment w:val="baseline"/>
                      <w:rPr>
                        <w:rFonts w:eastAsia="Calibri"/>
                        <w:color w:val="000000"/>
                        <w:sz w:val="20"/>
                        <w:bdr w:val="none" w:sz="0" w:space="0" w:color="auto" w:frame="1"/>
                        <w:shd w:val="clear" w:color="auto" w:fill="FFFFFF"/>
                      </w:rPr>
                    </w:pPr>
                  </w:p>
                </w:tc>
              </w:tr>
              <w:tr>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textAlignment w:val="baseline"/>
                      <w:rPr>
                        <w:rFonts w:eastAsia="Calibri"/>
                        <w:color w:val="000000"/>
                        <w:sz w:val="20"/>
                        <w:bdr w:val="none" w:sz="0" w:space="0" w:color="auto" w:frame="1"/>
                        <w:shd w:val="clear" w:color="auto" w:fill="FFFFFF"/>
                      </w:rPr>
                    </w:pPr>
                    <w:r>
                      <w:rPr>
                        <w:rFonts w:eastAsia="Calibri"/>
                        <w:color w:val="000000"/>
                        <w:sz w:val="20"/>
                        <w:lang w:eastAsia="en-GB"/>
                      </w:rPr>
                      <w:t>Paršeliai</w:t>
                    </w:r>
                  </w:p>
                </w:tc>
                <w:tc>
                  <w:tcPr>
                    <w:tcW w:w="1355" w:type="dxa"/>
                  </w:tcPr>
                  <w:p>
                    <w:pPr>
                      <w:jc w:val="center"/>
                      <w:textAlignment w:val="baseline"/>
                      <w:rPr>
                        <w:rFonts w:eastAsia="Calibri"/>
                        <w:color w:val="000000"/>
                        <w:sz w:val="20"/>
                        <w:bdr w:val="none" w:sz="0" w:space="0" w:color="auto" w:frame="1"/>
                        <w:shd w:val="clear" w:color="auto" w:fill="FFFFFF"/>
                      </w:rPr>
                    </w:pPr>
                  </w:p>
                </w:tc>
                <w:tc>
                  <w:tcPr>
                    <w:tcW w:w="1355" w:type="dxa"/>
                  </w:tcPr>
                  <w:p>
                    <w:pPr>
                      <w:jc w:val="center"/>
                      <w:textAlignment w:val="baseline"/>
                      <w:rPr>
                        <w:rFonts w:eastAsia="Calibri"/>
                        <w:color w:val="000000"/>
                        <w:sz w:val="20"/>
                        <w:bdr w:val="none" w:sz="0" w:space="0" w:color="auto" w:frame="1"/>
                        <w:shd w:val="clear" w:color="auto" w:fill="FFFFFF"/>
                      </w:rPr>
                    </w:pPr>
                  </w:p>
                </w:tc>
                <w:tc>
                  <w:tcPr>
                    <w:tcW w:w="1355" w:type="dxa"/>
                  </w:tcPr>
                  <w:p>
                    <w:pPr>
                      <w:jc w:val="center"/>
                      <w:textAlignment w:val="baseline"/>
                      <w:rPr>
                        <w:rFonts w:eastAsia="Calibri"/>
                        <w:color w:val="000000"/>
                        <w:sz w:val="20"/>
                        <w:bdr w:val="none" w:sz="0" w:space="0" w:color="auto" w:frame="1"/>
                        <w:shd w:val="clear" w:color="auto" w:fill="FFFFFF"/>
                      </w:rPr>
                    </w:pPr>
                  </w:p>
                </w:tc>
                <w:tc>
                  <w:tcPr>
                    <w:tcW w:w="1355" w:type="dxa"/>
                  </w:tcPr>
                  <w:p>
                    <w:pPr>
                      <w:jc w:val="center"/>
                      <w:textAlignment w:val="baseline"/>
                      <w:rPr>
                        <w:rFonts w:eastAsia="Calibri"/>
                        <w:color w:val="000000"/>
                        <w:sz w:val="20"/>
                        <w:bdr w:val="none" w:sz="0" w:space="0" w:color="auto" w:frame="1"/>
                        <w:shd w:val="clear" w:color="auto" w:fill="FFFFFF"/>
                      </w:rPr>
                    </w:pPr>
                  </w:p>
                </w:tc>
                <w:tc>
                  <w:tcPr>
                    <w:tcW w:w="1355" w:type="dxa"/>
                  </w:tcPr>
                  <w:p>
                    <w:pPr>
                      <w:jc w:val="center"/>
                      <w:textAlignment w:val="baseline"/>
                      <w:rPr>
                        <w:rFonts w:eastAsia="Calibri"/>
                        <w:color w:val="000000"/>
                        <w:sz w:val="20"/>
                        <w:bdr w:val="none" w:sz="0" w:space="0" w:color="auto" w:frame="1"/>
                        <w:shd w:val="clear" w:color="auto" w:fill="FFFFFF"/>
                      </w:rPr>
                    </w:pPr>
                  </w:p>
                </w:tc>
                <w:tc>
                  <w:tcPr>
                    <w:tcW w:w="1356" w:type="dxa"/>
                  </w:tcPr>
                  <w:p>
                    <w:pPr>
                      <w:jc w:val="center"/>
                      <w:textAlignment w:val="baseline"/>
                      <w:rPr>
                        <w:rFonts w:eastAsia="Calibri"/>
                        <w:color w:val="000000"/>
                        <w:sz w:val="20"/>
                        <w:bdr w:val="none" w:sz="0" w:space="0" w:color="auto" w:frame="1"/>
                        <w:shd w:val="clear" w:color="auto" w:fill="FFFFFF"/>
                      </w:rPr>
                    </w:pPr>
                  </w:p>
                </w:tc>
              </w:tr>
            </w:tbl>
            <w:sdt>
              <w:sdtPr>
                <w:alias w:val="8 pr. 7.1 pp."/>
                <w:tag w:val="part_b6bf2561a71b41fc9885e23aa5843215"/>
                <w:lock w:val="sdtLocked"/>
                <w:richText/>
              </w:sdtPr>
              <w:sdtContent>
                <w:p>
                  <w:pPr>
                    <w:ind w:left="-11" w:firstLine="567"/>
                    <w:jc w:val="both"/>
                    <w:textAlignment w:val="baseline"/>
                    <w:rPr>
                      <w:color w:val="000000"/>
                      <w:bdr w:val="none" w:sz="0" w:space="0" w:color="auto" w:frame="1"/>
                      <w:shd w:val="clear" w:color="auto" w:fill="FFFFFF"/>
                    </w:rPr>
                  </w:pPr>
                  <w:sdt>
                    <w:sdtPr>
                      <w:alias w:val="Numeris"/>
                      <w:tag w:val="nr_b6bf2561a71b41fc9885e23aa5843215"/>
                      <w:lock w:val="sdtLocked"/>
                      <w:richText/>
                    </w:sdtPr>
                    <w:sdtContent>
                      <w:r>
                        <w:rPr>
                          <w:color w:val="000000"/>
                          <w:bdr w:val="none" w:sz="0" w:space="0" w:color="auto" w:frame="1"/>
                          <w:shd w:val="clear" w:color="auto" w:fill="FFFFFF"/>
                        </w:rPr>
                        <w:t>7.1</w:t>
                      </w:r>
                    </w:sdtContent>
                  </w:sdt>
                  <w:r>
                    <w:rPr>
                      <w:color w:val="000000"/>
                      <w:bdr w:val="none" w:sz="0" w:space="0" w:color="auto" w:frame="1"/>
                      <w:shd w:val="clear" w:color="auto" w:fill="FFFFFF"/>
                    </w:rPr>
                    <w:t>. 1 skiltyje rašoma kiaulių grupė ir atitinkamoje eilutėje pateikiama informacija apie šią kiaulių grupę.</w:t>
                  </w:r>
                </w:p>
              </w:sdtContent>
            </w:sdt>
            <w:sdt>
              <w:sdtPr>
                <w:alias w:val="8 pr. 7.2 pp."/>
                <w:tag w:val="part_0bc7579c4ea9465abf163476f64cd9ae"/>
                <w:lock w:val="sdtLocked"/>
                <w:richText/>
              </w:sdtPr>
              <w:sdtContent>
                <w:p>
                  <w:pPr>
                    <w:ind w:left="-11" w:firstLine="567"/>
                    <w:jc w:val="both"/>
                    <w:textAlignment w:val="baseline"/>
                    <w:rPr>
                      <w:color w:val="000000"/>
                      <w:bdr w:val="none" w:sz="0" w:space="0" w:color="auto" w:frame="1"/>
                      <w:shd w:val="clear" w:color="auto" w:fill="FFFFFF"/>
                    </w:rPr>
                  </w:pPr>
                  <w:sdt>
                    <w:sdtPr>
                      <w:alias w:val="Numeris"/>
                      <w:tag w:val="nr_0bc7579c4ea9465abf163476f64cd9ae"/>
                      <w:lock w:val="sdtLocked"/>
                      <w:richText/>
                    </w:sdtPr>
                    <w:sdtContent>
                      <w:r>
                        <w:rPr>
                          <w:color w:val="000000"/>
                          <w:bdr w:val="none" w:sz="0" w:space="0" w:color="auto" w:frame="1"/>
                          <w:shd w:val="clear" w:color="auto" w:fill="FFFFFF"/>
                        </w:rPr>
                        <w:t>7.2</w:t>
                      </w:r>
                    </w:sdtContent>
                  </w:sdt>
                  <w:r>
                    <w:rPr>
                      <w:color w:val="000000"/>
                      <w:bdr w:val="none" w:sz="0" w:space="0" w:color="auto" w:frame="1"/>
                      <w:shd w:val="clear" w:color="auto" w:fill="FFFFFF"/>
                    </w:rPr>
                    <w:t>. 2 skiltyje p</w:t>
                  </w:r>
                  <w:r>
                    <w:rPr>
                      <w:color w:val="000000"/>
                      <w:szCs w:val="24"/>
                      <w:lang w:eastAsia="zh-CN"/>
                    </w:rPr>
                    <w:t>agal EMEP metodikos 3.9 lentelės 4 grafą</w:t>
                  </w:r>
                  <w:r>
                    <w:rPr>
                      <w:szCs w:val="24"/>
                      <w:lang w:eastAsia="zh-CN"/>
                    </w:rPr>
                    <w:t xml:space="preserve"> </w:t>
                  </w:r>
                  <w:r>
                    <w:rPr>
                      <w:color w:val="000000"/>
                      <w:bdr w:val="none" w:sz="0" w:space="0" w:color="auto" w:frame="1"/>
                      <w:shd w:val="clear" w:color="auto" w:fill="FFFFFF"/>
                    </w:rPr>
                    <w:t>rašomas metinis azoto kiekis, išsiskiriantis vienoje kiaulių laikymo vietoje (N</w:t>
                  </w:r>
                  <w:r>
                    <w:rPr>
                      <w:color w:val="000000"/>
                      <w:bdr w:val="none" w:sz="0" w:space="0" w:color="auto" w:frame="1"/>
                      <w:shd w:val="clear" w:color="auto" w:fill="FFFFFF"/>
                      <w:vertAlign w:val="subscript"/>
                    </w:rPr>
                    <w:t>iš</w:t>
                  </w:r>
                  <w:r>
                    <w:rPr>
                      <w:color w:val="000000"/>
                      <w:bdr w:val="none" w:sz="0" w:space="0" w:color="auto" w:frame="1"/>
                      <w:shd w:val="clear" w:color="auto" w:fill="FFFFFF"/>
                    </w:rPr>
                    <w:t>, kg/m.).</w:t>
                  </w:r>
                </w:p>
              </w:sdtContent>
            </w:sdt>
            <w:sdt>
              <w:sdtPr>
                <w:alias w:val="8 pr. 7.3 pp."/>
                <w:tag w:val="part_2443140da8f94b80a38a45c4eb27c564"/>
                <w:lock w:val="sdtLocked"/>
                <w:richText/>
              </w:sdtPr>
              <w:sdtContent>
                <w:p>
                  <w:pPr>
                    <w:ind w:left="-11" w:firstLine="567"/>
                    <w:jc w:val="both"/>
                    <w:textAlignment w:val="baseline"/>
                    <w:rPr>
                      <w:color w:val="000000"/>
                      <w:bdr w:val="none" w:sz="0" w:space="0" w:color="auto" w:frame="1"/>
                      <w:shd w:val="clear" w:color="auto" w:fill="FFFFFF"/>
                    </w:rPr>
                  </w:pPr>
                  <w:sdt>
                    <w:sdtPr>
                      <w:alias w:val="Numeris"/>
                      <w:tag w:val="nr_2443140da8f94b80a38a45c4eb27c564"/>
                      <w:lock w:val="sdtLocked"/>
                      <w:richText/>
                    </w:sdtPr>
                    <w:sdtContent>
                      <w:r>
                        <w:rPr>
                          <w:color w:val="000000"/>
                          <w:bdr w:val="none" w:sz="0" w:space="0" w:color="auto" w:frame="1"/>
                          <w:shd w:val="clear" w:color="auto" w:fill="FFFFFF"/>
                        </w:rPr>
                        <w:t>7.3</w:t>
                      </w:r>
                    </w:sdtContent>
                  </w:sdt>
                  <w:r>
                    <w:rPr>
                      <w:color w:val="000000"/>
                      <w:bdr w:val="none" w:sz="0" w:space="0" w:color="auto" w:frame="1"/>
                      <w:shd w:val="clear" w:color="auto" w:fill="FFFFFF"/>
                    </w:rPr>
                    <w:t>. 3 skiltyje p</w:t>
                  </w:r>
                  <w:r>
                    <w:rPr>
                      <w:color w:val="000000"/>
                      <w:szCs w:val="24"/>
                      <w:lang w:eastAsia="zh-CN"/>
                    </w:rPr>
                    <w:t>agal EMEP metodikos 3.9 lentelės 5 grafą (TAN)</w:t>
                  </w:r>
                  <w:r>
                    <w:rPr>
                      <w:szCs w:val="24"/>
                      <w:lang w:eastAsia="zh-CN"/>
                    </w:rPr>
                    <w:t xml:space="preserve"> </w:t>
                  </w:r>
                  <w:r>
                    <w:rPr>
                      <w:color w:val="000000"/>
                      <w:bdr w:val="none" w:sz="0" w:space="0" w:color="auto" w:frame="1"/>
                      <w:shd w:val="clear" w:color="auto" w:fill="FFFFFF"/>
                    </w:rPr>
                    <w:t>rašomas bendrojo amoniakinio azoto santykis (B</w:t>
                  </w:r>
                  <w:r>
                    <w:rPr>
                      <w:color w:val="000000"/>
                      <w:bdr w:val="none" w:sz="0" w:space="0" w:color="auto" w:frame="1"/>
                      <w:shd w:val="clear" w:color="auto" w:fill="FFFFFF"/>
                      <w:vertAlign w:val="subscript"/>
                    </w:rPr>
                    <w:t>AN</w:t>
                  </w:r>
                  <w:r>
                    <w:rPr>
                      <w:color w:val="000000"/>
                      <w:bdr w:val="none" w:sz="0" w:space="0" w:color="auto" w:frame="1"/>
                      <w:shd w:val="clear" w:color="auto" w:fill="FFFFFF"/>
                    </w:rPr>
                    <w:t>).</w:t>
                  </w:r>
                </w:p>
              </w:sdtContent>
            </w:sdt>
            <w:sdt>
              <w:sdtPr>
                <w:alias w:val="8 pr. 7.4 pp."/>
                <w:tag w:val="part_d0af5a21d02f4dddba6081de3e02db4c"/>
                <w:lock w:val="sdtLocked"/>
                <w:richText/>
              </w:sdtPr>
              <w:sdtContent>
                <w:p>
                  <w:pPr>
                    <w:ind w:left="-11" w:firstLine="567"/>
                    <w:jc w:val="both"/>
                    <w:textAlignment w:val="baseline"/>
                    <w:rPr>
                      <w:color w:val="000000"/>
                      <w:bdr w:val="none" w:sz="0" w:space="0" w:color="auto" w:frame="1"/>
                      <w:shd w:val="clear" w:color="auto" w:fill="FFFFFF"/>
                    </w:rPr>
                  </w:pPr>
                  <w:sdt>
                    <w:sdtPr>
                      <w:alias w:val="Numeris"/>
                      <w:tag w:val="nr_d0af5a21d02f4dddba6081de3e02db4c"/>
                      <w:lock w:val="sdtLocked"/>
                      <w:richText/>
                    </w:sdtPr>
                    <w:sdtContent>
                      <w:r>
                        <w:rPr>
                          <w:color w:val="000000"/>
                          <w:bdr w:val="none" w:sz="0" w:space="0" w:color="auto" w:frame="1"/>
                          <w:shd w:val="clear" w:color="auto" w:fill="FFFFFF"/>
                        </w:rPr>
                        <w:t>7.4</w:t>
                      </w:r>
                    </w:sdtContent>
                  </w:sdt>
                  <w:r>
                    <w:rPr>
                      <w:color w:val="000000"/>
                      <w:bdr w:val="none" w:sz="0" w:space="0" w:color="auto" w:frame="1"/>
                      <w:shd w:val="clear" w:color="auto" w:fill="FFFFFF"/>
                    </w:rPr>
                    <w:t xml:space="preserve">. 4 skiltyje pagal </w:t>
                  </w:r>
                  <w:r>
                    <w:rPr>
                      <w:color w:val="000000"/>
                      <w:szCs w:val="24"/>
                      <w:lang w:eastAsia="zh-CN"/>
                    </w:rPr>
                    <w:t>EMEP metodikos 3.9 lentelės 3 grafą</w:t>
                  </w:r>
                  <w:r>
                    <w:rPr>
                      <w:szCs w:val="24"/>
                      <w:lang w:eastAsia="zh-CN"/>
                    </w:rPr>
                    <w:t xml:space="preserve"> </w:t>
                  </w:r>
                  <w:r>
                    <w:rPr>
                      <w:color w:val="000000"/>
                      <w:bdr w:val="none" w:sz="0" w:space="0" w:color="auto" w:frame="1"/>
                      <w:shd w:val="clear" w:color="auto" w:fill="FFFFFF"/>
                    </w:rPr>
                    <w:t>rašomas kiaulių laikymo tvartuose laikotarpis (</w:t>
                  </w:r>
                  <w:r>
                    <w:rPr>
                      <w:szCs w:val="24"/>
                    </w:rPr>
                    <w:t>t</w:t>
                  </w:r>
                  <w:r>
                    <w:rPr>
                      <w:szCs w:val="24"/>
                      <w:vertAlign w:val="subscript"/>
                    </w:rPr>
                    <w:t>tv</w:t>
                  </w:r>
                  <w:r>
                    <w:rPr>
                      <w:szCs w:val="24"/>
                    </w:rPr>
                    <w:t>, d./m</w:t>
                  </w:r>
                  <w:r>
                    <w:rPr>
                      <w:sz w:val="20"/>
                    </w:rPr>
                    <w:t>.).</w:t>
                  </w:r>
                </w:p>
              </w:sdtContent>
            </w:sdt>
            <w:sdt>
              <w:sdtPr>
                <w:alias w:val="8 pr. 7.5 pp."/>
                <w:tag w:val="part_a1a3cc00ab6e42f4bafd9b02949c30f5"/>
                <w:lock w:val="sdtLocked"/>
                <w:richText/>
              </w:sdtPr>
              <w:sdtContent>
                <w:p>
                  <w:pPr>
                    <w:ind w:left="-11" w:firstLine="567"/>
                    <w:jc w:val="both"/>
                    <w:textAlignment w:val="baseline"/>
                    <w:rPr>
                      <w:color w:val="000000"/>
                      <w:bdr w:val="none" w:sz="0" w:space="0" w:color="auto" w:frame="1"/>
                      <w:shd w:val="clear" w:color="auto" w:fill="FFFFFF"/>
                    </w:rPr>
                  </w:pPr>
                  <w:sdt>
                    <w:sdtPr>
                      <w:alias w:val="Numeris"/>
                      <w:tag w:val="nr_a1a3cc00ab6e42f4bafd9b02949c30f5"/>
                      <w:lock w:val="sdtLocked"/>
                      <w:richText/>
                    </w:sdtPr>
                    <w:sdtContent>
                      <w:r>
                        <w:rPr>
                          <w:color w:val="000000"/>
                          <w:bdr w:val="none" w:sz="0" w:space="0" w:color="auto" w:frame="1"/>
                          <w:shd w:val="clear" w:color="auto" w:fill="FFFFFF"/>
                        </w:rPr>
                        <w:t>7.5</w:t>
                      </w:r>
                    </w:sdtContent>
                  </w:sdt>
                  <w:r>
                    <w:rPr>
                      <w:color w:val="000000"/>
                      <w:bdr w:val="none" w:sz="0" w:space="0" w:color="auto" w:frame="1"/>
                      <w:shd w:val="clear" w:color="auto" w:fill="FFFFFF"/>
                    </w:rPr>
                    <w:t>. 5 skiltyje p</w:t>
                  </w:r>
                  <w:r>
                    <w:rPr>
                      <w:color w:val="000000"/>
                      <w:szCs w:val="24"/>
                      <w:lang w:eastAsia="zh-CN"/>
                    </w:rPr>
                    <w:t>agal EMEP metodikos 3.9 lentelės 7 grafą</w:t>
                  </w:r>
                  <w:r>
                    <w:rPr>
                      <w:szCs w:val="24"/>
                      <w:lang w:eastAsia="zh-CN"/>
                    </w:rPr>
                    <w:t xml:space="preserve"> </w:t>
                  </w:r>
                  <w:r>
                    <w:rPr>
                      <w:color w:val="000000"/>
                      <w:bdr w:val="none" w:sz="0" w:space="0" w:color="auto" w:frame="1"/>
                      <w:shd w:val="clear" w:color="auto" w:fill="FFFFFF"/>
                    </w:rPr>
                    <w:t>rašomas amoniako taršos (emisijos) faktorius, išreikštas bendrojo amoniakinio azoto dalimi (</w:t>
                  </w:r>
                  <w:r>
                    <w:rPr>
                      <w:sz w:val="20"/>
                    </w:rPr>
                    <w:t>EF</w:t>
                  </w:r>
                  <w:r>
                    <w:rPr>
                      <w:sz w:val="20"/>
                      <w:vertAlign w:val="subscript"/>
                    </w:rPr>
                    <w:t>NH3</w:t>
                  </w:r>
                  <w:r>
                    <w:rPr>
                      <w:color w:val="000000"/>
                      <w:bdr w:val="none" w:sz="0" w:space="0" w:color="auto" w:frame="1"/>
                      <w:shd w:val="clear" w:color="auto" w:fill="FFFFFF"/>
                    </w:rPr>
                    <w:t>).</w:t>
                  </w:r>
                </w:p>
              </w:sdtContent>
            </w:sdt>
            <w:sdt>
              <w:sdtPr>
                <w:alias w:val="8 pr. 7.6 pp."/>
                <w:tag w:val="part_dabf408a27b545d0bd8d0a9650da0590"/>
                <w:lock w:val="sdtLocked"/>
                <w:richText/>
              </w:sdtPr>
              <w:sdtContent>
                <w:p>
                  <w:pPr>
                    <w:ind w:left="-11" w:firstLine="567"/>
                    <w:jc w:val="both"/>
                    <w:textAlignment w:val="baseline"/>
                    <w:rPr>
                      <w:color w:val="000000"/>
                      <w:bdr w:val="none" w:sz="0" w:space="0" w:color="auto" w:frame="1"/>
                      <w:shd w:val="clear" w:color="auto" w:fill="FFFFFF"/>
                    </w:rPr>
                  </w:pPr>
                  <w:sdt>
                    <w:sdtPr>
                      <w:alias w:val="Numeris"/>
                      <w:tag w:val="nr_dabf408a27b545d0bd8d0a9650da0590"/>
                      <w:lock w:val="sdtLocked"/>
                      <w:richText/>
                    </w:sdtPr>
                    <w:sdtContent>
                      <w:r>
                        <w:rPr>
                          <w:color w:val="000000"/>
                          <w:bdr w:val="none" w:sz="0" w:space="0" w:color="auto" w:frame="1"/>
                          <w:shd w:val="clear" w:color="auto" w:fill="FFFFFF"/>
                        </w:rPr>
                        <w:t>7.6</w:t>
                      </w:r>
                    </w:sdtContent>
                  </w:sdt>
                  <w:r>
                    <w:rPr>
                      <w:color w:val="000000"/>
                      <w:bdr w:val="none" w:sz="0" w:space="0" w:color="auto" w:frame="1"/>
                      <w:shd w:val="clear" w:color="auto" w:fill="FFFFFF"/>
                    </w:rPr>
                    <w:t>. 6 skiltyje rašomas amoniako išmetamo kiekio mažinimo priemonės efektyvumas (r), išreikštas skaičiaus dalimi (pvz., kai priemonės efektyvumas 70 proc., rašoma 0,7). Jei priemonė netaikoma, rašomas 0. Reikšmė paimama iš g</w:t>
                  </w:r>
                  <w:r>
                    <w:t>amintojo nurodytų parametrų, naudojama TIPK leidime pateikta informacija.</w:t>
                  </w:r>
                </w:p>
              </w:sdtContent>
            </w:sdt>
            <w:sdt>
              <w:sdtPr>
                <w:alias w:val="8 pr. 7.7 pp."/>
                <w:tag w:val="part_62fd3612e95f4909a21d59a51afa2ca2"/>
                <w:lock w:val="sdtLocked"/>
                <w:richText/>
              </w:sdtPr>
              <w:sdtContent>
                <w:p>
                  <w:pPr>
                    <w:ind w:left="-11" w:firstLine="567"/>
                    <w:jc w:val="both"/>
                    <w:textAlignment w:val="baseline"/>
                    <w:rPr>
                      <w:color w:val="000000"/>
                      <w:bdr w:val="none" w:sz="0" w:space="0" w:color="auto" w:frame="1"/>
                      <w:shd w:val="clear" w:color="auto" w:fill="FFFFFF"/>
                    </w:rPr>
                  </w:pPr>
                  <w:sdt>
                    <w:sdtPr>
                      <w:alias w:val="Numeris"/>
                      <w:tag w:val="nr_62fd3612e95f4909a21d59a51afa2ca2"/>
                      <w:lock w:val="sdtLocked"/>
                      <w:richText/>
                    </w:sdtPr>
                    <w:sdtContent>
                      <w:r>
                        <w:rPr>
                          <w:color w:val="000000"/>
                          <w:bdr w:val="none" w:sz="0" w:space="0" w:color="auto" w:frame="1"/>
                          <w:shd w:val="clear" w:color="auto" w:fill="FFFFFF"/>
                        </w:rPr>
                        <w:t>7.7</w:t>
                      </w:r>
                    </w:sdtContent>
                  </w:sdt>
                  <w:r>
                    <w:rPr>
                      <w:color w:val="000000"/>
                      <w:bdr w:val="none" w:sz="0" w:space="0" w:color="auto" w:frame="1"/>
                      <w:shd w:val="clear" w:color="auto" w:fill="FFFFFF"/>
                    </w:rPr>
                    <w:t xml:space="preserve">. 7 skiltyje rašomas koeficientas, taikomas apskaičiuoti metinį amoniako kiekį </w:t>
                  </w:r>
                  <w:r>
                    <w:rPr>
                      <w:color w:val="000000"/>
                    </w:rPr>
                    <w:t>vienoje kiaulių</w:t>
                  </w:r>
                  <w:r>
                    <w:rPr>
                      <w:color w:val="000000"/>
                      <w:bdr w:val="none" w:sz="0" w:space="0" w:color="auto" w:frame="1"/>
                      <w:shd w:val="clear" w:color="auto" w:fill="FFFFFF"/>
                    </w:rPr>
                    <w:t xml:space="preserve"> </w:t>
                  </w:r>
                  <w:r>
                    <w:rPr>
                      <w:color w:val="000000"/>
                    </w:rPr>
                    <w:t>laikymo vietoje</w:t>
                  </w:r>
                  <w:r>
                    <w:rPr>
                      <w:color w:val="000000"/>
                      <w:bdr w:val="none" w:sz="0" w:space="0" w:color="auto" w:frame="1"/>
                      <w:shd w:val="clear" w:color="auto" w:fill="FFFFFF"/>
                    </w:rPr>
                    <w:t>.</w:t>
                  </w:r>
                </w:p>
              </w:sdtContent>
            </w:sdt>
          </w:sdtContent>
        </w:sdt>
        <w:sdt>
          <w:sdtPr>
            <w:alias w:val="8 pr. 8 p."/>
            <w:tag w:val="part_22bef548aa684ec49a02af5aa7034be6"/>
            <w:lock w:val="sdtLocked"/>
            <w:richText/>
          </w:sdtPr>
          <w:sdtContent>
            <w:p>
              <w:pPr>
                <w:ind w:left="-11" w:firstLine="567"/>
                <w:jc w:val="both"/>
                <w:textAlignment w:val="baseline"/>
                <w:rPr>
                  <w:color w:val="000000"/>
                  <w:bdr w:val="none" w:sz="0" w:space="0" w:color="auto" w:frame="1"/>
                  <w:shd w:val="clear" w:color="auto" w:fill="FFFFFF"/>
                </w:rPr>
              </w:pPr>
              <w:sdt>
                <w:sdtPr>
                  <w:alias w:val="Numeris"/>
                  <w:tag w:val="nr_22bef548aa684ec49a02af5aa7034be6"/>
                  <w:lock w:val="sdtLocked"/>
                  <w:richText/>
                </w:sdtPr>
                <w:sdtContent>
                  <w:r>
                    <w:t>8</w:t>
                  </w:r>
                </w:sdtContent>
              </w:sdt>
              <w:r>
                <w:t>. Amoniako kiekis, išsiskiriantis vienoje kiaulių laikymo vietoje, kur naudojama skystojo mėšlo sistema (tvartuose ant grotelėmis padengtų grindų),</w:t>
              </w:r>
              <w:r>
                <w:rPr>
                  <w:color w:val="000000"/>
                  <w:bdr w:val="none" w:sz="0" w:space="0" w:color="auto" w:frame="1"/>
                  <w:shd w:val="clear" w:color="auto" w:fill="FFFFFF"/>
                </w:rPr>
                <w:t xml:space="preserve"> įvertinus amoniako </w:t>
              </w:r>
              <w:r>
                <w:rPr>
                  <w:color w:val="000000"/>
                </w:rPr>
                <w:t xml:space="preserve"> išmetamo kiekio</w:t>
              </w:r>
              <w:r>
                <w:rPr>
                  <w:color w:val="000000"/>
                  <w:bdr w:val="none" w:sz="0" w:space="0" w:color="auto" w:frame="1"/>
                  <w:shd w:val="clear" w:color="auto" w:fill="FFFFFF"/>
                </w:rPr>
                <w:t xml:space="preserve"> mažinimo priemones, skaičiuojamas pagal formulę:</w:t>
              </w:r>
            </w:p>
            <w:p>
              <w:pPr>
                <w:ind w:left="-11" w:firstLine="567"/>
                <w:jc w:val="center"/>
                <w:textAlignment w:val="baseline"/>
                <w:rPr>
                  <w:i/>
                  <w:color w:val="000000"/>
                  <w:szCs w:val="24"/>
                  <w:bdr w:val="none" w:sz="0" w:space="0" w:color="auto" w:frame="1"/>
                  <w:shd w:val="clear" w:color="auto" w:fill="FFFFFF"/>
                </w:rPr>
              </w:pPr>
              <m:oMath>
                <m:sSub>
                  <m:sSubPr>
                    <m:ctrlPr>
                      <w:rPr>
                        <w:rFonts w:ascii="Cambria Math" w:hAnsi="Cambria Math"/>
                        <w:i/>
                        <w:color w:val="000000"/>
                        <w:szCs w:val="24"/>
                        <w:bdr w:val="none" w:sz="0" w:space="0" w:color="auto" w:frame="1"/>
                        <w:shd w:val="clear" w:color="auto" w:fill="FFFFFF"/>
                      </w:rPr>
                    </m:ctrlPr>
                  </m:sSubPr>
                  <m:e>
                    <m:r>
                      <w:rPr>
                        <w:rFonts w:ascii="Cambria Math" w:hAnsi="Cambria Math"/>
                        <w:color w:val="000000"/>
                        <w:szCs w:val="24"/>
                        <w:bdr w:val="none" w:sz="0" w:space="0" w:color="auto" w:frame="1"/>
                        <w:shd w:val="clear" w:color="auto" w:fill="FFFFFF"/>
                      </w:rPr>
                      <m:t>E</m:t>
                    </m:r>
                  </m:e>
                  <m:sub>
                    <m:r>
                      <w:rPr>
                        <w:rFonts w:ascii="Cambria Math" w:hAnsi="Cambria Math"/>
                        <w:color w:val="000000"/>
                        <w:szCs w:val="24"/>
                        <w:bdr w:val="none" w:sz="0" w:space="0" w:color="auto" w:frame="1"/>
                        <w:shd w:val="clear" w:color="auto" w:fill="FFFFFF"/>
                      </w:rPr>
                      <m:t>N</m:t>
                    </m:r>
                    <m:sSub>
                      <m:sSubPr>
                        <m:ctrlPr>
                          <w:rPr>
                            <w:rFonts w:ascii="Cambria Math" w:hAnsi="Cambria Math"/>
                            <w:i/>
                            <w:color w:val="000000"/>
                            <w:szCs w:val="24"/>
                            <w:bdr w:val="none" w:sz="0" w:space="0" w:color="auto" w:frame="1"/>
                            <w:shd w:val="clear" w:color="auto" w:fill="FFFFFF"/>
                          </w:rPr>
                        </m:ctrlPr>
                      </m:sSubPr>
                      <m:e>
                        <m:r>
                          <w:rPr>
                            <w:rFonts w:ascii="Cambria Math" w:hAnsi="Cambria Math"/>
                            <w:color w:val="000000"/>
                            <w:szCs w:val="24"/>
                            <w:bdr w:val="none" w:sz="0" w:space="0" w:color="auto" w:frame="1"/>
                            <w:shd w:val="clear" w:color="auto" w:fill="FFFFFF"/>
                          </w:rPr>
                          <m:t>H</m:t>
                        </m:r>
                      </m:e>
                      <m:sub>
                        <m:r>
                          <w:rPr>
                            <w:rFonts w:ascii="Cambria Math" w:hAnsi="Cambria Math"/>
                            <w:color w:val="000000"/>
                            <w:szCs w:val="24"/>
                            <w:bdr w:val="none" w:sz="0" w:space="0" w:color="auto" w:frame="1"/>
                            <w:shd w:val="clear" w:color="auto" w:fill="FFFFFF"/>
                          </w:rPr>
                          <m:t>3</m:t>
                        </m:r>
                      </m:sub>
                    </m:sSub>
                  </m:sub>
                </m:sSub>
                <m:r>
                  <w:rPr>
                    <w:rFonts w:ascii="Cambria Math" w:hAnsi="Cambria Math"/>
                    <w:color w:val="000000"/>
                    <w:szCs w:val="24"/>
                    <w:bdr w:val="none" w:sz="0" w:space="0" w:color="auto" w:frame="1"/>
                    <w:shd w:val="clear" w:color="auto" w:fill="FFFFFF"/>
                  </w:rPr>
                  <m:t>=</m:t>
                </m:r>
                <m:f>
                  <m:fPr>
                    <m:ctrlPr>
                      <w:rPr>
                        <w:rFonts w:ascii="Cambria Math" w:hAnsi="Cambria Math"/>
                        <w:i/>
                        <w:color w:val="000000"/>
                        <w:szCs w:val="24"/>
                        <w:bdr w:val="none" w:sz="0" w:space="0" w:color="auto" w:frame="1"/>
                        <w:shd w:val="clear" w:color="auto" w:fill="FFFFFF"/>
                        <w:lang w:val="en-GB"/>
                      </w:rPr>
                    </m:ctrlPr>
                  </m:fPr>
                  <m:num>
                    <m:sSub>
                      <m:sSubPr>
                        <m:ctrlPr>
                          <w:rPr>
                            <w:rFonts w:ascii="Cambria Math" w:hAnsi="Cambria Math"/>
                            <w:i/>
                            <w:color w:val="000000"/>
                            <w:szCs w:val="24"/>
                            <w:bdr w:val="none" w:sz="0" w:space="0" w:color="auto" w:frame="1"/>
                            <w:shd w:val="clear" w:color="auto" w:fill="FFFFFF"/>
                            <w:lang w:val="en-GB"/>
                          </w:rPr>
                        </m:ctrlPr>
                      </m:sSubPr>
                      <m:e>
                        <m:r>
                          <w:rPr>
                            <w:rFonts w:ascii="Cambria Math" w:hAnsi="Cambria Math"/>
                            <w:color w:val="000000"/>
                            <w:szCs w:val="24"/>
                            <w:bdr w:val="none" w:sz="0" w:space="0" w:color="auto" w:frame="1"/>
                            <w:shd w:val="clear" w:color="auto" w:fill="FFFFFF"/>
                          </w:rPr>
                          <m:t>N</m:t>
                        </m:r>
                      </m:e>
                      <m:sub>
                        <m:r>
                          <w:rPr>
                            <w:rFonts w:ascii="Cambria Math" w:hAnsi="Cambria Math"/>
                            <w:color w:val="000000"/>
                            <w:szCs w:val="24"/>
                            <w:bdr w:val="none" w:sz="0" w:space="0" w:color="auto" w:frame="1"/>
                            <w:shd w:val="clear" w:color="auto" w:fill="FFFFFF"/>
                          </w:rPr>
                          <m:t>iš</m:t>
                        </m:r>
                      </m:sub>
                    </m:sSub>
                    <m:r>
                      <w:rPr>
                        <w:rFonts w:ascii="Cambria Math" w:hAnsi="Cambria Math"/>
                        <w:color w:val="000000"/>
                        <w:szCs w:val="24"/>
                        <w:bdr w:val="none" w:sz="0" w:space="0" w:color="auto" w:frame="1"/>
                        <w:shd w:val="clear" w:color="auto" w:fill="FFFFFF"/>
                      </w:rPr>
                      <m:t>∙</m:t>
                    </m:r>
                    <m:sSub>
                      <m:sSubPr>
                        <m:ctrlPr>
                          <w:rPr>
                            <w:rFonts w:ascii="Cambria Math" w:hAnsi="Cambria Math"/>
                            <w:i/>
                            <w:color w:val="000000"/>
                            <w:szCs w:val="24"/>
                            <w:bdr w:val="none" w:sz="0" w:space="0" w:color="auto" w:frame="1"/>
                            <w:shd w:val="clear" w:color="auto" w:fill="FFFFFF"/>
                            <w:lang w:val="en-GB"/>
                          </w:rPr>
                        </m:ctrlPr>
                      </m:sSubPr>
                      <m:e>
                        <m:r>
                          <w:rPr>
                            <w:rFonts w:ascii="Cambria Math" w:hAnsi="Cambria Math"/>
                            <w:color w:val="000000"/>
                            <w:szCs w:val="24"/>
                            <w:bdr w:val="none" w:sz="0" w:space="0" w:color="auto" w:frame="1"/>
                            <w:shd w:val="clear" w:color="auto" w:fill="FFFFFF"/>
                          </w:rPr>
                          <m:t>B</m:t>
                        </m:r>
                      </m:e>
                      <m:sub>
                        <m:r>
                          <w:rPr>
                            <w:rFonts w:ascii="Cambria Math" w:hAnsi="Cambria Math"/>
                            <w:color w:val="000000"/>
                            <w:szCs w:val="24"/>
                            <w:bdr w:val="none" w:sz="0" w:space="0" w:color="auto" w:frame="1"/>
                            <w:shd w:val="clear" w:color="auto" w:fill="FFFFFF"/>
                          </w:rPr>
                          <m:t>AN</m:t>
                        </m:r>
                      </m:sub>
                    </m:sSub>
                    <m:r>
                      <w:rPr>
                        <w:rFonts w:ascii="Cambria Math" w:hAnsi="Cambria Math"/>
                        <w:color w:val="000000"/>
                        <w:szCs w:val="24"/>
                        <w:bdr w:val="none" w:sz="0" w:space="0" w:color="auto" w:frame="1"/>
                        <w:shd w:val="clear" w:color="auto" w:fill="FFFFFF"/>
                      </w:rPr>
                      <m:t>∙</m:t>
                    </m:r>
                    <m:box>
                      <m:boxPr>
                        <m:ctrlPr>
                          <w:rPr>
                            <w:rFonts w:ascii="Cambria Math" w:hAnsi="Cambria Math"/>
                            <w:i/>
                            <w:color w:val="000000"/>
                            <w:szCs w:val="24"/>
                            <w:bdr w:val="none" w:sz="0" w:space="0" w:color="auto" w:frame="1"/>
                            <w:shd w:val="clear" w:color="auto" w:fill="FFFFFF"/>
                            <w:lang w:val="en-GB"/>
                          </w:rPr>
                        </m:ctrlPr>
                      </m:boxPr>
                      <m:e>
                        <m:argPr>
                          <m:argSz m:val="-1"/>
                        </m:argPr>
                        <m:f>
                          <m:fPr>
                            <m:ctrlPr>
                              <w:rPr>
                                <w:rFonts w:ascii="Cambria Math" w:hAnsi="Cambria Math"/>
                                <w:i/>
                                <w:color w:val="000000"/>
                                <w:szCs w:val="24"/>
                                <w:bdr w:val="none" w:sz="0" w:space="0" w:color="auto" w:frame="1"/>
                                <w:shd w:val="clear" w:color="auto" w:fill="FFFFFF"/>
                                <w:lang w:val="en-GB"/>
                              </w:rPr>
                            </m:ctrlPr>
                          </m:fPr>
                          <m:num>
                            <m:sSub>
                              <m:sSubPr>
                                <m:ctrlPr>
                                  <w:rPr>
                                    <w:rFonts w:ascii="Cambria Math" w:hAnsi="Cambria Math"/>
                                    <w:i/>
                                    <w:color w:val="000000"/>
                                    <w:szCs w:val="24"/>
                                    <w:bdr w:val="none" w:sz="0" w:space="0" w:color="auto" w:frame="1"/>
                                    <w:shd w:val="clear" w:color="auto" w:fill="FFFFFF"/>
                                    <w:lang w:val="en-GB"/>
                                  </w:rPr>
                                </m:ctrlPr>
                              </m:sSubPr>
                              <m:e>
                                <m:r>
                                  <w:rPr>
                                    <w:rFonts w:ascii="Cambria Math" w:hAnsi="Cambria Math"/>
                                    <w:color w:val="000000"/>
                                    <w:szCs w:val="24"/>
                                    <w:bdr w:val="none" w:sz="0" w:space="0" w:color="auto" w:frame="1"/>
                                    <w:shd w:val="clear" w:color="auto" w:fill="FFFFFF"/>
                                  </w:rPr>
                                  <m:t>t</m:t>
                                </m:r>
                              </m:e>
                              <m:sub>
                                <m:r>
                                  <w:rPr>
                                    <w:rFonts w:ascii="Cambria Math" w:hAnsi="Cambria Math"/>
                                    <w:color w:val="000000"/>
                                    <w:szCs w:val="24"/>
                                    <w:bdr w:val="none" w:sz="0" w:space="0" w:color="auto" w:frame="1"/>
                                    <w:shd w:val="clear" w:color="auto" w:fill="FFFFFF"/>
                                  </w:rPr>
                                  <m:t>tv</m:t>
                                </m:r>
                              </m:sub>
                            </m:sSub>
                          </m:num>
                          <m:den>
                            <m:r>
                              <w:rPr>
                                <w:rFonts w:ascii="Cambria Math" w:hAnsi="Cambria Math"/>
                                <w:color w:val="000000"/>
                                <w:szCs w:val="24"/>
                                <w:bdr w:val="none" w:sz="0" w:space="0" w:color="auto" w:frame="1"/>
                                <w:shd w:val="clear" w:color="auto" w:fill="FFFFFF"/>
                              </w:rPr>
                              <m:t>365</m:t>
                            </m:r>
                          </m:den>
                        </m:f>
                      </m:e>
                    </m:box>
                    <m:r>
                      <w:rPr>
                        <w:rFonts w:ascii="Cambria Math" w:hAnsi="Cambria Math"/>
                        <w:color w:val="000000"/>
                        <w:szCs w:val="24"/>
                        <w:bdr w:val="none" w:sz="0" w:space="0" w:color="auto" w:frame="1"/>
                        <w:shd w:val="clear" w:color="auto" w:fill="FFFFFF"/>
                      </w:rPr>
                      <m:t>∙</m:t>
                    </m:r>
                    <m:sSub>
                      <m:sSubPr>
                        <m:ctrlPr>
                          <w:rPr>
                            <w:rFonts w:ascii="Cambria Math" w:hAnsi="Cambria Math"/>
                            <w:i/>
                            <w:color w:val="000000"/>
                            <w:szCs w:val="24"/>
                            <w:bdr w:val="none" w:sz="0" w:space="0" w:color="auto" w:frame="1"/>
                            <w:shd w:val="clear" w:color="auto" w:fill="FFFFFF"/>
                            <w:lang w:val="en-GB"/>
                          </w:rPr>
                        </m:ctrlPr>
                      </m:sSubPr>
                      <m:e>
                        <m:r>
                          <w:rPr>
                            <w:rFonts w:ascii="Cambria Math" w:hAnsi="Cambria Math"/>
                            <w:color w:val="000000"/>
                            <w:szCs w:val="24"/>
                            <w:bdr w:val="none" w:sz="0" w:space="0" w:color="auto" w:frame="1"/>
                            <w:shd w:val="clear" w:color="auto" w:fill="FFFFFF"/>
                          </w:rPr>
                          <m:t>EF</m:t>
                        </m:r>
                      </m:e>
                      <m:sub>
                        <m:r>
                          <w:rPr>
                            <w:rFonts w:ascii="Cambria Math" w:hAnsi="Cambria Math"/>
                            <w:color w:val="000000"/>
                            <w:szCs w:val="24"/>
                            <w:bdr w:val="none" w:sz="0" w:space="0" w:color="auto" w:frame="1"/>
                            <w:shd w:val="clear" w:color="auto" w:fill="FFFFFF"/>
                          </w:rPr>
                          <m:t>N</m:t>
                        </m:r>
                        <m:sSub>
                          <m:sSubPr>
                            <m:ctrlPr>
                              <w:rPr>
                                <w:rFonts w:ascii="Cambria Math" w:hAnsi="Cambria Math"/>
                                <w:i/>
                                <w:color w:val="000000"/>
                                <w:szCs w:val="24"/>
                                <w:bdr w:val="none" w:sz="0" w:space="0" w:color="auto" w:frame="1"/>
                                <w:shd w:val="clear" w:color="auto" w:fill="FFFFFF"/>
                                <w:lang w:val="en-GB"/>
                              </w:rPr>
                            </m:ctrlPr>
                          </m:sSubPr>
                          <m:e>
                            <m:r>
                              <w:rPr>
                                <w:rFonts w:ascii="Cambria Math" w:hAnsi="Cambria Math"/>
                                <w:color w:val="000000"/>
                                <w:szCs w:val="24"/>
                                <w:bdr w:val="none" w:sz="0" w:space="0" w:color="auto" w:frame="1"/>
                                <w:shd w:val="clear" w:color="auto" w:fill="FFFFFF"/>
                              </w:rPr>
                              <m:t>H</m:t>
                            </m:r>
                          </m:e>
                          <m:sub>
                            <m:r>
                              <w:rPr>
                                <w:rFonts w:ascii="Cambria Math" w:hAnsi="Cambria Math"/>
                                <w:color w:val="000000"/>
                                <w:szCs w:val="24"/>
                                <w:bdr w:val="none" w:sz="0" w:space="0" w:color="auto" w:frame="1"/>
                                <w:shd w:val="clear" w:color="auto" w:fill="FFFFFF"/>
                              </w:rPr>
                              <m:t>3</m:t>
                            </m:r>
                          </m:sub>
                        </m:sSub>
                      </m:sub>
                    </m:sSub>
                    <m:r>
                      <w:rPr>
                        <w:rFonts w:ascii="Cambria Math" w:hAnsi="Cambria Math"/>
                        <w:color w:val="000000"/>
                        <w:szCs w:val="24"/>
                        <w:bdr w:val="none" w:sz="0" w:space="0" w:color="auto" w:frame="1"/>
                        <w:shd w:val="clear" w:color="auto" w:fill="FFFFFF"/>
                      </w:rPr>
                      <m:t>∙(1-r)∙17/14</m:t>
                    </m:r>
                  </m:num>
                  <m:den>
                    <m:r>
                      <w:rPr>
                        <w:rFonts w:ascii="Cambria Math" w:hAnsi="Cambria Math"/>
                        <w:color w:val="000000"/>
                        <w:szCs w:val="24"/>
                        <w:bdr w:val="none" w:sz="0" w:space="0" w:color="auto" w:frame="1"/>
                        <w:shd w:val="clear" w:color="auto" w:fill="FFFFFF"/>
                      </w:rPr>
                      <m:t>1000</m:t>
                    </m:r>
                  </m:den>
                </m:f>
              </m:oMath>
              <w:r>
                <w:rPr>
                  <w:i/>
                  <w:color w:val="000000"/>
                  <w:szCs w:val="24"/>
                  <w:bdr w:val="none" w:sz="0" w:space="0" w:color="auto" w:frame="1"/>
                  <w:shd w:val="clear" w:color="auto" w:fill="FFFFFF"/>
                </w:rPr>
                <w:t>,</w:t>
              </w:r>
            </w:p>
            <w:p>
              <w:pPr>
                <w:ind w:firstLine="567"/>
                <w:rPr>
                  <w:szCs w:val="24"/>
                </w:rPr>
              </w:pPr>
              <w:r>
                <w:rPr>
                  <w:szCs w:val="24"/>
                </w:rPr>
                <w:t>kur:</w:t>
              </w:r>
            </w:p>
            <w:p>
              <w:pPr>
                <w:ind w:firstLine="567"/>
                <w:jc w:val="both"/>
              </w:pPr>
              <w:r>
                <w:t>E</w:t>
              </w:r>
              <w:r>
                <w:rPr>
                  <w:vertAlign w:val="subscript"/>
                </w:rPr>
                <w:t>NH3</w:t>
              </w:r>
              <w:r>
                <w:t xml:space="preserve"> – metinis amoniako kiekis, išsiskiriantis vienoje laikymo vietoje (t/m.);</w:t>
              </w:r>
            </w:p>
            <w:p>
              <w:pPr>
                <w:ind w:firstLine="567"/>
                <w:jc w:val="both"/>
              </w:pPr>
              <w:r>
                <w:t>N</w:t>
              </w:r>
              <w:r>
                <w:rPr>
                  <w:vertAlign w:val="subscript"/>
                </w:rPr>
                <w:t>iš</w:t>
              </w:r>
              <w:r>
                <w:t xml:space="preserve"> – metinis azoto kiekis, išsiskiriantis vienoje kiaulių laikymo vietoje (kg/m.), pagal </w:t>
              </w:r>
              <w:r>
                <w:rPr>
                  <w:color w:val="000000"/>
                  <w:bdr w:val="none" w:sz="0" w:space="0" w:color="auto" w:frame="1"/>
                  <w:shd w:val="clear" w:color="auto" w:fill="FFFFFF"/>
                </w:rPr>
                <w:t>EMEP metodikos</w:t>
              </w:r>
              <w:r>
                <w:rPr>
                  <w:color w:val="000099"/>
                </w:rPr>
                <w:t xml:space="preserve"> </w:t>
              </w:r>
              <w:r>
                <w:t xml:space="preserve">3.9 lentelės 4 </w:t>
              </w:r>
              <w:r>
                <w:rPr>
                  <w:color w:val="000000"/>
                  <w:bdr w:val="none" w:sz="0" w:space="0" w:color="auto" w:frame="1"/>
                  <w:shd w:val="clear" w:color="auto" w:fill="FFFFFF"/>
                </w:rPr>
                <w:t>skiltį</w:t>
              </w:r>
              <w:r>
                <w:t>;</w:t>
              </w:r>
            </w:p>
            <w:p>
              <w:pPr>
                <w:ind w:firstLine="567"/>
                <w:jc w:val="both"/>
              </w:pPr>
              <w:r>
                <w:t>B</w:t>
              </w:r>
              <w:r>
                <w:rPr>
                  <w:vertAlign w:val="subscript"/>
                </w:rPr>
                <w:t>AN</w:t>
              </w:r>
              <w:r>
                <w:t xml:space="preserve"> – bendrojo amoniakinio azoto santykis (pagal </w:t>
              </w:r>
              <w:r>
                <w:rPr>
                  <w:color w:val="000000"/>
                  <w:bdr w:val="none" w:sz="0" w:space="0" w:color="auto" w:frame="1"/>
                  <w:shd w:val="clear" w:color="auto" w:fill="FFFFFF"/>
                </w:rPr>
                <w:t>EMEP metodikos</w:t>
              </w:r>
              <w:r>
                <w:t xml:space="preserve"> 3.9 lentelės 5 skiltį visoms kiaulių grupėms 0,7);</w:t>
              </w:r>
            </w:p>
            <w:p>
              <w:pPr>
                <w:ind w:firstLine="567"/>
                <w:jc w:val="both"/>
              </w:pPr>
              <w:r>
                <w:t>t</w:t>
              </w:r>
              <w:r>
                <w:rPr>
                  <w:vertAlign w:val="subscript"/>
                </w:rPr>
                <w:t>tv</w:t>
              </w:r>
              <w:r>
                <w:t xml:space="preserve"> – kiaulių laikymo tvartuose laikotarpis (d./m.) </w:t>
              </w:r>
              <w:r>
                <w:rPr>
                  <w:color w:val="000000"/>
                </w:rPr>
                <w:t xml:space="preserve">pagal </w:t>
              </w:r>
              <w:r>
                <w:rPr>
                  <w:color w:val="000000"/>
                  <w:szCs w:val="24"/>
                  <w:lang w:eastAsia="zh-CN"/>
                </w:rPr>
                <w:t>EMEP metodikos 3.9 lentelės 3 skiltį</w:t>
              </w:r>
              <w:r>
                <w:t>;</w:t>
              </w:r>
            </w:p>
            <w:p>
              <w:pPr>
                <w:ind w:firstLine="567"/>
                <w:jc w:val="both"/>
              </w:pPr>
              <w:r>
                <w:t>EF</w:t>
              </w:r>
              <w:r>
                <w:rPr>
                  <w:vertAlign w:val="subscript"/>
                </w:rPr>
                <w:t>NH3</w:t>
              </w:r>
              <w:r>
                <w:t xml:space="preserve"> – amoniako taršos (emisijos) faktorius, išreikštas bendrojo amoniakinio azoto dalimi. Pagal </w:t>
              </w:r>
              <w:r>
                <w:rPr>
                  <w:color w:val="000000"/>
                  <w:bdr w:val="none" w:sz="0" w:space="0" w:color="auto" w:frame="1"/>
                  <w:shd w:val="clear" w:color="auto" w:fill="FFFFFF"/>
                </w:rPr>
                <w:t>EMEP metodikos</w:t>
              </w:r>
              <w:r>
                <w:t xml:space="preserve"> 3.9 lentelės 7 skiltį laikant kiaules skystojo mėšlo sistemoje (tvartuose ant grotelėmis padengtų grindų), penimoms kiaulėms ir nujunkytiems paršeliams (gyvulių grupė 8–110 kg svorio) – 0,27; paršavedėms su nenujunkytais paršeliais iki 8 kg svorio – 0,35; </w:t>
              </w:r>
            </w:p>
            <w:p>
              <w:pPr>
                <w:ind w:firstLine="567"/>
                <w:jc w:val="both"/>
              </w:pPr>
              <w:r>
                <w:t>r – amoniako išmetamo kiekio mažinimo priemonės efektyvumas, išreikštas skaičiaus dalimi (pvz., kai priemonės efektyvumas 70 proc., rašoma 0,7), jei priemonė netaikoma, rašomas 0. Efektyvumas nustatomas pagal gamintojo nurodytus parametrus;</w:t>
              </w:r>
            </w:p>
            <w:p>
              <w:pPr>
                <w:ind w:firstLine="567"/>
                <w:rPr>
                  <w:szCs w:val="24"/>
                </w:rPr>
              </w:pPr>
              <w:r>
                <w:rPr>
                  <w:szCs w:val="24"/>
                </w:rPr>
                <w:t>17/14 – masės perskaičiavimo koeficientas.</w:t>
              </w:r>
            </w:p>
          </w:sdtContent>
        </w:sdt>
        <w:sdt>
          <w:sdtPr>
            <w:alias w:val="8 pr. 9 p."/>
            <w:tag w:val="part_814f8f22dd634f07b5a146a4effcf402"/>
            <w:lock w:val="sdtLocked"/>
            <w:richText/>
          </w:sdtPr>
          <w:sdtContent>
            <w:p>
              <w:pPr>
                <w:ind w:left="-11" w:firstLine="567"/>
                <w:jc w:val="both"/>
                <w:textAlignment w:val="baseline"/>
                <w:rPr>
                  <w:color w:val="000000"/>
                  <w:bdr w:val="none" w:sz="0" w:space="0" w:color="auto" w:frame="1"/>
                  <w:shd w:val="clear" w:color="auto" w:fill="FFFFFF"/>
                </w:rPr>
              </w:pPr>
              <w:sdt>
                <w:sdtPr>
                  <w:alias w:val="Numeris"/>
                  <w:tag w:val="nr_814f8f22dd634f07b5a146a4effcf402"/>
                  <w:lock w:val="sdtLocked"/>
                  <w:richText/>
                </w:sdtPr>
                <w:sdtContent>
                  <w:r>
                    <w:rPr>
                      <w:color w:val="000000"/>
                      <w:bdr w:val="none" w:sz="0" w:space="0" w:color="auto" w:frame="1"/>
                      <w:shd w:val="clear" w:color="auto" w:fill="FFFFFF"/>
                    </w:rPr>
                    <w:t>9</w:t>
                  </w:r>
                </w:sdtContent>
              </w:sdt>
              <w:r>
                <w:rPr>
                  <w:color w:val="000000"/>
                  <w:bdr w:val="none" w:sz="0" w:space="0" w:color="auto" w:frame="1"/>
                  <w:shd w:val="clear" w:color="auto" w:fill="FFFFFF"/>
                </w:rPr>
                <w:t xml:space="preserve">. Bendras per metus visose </w:t>
              </w:r>
              <w:r>
                <w:rPr>
                  <w:color w:val="000000"/>
                </w:rPr>
                <w:t xml:space="preserve">vienos atitinkamos kiaulių grupės </w:t>
              </w:r>
              <w:r>
                <w:rPr>
                  <w:color w:val="000000"/>
                  <w:bdr w:val="none" w:sz="0" w:space="0" w:color="auto" w:frame="1"/>
                  <w:shd w:val="clear" w:color="auto" w:fill="FFFFFF"/>
                </w:rPr>
                <w:t>laikymo vietose išsiskiriantis amoniako kiekis skaičiuojamas pagal formulę:</w:t>
              </w:r>
            </w:p>
            <w:p>
              <w:pPr>
                <w:ind w:left="-11" w:firstLine="567"/>
                <w:jc w:val="center"/>
                <w:textAlignment w:val="baseline"/>
                <w:rPr>
                  <w:color w:val="000000"/>
                  <w:szCs w:val="24"/>
                  <w:bdr w:val="none" w:sz="0" w:space="0" w:color="auto" w:frame="1"/>
                  <w:shd w:val="clear" w:color="auto" w:fill="FFFFFF"/>
                </w:rPr>
              </w:pPr>
              <m:oMath>
                <m:sSub>
                  <m:sSubPr>
                    <m:ctrlPr>
                      <w:rPr>
                        <w:rFonts w:ascii="Cambria Math" w:hAnsi="Cambria Math"/>
                        <w:i/>
                        <w:color w:val="000000"/>
                        <w:szCs w:val="24"/>
                        <w:bdr w:val="none" w:sz="0" w:space="0" w:color="auto" w:frame="1"/>
                        <w:shd w:val="clear" w:color="auto" w:fill="FFFFFF"/>
                      </w:rPr>
                    </m:ctrlPr>
                  </m:sSubPr>
                  <m:e>
                    <m:r>
                      <w:rPr>
                        <w:rFonts w:ascii="Cambria Math" w:hAnsi="Cambria Math"/>
                        <w:color w:val="000000"/>
                        <w:szCs w:val="24"/>
                        <w:bdr w:val="none" w:sz="0" w:space="0" w:color="auto" w:frame="1"/>
                        <w:shd w:val="clear" w:color="auto" w:fill="FFFFFF"/>
                      </w:rPr>
                      <m:t>E</m:t>
                    </m:r>
                  </m:e>
                  <m:sub>
                    <m:r>
                      <w:rPr>
                        <w:rFonts w:ascii="Cambria Math" w:hAnsi="Cambria Math"/>
                        <w:color w:val="000000"/>
                        <w:szCs w:val="24"/>
                        <w:bdr w:val="none" w:sz="0" w:space="0" w:color="auto" w:frame="1"/>
                        <w:shd w:val="clear" w:color="auto" w:fill="FFFFFF"/>
                      </w:rPr>
                      <m:t>m(</m:t>
                    </m:r>
                    <m:sSub>
                      <m:sSubPr>
                        <m:ctrlPr>
                          <w:rPr>
                            <w:rFonts w:ascii="Cambria Math" w:hAnsi="Cambria Math"/>
                            <w:i/>
                            <w:color w:val="000000"/>
                            <w:szCs w:val="24"/>
                            <w:bdr w:val="none" w:sz="0" w:space="0" w:color="auto" w:frame="1"/>
                            <w:shd w:val="clear" w:color="auto" w:fill="FFFFFF"/>
                          </w:rPr>
                        </m:ctrlPr>
                      </m:sSubPr>
                      <m:e>
                        <m:r>
                          <w:rPr>
                            <w:rFonts w:ascii="Cambria Math" w:hAnsi="Cambria Math"/>
                            <w:color w:val="000000"/>
                            <w:szCs w:val="24"/>
                            <w:bdr w:val="none" w:sz="0" w:space="0" w:color="auto" w:frame="1"/>
                            <w:shd w:val="clear" w:color="auto" w:fill="FFFFFF"/>
                          </w:rPr>
                          <m:t>NH</m:t>
                        </m:r>
                      </m:e>
                      <m:sub>
                        <m:r>
                          <w:rPr>
                            <w:rFonts w:ascii="Cambria Math" w:hAnsi="Cambria Math"/>
                            <w:color w:val="000000"/>
                            <w:szCs w:val="24"/>
                            <w:bdr w:val="none" w:sz="0" w:space="0" w:color="auto" w:frame="1"/>
                            <w:shd w:val="clear" w:color="auto" w:fill="FFFFFF"/>
                          </w:rPr>
                          <m:t>3</m:t>
                        </m:r>
                      </m:sub>
                    </m:sSub>
                    <m:r>
                      <w:rPr>
                        <w:rFonts w:ascii="Cambria Math" w:hAnsi="Cambria Math"/>
                        <w:color w:val="000000"/>
                        <w:szCs w:val="24"/>
                        <w:bdr w:val="none" w:sz="0" w:space="0" w:color="auto" w:frame="1"/>
                        <w:shd w:val="clear" w:color="auto" w:fill="FFFFFF"/>
                      </w:rPr>
                      <m:t>)</m:t>
                    </m:r>
                  </m:sub>
                </m:sSub>
                <m:r>
                  <w:rPr>
                    <w:rFonts w:ascii="Cambria Math" w:hAnsi="Cambria Math"/>
                    <w:color w:val="000000"/>
                    <w:szCs w:val="24"/>
                    <w:bdr w:val="none" w:sz="0" w:space="0" w:color="auto" w:frame="1"/>
                    <w:shd w:val="clear" w:color="auto" w:fill="FFFFFF"/>
                  </w:rPr>
                  <m:t>=</m:t>
                </m:r>
                <m:nary>
                  <m:naryPr>
                    <m:chr m:val="∑"/>
                    <m:limLoc m:val="undOvr"/>
                    <m:subHide m:val="1"/>
                    <m:supHide m:val="1"/>
                    <m:ctrlPr>
                      <w:rPr>
                        <w:rFonts w:ascii="Cambria Math" w:hAnsi="Cambria Math"/>
                        <w:i/>
                        <w:color w:val="000000"/>
                        <w:szCs w:val="24"/>
                        <w:bdr w:val="none" w:sz="0" w:space="0" w:color="auto" w:frame="1"/>
                        <w:shd w:val="clear" w:color="auto" w:fill="FFFFFF"/>
                        <w:lang w:val="en-GB"/>
                      </w:rPr>
                    </m:ctrlPr>
                  </m:naryPr>
                  <m:sub/>
                  <m:sup/>
                  <m:e>
                    <m:sSub>
                      <m:sSubPr>
                        <m:ctrlPr>
                          <w:rPr>
                            <w:rFonts w:ascii="Cambria Math" w:hAnsi="Cambria Math"/>
                            <w:i/>
                            <w:color w:val="000000"/>
                            <w:szCs w:val="24"/>
                            <w:bdr w:val="none" w:sz="0" w:space="0" w:color="auto" w:frame="1"/>
                            <w:shd w:val="clear" w:color="auto" w:fill="FFFFFF"/>
                            <w:lang w:val="en-GB"/>
                          </w:rPr>
                        </m:ctrlPr>
                      </m:sSubPr>
                      <m:e>
                        <m:r>
                          <w:rPr>
                            <w:rFonts w:ascii="Cambria Math" w:hAnsi="Cambria Math"/>
                            <w:color w:val="000000"/>
                            <w:szCs w:val="24"/>
                            <w:bdr w:val="none" w:sz="0" w:space="0" w:color="auto" w:frame="1"/>
                            <w:shd w:val="clear" w:color="auto" w:fill="FFFFFF"/>
                          </w:rPr>
                          <m:t>G</m:t>
                        </m:r>
                      </m:e>
                      <m:sub>
                        <m:r>
                          <w:rPr>
                            <w:rFonts w:ascii="Cambria Math" w:hAnsi="Cambria Math"/>
                            <w:color w:val="000000"/>
                            <w:szCs w:val="24"/>
                            <w:bdr w:val="none" w:sz="0" w:space="0" w:color="auto" w:frame="1"/>
                            <w:shd w:val="clear" w:color="auto" w:fill="FFFFFF"/>
                          </w:rPr>
                          <m:t>sk.</m:t>
                        </m:r>
                      </m:sub>
                    </m:sSub>
                    <m:r>
                      <w:rPr>
                        <w:rFonts w:ascii="Cambria Math" w:hAnsi="Cambria Math"/>
                        <w:color w:val="000000"/>
                        <w:szCs w:val="24"/>
                        <w:bdr w:val="none" w:sz="0" w:space="0" w:color="auto" w:frame="1"/>
                        <w:shd w:val="clear" w:color="auto" w:fill="FFFFFF"/>
                      </w:rPr>
                      <m:t>∙</m:t>
                    </m:r>
                    <m:sSub>
                      <m:sSubPr>
                        <m:ctrlPr>
                          <w:rPr>
                            <w:rFonts w:ascii="Cambria Math" w:hAnsi="Cambria Math"/>
                            <w:i/>
                            <w:color w:val="000000"/>
                            <w:szCs w:val="24"/>
                            <w:bdr w:val="none" w:sz="0" w:space="0" w:color="auto" w:frame="1"/>
                            <w:shd w:val="clear" w:color="auto" w:fill="FFFFFF"/>
                            <w:lang w:val="en-GB"/>
                          </w:rPr>
                        </m:ctrlPr>
                      </m:sSubPr>
                      <m:e>
                        <m:r>
                          <w:rPr>
                            <w:rFonts w:ascii="Cambria Math" w:hAnsi="Cambria Math"/>
                            <w:color w:val="000000"/>
                            <w:szCs w:val="24"/>
                            <w:bdr w:val="none" w:sz="0" w:space="0" w:color="auto" w:frame="1"/>
                            <w:shd w:val="clear" w:color="auto" w:fill="FFFFFF"/>
                          </w:rPr>
                          <m:t>E</m:t>
                        </m:r>
                      </m:e>
                      <m:sub>
                        <m:sSub>
                          <m:sSubPr>
                            <m:ctrlPr>
                              <w:rPr>
                                <w:rFonts w:ascii="Cambria Math" w:hAnsi="Cambria Math"/>
                                <w:i/>
                                <w:color w:val="000000"/>
                                <w:szCs w:val="24"/>
                                <w:bdr w:val="none" w:sz="0" w:space="0" w:color="auto" w:frame="1"/>
                                <w:shd w:val="clear" w:color="auto" w:fill="FFFFFF"/>
                                <w:lang w:val="en-GB"/>
                              </w:rPr>
                            </m:ctrlPr>
                          </m:sSubPr>
                          <m:e>
                            <m:r>
                              <w:rPr>
                                <w:rFonts w:ascii="Cambria Math" w:hAnsi="Cambria Math"/>
                                <w:color w:val="000000"/>
                                <w:szCs w:val="24"/>
                                <w:bdr w:val="none" w:sz="0" w:space="0" w:color="auto" w:frame="1"/>
                                <w:shd w:val="clear" w:color="auto" w:fill="FFFFFF"/>
                              </w:rPr>
                              <m:t>NH</m:t>
                            </m:r>
                          </m:e>
                          <m:sub>
                            <m:r>
                              <w:rPr>
                                <w:rFonts w:ascii="Cambria Math" w:hAnsi="Cambria Math"/>
                                <w:color w:val="000000"/>
                                <w:szCs w:val="24"/>
                                <w:bdr w:val="none" w:sz="0" w:space="0" w:color="auto" w:frame="1"/>
                                <w:shd w:val="clear" w:color="auto" w:fill="FFFFFF"/>
                              </w:rPr>
                              <m:t>3</m:t>
                            </m:r>
                          </m:sub>
                        </m:sSub>
                      </m:sub>
                    </m:sSub>
                  </m:e>
                </m:nary>
              </m:oMath>
              <w:r>
                <w:rPr>
                  <w:color w:val="000000"/>
                  <w:szCs w:val="24"/>
                  <w:bdr w:val="none" w:sz="0" w:space="0" w:color="auto" w:frame="1"/>
                  <w:shd w:val="clear" w:color="auto" w:fill="FFFFFF"/>
                </w:rPr>
                <w:t>,</w:t>
              </w:r>
            </w:p>
            <w:p>
              <w:pPr>
                <w:ind w:left="-11" w:firstLine="567"/>
                <w:jc w:val="both"/>
                <w:textAlignment w:val="baseline"/>
                <w:rPr>
                  <w:color w:val="000000"/>
                  <w:bdr w:val="none" w:sz="0" w:space="0" w:color="auto" w:frame="1"/>
                  <w:shd w:val="clear" w:color="auto" w:fill="FFFFFF"/>
                </w:rPr>
              </w:pPr>
              <w:r>
                <w:rPr>
                  <w:color w:val="000000"/>
                  <w:bdr w:val="none" w:sz="0" w:space="0" w:color="auto" w:frame="1"/>
                  <w:shd w:val="clear" w:color="auto" w:fill="FFFFFF"/>
                </w:rPr>
                <w:t>kur:</w:t>
              </w:r>
            </w:p>
            <w:p>
              <w:pPr>
                <w:ind w:left="-11" w:firstLine="629"/>
                <w:jc w:val="both"/>
                <w:textAlignment w:val="baseline"/>
                <w:rPr>
                  <w:color w:val="000000"/>
                  <w:bdr w:val="none" w:sz="0" w:space="0" w:color="auto" w:frame="1"/>
                  <w:shd w:val="clear" w:color="auto" w:fill="FFFFFF"/>
                </w:rPr>
              </w:pPr>
              <m:oMath>
                <m:sSub>
                  <m:sSubPr>
                    <m:ctrlPr>
                      <w:rPr>
                        <w:rFonts w:ascii="Cambria Math" w:hAnsi="Cambria Math"/>
                        <w:iCs/>
                        <w:color w:val="000000"/>
                        <w:szCs w:val="24"/>
                        <w:bdr w:val="none" w:sz="0" w:space="0" w:color="auto" w:frame="1"/>
                        <w:shd w:val="clear" w:color="auto" w:fill="FFFFFF"/>
                      </w:rPr>
                    </m:ctrlPr>
                  </m:sSubPr>
                  <m:e>
                    <m:r>
                      <m:rPr>
                        <m:sty m:val="p"/>
                      </m:rPr>
                      <w:rPr>
                        <w:rFonts w:ascii="Cambria Math" w:hAnsi="Cambria Math"/>
                        <w:color w:val="000000"/>
                        <w:szCs w:val="24"/>
                        <w:bdr w:val="none" w:sz="0" w:space="0" w:color="auto" w:frame="1"/>
                        <w:shd w:val="clear" w:color="auto" w:fill="FFFFFF"/>
                      </w:rPr>
                      <m:t>E</m:t>
                    </m:r>
                  </m:e>
                  <m:sub>
                    <m:r>
                      <m:rPr>
                        <m:sty m:val="p"/>
                      </m:rPr>
                      <w:rPr>
                        <w:rFonts w:ascii="Cambria Math" w:hAnsi="Cambria Math"/>
                        <w:color w:val="000000"/>
                        <w:szCs w:val="24"/>
                        <w:bdr w:val="none" w:sz="0" w:space="0" w:color="auto" w:frame="1"/>
                        <w:shd w:val="clear" w:color="auto" w:fill="FFFFFF"/>
                      </w:rPr>
                      <m:t>m(</m:t>
                    </m:r>
                    <m:sSub>
                      <m:sSubPr>
                        <m:ctrlPr>
                          <w:rPr>
                            <w:rFonts w:ascii="Cambria Math" w:hAnsi="Cambria Math"/>
                            <w:iCs/>
                            <w:color w:val="000000"/>
                            <w:szCs w:val="24"/>
                            <w:bdr w:val="none" w:sz="0" w:space="0" w:color="auto" w:frame="1"/>
                            <w:shd w:val="clear" w:color="auto" w:fill="FFFFFF"/>
                          </w:rPr>
                        </m:ctrlPr>
                      </m:sSubPr>
                      <m:e>
                        <m:r>
                          <m:rPr>
                            <m:sty m:val="p"/>
                          </m:rPr>
                          <w:rPr>
                            <w:rFonts w:ascii="Cambria Math" w:hAnsi="Cambria Math"/>
                            <w:color w:val="000000"/>
                            <w:szCs w:val="24"/>
                            <w:bdr w:val="none" w:sz="0" w:space="0" w:color="auto" w:frame="1"/>
                            <w:shd w:val="clear" w:color="auto" w:fill="FFFFFF"/>
                          </w:rPr>
                          <m:t>NH</m:t>
                        </m:r>
                      </m:e>
                      <m:sub>
                        <m:r>
                          <m:rPr>
                            <m:sty m:val="p"/>
                          </m:rPr>
                          <w:rPr>
                            <w:rFonts w:ascii="Cambria Math" w:hAnsi="Cambria Math"/>
                            <w:color w:val="000000"/>
                            <w:szCs w:val="24"/>
                            <w:bdr w:val="none" w:sz="0" w:space="0" w:color="auto" w:frame="1"/>
                            <w:shd w:val="clear" w:color="auto" w:fill="FFFFFF"/>
                          </w:rPr>
                          <m:t>3</m:t>
                        </m:r>
                      </m:sub>
                    </m:sSub>
                    <m:r>
                      <m:rPr>
                        <m:sty m:val="p"/>
                      </m:rPr>
                      <w:rPr>
                        <w:rFonts w:ascii="Cambria Math" w:hAnsi="Cambria Math"/>
                        <w:color w:val="000000"/>
                        <w:szCs w:val="24"/>
                        <w:bdr w:val="none" w:sz="0" w:space="0" w:color="auto" w:frame="1"/>
                        <w:shd w:val="clear" w:color="auto" w:fill="FFFFFF"/>
                      </w:rPr>
                      <m:t>)</m:t>
                    </m:r>
                  </m:sub>
                </m:sSub>
              </m:oMath>
              <w:r>
                <w:rPr>
                  <w:color w:val="000000"/>
                  <w:bdr w:val="none" w:sz="0" w:space="0" w:color="auto" w:frame="1"/>
                  <w:shd w:val="clear" w:color="auto" w:fill="FFFFFF"/>
                </w:rPr>
                <w:t>– bendras per metus išmetamas amoniako kiekis (t/m.);</w:t>
              </w:r>
            </w:p>
            <w:p>
              <w:pPr>
                <w:ind w:left="-11" w:firstLine="629"/>
                <w:jc w:val="both"/>
                <w:textAlignment w:val="baseline"/>
                <w:rPr>
                  <w:color w:val="000000"/>
                  <w:bdr w:val="none" w:sz="0" w:space="0" w:color="auto" w:frame="1"/>
                  <w:shd w:val="clear" w:color="auto" w:fill="FFFFFF"/>
                </w:rPr>
              </w:pPr>
              <m:oMath>
                <m:sSub>
                  <m:sSubPr>
                    <m:ctrlPr>
                      <w:rPr>
                        <w:rFonts w:ascii="Cambria Math" w:hAnsi="Cambria Math"/>
                        <w:iCs/>
                        <w:color w:val="000000"/>
                        <w:szCs w:val="24"/>
                        <w:bdr w:val="none" w:sz="0" w:space="0" w:color="auto" w:frame="1"/>
                        <w:shd w:val="clear" w:color="auto" w:fill="FFFFFF"/>
                        <w:lang w:val="en-GB"/>
                      </w:rPr>
                    </m:ctrlPr>
                  </m:sSubPr>
                  <m:e>
                    <m:r>
                      <m:rPr>
                        <m:sty m:val="p"/>
                      </m:rPr>
                      <w:rPr>
                        <w:rFonts w:ascii="Cambria Math" w:hAnsi="Cambria Math"/>
                        <w:color w:val="000000"/>
                        <w:szCs w:val="24"/>
                        <w:bdr w:val="none" w:sz="0" w:space="0" w:color="auto" w:frame="1"/>
                        <w:shd w:val="clear" w:color="auto" w:fill="FFFFFF"/>
                      </w:rPr>
                      <m:t>G</m:t>
                    </m:r>
                  </m:e>
                  <m:sub>
                    <m:r>
                      <m:rPr>
                        <m:sty m:val="p"/>
                      </m:rPr>
                      <w:rPr>
                        <w:rFonts w:ascii="Cambria Math" w:hAnsi="Cambria Math"/>
                        <w:color w:val="000000"/>
                        <w:szCs w:val="24"/>
                        <w:bdr w:val="none" w:sz="0" w:space="0" w:color="auto" w:frame="1"/>
                        <w:shd w:val="clear" w:color="auto" w:fill="FFFFFF"/>
                      </w:rPr>
                      <m:t>sk.</m:t>
                    </m:r>
                  </m:sub>
                </m:sSub>
              </m:oMath>
              <w:r>
                <w:rPr>
                  <w:iCs/>
                  <w:color w:val="000000"/>
                  <w:bdr w:val="none" w:sz="0" w:space="0" w:color="auto" w:frame="1"/>
                  <w:shd w:val="clear" w:color="auto" w:fill="FFFFFF"/>
                </w:rPr>
                <w:t>–</w:t>
              </w:r>
              <w:r>
                <w:rPr>
                  <w:color w:val="000000"/>
                  <w:bdr w:val="none" w:sz="0" w:space="0" w:color="auto" w:frame="1"/>
                  <w:shd w:val="clear" w:color="auto" w:fill="FFFFFF"/>
                </w:rPr>
                <w:t xml:space="preserve"> atitinkamos kiaulių grupės kiaulių laikymo vietų skaičius (vnt.);</w:t>
              </w:r>
            </w:p>
            <w:p>
              <w:pPr>
                <w:ind w:left="-11" w:firstLine="629"/>
                <w:jc w:val="both"/>
                <w:textAlignment w:val="baseline"/>
                <w:rPr>
                  <w:color w:val="000000"/>
                  <w:bdr w:val="none" w:sz="0" w:space="0" w:color="auto" w:frame="1"/>
                  <w:shd w:val="clear" w:color="auto" w:fill="FFFFFF"/>
                </w:rPr>
              </w:pPr>
              <m:oMath>
                <m:sSub>
                  <m:sSubPr>
                    <m:ctrlPr>
                      <w:rPr>
                        <w:rFonts w:ascii="Cambria Math" w:hAnsi="Cambria Math"/>
                        <w:iCs/>
                        <w:color w:val="000000"/>
                        <w:szCs w:val="24"/>
                        <w:bdr w:val="none" w:sz="0" w:space="0" w:color="auto" w:frame="1"/>
                        <w:shd w:val="clear" w:color="auto" w:fill="FFFFFF"/>
                        <w:lang w:val="en-GB"/>
                      </w:rPr>
                    </m:ctrlPr>
                  </m:sSubPr>
                  <m:e>
                    <m:r>
                      <m:rPr>
                        <m:sty m:val="p"/>
                      </m:rPr>
                      <w:rPr>
                        <w:rFonts w:ascii="Cambria Math" w:hAnsi="Cambria Math"/>
                        <w:color w:val="000000"/>
                        <w:szCs w:val="24"/>
                        <w:bdr w:val="none" w:sz="0" w:space="0" w:color="auto" w:frame="1"/>
                        <w:shd w:val="clear" w:color="auto" w:fill="FFFFFF"/>
                      </w:rPr>
                      <m:t>E</m:t>
                    </m:r>
                  </m:e>
                  <m:sub>
                    <m:sSub>
                      <m:sSubPr>
                        <m:ctrlPr>
                          <w:rPr>
                            <w:rFonts w:ascii="Cambria Math" w:hAnsi="Cambria Math"/>
                            <w:iCs/>
                            <w:color w:val="000000"/>
                            <w:szCs w:val="24"/>
                            <w:bdr w:val="none" w:sz="0" w:space="0" w:color="auto" w:frame="1"/>
                            <w:shd w:val="clear" w:color="auto" w:fill="FFFFFF"/>
                            <w:lang w:val="en-GB"/>
                          </w:rPr>
                        </m:ctrlPr>
                      </m:sSubPr>
                      <m:e>
                        <m:r>
                          <m:rPr>
                            <m:sty m:val="p"/>
                          </m:rPr>
                          <w:rPr>
                            <w:rFonts w:ascii="Cambria Math" w:hAnsi="Cambria Math"/>
                            <w:color w:val="000000"/>
                            <w:szCs w:val="24"/>
                            <w:bdr w:val="none" w:sz="0" w:space="0" w:color="auto" w:frame="1"/>
                            <w:shd w:val="clear" w:color="auto" w:fill="FFFFFF"/>
                          </w:rPr>
                          <m:t>NH</m:t>
                        </m:r>
                      </m:e>
                      <m:sub>
                        <m:r>
                          <m:rPr>
                            <m:sty m:val="p"/>
                          </m:rPr>
                          <w:rPr>
                            <w:rFonts w:ascii="Cambria Math" w:hAnsi="Cambria Math"/>
                            <w:color w:val="000000"/>
                            <w:szCs w:val="24"/>
                            <w:bdr w:val="none" w:sz="0" w:space="0" w:color="auto" w:frame="1"/>
                            <w:shd w:val="clear" w:color="auto" w:fill="FFFFFF"/>
                          </w:rPr>
                          <m:t>3</m:t>
                        </m:r>
                      </m:sub>
                    </m:sSub>
                  </m:sub>
                </m:sSub>
              </m:oMath>
              <w:r>
                <w:rPr>
                  <w:color w:val="000000"/>
                  <w:bdr w:val="none" w:sz="0" w:space="0" w:color="auto" w:frame="1"/>
                  <w:shd w:val="clear" w:color="auto" w:fill="FFFFFF"/>
                </w:rPr>
                <w:t>– metinis amoniako kiekis, išsiskiriantis vienoje atitinkamos kiaulių grupės kiaulių laikymo vietoje (t/m.).</w:t>
              </w:r>
            </w:p>
          </w:sdtContent>
        </w:sdt>
        <w:sdt>
          <w:sdtPr>
            <w:alias w:val="8 pr. 10 p."/>
            <w:tag w:val="part_04c75711450d438aaa46761975a18f7f"/>
            <w:lock w:val="sdtLocked"/>
            <w:richText/>
          </w:sdtPr>
          <w:sdtContent>
            <w:p>
              <w:pPr>
                <w:ind w:left="-11" w:firstLine="567"/>
                <w:jc w:val="both"/>
                <w:textAlignment w:val="baseline"/>
                <w:rPr>
                  <w:color w:val="000000"/>
                  <w:bdr w:val="none" w:sz="0" w:space="0" w:color="auto" w:frame="1"/>
                  <w:shd w:val="clear" w:color="auto" w:fill="FFFFFF"/>
                </w:rPr>
              </w:pPr>
              <w:sdt>
                <w:sdtPr>
                  <w:alias w:val="Numeris"/>
                  <w:tag w:val="nr_04c75711450d438aaa46761975a18f7f"/>
                  <w:lock w:val="sdtLocked"/>
                  <w:richText/>
                </w:sdtPr>
                <w:sdtContent>
                  <w:r>
                    <w:rPr>
                      <w:color w:val="000000"/>
                      <w:bdr w:val="none" w:sz="0" w:space="0" w:color="auto" w:frame="1"/>
                      <w:shd w:val="clear" w:color="auto" w:fill="FFFFFF"/>
                    </w:rPr>
                    <w:t>10</w:t>
                  </w:r>
                </w:sdtContent>
              </w:sdt>
              <w:r>
                <w:rPr>
                  <w:color w:val="000000"/>
                  <w:bdr w:val="none" w:sz="0" w:space="0" w:color="auto" w:frame="1"/>
                  <w:shd w:val="clear" w:color="auto" w:fill="FFFFFF"/>
                </w:rPr>
                <w:t>. Kietųjų dalelių, išsiskiriančių vienoje atitinkamos kiaulių grupės kiaulių laikymo vietoje, kiekis, skaičiuojamas pagal formulę:</w:t>
              </w:r>
            </w:p>
            <w:p>
              <w:pPr>
                <w:ind w:left="-11" w:firstLine="567"/>
                <w:jc w:val="center"/>
                <w:textAlignment w:val="baseline"/>
                <w:rPr>
                  <w:i/>
                  <w:color w:val="000000"/>
                  <w:szCs w:val="24"/>
                  <w:bdr w:val="none" w:sz="0" w:space="0" w:color="auto" w:frame="1"/>
                  <w:shd w:val="clear" w:color="auto" w:fill="FFFFFF"/>
                </w:rPr>
              </w:pPr>
              <m:oMath>
                <m:sSub>
                  <m:sSubPr>
                    <m:ctrlPr>
                      <w:rPr>
                        <w:rFonts w:ascii="Cambria Math" w:hAnsi="Cambria Math"/>
                        <w:i/>
                        <w:color w:val="000000"/>
                        <w:szCs w:val="24"/>
                        <w:bdr w:val="none" w:sz="0" w:space="0" w:color="auto" w:frame="1"/>
                        <w:shd w:val="clear" w:color="auto" w:fill="FFFFFF"/>
                      </w:rPr>
                    </m:ctrlPr>
                  </m:sSubPr>
                  <m:e>
                    <m:r>
                      <w:rPr>
                        <w:rFonts w:ascii="Cambria Math" w:hAnsi="Cambria Math"/>
                        <w:color w:val="000000"/>
                        <w:szCs w:val="24"/>
                        <w:bdr w:val="none" w:sz="0" w:space="0" w:color="auto" w:frame="1"/>
                        <w:shd w:val="clear" w:color="auto" w:fill="FFFFFF"/>
                      </w:rPr>
                      <m:t>E</m:t>
                    </m:r>
                  </m:e>
                  <m:sub>
                    <m:r>
                      <w:rPr>
                        <w:rFonts w:ascii="Cambria Math" w:hAnsi="Cambria Math"/>
                        <w:color w:val="000000"/>
                        <w:szCs w:val="24"/>
                        <w:bdr w:val="none" w:sz="0" w:space="0" w:color="auto" w:frame="1"/>
                        <w:shd w:val="clear" w:color="auto" w:fill="FFFFFF"/>
                      </w:rPr>
                      <m:t>KD</m:t>
                    </m:r>
                  </m:sub>
                </m:sSub>
                <m:r>
                  <w:rPr>
                    <w:rFonts w:ascii="Cambria Math" w:hAnsi="Cambria Math"/>
                    <w:color w:val="000000"/>
                    <w:szCs w:val="24"/>
                    <w:bdr w:val="none" w:sz="0" w:space="0" w:color="auto" w:frame="1"/>
                    <w:shd w:val="clear" w:color="auto" w:fill="FFFFFF"/>
                  </w:rPr>
                  <m:t>=</m:t>
                </m:r>
                <m:f>
                  <m:fPr>
                    <m:ctrlPr>
                      <w:rPr>
                        <w:rFonts w:ascii="Cambria Math" w:hAnsi="Cambria Math"/>
                        <w:i/>
                        <w:color w:val="000000"/>
                        <w:szCs w:val="24"/>
                        <w:bdr w:val="none" w:sz="0" w:space="0" w:color="auto" w:frame="1"/>
                        <w:shd w:val="clear" w:color="auto" w:fill="FFFFFF"/>
                        <w:lang w:val="en-GB"/>
                      </w:rPr>
                    </m:ctrlPr>
                  </m:fPr>
                  <m:num>
                    <m:sSub>
                      <m:sSubPr>
                        <m:ctrlPr>
                          <w:rPr>
                            <w:rFonts w:ascii="Cambria Math" w:hAnsi="Cambria Math"/>
                            <w:i/>
                            <w:color w:val="000000"/>
                            <w:szCs w:val="24"/>
                            <w:bdr w:val="none" w:sz="0" w:space="0" w:color="auto" w:frame="1"/>
                            <w:shd w:val="clear" w:color="auto" w:fill="FFFFFF"/>
                            <w:lang w:val="en-GB"/>
                          </w:rPr>
                        </m:ctrlPr>
                      </m:sSubPr>
                      <m:e>
                        <m:r>
                          <w:rPr>
                            <w:rFonts w:ascii="Cambria Math" w:hAnsi="Cambria Math"/>
                            <w:color w:val="000000"/>
                            <w:szCs w:val="24"/>
                            <w:bdr w:val="none" w:sz="0" w:space="0" w:color="auto" w:frame="1"/>
                            <w:shd w:val="clear" w:color="auto" w:fill="FFFFFF"/>
                          </w:rPr>
                          <m:t>EF</m:t>
                        </m:r>
                      </m:e>
                      <m:sub>
                        <m:r>
                          <w:rPr>
                            <w:rFonts w:ascii="Cambria Math" w:hAnsi="Cambria Math"/>
                            <w:color w:val="000000"/>
                            <w:szCs w:val="24"/>
                            <w:bdr w:val="none" w:sz="0" w:space="0" w:color="auto" w:frame="1"/>
                            <w:shd w:val="clear" w:color="auto" w:fill="FFFFFF"/>
                          </w:rPr>
                          <m:t>KD</m:t>
                        </m:r>
                      </m:sub>
                    </m:sSub>
                  </m:num>
                  <m:den>
                    <m:r>
                      <w:rPr>
                        <w:rFonts w:ascii="Cambria Math" w:hAnsi="Cambria Math"/>
                        <w:color w:val="000000"/>
                        <w:szCs w:val="24"/>
                        <w:bdr w:val="none" w:sz="0" w:space="0" w:color="auto" w:frame="1"/>
                        <w:shd w:val="clear" w:color="auto" w:fill="FFFFFF"/>
                      </w:rPr>
                      <m:t>1000</m:t>
                    </m:r>
                  </m:den>
                </m:f>
              </m:oMath>
              <w:r>
                <w:rPr>
                  <w:i/>
                  <w:color w:val="000000"/>
                  <w:szCs w:val="24"/>
                  <w:bdr w:val="none" w:sz="0" w:space="0" w:color="auto" w:frame="1"/>
                  <w:shd w:val="clear" w:color="auto" w:fill="FFFFFF"/>
                </w:rPr>
                <w:t>,</w:t>
              </w:r>
            </w:p>
            <w:p>
              <w:pPr>
                <w:ind w:left="-11" w:firstLine="567"/>
                <w:jc w:val="both"/>
                <w:textAlignment w:val="baseline"/>
                <w:rPr>
                  <w:color w:val="000000"/>
                  <w:szCs w:val="24"/>
                  <w:bdr w:val="none" w:sz="0" w:space="0" w:color="auto" w:frame="1"/>
                  <w:shd w:val="clear" w:color="auto" w:fill="FFFFFF"/>
                </w:rPr>
              </w:pPr>
              <w:r>
                <w:rPr>
                  <w:color w:val="000000"/>
                  <w:szCs w:val="24"/>
                  <w:bdr w:val="none" w:sz="0" w:space="0" w:color="auto" w:frame="1"/>
                  <w:shd w:val="clear" w:color="auto" w:fill="FFFFFF"/>
                </w:rPr>
                <w:t>kur:</w:t>
              </w:r>
            </w:p>
            <w:p>
              <w:pPr>
                <w:ind w:left="-11" w:firstLine="567"/>
                <w:jc w:val="both"/>
                <w:textAlignment w:val="baseline"/>
                <w:rPr>
                  <w:color w:val="000000"/>
                  <w:bdr w:val="none" w:sz="0" w:space="0" w:color="auto" w:frame="1"/>
                  <w:shd w:val="clear" w:color="auto" w:fill="FFFFFF"/>
                </w:rPr>
              </w:pPr>
              <w:r>
                <w:rPr>
                  <w:color w:val="000000"/>
                  <w:bdr w:val="none" w:sz="0" w:space="0" w:color="auto" w:frame="1"/>
                  <w:shd w:val="clear" w:color="auto" w:fill="FFFFFF"/>
                </w:rPr>
                <w:t>E</w:t>
              </w:r>
              <w:r>
                <w:rPr>
                  <w:color w:val="000000"/>
                  <w:bdr w:val="none" w:sz="0" w:space="0" w:color="auto" w:frame="1"/>
                  <w:shd w:val="clear" w:color="auto" w:fill="FFFFFF"/>
                  <w:vertAlign w:val="subscript"/>
                </w:rPr>
                <w:t>KD</w:t>
              </w:r>
              <w:r>
                <w:rPr>
                  <w:color w:val="000000"/>
                  <w:bdr w:val="none" w:sz="0" w:space="0" w:color="auto" w:frame="1"/>
                  <w:shd w:val="clear" w:color="auto" w:fill="FFFFFF"/>
                </w:rPr>
                <w:t xml:space="preserve"> – metinis kietųjų dalelių kiekis vienoje atitinkamos kiaulių grupės kiaulių laikymo vietoje (t/m.);</w:t>
              </w:r>
            </w:p>
            <w:p>
              <w:pPr>
                <w:ind w:left="-11" w:firstLine="567"/>
                <w:jc w:val="both"/>
                <w:textAlignment w:val="baseline"/>
                <w:rPr>
                  <w:color w:val="000000"/>
                  <w:bdr w:val="none" w:sz="0" w:space="0" w:color="auto" w:frame="1"/>
                  <w:shd w:val="clear" w:color="auto" w:fill="FFFFFF"/>
                </w:rPr>
              </w:pPr>
              <w:r>
                <w:rPr>
                  <w:color w:val="000000"/>
                  <w:bdr w:val="none" w:sz="0" w:space="0" w:color="auto" w:frame="1"/>
                  <w:shd w:val="clear" w:color="auto" w:fill="FFFFFF"/>
                </w:rPr>
                <w:t>EF</w:t>
              </w:r>
              <w:r>
                <w:rPr>
                  <w:color w:val="000000"/>
                  <w:bdr w:val="none" w:sz="0" w:space="0" w:color="auto" w:frame="1"/>
                  <w:shd w:val="clear" w:color="auto" w:fill="FFFFFF"/>
                  <w:vertAlign w:val="subscript"/>
                </w:rPr>
                <w:t>KD</w:t>
              </w:r>
              <w:r>
                <w:rPr>
                  <w:color w:val="000000"/>
                  <w:bdr w:val="none" w:sz="0" w:space="0" w:color="auto" w:frame="1"/>
                  <w:shd w:val="clear" w:color="auto" w:fill="FFFFFF"/>
                </w:rPr>
                <w:t xml:space="preserve"> – </w:t>
              </w:r>
              <w:r>
                <w:rPr>
                  <w:color w:val="000000"/>
                  <w:szCs w:val="24"/>
                  <w:lang w:eastAsia="zh-CN"/>
                </w:rPr>
                <w:t>pagal EMEP metodikos 3.5 lentelės 3 skiltį</w:t>
              </w:r>
              <w:r>
                <w:rPr>
                  <w:color w:val="000000"/>
                  <w:bdr w:val="none" w:sz="0" w:space="0" w:color="auto" w:frame="1"/>
                  <w:shd w:val="clear" w:color="auto" w:fill="FFFFFF"/>
                </w:rPr>
                <w:t xml:space="preserve"> nustatomas kietųjų dalelių taršos (emisijos) faktorius (kg/vnt.). </w:t>
              </w:r>
            </w:p>
          </w:sdtContent>
        </w:sdt>
        <w:sdt>
          <w:sdtPr>
            <w:alias w:val="8 pr. 11 p."/>
            <w:tag w:val="part_ebbf16fb145a472eb644ed9477f89c10"/>
            <w:lock w:val="sdtLocked"/>
            <w:richText/>
          </w:sdtPr>
          <w:sdtContent>
            <w:p>
              <w:pPr>
                <w:ind w:left="-11" w:firstLine="567"/>
                <w:jc w:val="both"/>
                <w:textAlignment w:val="baseline"/>
                <w:rPr>
                  <w:color w:val="000000"/>
                  <w:bdr w:val="none" w:sz="0" w:space="0" w:color="auto" w:frame="1"/>
                  <w:shd w:val="clear" w:color="auto" w:fill="FFFFFF"/>
                </w:rPr>
              </w:pPr>
              <w:sdt>
                <w:sdtPr>
                  <w:alias w:val="Numeris"/>
                  <w:tag w:val="nr_ebbf16fb145a472eb644ed9477f89c10"/>
                  <w:lock w:val="sdtLocked"/>
                  <w:richText/>
                </w:sdtPr>
                <w:sdtContent>
                  <w:r>
                    <w:rPr>
                      <w:color w:val="000000"/>
                      <w:bdr w:val="none" w:sz="0" w:space="0" w:color="auto" w:frame="1"/>
                      <w:shd w:val="clear" w:color="auto" w:fill="FFFFFF"/>
                    </w:rPr>
                    <w:t>11</w:t>
                  </w:r>
                </w:sdtContent>
              </w:sdt>
              <w:r>
                <w:rPr>
                  <w:color w:val="000000"/>
                  <w:bdr w:val="none" w:sz="0" w:space="0" w:color="auto" w:frame="1"/>
                  <w:shd w:val="clear" w:color="auto" w:fill="FFFFFF"/>
                </w:rPr>
                <w:t>. Bendras per metus išsiskiriantis kietųjų dalelių kiekis skaičiuojamas pagal formulę:</w:t>
              </w:r>
            </w:p>
            <w:p>
              <w:pPr>
                <w:ind w:left="-11" w:firstLine="567"/>
                <w:jc w:val="center"/>
                <w:textAlignment w:val="baseline"/>
                <w:rPr>
                  <w:color w:val="000000"/>
                  <w:szCs w:val="24"/>
                  <w:bdr w:val="none" w:sz="0" w:space="0" w:color="auto" w:frame="1"/>
                  <w:shd w:val="clear" w:color="auto" w:fill="FFFFFF"/>
                </w:rPr>
              </w:pPr>
              <m:oMath>
                <m:sSub>
                  <m:sSubPr>
                    <m:ctrlPr>
                      <w:rPr>
                        <w:rFonts w:ascii="Cambria Math" w:hAnsi="Cambria Math"/>
                        <w:i/>
                        <w:color w:val="000000"/>
                        <w:szCs w:val="24"/>
                        <w:bdr w:val="none" w:sz="0" w:space="0" w:color="auto" w:frame="1"/>
                        <w:shd w:val="clear" w:color="auto" w:fill="FFFFFF"/>
                      </w:rPr>
                    </m:ctrlPr>
                  </m:sSubPr>
                  <m:e>
                    <m:r>
                      <w:rPr>
                        <w:rFonts w:ascii="Cambria Math" w:hAnsi="Cambria Math"/>
                        <w:color w:val="000000"/>
                        <w:szCs w:val="24"/>
                        <w:bdr w:val="none" w:sz="0" w:space="0" w:color="auto" w:frame="1"/>
                        <w:shd w:val="clear" w:color="auto" w:fill="FFFFFF"/>
                      </w:rPr>
                      <m:t>E</m:t>
                    </m:r>
                  </m:e>
                  <m:sub>
                    <m:r>
                      <w:rPr>
                        <w:rFonts w:ascii="Cambria Math" w:hAnsi="Cambria Math"/>
                        <w:color w:val="000000"/>
                        <w:szCs w:val="24"/>
                        <w:bdr w:val="none" w:sz="0" w:space="0" w:color="auto" w:frame="1"/>
                        <w:shd w:val="clear" w:color="auto" w:fill="FFFFFF"/>
                      </w:rPr>
                      <m:t>m(KD)</m:t>
                    </m:r>
                  </m:sub>
                </m:sSub>
                <m:r>
                  <w:rPr>
                    <w:rFonts w:ascii="Cambria Math" w:hAnsi="Cambria Math"/>
                    <w:color w:val="000000"/>
                    <w:szCs w:val="24"/>
                    <w:bdr w:val="none" w:sz="0" w:space="0" w:color="auto" w:frame="1"/>
                    <w:shd w:val="clear" w:color="auto" w:fill="FFFFFF"/>
                  </w:rPr>
                  <m:t>=</m:t>
                </m:r>
                <m:nary>
                  <m:naryPr>
                    <m:chr m:val="∑"/>
                    <m:limLoc m:val="undOvr"/>
                    <m:subHide m:val="1"/>
                    <m:supHide m:val="1"/>
                    <m:ctrlPr>
                      <w:rPr>
                        <w:rFonts w:ascii="Cambria Math" w:hAnsi="Cambria Math"/>
                        <w:i/>
                        <w:color w:val="000000"/>
                        <w:szCs w:val="24"/>
                        <w:bdr w:val="none" w:sz="0" w:space="0" w:color="auto" w:frame="1"/>
                        <w:shd w:val="clear" w:color="auto" w:fill="FFFFFF"/>
                        <w:lang w:val="en-GB"/>
                      </w:rPr>
                    </m:ctrlPr>
                  </m:naryPr>
                  <m:sub/>
                  <m:sup/>
                  <m:e>
                    <m:sSub>
                      <m:sSubPr>
                        <m:ctrlPr>
                          <w:rPr>
                            <w:rFonts w:ascii="Cambria Math" w:hAnsi="Cambria Math"/>
                            <w:i/>
                            <w:color w:val="000000"/>
                            <w:szCs w:val="24"/>
                            <w:bdr w:val="none" w:sz="0" w:space="0" w:color="auto" w:frame="1"/>
                            <w:shd w:val="clear" w:color="auto" w:fill="FFFFFF"/>
                            <w:lang w:val="en-GB"/>
                          </w:rPr>
                        </m:ctrlPr>
                      </m:sSubPr>
                      <m:e>
                        <m:r>
                          <w:rPr>
                            <w:rFonts w:ascii="Cambria Math" w:hAnsi="Cambria Math"/>
                            <w:color w:val="000000"/>
                            <w:szCs w:val="24"/>
                            <w:bdr w:val="none" w:sz="0" w:space="0" w:color="auto" w:frame="1"/>
                            <w:shd w:val="clear" w:color="auto" w:fill="FFFFFF"/>
                          </w:rPr>
                          <m:t>G</m:t>
                        </m:r>
                      </m:e>
                      <m:sub>
                        <m:r>
                          <w:rPr>
                            <w:rFonts w:ascii="Cambria Math" w:hAnsi="Cambria Math"/>
                            <w:color w:val="000000"/>
                            <w:szCs w:val="24"/>
                            <w:bdr w:val="none" w:sz="0" w:space="0" w:color="auto" w:frame="1"/>
                            <w:shd w:val="clear" w:color="auto" w:fill="FFFFFF"/>
                          </w:rPr>
                          <m:t>sk.</m:t>
                        </m:r>
                      </m:sub>
                    </m:sSub>
                    <m:r>
                      <w:rPr>
                        <w:rFonts w:ascii="Cambria Math" w:hAnsi="Cambria Math"/>
                        <w:color w:val="000000"/>
                        <w:szCs w:val="24"/>
                        <w:bdr w:val="none" w:sz="0" w:space="0" w:color="auto" w:frame="1"/>
                        <w:shd w:val="clear" w:color="auto" w:fill="FFFFFF"/>
                      </w:rPr>
                      <m:t>∙</m:t>
                    </m:r>
                    <m:sSub>
                      <m:sSubPr>
                        <m:ctrlPr>
                          <w:rPr>
                            <w:rFonts w:ascii="Cambria Math" w:hAnsi="Cambria Math"/>
                            <w:i/>
                            <w:color w:val="000000"/>
                            <w:szCs w:val="24"/>
                            <w:bdr w:val="none" w:sz="0" w:space="0" w:color="auto" w:frame="1"/>
                            <w:shd w:val="clear" w:color="auto" w:fill="FFFFFF"/>
                            <w:lang w:val="en-GB"/>
                          </w:rPr>
                        </m:ctrlPr>
                      </m:sSubPr>
                      <m:e>
                        <m:r>
                          <w:rPr>
                            <w:rFonts w:ascii="Cambria Math" w:hAnsi="Cambria Math"/>
                            <w:color w:val="000000"/>
                            <w:szCs w:val="24"/>
                            <w:bdr w:val="none" w:sz="0" w:space="0" w:color="auto" w:frame="1"/>
                            <w:shd w:val="clear" w:color="auto" w:fill="FFFFFF"/>
                          </w:rPr>
                          <m:t>E</m:t>
                        </m:r>
                      </m:e>
                      <m:sub>
                        <m:r>
                          <w:rPr>
                            <w:rFonts w:ascii="Cambria Math" w:hAnsi="Cambria Math"/>
                            <w:color w:val="000000"/>
                            <w:szCs w:val="24"/>
                            <w:bdr w:val="none" w:sz="0" w:space="0" w:color="auto" w:frame="1"/>
                            <w:shd w:val="clear" w:color="auto" w:fill="FFFFFF"/>
                          </w:rPr>
                          <m:t>KD</m:t>
                        </m:r>
                      </m:sub>
                    </m:sSub>
                  </m:e>
                </m:nary>
              </m:oMath>
              <w:r>
                <w:rPr>
                  <w:color w:val="000000"/>
                  <w:szCs w:val="24"/>
                  <w:bdr w:val="none" w:sz="0" w:space="0" w:color="auto" w:frame="1"/>
                  <w:shd w:val="clear" w:color="auto" w:fill="FFFFFF"/>
                </w:rPr>
                <w:t>,</w:t>
              </w:r>
            </w:p>
            <w:p>
              <w:pPr>
                <w:ind w:left="-11" w:firstLine="567"/>
                <w:jc w:val="both"/>
                <w:textAlignment w:val="baseline"/>
                <w:rPr>
                  <w:i/>
                  <w:iCs/>
                  <w:color w:val="000000"/>
                  <w:bdr w:val="none" w:sz="0" w:space="0" w:color="auto" w:frame="1"/>
                  <w:shd w:val="clear" w:color="auto" w:fill="FFFFFF"/>
                </w:rPr>
              </w:pPr>
              <w:r>
                <w:rPr>
                  <w:color w:val="000000"/>
                  <w:bdr w:val="none" w:sz="0" w:space="0" w:color="auto" w:frame="1"/>
                  <w:shd w:val="clear" w:color="auto" w:fill="FFFFFF"/>
                </w:rPr>
                <w:t>kur:</w:t>
              </w:r>
            </w:p>
            <w:p>
              <w:pPr>
                <w:ind w:left="-11" w:firstLine="629"/>
                <w:jc w:val="both"/>
                <w:textAlignment w:val="baseline"/>
                <w:rPr>
                  <w:iCs/>
                  <w:color w:val="000000"/>
                  <w:szCs w:val="24"/>
                  <w:bdr w:val="none" w:sz="0" w:space="0" w:color="auto" w:frame="1"/>
                  <w:shd w:val="clear" w:color="auto" w:fill="FFFFFF"/>
                </w:rPr>
              </w:pPr>
              <m:oMath>
                <m:sSub>
                  <m:sSubPr>
                    <m:ctrlPr>
                      <w:rPr>
                        <w:rFonts w:ascii="Cambria Math" w:hAnsi="Cambria Math"/>
                        <w:iCs/>
                        <w:color w:val="000000"/>
                        <w:szCs w:val="24"/>
                        <w:bdr w:val="none" w:sz="0" w:space="0" w:color="auto" w:frame="1"/>
                        <w:shd w:val="clear" w:color="auto" w:fill="FFFFFF"/>
                      </w:rPr>
                    </m:ctrlPr>
                  </m:sSubPr>
                  <m:e>
                    <m:r>
                      <m:rPr>
                        <m:sty m:val="p"/>
                      </m:rPr>
                      <w:rPr>
                        <w:rFonts w:ascii="Cambria Math" w:hAnsi="Cambria Math"/>
                        <w:color w:val="000000"/>
                        <w:szCs w:val="24"/>
                        <w:bdr w:val="none" w:sz="0" w:space="0" w:color="auto" w:frame="1"/>
                        <w:shd w:val="clear" w:color="auto" w:fill="FFFFFF"/>
                      </w:rPr>
                      <m:t>E</m:t>
                    </m:r>
                  </m:e>
                  <m:sub>
                    <m:r>
                      <m:rPr>
                        <m:sty m:val="p"/>
                      </m:rPr>
                      <w:rPr>
                        <w:rFonts w:ascii="Cambria Math" w:hAnsi="Cambria Math"/>
                        <w:color w:val="000000"/>
                        <w:szCs w:val="24"/>
                        <w:bdr w:val="none" w:sz="0" w:space="0" w:color="auto" w:frame="1"/>
                        <w:shd w:val="clear" w:color="auto" w:fill="FFFFFF"/>
                      </w:rPr>
                      <m:t>m(KD)</m:t>
                    </m:r>
                  </m:sub>
                </m:sSub>
              </m:oMath>
              <w:r>
                <w:rPr>
                  <w:iCs/>
                  <w:color w:val="000000"/>
                  <w:szCs w:val="24"/>
                  <w:bdr w:val="none" w:sz="0" w:space="0" w:color="auto" w:frame="1"/>
                  <w:shd w:val="clear" w:color="auto" w:fill="FFFFFF"/>
                </w:rPr>
                <w:t>– bendras per metus išsiskiriantis kietųjų dalelių kiekis (t/m.);</w:t>
              </w:r>
            </w:p>
            <w:p>
              <w:pPr>
                <w:ind w:left="-11" w:firstLine="629"/>
                <w:jc w:val="both"/>
                <w:textAlignment w:val="baseline"/>
                <w:rPr>
                  <w:iCs/>
                  <w:color w:val="000000"/>
                  <w:bdr w:val="none" w:sz="0" w:space="0" w:color="auto" w:frame="1"/>
                  <w:shd w:val="clear" w:color="auto" w:fill="FFFFFF"/>
                </w:rPr>
              </w:pPr>
              <m:oMath>
                <m:sSub>
                  <m:sSubPr>
                    <m:ctrlPr>
                      <w:rPr>
                        <w:rFonts w:ascii="Cambria Math" w:hAnsi="Cambria Math"/>
                        <w:iCs/>
                        <w:color w:val="000000"/>
                        <w:szCs w:val="24"/>
                        <w:bdr w:val="none" w:sz="0" w:space="0" w:color="auto" w:frame="1"/>
                        <w:shd w:val="clear" w:color="auto" w:fill="FFFFFF"/>
                        <w:lang w:val="en-GB"/>
                      </w:rPr>
                    </m:ctrlPr>
                  </m:sSubPr>
                  <m:e>
                    <m:r>
                      <m:rPr>
                        <m:sty m:val="p"/>
                      </m:rPr>
                      <w:rPr>
                        <w:rFonts w:ascii="Cambria Math" w:hAnsi="Cambria Math"/>
                        <w:color w:val="000000"/>
                        <w:szCs w:val="24"/>
                        <w:bdr w:val="none" w:sz="0" w:space="0" w:color="auto" w:frame="1"/>
                        <w:shd w:val="clear" w:color="auto" w:fill="FFFFFF"/>
                      </w:rPr>
                      <m:t>G</m:t>
                    </m:r>
                  </m:e>
                  <m:sub>
                    <m:r>
                      <m:rPr>
                        <m:sty m:val="p"/>
                      </m:rPr>
                      <w:rPr>
                        <w:rFonts w:ascii="Cambria Math" w:hAnsi="Cambria Math"/>
                        <w:color w:val="000000"/>
                        <w:szCs w:val="24"/>
                        <w:bdr w:val="none" w:sz="0" w:space="0" w:color="auto" w:frame="1"/>
                        <w:shd w:val="clear" w:color="auto" w:fill="FFFFFF"/>
                      </w:rPr>
                      <m:t>sk.</m:t>
                    </m:r>
                  </m:sub>
                </m:sSub>
              </m:oMath>
              <w:r>
                <w:rPr>
                  <w:iCs/>
                  <w:color w:val="000000"/>
                  <w:bdr w:val="none" w:sz="0" w:space="0" w:color="auto" w:frame="1"/>
                  <w:shd w:val="clear" w:color="auto" w:fill="FFFFFF"/>
                </w:rPr>
                <w:t>– atitinkamos kiaulių grupės kiaulių laikymo vietų skaičius (vnt.);</w:t>
              </w:r>
            </w:p>
            <w:p>
              <w:pPr>
                <w:ind w:left="-11" w:firstLine="629"/>
                <w:jc w:val="both"/>
                <w:textAlignment w:val="baseline"/>
                <w:rPr>
                  <w:iCs/>
                  <w:color w:val="000000"/>
                  <w:bdr w:val="none" w:sz="0" w:space="0" w:color="auto" w:frame="1"/>
                  <w:shd w:val="clear" w:color="auto" w:fill="FFFFFF"/>
                </w:rPr>
              </w:pPr>
              <m:oMath>
                <m:sSub>
                  <m:sSubPr>
                    <m:ctrlPr>
                      <w:rPr>
                        <w:rFonts w:ascii="Cambria Math" w:hAnsi="Cambria Math"/>
                        <w:iCs/>
                        <w:color w:val="000000"/>
                        <w:szCs w:val="24"/>
                        <w:bdr w:val="none" w:sz="0" w:space="0" w:color="auto" w:frame="1"/>
                        <w:shd w:val="clear" w:color="auto" w:fill="FFFFFF"/>
                        <w:lang w:val="en-GB"/>
                      </w:rPr>
                    </m:ctrlPr>
                  </m:sSubPr>
                  <m:e>
                    <m:r>
                      <m:rPr>
                        <m:sty m:val="p"/>
                      </m:rPr>
                      <w:rPr>
                        <w:rFonts w:ascii="Cambria Math" w:hAnsi="Cambria Math"/>
                        <w:color w:val="000000"/>
                        <w:szCs w:val="24"/>
                        <w:bdr w:val="none" w:sz="0" w:space="0" w:color="auto" w:frame="1"/>
                        <w:shd w:val="clear" w:color="auto" w:fill="FFFFFF"/>
                      </w:rPr>
                      <m:t>E</m:t>
                    </m:r>
                  </m:e>
                  <m:sub>
                    <m:r>
                      <m:rPr>
                        <m:sty m:val="p"/>
                      </m:rPr>
                      <w:rPr>
                        <w:rFonts w:ascii="Cambria Math" w:hAnsi="Cambria Math"/>
                        <w:color w:val="000000"/>
                        <w:szCs w:val="24"/>
                        <w:bdr w:val="none" w:sz="0" w:space="0" w:color="auto" w:frame="1"/>
                        <w:shd w:val="clear" w:color="auto" w:fill="FFFFFF"/>
                      </w:rPr>
                      <m:t>KD</m:t>
                    </m:r>
                  </m:sub>
                </m:sSub>
              </m:oMath>
              <w:r>
                <w:rPr>
                  <w:iCs/>
                  <w:color w:val="000000"/>
                  <w:bdr w:val="none" w:sz="0" w:space="0" w:color="auto" w:frame="1"/>
                  <w:shd w:val="clear" w:color="auto" w:fill="FFFFFF"/>
                </w:rPr>
                <w:t>– kietųjų dalelių, išsiskiriančių vienoje atitinkamos kiaulių grupės kiaulių laikymo vietoje, kiekis (t/m.).</w:t>
              </w:r>
            </w:p>
          </w:sdtContent>
        </w:sdt>
        <w:sdt>
          <w:sdtPr>
            <w:alias w:val="8 pr. 12 p."/>
            <w:tag w:val="part_049b96aac9a3403d88a585ac49136034"/>
            <w:lock w:val="sdtLocked"/>
            <w:richText/>
          </w:sdtPr>
          <w:sdtContent>
            <w:p>
              <w:pPr>
                <w:ind w:left="-11" w:firstLine="567"/>
                <w:jc w:val="both"/>
                <w:textAlignment w:val="baseline"/>
                <w:rPr>
                  <w:color w:val="000000"/>
                  <w:bdr w:val="none" w:sz="0" w:space="0" w:color="auto" w:frame="1"/>
                  <w:shd w:val="clear" w:color="auto" w:fill="FFFFFF"/>
                </w:rPr>
              </w:pPr>
              <w:sdt>
                <w:sdtPr>
                  <w:alias w:val="Numeris"/>
                  <w:tag w:val="nr_049b96aac9a3403d88a585ac49136034"/>
                  <w:lock w:val="sdtLocked"/>
                  <w:richText/>
                </w:sdtPr>
                <w:sdtContent>
                  <w:r>
                    <w:rPr>
                      <w:iCs/>
                      <w:color w:val="000000"/>
                      <w:bdr w:val="none" w:sz="0" w:space="0" w:color="auto" w:frame="1"/>
                      <w:shd w:val="clear" w:color="auto" w:fill="FFFFFF"/>
                    </w:rPr>
                    <w:t>12</w:t>
                  </w:r>
                </w:sdtContent>
              </w:sdt>
              <w:r>
                <w:rPr>
                  <w:iCs/>
                  <w:color w:val="000000"/>
                  <w:bdr w:val="none" w:sz="0" w:space="0" w:color="auto" w:frame="1"/>
                  <w:shd w:val="clear" w:color="auto" w:fill="FFFFFF"/>
                </w:rPr>
                <w:t>. Lakiųjų organinių</w:t>
              </w:r>
              <w:r>
                <w:rPr>
                  <w:color w:val="000000"/>
                  <w:bdr w:val="none" w:sz="0" w:space="0" w:color="auto" w:frame="1"/>
                  <w:shd w:val="clear" w:color="auto" w:fill="FFFFFF"/>
                </w:rPr>
                <w:t xml:space="preserve"> junginių, išsiskiriančių vienoje atitinkamos kiaulių grupės kiaulių laikymo vietoje, kiekis skaičiuojamas pagal formulę:</w:t>
              </w:r>
            </w:p>
            <w:p>
              <w:pPr>
                <w:ind w:left="-11" w:firstLine="567"/>
                <w:jc w:val="center"/>
                <w:textAlignment w:val="baseline"/>
                <w:rPr>
                  <w:i/>
                  <w:color w:val="000000"/>
                  <w:szCs w:val="24"/>
                  <w:bdr w:val="none" w:sz="0" w:space="0" w:color="auto" w:frame="1"/>
                  <w:shd w:val="clear" w:color="auto" w:fill="FFFFFF"/>
                </w:rPr>
              </w:pPr>
              <m:oMath>
                <m:sSub>
                  <m:sSubPr>
                    <m:ctrlPr>
                      <w:rPr>
                        <w:rFonts w:ascii="Cambria Math" w:hAnsi="Cambria Math"/>
                        <w:i/>
                        <w:color w:val="000000"/>
                        <w:szCs w:val="24"/>
                        <w:bdr w:val="none" w:sz="0" w:space="0" w:color="auto" w:frame="1"/>
                        <w:shd w:val="clear" w:color="auto" w:fill="FFFFFF"/>
                      </w:rPr>
                    </m:ctrlPr>
                  </m:sSubPr>
                  <m:e>
                    <m:r>
                      <w:rPr>
                        <w:rFonts w:ascii="Cambria Math" w:hAnsi="Cambria Math"/>
                        <w:color w:val="000000"/>
                        <w:szCs w:val="24"/>
                        <w:bdr w:val="none" w:sz="0" w:space="0" w:color="auto" w:frame="1"/>
                        <w:shd w:val="clear" w:color="auto" w:fill="FFFFFF"/>
                      </w:rPr>
                      <m:t>E</m:t>
                    </m:r>
                  </m:e>
                  <m:sub>
                    <m:r>
                      <w:rPr>
                        <w:rFonts w:ascii="Cambria Math" w:hAnsi="Cambria Math"/>
                        <w:color w:val="000000"/>
                        <w:szCs w:val="24"/>
                        <w:bdr w:val="none" w:sz="0" w:space="0" w:color="auto" w:frame="1"/>
                        <w:shd w:val="clear" w:color="auto" w:fill="FFFFFF"/>
                      </w:rPr>
                      <m:t>LOJ</m:t>
                    </m:r>
                  </m:sub>
                </m:sSub>
                <m:r>
                  <w:rPr>
                    <w:rFonts w:ascii="Cambria Math" w:hAnsi="Cambria Math"/>
                    <w:color w:val="000000"/>
                    <w:szCs w:val="24"/>
                    <w:bdr w:val="none" w:sz="0" w:space="0" w:color="auto" w:frame="1"/>
                    <w:shd w:val="clear" w:color="auto" w:fill="FFFFFF"/>
                  </w:rPr>
                  <m:t>=</m:t>
                </m:r>
                <m:f>
                  <m:fPr>
                    <m:ctrlPr>
                      <w:rPr>
                        <w:rFonts w:ascii="Cambria Math" w:hAnsi="Cambria Math"/>
                        <w:i/>
                        <w:color w:val="000000"/>
                        <w:szCs w:val="24"/>
                        <w:bdr w:val="none" w:sz="0" w:space="0" w:color="auto" w:frame="1"/>
                        <w:shd w:val="clear" w:color="auto" w:fill="FFFFFF"/>
                        <w:lang w:val="en-GB"/>
                      </w:rPr>
                    </m:ctrlPr>
                  </m:fPr>
                  <m:num>
                    <m:sSub>
                      <m:sSubPr>
                        <m:ctrlPr>
                          <w:rPr>
                            <w:rFonts w:ascii="Cambria Math" w:hAnsi="Cambria Math"/>
                            <w:i/>
                            <w:color w:val="000000"/>
                            <w:szCs w:val="24"/>
                            <w:bdr w:val="none" w:sz="0" w:space="0" w:color="auto" w:frame="1"/>
                            <w:shd w:val="clear" w:color="auto" w:fill="FFFFFF"/>
                            <w:lang w:val="en-GB"/>
                          </w:rPr>
                        </m:ctrlPr>
                      </m:sSubPr>
                      <m:e>
                        <m:r>
                          <w:rPr>
                            <w:rFonts w:ascii="Cambria Math" w:hAnsi="Cambria Math"/>
                            <w:color w:val="000000"/>
                            <w:szCs w:val="24"/>
                            <w:bdr w:val="none" w:sz="0" w:space="0" w:color="auto" w:frame="1"/>
                            <w:shd w:val="clear" w:color="auto" w:fill="FFFFFF"/>
                          </w:rPr>
                          <m:t>EF</m:t>
                        </m:r>
                      </m:e>
                      <m:sub>
                        <m:r>
                          <w:rPr>
                            <w:rFonts w:ascii="Cambria Math" w:hAnsi="Cambria Math"/>
                            <w:color w:val="000000"/>
                            <w:szCs w:val="24"/>
                            <w:bdr w:val="none" w:sz="0" w:space="0" w:color="auto" w:frame="1"/>
                            <w:shd w:val="clear" w:color="auto" w:fill="FFFFFF"/>
                          </w:rPr>
                          <m:t>LOJ</m:t>
                        </m:r>
                      </m:sub>
                    </m:sSub>
                  </m:num>
                  <m:den>
                    <m:r>
                      <w:rPr>
                        <w:rFonts w:ascii="Cambria Math" w:hAnsi="Cambria Math"/>
                        <w:color w:val="000000"/>
                        <w:szCs w:val="24"/>
                        <w:bdr w:val="none" w:sz="0" w:space="0" w:color="auto" w:frame="1"/>
                        <w:shd w:val="clear" w:color="auto" w:fill="FFFFFF"/>
                      </w:rPr>
                      <m:t>1000</m:t>
                    </m:r>
                  </m:den>
                </m:f>
              </m:oMath>
              <w:r>
                <w:rPr>
                  <w:i/>
                  <w:color w:val="000000"/>
                  <w:szCs w:val="24"/>
                  <w:bdr w:val="none" w:sz="0" w:space="0" w:color="auto" w:frame="1"/>
                  <w:shd w:val="clear" w:color="auto" w:fill="FFFFFF"/>
                </w:rPr>
                <w:t>,</w:t>
              </w:r>
            </w:p>
            <w:p>
              <w:pPr>
                <w:ind w:left="-11" w:firstLine="567"/>
                <w:jc w:val="both"/>
                <w:textAlignment w:val="baseline"/>
                <w:rPr>
                  <w:color w:val="000000"/>
                  <w:szCs w:val="24"/>
                  <w:bdr w:val="none" w:sz="0" w:space="0" w:color="auto" w:frame="1"/>
                  <w:shd w:val="clear" w:color="auto" w:fill="FFFFFF"/>
                </w:rPr>
              </w:pPr>
            </w:p>
            <w:p>
              <w:pPr>
                <w:ind w:left="-11" w:firstLine="567"/>
                <w:jc w:val="both"/>
                <w:textAlignment w:val="baseline"/>
                <w:rPr>
                  <w:color w:val="000000"/>
                  <w:szCs w:val="24"/>
                  <w:bdr w:val="none" w:sz="0" w:space="0" w:color="auto" w:frame="1"/>
                  <w:shd w:val="clear" w:color="auto" w:fill="FFFFFF"/>
                </w:rPr>
              </w:pPr>
              <w:r>
                <w:rPr>
                  <w:color w:val="000000"/>
                  <w:szCs w:val="24"/>
                  <w:bdr w:val="none" w:sz="0" w:space="0" w:color="auto" w:frame="1"/>
                  <w:shd w:val="clear" w:color="auto" w:fill="FFFFFF"/>
                </w:rPr>
                <w:t>kur:</w:t>
              </w:r>
            </w:p>
            <w:p>
              <w:pPr>
                <w:ind w:left="-11" w:firstLine="567"/>
                <w:jc w:val="both"/>
                <w:textAlignment w:val="baseline"/>
                <w:rPr>
                  <w:color w:val="000000"/>
                  <w:bdr w:val="none" w:sz="0" w:space="0" w:color="auto" w:frame="1"/>
                  <w:shd w:val="clear" w:color="auto" w:fill="FFFFFF"/>
                </w:rPr>
              </w:pPr>
              <w:r>
                <w:rPr>
                  <w:color w:val="000000"/>
                  <w:bdr w:val="none" w:sz="0" w:space="0" w:color="auto" w:frame="1"/>
                  <w:shd w:val="clear" w:color="auto" w:fill="FFFFFF"/>
                </w:rPr>
                <w:t>E</w:t>
              </w:r>
              <w:r>
                <w:rPr>
                  <w:color w:val="000000"/>
                  <w:bdr w:val="none" w:sz="0" w:space="0" w:color="auto" w:frame="1"/>
                  <w:shd w:val="clear" w:color="auto" w:fill="FFFFFF"/>
                  <w:vertAlign w:val="subscript"/>
                </w:rPr>
                <w:t>LOJ</w:t>
              </w:r>
              <w:r>
                <w:rPr>
                  <w:color w:val="000000"/>
                  <w:bdr w:val="none" w:sz="0" w:space="0" w:color="auto" w:frame="1"/>
                  <w:shd w:val="clear" w:color="auto" w:fill="FFFFFF"/>
                </w:rPr>
                <w:t xml:space="preserve"> – metinis lakiųjų organinių junginių kiekis vienoje atitinkamos kiaulių grupės kiaulių laikymo vietoje (t/m.);</w:t>
              </w:r>
            </w:p>
            <w:p>
              <w:pPr>
                <w:ind w:left="-11" w:firstLine="567"/>
                <w:jc w:val="both"/>
                <w:textAlignment w:val="baseline"/>
                <w:rPr>
                  <w:color w:val="000000"/>
                  <w:szCs w:val="24"/>
                  <w:bdr w:val="none" w:sz="0" w:space="0" w:color="auto" w:frame="1"/>
                  <w:shd w:val="clear" w:color="auto" w:fill="FFFFFF"/>
                </w:rPr>
              </w:pPr>
              <w:r>
                <w:rPr>
                  <w:color w:val="000000"/>
                  <w:bdr w:val="none" w:sz="0" w:space="0" w:color="auto" w:frame="1"/>
                  <w:shd w:val="clear" w:color="auto" w:fill="FFFFFF"/>
                </w:rPr>
                <w:t>EF</w:t>
              </w:r>
              <w:r>
                <w:rPr>
                  <w:color w:val="000000"/>
                  <w:bdr w:val="none" w:sz="0" w:space="0" w:color="auto" w:frame="1"/>
                  <w:shd w:val="clear" w:color="auto" w:fill="FFFFFF"/>
                  <w:vertAlign w:val="subscript"/>
                </w:rPr>
                <w:t>LOJ</w:t>
              </w:r>
              <w:r>
                <w:rPr>
                  <w:color w:val="000000"/>
                  <w:bdr w:val="none" w:sz="0" w:space="0" w:color="auto" w:frame="1"/>
                  <w:shd w:val="clear" w:color="auto" w:fill="FFFFFF"/>
                </w:rPr>
                <w:t xml:space="preserve"> – </w:t>
              </w:r>
              <w:r>
                <w:rPr>
                  <w:color w:val="000000"/>
                </w:rPr>
                <w:t>pagal EMEP metodikos 3.12 lentelės 4 grafą</w:t>
              </w:r>
              <w:r>
                <w:rPr>
                  <w:color w:val="000000"/>
                  <w:bdr w:val="none" w:sz="0" w:space="0" w:color="auto" w:frame="1"/>
                  <w:shd w:val="clear" w:color="auto" w:fill="FFFFFF"/>
                </w:rPr>
                <w:t xml:space="preserve"> nustatomas lakiųjų organinių junginių taršos (emisijos)</w:t>
              </w:r>
              <w:r>
                <w:rPr>
                  <w:color w:val="000000"/>
                </w:rPr>
                <w:t xml:space="preserve"> faktorius (kg/vnt.). </w:t>
              </w:r>
            </w:p>
          </w:sdtContent>
        </w:sdt>
        <w:sdt>
          <w:sdtPr>
            <w:alias w:val="8 pr. 13 p."/>
            <w:tag w:val="part_5ba97f3b74dd4df3a1078ee0059f28f9"/>
            <w:lock w:val="sdtLocked"/>
            <w:richText/>
          </w:sdtPr>
          <w:sdtContent>
            <w:p>
              <w:pPr>
                <w:ind w:left="-11" w:firstLine="567"/>
                <w:jc w:val="both"/>
                <w:textAlignment w:val="baseline"/>
                <w:rPr>
                  <w:color w:val="000000"/>
                  <w:bdr w:val="none" w:sz="0" w:space="0" w:color="auto" w:frame="1"/>
                  <w:shd w:val="clear" w:color="auto" w:fill="FFFFFF"/>
                </w:rPr>
              </w:pPr>
              <w:sdt>
                <w:sdtPr>
                  <w:alias w:val="Numeris"/>
                  <w:tag w:val="nr_5ba97f3b74dd4df3a1078ee0059f28f9"/>
                  <w:lock w:val="sdtLocked"/>
                  <w:richText/>
                </w:sdtPr>
                <w:sdtContent>
                  <w:r>
                    <w:rPr>
                      <w:color w:val="000000"/>
                      <w:bdr w:val="none" w:sz="0" w:space="0" w:color="auto" w:frame="1"/>
                      <w:shd w:val="clear" w:color="auto" w:fill="FFFFFF"/>
                    </w:rPr>
                    <w:t>13</w:t>
                  </w:r>
                </w:sdtContent>
              </w:sdt>
              <w:r>
                <w:rPr>
                  <w:color w:val="000000"/>
                  <w:bdr w:val="none" w:sz="0" w:space="0" w:color="auto" w:frame="1"/>
                  <w:shd w:val="clear" w:color="auto" w:fill="FFFFFF"/>
                </w:rPr>
                <w:t>. Bendras per metus išsiskiriantis lakiųjų organinių junginių kiekis skaičiuojamas pagal formulę:</w:t>
              </w:r>
            </w:p>
            <w:p>
              <w:pPr>
                <w:ind w:left="-11" w:firstLine="567"/>
                <w:jc w:val="center"/>
                <w:textAlignment w:val="baseline"/>
                <w:rPr>
                  <w:color w:val="000000"/>
                  <w:szCs w:val="24"/>
                  <w:bdr w:val="none" w:sz="0" w:space="0" w:color="auto" w:frame="1"/>
                  <w:shd w:val="clear" w:color="auto" w:fill="FFFFFF"/>
                </w:rPr>
              </w:pPr>
              <m:oMath>
                <m:sSub>
                  <m:sSubPr>
                    <m:ctrlPr>
                      <w:rPr>
                        <w:rFonts w:ascii="Cambria Math" w:hAnsi="Cambria Math"/>
                        <w:i/>
                        <w:color w:val="000000"/>
                        <w:szCs w:val="24"/>
                        <w:bdr w:val="none" w:sz="0" w:space="0" w:color="auto" w:frame="1"/>
                        <w:shd w:val="clear" w:color="auto" w:fill="FFFFFF"/>
                      </w:rPr>
                    </m:ctrlPr>
                  </m:sSubPr>
                  <m:e>
                    <m:r>
                      <w:rPr>
                        <w:rFonts w:ascii="Cambria Math" w:hAnsi="Cambria Math"/>
                        <w:color w:val="000000"/>
                        <w:szCs w:val="24"/>
                        <w:bdr w:val="none" w:sz="0" w:space="0" w:color="auto" w:frame="1"/>
                        <w:shd w:val="clear" w:color="auto" w:fill="FFFFFF"/>
                      </w:rPr>
                      <m:t>E</m:t>
                    </m:r>
                  </m:e>
                  <m:sub>
                    <m:r>
                      <w:rPr>
                        <w:rFonts w:ascii="Cambria Math" w:hAnsi="Cambria Math"/>
                        <w:color w:val="000000"/>
                        <w:szCs w:val="24"/>
                        <w:bdr w:val="none" w:sz="0" w:space="0" w:color="auto" w:frame="1"/>
                        <w:shd w:val="clear" w:color="auto" w:fill="FFFFFF"/>
                      </w:rPr>
                      <m:t>m(LOJ)</m:t>
                    </m:r>
                  </m:sub>
                </m:sSub>
                <m:r>
                  <w:rPr>
                    <w:rFonts w:ascii="Cambria Math" w:hAnsi="Cambria Math"/>
                    <w:color w:val="000000"/>
                    <w:szCs w:val="24"/>
                    <w:bdr w:val="none" w:sz="0" w:space="0" w:color="auto" w:frame="1"/>
                    <w:shd w:val="clear" w:color="auto" w:fill="FFFFFF"/>
                  </w:rPr>
                  <m:t>=</m:t>
                </m:r>
                <m:nary>
                  <m:naryPr>
                    <m:chr m:val="∑"/>
                    <m:limLoc m:val="undOvr"/>
                    <m:subHide m:val="1"/>
                    <m:supHide m:val="1"/>
                    <m:ctrlPr>
                      <w:rPr>
                        <w:rFonts w:ascii="Cambria Math" w:hAnsi="Cambria Math"/>
                        <w:i/>
                        <w:color w:val="000000"/>
                        <w:szCs w:val="24"/>
                        <w:bdr w:val="none" w:sz="0" w:space="0" w:color="auto" w:frame="1"/>
                        <w:shd w:val="clear" w:color="auto" w:fill="FFFFFF"/>
                        <w:lang w:val="en-GB"/>
                      </w:rPr>
                    </m:ctrlPr>
                  </m:naryPr>
                  <m:sub/>
                  <m:sup/>
                  <m:e>
                    <m:sSub>
                      <m:sSubPr>
                        <m:ctrlPr>
                          <w:rPr>
                            <w:rFonts w:ascii="Cambria Math" w:hAnsi="Cambria Math"/>
                            <w:i/>
                            <w:color w:val="000000"/>
                            <w:szCs w:val="24"/>
                            <w:bdr w:val="none" w:sz="0" w:space="0" w:color="auto" w:frame="1"/>
                            <w:shd w:val="clear" w:color="auto" w:fill="FFFFFF"/>
                            <w:lang w:val="en-GB"/>
                          </w:rPr>
                        </m:ctrlPr>
                      </m:sSubPr>
                      <m:e>
                        <m:r>
                          <w:rPr>
                            <w:rFonts w:ascii="Cambria Math" w:hAnsi="Cambria Math"/>
                            <w:color w:val="000000"/>
                            <w:szCs w:val="24"/>
                            <w:bdr w:val="none" w:sz="0" w:space="0" w:color="auto" w:frame="1"/>
                            <w:shd w:val="clear" w:color="auto" w:fill="FFFFFF"/>
                          </w:rPr>
                          <m:t>G</m:t>
                        </m:r>
                      </m:e>
                      <m:sub>
                        <m:r>
                          <w:rPr>
                            <w:rFonts w:ascii="Cambria Math" w:hAnsi="Cambria Math"/>
                            <w:color w:val="000000"/>
                            <w:szCs w:val="24"/>
                            <w:bdr w:val="none" w:sz="0" w:space="0" w:color="auto" w:frame="1"/>
                            <w:shd w:val="clear" w:color="auto" w:fill="FFFFFF"/>
                          </w:rPr>
                          <m:t>sk.</m:t>
                        </m:r>
                      </m:sub>
                    </m:sSub>
                    <m:r>
                      <w:rPr>
                        <w:rFonts w:ascii="Cambria Math" w:hAnsi="Cambria Math"/>
                        <w:color w:val="000000"/>
                        <w:szCs w:val="24"/>
                        <w:bdr w:val="none" w:sz="0" w:space="0" w:color="auto" w:frame="1"/>
                        <w:shd w:val="clear" w:color="auto" w:fill="FFFFFF"/>
                      </w:rPr>
                      <m:t>∙</m:t>
                    </m:r>
                    <m:sSub>
                      <m:sSubPr>
                        <m:ctrlPr>
                          <w:rPr>
                            <w:rFonts w:ascii="Cambria Math" w:hAnsi="Cambria Math"/>
                            <w:i/>
                            <w:color w:val="000000"/>
                            <w:szCs w:val="24"/>
                            <w:bdr w:val="none" w:sz="0" w:space="0" w:color="auto" w:frame="1"/>
                            <w:shd w:val="clear" w:color="auto" w:fill="FFFFFF"/>
                            <w:lang w:val="en-GB"/>
                          </w:rPr>
                        </m:ctrlPr>
                      </m:sSubPr>
                      <m:e>
                        <m:r>
                          <w:rPr>
                            <w:rFonts w:ascii="Cambria Math" w:hAnsi="Cambria Math"/>
                            <w:color w:val="000000"/>
                            <w:szCs w:val="24"/>
                            <w:bdr w:val="none" w:sz="0" w:space="0" w:color="auto" w:frame="1"/>
                            <w:shd w:val="clear" w:color="auto" w:fill="FFFFFF"/>
                          </w:rPr>
                          <m:t>E</m:t>
                        </m:r>
                      </m:e>
                      <m:sub>
                        <m:r>
                          <w:rPr>
                            <w:rFonts w:ascii="Cambria Math" w:hAnsi="Cambria Math"/>
                            <w:color w:val="000000"/>
                            <w:szCs w:val="24"/>
                            <w:bdr w:val="none" w:sz="0" w:space="0" w:color="auto" w:frame="1"/>
                            <w:shd w:val="clear" w:color="auto" w:fill="FFFFFF"/>
                          </w:rPr>
                          <m:t>LOJ</m:t>
                        </m:r>
                      </m:sub>
                    </m:sSub>
                  </m:e>
                </m:nary>
              </m:oMath>
              <w:r>
                <w:rPr>
                  <w:color w:val="000000"/>
                  <w:szCs w:val="24"/>
                  <w:bdr w:val="none" w:sz="0" w:space="0" w:color="auto" w:frame="1"/>
                  <w:shd w:val="clear" w:color="auto" w:fill="FFFFFF"/>
                </w:rPr>
                <w:t>,</w:t>
              </w:r>
            </w:p>
            <w:p>
              <w:pPr>
                <w:ind w:left="-11" w:firstLine="567"/>
                <w:jc w:val="both"/>
                <w:textAlignment w:val="baseline"/>
                <w:rPr>
                  <w:color w:val="000000"/>
                  <w:bdr w:val="none" w:sz="0" w:space="0" w:color="auto" w:frame="1"/>
                  <w:shd w:val="clear" w:color="auto" w:fill="FFFFFF"/>
                </w:rPr>
              </w:pPr>
              <w:r>
                <w:rPr>
                  <w:color w:val="000000"/>
                  <w:bdr w:val="none" w:sz="0" w:space="0" w:color="auto" w:frame="1"/>
                  <w:shd w:val="clear" w:color="auto" w:fill="FFFFFF"/>
                </w:rPr>
                <w:t>kur:</w:t>
              </w:r>
            </w:p>
            <w:p>
              <w:pPr>
                <w:ind w:left="-11" w:firstLine="629"/>
                <w:jc w:val="both"/>
                <w:textAlignment w:val="baseline"/>
                <w:rPr>
                  <w:color w:val="000000"/>
                  <w:szCs w:val="24"/>
                  <w:bdr w:val="none" w:sz="0" w:space="0" w:color="auto" w:frame="1"/>
                  <w:shd w:val="clear" w:color="auto" w:fill="FFFFFF"/>
                </w:rPr>
              </w:pPr>
              <m:oMath>
                <m:sSub>
                  <m:sSubPr>
                    <m:ctrlPr>
                      <w:rPr>
                        <w:rFonts w:ascii="Cambria Math" w:hAnsi="Cambria Math"/>
                        <w:color w:val="000000"/>
                        <w:szCs w:val="24"/>
                        <w:bdr w:val="none" w:sz="0" w:space="0" w:color="auto" w:frame="1"/>
                        <w:shd w:val="clear" w:color="auto" w:fill="FFFFFF"/>
                      </w:rPr>
                    </m:ctrlPr>
                  </m:sSubPr>
                  <m:e>
                    <m:r>
                      <m:rPr>
                        <m:sty m:val="p"/>
                      </m:rPr>
                      <w:rPr>
                        <w:rFonts w:ascii="Cambria Math" w:hAnsi="Cambria Math"/>
                        <w:color w:val="000000"/>
                        <w:szCs w:val="24"/>
                        <w:bdr w:val="none" w:sz="0" w:space="0" w:color="auto" w:frame="1"/>
                        <w:shd w:val="clear" w:color="auto" w:fill="FFFFFF"/>
                      </w:rPr>
                      <m:t>E</m:t>
                    </m:r>
                  </m:e>
                  <m:sub>
                    <m:r>
                      <m:rPr>
                        <m:sty m:val="p"/>
                      </m:rPr>
                      <w:rPr>
                        <w:rFonts w:ascii="Cambria Math" w:hAnsi="Cambria Math"/>
                        <w:color w:val="000000"/>
                        <w:szCs w:val="24"/>
                        <w:bdr w:val="none" w:sz="0" w:space="0" w:color="auto" w:frame="1"/>
                        <w:shd w:val="clear" w:color="auto" w:fill="FFFFFF"/>
                      </w:rPr>
                      <m:t>m(LOJ)</m:t>
                    </m:r>
                  </m:sub>
                </m:sSub>
              </m:oMath>
              <w:r>
                <w:rPr>
                  <w:color w:val="000000"/>
                  <w:szCs w:val="24"/>
                  <w:bdr w:val="none" w:sz="0" w:space="0" w:color="auto" w:frame="1"/>
                  <w:shd w:val="clear" w:color="auto" w:fill="FFFFFF"/>
                </w:rPr>
                <w:t>– bendras per metus išsiskiriantis lakiųjų organinių junginių kiekis (t/m.);</w:t>
              </w:r>
            </w:p>
            <w:p>
              <w:pPr>
                <w:ind w:left="-11" w:firstLine="629"/>
                <w:jc w:val="both"/>
                <w:textAlignment w:val="baseline"/>
                <w:rPr>
                  <w:color w:val="000000"/>
                  <w:bdr w:val="none" w:sz="0" w:space="0" w:color="auto" w:frame="1"/>
                  <w:shd w:val="clear" w:color="auto" w:fill="FFFFFF"/>
                </w:rPr>
              </w:pPr>
              <m:oMath>
                <m:sSub>
                  <m:sSubPr>
                    <m:ctrlPr>
                      <w:rPr>
                        <w:rFonts w:ascii="Cambria Math" w:hAnsi="Cambria Math"/>
                        <w:color w:val="000000"/>
                        <w:szCs w:val="24"/>
                        <w:bdr w:val="none" w:sz="0" w:space="0" w:color="auto" w:frame="1"/>
                        <w:shd w:val="clear" w:color="auto" w:fill="FFFFFF"/>
                        <w:lang w:val="en-GB"/>
                      </w:rPr>
                    </m:ctrlPr>
                  </m:sSubPr>
                  <m:e>
                    <m:r>
                      <m:rPr>
                        <m:sty m:val="p"/>
                      </m:rPr>
                      <w:rPr>
                        <w:rFonts w:ascii="Cambria Math" w:hAnsi="Cambria Math"/>
                        <w:color w:val="000000"/>
                        <w:szCs w:val="24"/>
                        <w:bdr w:val="none" w:sz="0" w:space="0" w:color="auto" w:frame="1"/>
                        <w:shd w:val="clear" w:color="auto" w:fill="FFFFFF"/>
                      </w:rPr>
                      <m:t>G</m:t>
                    </m:r>
                  </m:e>
                  <m:sub>
                    <m:r>
                      <m:rPr>
                        <m:sty m:val="p"/>
                      </m:rPr>
                      <w:rPr>
                        <w:rFonts w:ascii="Cambria Math" w:hAnsi="Cambria Math"/>
                        <w:color w:val="000000"/>
                        <w:szCs w:val="24"/>
                        <w:bdr w:val="none" w:sz="0" w:space="0" w:color="auto" w:frame="1"/>
                        <w:shd w:val="clear" w:color="auto" w:fill="FFFFFF"/>
                      </w:rPr>
                      <m:t>sk.</m:t>
                    </m:r>
                  </m:sub>
                </m:sSub>
              </m:oMath>
              <w:r>
                <w:rPr>
                  <w:color w:val="000000"/>
                  <w:bdr w:val="none" w:sz="0" w:space="0" w:color="auto" w:frame="1"/>
                  <w:shd w:val="clear" w:color="auto" w:fill="FFFFFF"/>
                </w:rPr>
                <w:t>– atitinkamos kiaulių grupės kiaulių laikymo vietų skaičius (vnt.);</w:t>
              </w:r>
            </w:p>
            <w:p>
              <w:pPr>
                <w:ind w:left="-11" w:firstLine="629"/>
                <w:jc w:val="both"/>
                <w:textAlignment w:val="baseline"/>
                <w:rPr>
                  <w:color w:val="000000"/>
                  <w:bdr w:val="none" w:sz="0" w:space="0" w:color="auto" w:frame="1"/>
                  <w:shd w:val="clear" w:color="auto" w:fill="FFFFFF"/>
                </w:rPr>
              </w:pPr>
              <m:oMath>
                <m:sSub>
                  <m:sSubPr>
                    <m:ctrlPr>
                      <w:rPr>
                        <w:rFonts w:ascii="Cambria Math" w:hAnsi="Cambria Math"/>
                        <w:color w:val="000000"/>
                        <w:szCs w:val="24"/>
                        <w:bdr w:val="none" w:sz="0" w:space="0" w:color="auto" w:frame="1"/>
                        <w:shd w:val="clear" w:color="auto" w:fill="FFFFFF"/>
                        <w:lang w:val="en-GB"/>
                      </w:rPr>
                    </m:ctrlPr>
                  </m:sSubPr>
                  <m:e>
                    <m:r>
                      <m:rPr>
                        <m:sty m:val="p"/>
                      </m:rPr>
                      <w:rPr>
                        <w:rFonts w:ascii="Cambria Math" w:hAnsi="Cambria Math"/>
                        <w:color w:val="000000"/>
                        <w:szCs w:val="24"/>
                        <w:bdr w:val="none" w:sz="0" w:space="0" w:color="auto" w:frame="1"/>
                        <w:shd w:val="clear" w:color="auto" w:fill="FFFFFF"/>
                      </w:rPr>
                      <m:t>E</m:t>
                    </m:r>
                  </m:e>
                  <m:sub>
                    <m:r>
                      <m:rPr>
                        <m:sty m:val="p"/>
                      </m:rPr>
                      <w:rPr>
                        <w:rFonts w:ascii="Cambria Math" w:hAnsi="Cambria Math"/>
                        <w:color w:val="000000"/>
                        <w:szCs w:val="24"/>
                        <w:bdr w:val="none" w:sz="0" w:space="0" w:color="auto" w:frame="1"/>
                        <w:shd w:val="clear" w:color="auto" w:fill="FFFFFF"/>
                      </w:rPr>
                      <m:t>LOJ</m:t>
                    </m:r>
                  </m:sub>
                </m:sSub>
              </m:oMath>
              <w:r>
                <w:rPr>
                  <w:color w:val="000000"/>
                  <w:bdr w:val="none" w:sz="0" w:space="0" w:color="auto" w:frame="1"/>
                  <w:shd w:val="clear" w:color="auto" w:fill="FFFFFF"/>
                </w:rPr>
                <w:t>– lakiųjų organinių junginių, išsiskiriančių vienoje atitinkamos kiaulių grupės kiaulių laikymo vietoje, kiekis (t/m.).</w:t>
              </w:r>
            </w:p>
          </w:sdtContent>
        </w:sdt>
        <w:sdt>
          <w:sdtPr>
            <w:alias w:val="8 pr. 14 p."/>
            <w:tag w:val="part_863c7d27e89640129b4ed8ab708a8253"/>
            <w:lock w:val="sdtLocked"/>
            <w:richText/>
          </w:sdtPr>
          <w:sdtContent>
            <w:p>
              <w:pPr>
                <w:ind w:left="-11" w:firstLine="567"/>
                <w:jc w:val="both"/>
                <w:textAlignment w:val="baseline"/>
                <w:rPr>
                  <w:color w:val="000000"/>
                  <w:bdr w:val="none" w:sz="0" w:space="0" w:color="auto" w:frame="1"/>
                </w:rPr>
              </w:pPr>
              <w:sdt>
                <w:sdtPr>
                  <w:alias w:val="Numeris"/>
                  <w:tag w:val="nr_863c7d27e89640129b4ed8ab708a8253"/>
                  <w:lock w:val="sdtLocked"/>
                  <w:richText/>
                </w:sdtPr>
                <w:sdtContent>
                  <w:r>
                    <w:rPr>
                      <w:color w:val="000000"/>
                      <w:bdr w:val="none" w:sz="0" w:space="0" w:color="auto" w:frame="1"/>
                      <w:shd w:val="clear" w:color="auto" w:fill="FFFFFF"/>
                    </w:rPr>
                    <w:t>14</w:t>
                  </w:r>
                </w:sdtContent>
              </w:sdt>
              <w:r>
                <w:rPr>
                  <w:color w:val="000000"/>
                  <w:bdr w:val="none" w:sz="0" w:space="0" w:color="auto" w:frame="1"/>
                  <w:shd w:val="clear" w:color="auto" w:fill="FFFFFF"/>
                </w:rPr>
                <w:t xml:space="preserve">. Skaičiavimai gali būti atliekami kompiuterine skaičiuokle, parengta </w:t>
              </w:r>
              <w:r>
                <w:rPr>
                  <w:i/>
                  <w:iCs/>
                  <w:color w:val="000000"/>
                  <w:bdr w:val="none" w:sz="0" w:space="0" w:color="auto" w:frame="1"/>
                  <w:shd w:val="clear" w:color="auto" w:fill="FFFFFF"/>
                </w:rPr>
                <w:t>MS Excel</w:t>
              </w:r>
              <w:r>
                <w:rPr>
                  <w:color w:val="000000"/>
                  <w:bdr w:val="none" w:sz="0" w:space="0" w:color="auto" w:frame="1"/>
                  <w:shd w:val="clear" w:color="auto" w:fill="FFFFFF"/>
                </w:rPr>
                <w:t xml:space="preserve"> ar analogiška programine įranga. Naudojant kompiuterinę skaičiuoklę, ji turi būti patikrinta, langeliai, kuriuose įvesti nekintantys dydžiai, negali būti redaguojami. Pavyzdinė skaičiuoklė pateikiama Aplinkos ministerijos interneto svetainėje. Skaičiuoklė atnaujinama pasikeitus </w:t>
              </w:r>
              <w:r>
                <w:rPr>
                  <w:color w:val="000000"/>
                  <w:bdr w:val="none" w:sz="0" w:space="0" w:color="auto" w:frame="1"/>
                </w:rPr>
                <w:t>EMEP metodikai.</w:t>
              </w:r>
            </w:p>
            <w:p>
              <w:pPr>
                <w:tabs>
                  <w:tab w:val="left" w:pos="993"/>
                </w:tabs>
                <w:suppressAutoHyphens/>
                <w:ind w:firstLine="567"/>
                <w:jc w:val="both"/>
                <w:textAlignment w:val="baseline"/>
                <w:rPr>
                  <w:szCs w:val="24"/>
                  <w:lang w:eastAsia="lt-LT"/>
                </w:rPr>
              </w:pPr>
            </w:p>
            <w:p>
              <w:pPr>
                <w:suppressAutoHyphens/>
                <w:jc w:val="center"/>
                <w:rPr>
                  <w:bCs/>
                  <w:color w:val="000000"/>
                  <w:szCs w:val="24"/>
                  <w:lang w:eastAsia="lt-LT"/>
                </w:rPr>
              </w:pPr>
              <w:r>
                <w:rPr>
                  <w:spacing w:val="-6"/>
                  <w:sz w:val="18"/>
                  <w:szCs w:val="18"/>
                  <w:lang w:eastAsia="zh-CN"/>
                </w:rPr>
                <w:t>________________________________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afc390b0ea11ed8df094f359a60216">
            <w:r w:rsidRPr="00532B9F">
              <w:rPr>
                <w:rFonts w:ascii="Arial" w:eastAsia="MS Mincho" w:hAnsi="Arial"/>
                <w:sz w:val="20"/>
                <w:i/>
                <w:iCs/>
                <w:color w:val="0000FF" w:themeColor="hyperlink"/>
                <w:u w:val="single"/>
              </w:rPr>
              <w:t>D1-54</w:t>
            </w:r>
          </w:fldSimple>
          <w:r>
            <w:rPr>
              <w:rFonts w:ascii="Arial" w:eastAsia="MS Mincho" w:hAnsi="Arial"/>
              <w:sz w:val="20"/>
              <w:i/>
              <w:iCs/>
            </w:rPr>
            <w:t>,
2023-02-20,
paskelbta TAR 2023-02-20, i. k. 2023-02969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458dcda07c7011e4abe983995522ea30">
            <w:r w:rsidRPr="00532B9F">
              <w:rPr>
                <w:rFonts w:ascii="Arial" w:eastAsia="MS Mincho" w:hAnsi="Arial"/>
                <w:sz w:val="20"/>
                <w:iCs/>
                <w:color w:val="0000FF" w:themeColor="hyperlink"/>
                <w:u w:val="single"/>
              </w:rPr>
              <w:t>D1-983</w:t>
            </w:r>
          </w:fldSimple>
          <w:r>
            <w:rPr>
              <w:rFonts w:ascii="Arial" w:eastAsia="MS Mincho" w:hAnsi="Arial"/>
              <w:sz w:val="20"/>
              <w:iCs/>
            </w:rPr>
            <w:t>,
2014-12-04,
paskelbta TAR 2014-12-05, i. k. 2014-19056                </w:t>
          </w:r>
        </w:p>
        <w:p>
          <w:pPr>
            <w:jc w:val="both"/>
            <w:rPr>
              <w:rFonts w:ascii="Arial" w:hAnsi="Arial"/>
            </w:rPr>
          </w:pPr>
          <w:r>
            <w:rPr>
              <w:rFonts w:ascii="Arial" w:hAnsi="Arial"/>
              <w:sz w:val="20"/>
            </w:rPr>
            <w:t>Dėl aplinkos ministro 2013 m. liepos 15 d. įsakymo Nr. D1-528 „Dėl Taršos integruotos prevencijos ir kontrolės leidimų išdavimo, pakeitimo ir galiojimo panaikinimo taisyklių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cbef9be01ff311e586708c6593c243ce">
            <w:r w:rsidRPr="00532B9F">
              <w:rPr>
                <w:rFonts w:ascii="Arial" w:eastAsia="MS Mincho" w:hAnsi="Arial"/>
                <w:sz w:val="20"/>
                <w:iCs/>
                <w:color w:val="0000FF" w:themeColor="hyperlink"/>
                <w:u w:val="single"/>
              </w:rPr>
              <w:t>D1-510</w:t>
            </w:r>
          </w:fldSimple>
          <w:r>
            <w:rPr>
              <w:rFonts w:ascii="Arial" w:eastAsia="MS Mincho" w:hAnsi="Arial"/>
              <w:sz w:val="20"/>
              <w:iCs/>
            </w:rPr>
            <w:t>,
2015-06-30,
paskelbta TAR 2015-07-01, i. k. 2015-10611                </w:t>
          </w:r>
        </w:p>
        <w:p>
          <w:pPr>
            <w:jc w:val="both"/>
            <w:rPr>
              <w:rFonts w:ascii="Arial" w:hAnsi="Arial"/>
            </w:rPr>
          </w:pPr>
          <w:r>
            <w:rPr>
              <w:rFonts w:ascii="Arial" w:hAnsi="Arial"/>
              <w:sz w:val="20"/>
            </w:rPr>
            <w:t>Dėl aplinkos ministro 2013 m. liepos 15 d. įsakymo Nr. D1-528 „Dėl Taršos integruotos prevencijos ir kontrolės leidimų išdavimo, pakeitimo ir galiojimo panaikinimo taisyklių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16be5280b85911e5a6588fb85a3cc84b">
            <w:r w:rsidRPr="00532B9F">
              <w:rPr>
                <w:rFonts w:ascii="Arial" w:eastAsia="MS Mincho" w:hAnsi="Arial"/>
                <w:sz w:val="20"/>
                <w:iCs/>
                <w:color w:val="0000FF" w:themeColor="hyperlink"/>
                <w:u w:val="single"/>
              </w:rPr>
              <w:t>D1-20</w:t>
            </w:r>
          </w:fldSimple>
          <w:r>
            <w:rPr>
              <w:rFonts w:ascii="Arial" w:eastAsia="MS Mincho" w:hAnsi="Arial"/>
              <w:sz w:val="20"/>
              <w:iCs/>
            </w:rPr>
            <w:t>,
2015-01-08,
paskelbta TAR 2016-01-11, i. k. 2016-00485                </w:t>
          </w:r>
        </w:p>
        <w:p>
          <w:pPr>
            <w:jc w:val="both"/>
            <w:rPr>
              <w:rFonts w:ascii="Arial" w:hAnsi="Arial"/>
            </w:rPr>
          </w:pPr>
          <w:r>
            <w:rPr>
              <w:rFonts w:ascii="Arial" w:hAnsi="Arial"/>
              <w:sz w:val="20"/>
            </w:rPr>
            <w:t>Dėl aplinkos ministro 2013 m. liepos 15 d. įsakymo Nr. D1-528 „Dėl Taršos integruotos prevencijos ir kontrolės leidimų išdavimo, pakeitimo ir galiojimo panaikinimo taisyklių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bfecf770f03111e5989ee743dd0efbb0">
            <w:r w:rsidRPr="00532B9F">
              <w:rPr>
                <w:rFonts w:ascii="Arial" w:eastAsia="MS Mincho" w:hAnsi="Arial"/>
                <w:sz w:val="20"/>
                <w:iCs/>
                <w:color w:val="0000FF" w:themeColor="hyperlink"/>
                <w:u w:val="single"/>
              </w:rPr>
              <w:t>D1-202</w:t>
            </w:r>
          </w:fldSimple>
          <w:r>
            <w:rPr>
              <w:rFonts w:ascii="Arial" w:eastAsia="MS Mincho" w:hAnsi="Arial"/>
              <w:sz w:val="20"/>
              <w:iCs/>
            </w:rPr>
            <w:t>,
2016-03-18,
paskelbta TAR 2016-03-22, i. k. 2016-05516                </w:t>
          </w:r>
        </w:p>
        <w:p>
          <w:pPr>
            <w:jc w:val="both"/>
            <w:rPr>
              <w:rFonts w:ascii="Arial" w:hAnsi="Arial"/>
            </w:rPr>
          </w:pPr>
          <w:r>
            <w:rPr>
              <w:rFonts w:ascii="Arial" w:hAnsi="Arial"/>
              <w:sz w:val="20"/>
            </w:rPr>
            <w:t>Dėl Lietuvos Respublikos aplinkos ministro 2013 m. liepos 15 d. įsakymo Nr. D1-528 „Dėl Taršos integruotos prevencijos ir kontrolės leidimų išdavimo, pakeitimo ir galiojimo panaikinimo taisyklių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vyriausiasis administracinis teismas, Sprendimas
                </w:t>
          </w:r>
        </w:p>
        <w:p>
          <w:pPr>
            <w:jc w:val="both"/>
            <w:rPr>
              <w:rFonts w:ascii="Arial" w:hAnsi="Arial"/>
            </w:rPr>
          </w:pPr>
          <w:r>
            <w:rPr>
              <w:rFonts w:ascii="Arial" w:hAnsi="Arial"/>
              <w:sz w:val="20"/>
            </w:rPr>
            <w:t xml:space="preserve">Nr. </w:t>
          </w:r>
          <w:fldSimple w:instr="HYPERLINK https://www.e-tar.lt/portal/legalAct.html?documentId=dc7e6f001e0611e78397ae072f58c508">
            <w:r w:rsidRPr="00532B9F">
              <w:rPr>
                <w:rFonts w:ascii="Arial" w:eastAsia="MS Mincho" w:hAnsi="Arial"/>
                <w:sz w:val="20"/>
                <w:iCs/>
                <w:color w:val="0000FF" w:themeColor="hyperlink"/>
                <w:u w:val="single"/>
              </w:rPr>
              <w:t>2017-04-03 Nr. AB-7410-3-66-3-00035-2016-5</w:t>
            </w:r>
          </w:fldSimple>
          <w:r>
            <w:rPr>
              <w:rFonts w:ascii="Arial" w:eastAsia="MS Mincho" w:hAnsi="Arial"/>
              <w:sz w:val="20"/>
              <w:iCs/>
            </w:rPr>
            <w:t>,
2017-04-03,
paskelbta TAR 2017-04-11, i. k. 2017-06158                </w:t>
          </w:r>
        </w:p>
        <w:p>
          <w:pPr>
            <w:jc w:val="both"/>
            <w:rPr>
              <w:rFonts w:ascii="Arial" w:hAnsi="Arial"/>
            </w:rPr>
          </w:pPr>
          <w:r>
            <w:rPr>
              <w:rFonts w:ascii="Arial" w:hAnsi="Arial"/>
              <w:sz w:val="20"/>
            </w:rPr>
            <w:t>Nuasmenintas sprendimas 2017-04-03 Nr. AB-7410-3-66-3-00035-2016-5</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9de6e470accc11e78a4c904b1afa0332">
            <w:r w:rsidRPr="00532B9F">
              <w:rPr>
                <w:rFonts w:ascii="Arial" w:eastAsia="MS Mincho" w:hAnsi="Arial"/>
                <w:sz w:val="20"/>
                <w:iCs/>
                <w:color w:val="0000FF" w:themeColor="hyperlink"/>
                <w:u w:val="single"/>
              </w:rPr>
              <w:t>D1-798</w:t>
            </w:r>
          </w:fldSimple>
          <w:r>
            <w:rPr>
              <w:rFonts w:ascii="Arial" w:eastAsia="MS Mincho" w:hAnsi="Arial"/>
              <w:sz w:val="20"/>
              <w:iCs/>
            </w:rPr>
            <w:t>,
2017-09-29,
paskelbta TAR 2017-10-09, i. k. 2017-15989                </w:t>
          </w:r>
        </w:p>
        <w:p>
          <w:pPr>
            <w:jc w:val="both"/>
            <w:rPr>
              <w:rFonts w:ascii="Arial" w:hAnsi="Arial"/>
            </w:rPr>
          </w:pPr>
          <w:r>
            <w:rPr>
              <w:rFonts w:ascii="Arial" w:hAnsi="Arial"/>
              <w:sz w:val="20"/>
            </w:rPr>
            <w:t>Dėl Lietuvos Respublikos aplinkos ministro 2013 m. liepos 15 d. įsakymo Nr. D1-528 „Dėl Taršos integruotos prevencijos ir kontrolės leidimų išdavimo, pakeitimo ir galiojimo panaikinimo taisyklių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ad519680364811e78397ae072f58c508">
            <w:r w:rsidRPr="00532B9F">
              <w:rPr>
                <w:rFonts w:ascii="Arial" w:eastAsia="MS Mincho" w:hAnsi="Arial"/>
                <w:sz w:val="20"/>
                <w:iCs/>
                <w:color w:val="0000FF" w:themeColor="hyperlink"/>
                <w:u w:val="single"/>
              </w:rPr>
              <w:t>D1-402</w:t>
            </w:r>
          </w:fldSimple>
          <w:r>
            <w:rPr>
              <w:rFonts w:ascii="Arial" w:eastAsia="MS Mincho" w:hAnsi="Arial"/>
              <w:sz w:val="20"/>
              <w:iCs/>
            </w:rPr>
            <w:t>,
2017-05-11,
paskelbta TAR 2017-05-12, i. k. 2017-08064                </w:t>
          </w:r>
        </w:p>
        <w:p>
          <w:pPr>
            <w:jc w:val="both"/>
            <w:rPr>
              <w:rFonts w:ascii="Arial" w:hAnsi="Arial"/>
            </w:rPr>
          </w:pPr>
          <w:r>
            <w:rPr>
              <w:rFonts w:ascii="Arial" w:hAnsi="Arial"/>
              <w:sz w:val="20"/>
            </w:rPr>
            <w:t>Dėl Lietuvos Respublikos aplinkos ministro 2013 m. liepos 15 d. įsakymo Nr. D1-528 „Dėl Taršos integruotos prevencijos ir kontrolės leidimų išdavimo, pakeitimo ir galiojimo panaikinimo taisyklių patvirtinimo“ pakeitimo  </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bcb422b0072011e8b3e7ba9cffd043b1">
            <w:r w:rsidRPr="00532B9F">
              <w:rPr>
                <w:rFonts w:ascii="Arial" w:eastAsia="MS Mincho" w:hAnsi="Arial"/>
                <w:sz w:val="20"/>
                <w:iCs/>
                <w:color w:val="0000FF" w:themeColor="hyperlink"/>
                <w:u w:val="single"/>
              </w:rPr>
              <w:t>D1-75</w:t>
            </w:r>
          </w:fldSimple>
          <w:r>
            <w:rPr>
              <w:rFonts w:ascii="Arial" w:eastAsia="MS Mincho" w:hAnsi="Arial"/>
              <w:sz w:val="20"/>
              <w:iCs/>
            </w:rPr>
            <w:t>,
2018-01-31,
paskelbta TAR 2018-02-01, i. k. 2018-01594                </w:t>
          </w:r>
        </w:p>
        <w:p>
          <w:pPr>
            <w:jc w:val="both"/>
            <w:rPr>
              <w:rFonts w:ascii="Arial" w:hAnsi="Arial"/>
            </w:rPr>
          </w:pPr>
          <w:r>
            <w:rPr>
              <w:rFonts w:ascii="Arial" w:hAnsi="Arial"/>
              <w:sz w:val="20"/>
            </w:rPr>
            <w:t>Dėl Lietuvos Respublikos aplinkos ministro 2013 m. liepos 15 d. įsakymo Nr. D1-528 „Dėl Taršos integruotos prevencijos ir kontrolės leidimų išdavimo, pakeitimo ir galiojimo panaikinimo taisyklių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47b7ec10747d11e8ae2bfd1913d66d57">
            <w:r w:rsidRPr="00532B9F">
              <w:rPr>
                <w:rFonts w:ascii="Arial" w:eastAsia="MS Mincho" w:hAnsi="Arial"/>
                <w:sz w:val="20"/>
                <w:iCs/>
                <w:color w:val="0000FF" w:themeColor="hyperlink"/>
                <w:u w:val="single"/>
              </w:rPr>
              <w:t>D1-537</w:t>
            </w:r>
          </w:fldSimple>
          <w:r>
            <w:rPr>
              <w:rFonts w:ascii="Arial" w:eastAsia="MS Mincho" w:hAnsi="Arial"/>
              <w:sz w:val="20"/>
              <w:iCs/>
            </w:rPr>
            <w:t>,
2018-06-19,
paskelbta TAR 2018-06-20, i. k. 2018-10131                </w:t>
          </w:r>
        </w:p>
        <w:p>
          <w:pPr>
            <w:jc w:val="both"/>
            <w:rPr>
              <w:rFonts w:ascii="Arial" w:hAnsi="Arial"/>
            </w:rPr>
          </w:pPr>
          <w:r>
            <w:rPr>
              <w:rFonts w:ascii="Arial" w:hAnsi="Arial"/>
              <w:sz w:val="20"/>
            </w:rPr>
            <w:t>Dėl Lietuvos Respublikos aplinkos ministro 2013 m. liepos 15 d. įsakymo Nr. D1-528 „Dėl Taršos integruotos prevencijos ir kontrolės leidimų išdavimo, pakeitimo ir galiojimo panaikinimo taisyklių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73f7a020c72f11ea997c9ee767e856b4">
            <w:r w:rsidRPr="00532B9F">
              <w:rPr>
                <w:rFonts w:ascii="Arial" w:eastAsia="MS Mincho" w:hAnsi="Arial"/>
                <w:sz w:val="20"/>
                <w:iCs/>
                <w:color w:val="0000FF" w:themeColor="hyperlink"/>
                <w:u w:val="single"/>
              </w:rPr>
              <w:t>D1-424</w:t>
            </w:r>
          </w:fldSimple>
          <w:r>
            <w:rPr>
              <w:rFonts w:ascii="Arial" w:eastAsia="MS Mincho" w:hAnsi="Arial"/>
              <w:sz w:val="20"/>
              <w:iCs/>
            </w:rPr>
            <w:t>,
2020-07-16,
paskelbta TAR 2020-07-16, i. k. 2020-15851                </w:t>
          </w:r>
        </w:p>
        <w:p>
          <w:pPr>
            <w:jc w:val="both"/>
            <w:rPr>
              <w:rFonts w:ascii="Arial" w:hAnsi="Arial"/>
            </w:rPr>
          </w:pPr>
          <w:r>
            <w:rPr>
              <w:rFonts w:ascii="Arial" w:hAnsi="Arial"/>
              <w:sz w:val="20"/>
            </w:rPr>
            <w:t>Dėl Lietuvos Respublikos aplinkos ministro 2013 m. liepos 15 d. įsakymo Nr. D1-528 „Dėl taršos integruotos prevencijos ir kontrolės leidimų išdavimo, pakeitimo ir galiojimo panaikinimo taisyklių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3a5344301d2e11edb4cae1b158f98ea5">
            <w:r w:rsidRPr="00532B9F">
              <w:rPr>
                <w:rFonts w:ascii="Arial" w:eastAsia="MS Mincho" w:hAnsi="Arial"/>
                <w:sz w:val="20"/>
                <w:iCs/>
                <w:color w:val="0000FF" w:themeColor="hyperlink"/>
                <w:u w:val="single"/>
              </w:rPr>
              <w:t>D1-263</w:t>
            </w:r>
          </w:fldSimple>
          <w:r>
            <w:rPr>
              <w:rFonts w:ascii="Arial" w:eastAsia="MS Mincho" w:hAnsi="Arial"/>
              <w:sz w:val="20"/>
              <w:iCs/>
            </w:rPr>
            <w:t>,
2022-08-16,
paskelbta TAR 2022-08-16, i. k. 2022-17141                </w:t>
          </w:r>
        </w:p>
        <w:p>
          <w:pPr>
            <w:jc w:val="both"/>
            <w:rPr>
              <w:rFonts w:ascii="Arial" w:hAnsi="Arial"/>
            </w:rPr>
          </w:pPr>
          <w:r>
            <w:rPr>
              <w:rFonts w:ascii="Arial" w:hAnsi="Arial"/>
              <w:sz w:val="20"/>
            </w:rPr>
            <w:t>Dėl Lietuvos Respublikos aplinkos ministro 2013 m. liepos 15 d. įsakymo Nr. D1-528 „Dėl Taršos integruotos prevencijos ir kontrolės leidimų išdavimo, pakeitimo ir galiojimo panaikinimo taisyklių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8fafc390b0ea11ed8df094f359a60216">
            <w:r w:rsidRPr="00532B9F">
              <w:rPr>
                <w:rFonts w:ascii="Arial" w:eastAsia="MS Mincho" w:hAnsi="Arial"/>
                <w:sz w:val="20"/>
                <w:iCs/>
                <w:color w:val="0000FF" w:themeColor="hyperlink"/>
                <w:u w:val="single"/>
              </w:rPr>
              <w:t>D1-54</w:t>
            </w:r>
          </w:fldSimple>
          <w:r>
            <w:rPr>
              <w:rFonts w:ascii="Arial" w:eastAsia="MS Mincho" w:hAnsi="Arial"/>
              <w:sz w:val="20"/>
              <w:iCs/>
            </w:rPr>
            <w:t>,
2023-02-20,
paskelbta TAR 2023-02-20, i. k. 2023-02969                </w:t>
          </w:r>
        </w:p>
        <w:p>
          <w:pPr>
            <w:jc w:val="both"/>
            <w:rPr>
              <w:rFonts w:ascii="Arial" w:hAnsi="Arial"/>
            </w:rPr>
          </w:pPr>
          <w:r>
            <w:rPr>
              <w:rFonts w:ascii="Arial" w:hAnsi="Arial"/>
              <w:sz w:val="20"/>
            </w:rPr>
            <w:t>Dėl Lietuvos Respublikos aplinkos ministro 2013 m. liepos 15 d. įsakymo Nr. D1-528 „Dėl Taršos integruotos prevencijos ir kontrolės leidimų išdavimo, pakeitimo ir galiojimo panaikinimo taisyklių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fbba30608cfa11eea5a28c81c82193a8">
            <w:r w:rsidRPr="00532B9F">
              <w:rPr>
                <w:rFonts w:ascii="Arial" w:eastAsia="MS Mincho" w:hAnsi="Arial"/>
                <w:sz w:val="20"/>
                <w:iCs/>
                <w:color w:val="0000FF" w:themeColor="hyperlink"/>
                <w:u w:val="single"/>
              </w:rPr>
              <w:t>D1-381</w:t>
            </w:r>
          </w:fldSimple>
          <w:r>
            <w:rPr>
              <w:rFonts w:ascii="Arial" w:eastAsia="MS Mincho" w:hAnsi="Arial"/>
              <w:sz w:val="20"/>
              <w:iCs/>
            </w:rPr>
            <w:t>,
2023-11-27,
paskelbta TAR 2023-11-27, i. k. 2023-22748                </w:t>
          </w:r>
        </w:p>
        <w:p>
          <w:pPr>
            <w:jc w:val="both"/>
            <w:rPr>
              <w:rFonts w:ascii="Arial" w:hAnsi="Arial"/>
            </w:rPr>
          </w:pPr>
          <w:r>
            <w:rPr>
              <w:rFonts w:ascii="Arial" w:hAnsi="Arial"/>
              <w:sz w:val="20"/>
            </w:rPr>
            <w:t>Dėl Lietuvos Respublikos aplinkos ministro 2013 m. liepos 15 d. įsakymo Nr. D1-528 „Dėl Taršos integruotos prevencijos ir kontrolės leidimų išdavimo, pakeitimo ir galiojimo panaikinimo taisyklių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cde6aa8006dd11efbcbfb318996800a8">
            <w:r w:rsidRPr="00532B9F">
              <w:rPr>
                <w:rFonts w:ascii="Arial" w:eastAsia="MS Mincho" w:hAnsi="Arial"/>
                <w:sz w:val="20"/>
                <w:iCs/>
                <w:color w:val="0000FF" w:themeColor="hyperlink"/>
                <w:u w:val="single"/>
              </w:rPr>
              <w:t>D1-143</w:t>
            </w:r>
          </w:fldSimple>
          <w:r>
            <w:rPr>
              <w:rFonts w:ascii="Arial" w:eastAsia="MS Mincho" w:hAnsi="Arial"/>
              <w:sz w:val="20"/>
              <w:iCs/>
            </w:rPr>
            <w:t>,
2024-04-30,
paskelbta TAR 2024-04-30, i. k. 2024-08081                </w:t>
          </w:r>
        </w:p>
        <w:p>
          <w:pPr>
            <w:jc w:val="both"/>
            <w:rPr>
              <w:rFonts w:ascii="Arial" w:hAnsi="Arial"/>
            </w:rPr>
          </w:pPr>
          <w:r>
            <w:rPr>
              <w:rFonts w:ascii="Arial" w:hAnsi="Arial"/>
              <w:sz w:val="20"/>
            </w:rPr>
            <w:t>Dėl Lietuvos Respublikos aplinkos ministro 2013 m. liepos 15 d. įsakymo Nr. D1-528 „Dėl Taršos integruotos prevencijos ir kontrolės leidimų išdavimo, pakeitimo ir galiojimo panaikinimo taisyklių patvirtinimo“ pakeitimo</w:t>
          </w:r>
        </w:p>
        <w:p>
          <w:pPr>
            <w:jc w:val="both"/>
            <w:rPr>
              <w:rFonts w:ascii="Arial" w:hAnsi="Arial"/>
              <w:sz w:val="20"/>
            </w:rPr>
          </w:pPr>
        </w:p>
        <w:p>
          <w:pPr>
            <w:widowControl w:val="0"/>
            <w:rPr>
              <w:rFonts w:ascii="Arial" w:hAnsi="Arial"/>
              <w:snapToGrid w:val="0"/>
            </w:rPr>
          </w:pPr>
        </w:p>
      </w:sdtContent>
    </w:sdt>
    <w:sectPr>
      <w:pgSz w:w="12240" w:h="15840" w:code="1"/>
      <w:pgMar w:top="1134" w:right="1134" w:bottom="389" w:left="1134" w:header="720"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ndale Sans UI">
    <w:altName w:val="Times New Roman"/>
    <w:charset w:val="BA"/>
    <w:family w:val="auto"/>
    <w:pitch w:val="variable"/>
  </w:font>
  <w:font w:name="Cumberland">
    <w:charset w:val="BA"/>
    <w:family w:val="modern"/>
    <w:pitch w:val="fixed"/>
    <w:sig w:usb0="00000287" w:usb1="00000000" w:usb2="00000000" w:usb3="00000000" w:csb0="0000009F" w:csb1="00000000"/>
  </w:font>
  <w:font w:name="Franklin Gothic Book">
    <w:panose1 w:val="020B0503020102020204"/>
    <w:charset w:val="BA"/>
    <w:family w:val="swiss"/>
    <w:pitch w:val="variable"/>
    <w:sig w:usb0="00000287" w:usb1="00000000" w:usb2="00000000" w:usb3="00000000" w:csb0="0000009F" w:csb1="00000000"/>
  </w:font>
  <w:font w:name="Lucida Sans Unicode">
    <w:panose1 w:val="020B0602030504020204"/>
    <w:charset w:val="BA"/>
    <w:family w:val="swiss"/>
    <w:pitch w:val="variable"/>
    <w:sig w:usb0="80000AFF" w:usb1="0000396B" w:usb2="00000000" w:usb3="00000000" w:csb0="000000B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roman"/>
    <w:notTrueType/>
    <w:pitch w:val="fixed"/>
    <w:sig w:usb0="00000000" w:usb1="08070000" w:usb2="00000010" w:usb3="00000000" w:csb0="00020000" w:csb1="00000000"/>
  </w:font>
  <w:font w:name="Tahoma">
    <w:panose1 w:val="020B0604030504040204"/>
    <w:charset w:val="BA"/>
    <w:family w:val="swiss"/>
    <w:pitch w:val="variable"/>
    <w:sig w:usb0="E1002EFF" w:usb1="C000605B" w:usb2="00000029" w:usb3="00000000" w:csb0="000101FF" w:csb1="00000000"/>
  </w:font>
  <w:font w:name="Cambria Math">
    <w:panose1 w:val="02040503050406030204"/>
    <w:charset w:val="BA"/>
    <w:family w:val="roman"/>
    <w:pitch w:val="variable"/>
    <w:sig w:usb0="E00006FF" w:usb1="420024FF" w:usb2="02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jc w:val="both"/>
      <w:textAlignment w:val="baseline"/>
      <w:rPr>
        <w:sz w:val="20"/>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jc w:val="both"/>
      <w:textAlignment w:val="baseline"/>
      <w:rPr>
        <w:sz w:val="20"/>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jc w:val="both"/>
      <w:textAlignment w:val="baseline"/>
      <w:rPr>
        <w:sz w:val="20"/>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jc w:val="both"/>
      <w:textAlignment w:val="baseline"/>
      <w:rPr>
        <w:sz w:val="20"/>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both"/>
      <w:textAlignment w:val="baseline"/>
      <w:rPr>
        <w:sz w:val="20"/>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jc w:val="both"/>
      <w:textAlignment w:val="baseline"/>
      <w:rPr>
        <w:sz w:val="20"/>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both"/>
      <w:textAlignment w:val="baseline"/>
      <w:rPr>
        <w:sz w:val="20"/>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both"/>
      <w:textAlignment w:val="baseline"/>
      <w:rPr>
        <w:sz w:val="20"/>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both"/>
      <w:textAlignment w:val="baseline"/>
      <w:rPr>
        <w:sz w:val="20"/>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both"/>
      <w:textAlignment w:val="baseline"/>
      <w:rPr>
        <w:sz w:val="20"/>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both"/>
      <w:textAlignment w:val="baseline"/>
      <w:rPr>
        <w:sz w:val="20"/>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both"/>
      <w:textAlignment w:val="baseline"/>
      <w:rPr>
        <w:sz w:val="20"/>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both"/>
      <w:textAlignment w:val="baseline"/>
      <w:rPr>
        <w:sz w:val="20"/>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both"/>
      <w:textAlignment w:val="baseline"/>
      <w:rPr>
        <w:sz w:val="20"/>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jc w:val="both"/>
      <w:textAlignment w:val="baseline"/>
      <w:rPr>
        <w:sz w:val="20"/>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jc w:val="both"/>
      <w:textAlignment w:val="baseline"/>
      <w:rPr>
        <w:sz w:val="20"/>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jc w:val="both"/>
      <w:textAlignment w:val="baseline"/>
      <w:rPr>
        <w:sz w:val="20"/>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jc w:val="both"/>
      <w:textAlignment w:val="baseline"/>
      <w:rPr>
        <w:sz w:val="20"/>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jc w:val="both"/>
      <w:textAlignment w:val="baseline"/>
      <w:rPr>
        <w:sz w:val="20"/>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jc w:val="both"/>
      <w:textAlignment w:val="baseline"/>
      <w:rPr>
        <w:sz w:val="20"/>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both"/>
      <w:textAlignment w:val="baseline"/>
      <w:rPr>
        <w:sz w:val="20"/>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both"/>
      <w:textAlignment w:val="baseline"/>
      <w:rPr>
        <w:sz w:val="20"/>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both"/>
      <w:textAlignment w:val="baseline"/>
      <w:rPr>
        <w:sz w:val="20"/>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66</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63</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73</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59</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16</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15</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14</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10</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11</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jc w:val="both"/>
      <w:textAlignment w:val="baseline"/>
      <w:rPr>
        <w:sz w:val="20"/>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54</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rFonts w:ascii="Tahoma" w:hAnsi="Tahoma" w:cs="Tahoma"/>
        <w:spacing w:val="10"/>
        <w:sz w:val="20"/>
        <w:lang w:eastAsia="zh-CN"/>
      </w:rPr>
    </w:pPr>
    <w:r>
      <w:rPr>
        <w:rFonts w:ascii="Tahoma" w:hAnsi="Tahoma" w:cs="Tahoma"/>
        <w:spacing w:val="10"/>
        <w:sz w:val="20"/>
        <w:lang w:eastAsia="zh-CN"/>
      </w:rPr>
      <w:fldChar w:fldCharType="begin"/>
    </w:r>
    <w:r>
      <w:rPr>
        <w:rFonts w:ascii="Tahoma" w:hAnsi="Tahoma" w:cs="Tahoma"/>
        <w:spacing w:val="10"/>
        <w:sz w:val="20"/>
        <w:lang w:eastAsia="zh-CN"/>
      </w:rPr>
      <w:instrText>PAGE   \* MERGEFORMAT</w:instrText>
    </w:r>
    <w:r>
      <w:rPr>
        <w:rFonts w:ascii="Tahoma" w:hAnsi="Tahoma" w:cs="Tahoma"/>
        <w:spacing w:val="10"/>
        <w:sz w:val="20"/>
        <w:lang w:eastAsia="zh-CN"/>
      </w:rPr>
      <w:fldChar w:fldCharType="separate"/>
    </w:r>
    <w:r>
      <w:rPr>
        <w:rFonts w:ascii="Tahoma" w:hAnsi="Tahoma" w:cs="Tahoma"/>
        <w:spacing w:val="10"/>
        <w:sz w:val="20"/>
        <w:lang w:eastAsia="zh-CN"/>
      </w:rPr>
      <w:t>3</w:t>
    </w:r>
    <w:r>
      <w:rPr>
        <w:rFonts w:ascii="Tahoma" w:hAnsi="Tahoma" w:cs="Tahoma"/>
        <w:spacing w:val="10"/>
        <w:sz w:val="20"/>
        <w:lang w:eastAsia="zh-CN"/>
      </w:rPr>
      <w:fldChar w:fldCharType="end"/>
    </w: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rFonts w:ascii="Tahoma" w:hAnsi="Tahoma" w:cs="Tahoma"/>
        <w:spacing w:val="10"/>
        <w:sz w:val="20"/>
        <w:lang w:eastAsia="zh-CN"/>
      </w:rPr>
    </w:pPr>
    <w:r>
      <w:rPr>
        <w:rFonts w:ascii="Tahoma" w:hAnsi="Tahoma" w:cs="Tahoma"/>
        <w:spacing w:val="10"/>
        <w:sz w:val="20"/>
        <w:lang w:eastAsia="zh-CN"/>
      </w:rPr>
      <w:fldChar w:fldCharType="begin"/>
    </w:r>
    <w:r>
      <w:rPr>
        <w:rFonts w:ascii="Tahoma" w:hAnsi="Tahoma" w:cs="Tahoma"/>
        <w:spacing w:val="10"/>
        <w:sz w:val="20"/>
        <w:lang w:eastAsia="zh-CN"/>
      </w:rPr>
      <w:instrText>PAGE   \* MERGEFORMAT</w:instrText>
    </w:r>
    <w:r>
      <w:rPr>
        <w:rFonts w:ascii="Tahoma" w:hAnsi="Tahoma" w:cs="Tahoma"/>
        <w:spacing w:val="10"/>
        <w:sz w:val="20"/>
        <w:lang w:eastAsia="zh-CN"/>
      </w:rPr>
      <w:fldChar w:fldCharType="separate"/>
    </w:r>
    <w:r>
      <w:rPr>
        <w:rFonts w:ascii="Tahoma" w:hAnsi="Tahoma" w:cs="Tahoma"/>
        <w:spacing w:val="10"/>
        <w:sz w:val="20"/>
        <w:lang w:eastAsia="zh-CN"/>
      </w:rPr>
      <w:t>4</w:t>
    </w:r>
    <w:r>
      <w:rPr>
        <w:rFonts w:ascii="Tahoma" w:hAnsi="Tahoma" w:cs="Tahoma"/>
        <w:spacing w:val="10"/>
        <w:sz w:val="20"/>
        <w:lang w:eastAsia="zh-CN"/>
      </w:rPr>
      <w:fldChar w:fldCharType="end"/>
    </w: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rFonts w:ascii="Tahoma" w:hAnsi="Tahoma" w:cs="Tahoma"/>
        <w:spacing w:val="10"/>
        <w:sz w:val="20"/>
        <w:lang w:eastAsia="zh-CN"/>
      </w:rPr>
    </w:pPr>
    <w:r>
      <w:rPr>
        <w:rFonts w:ascii="Tahoma" w:hAnsi="Tahoma" w:cs="Tahoma"/>
        <w:spacing w:val="10"/>
        <w:sz w:val="20"/>
        <w:lang w:eastAsia="zh-CN"/>
      </w:rPr>
      <w:fldChar w:fldCharType="begin"/>
    </w:r>
    <w:r>
      <w:rPr>
        <w:rFonts w:ascii="Tahoma" w:hAnsi="Tahoma" w:cs="Tahoma"/>
        <w:spacing w:val="10"/>
        <w:sz w:val="20"/>
        <w:lang w:eastAsia="zh-CN"/>
      </w:rPr>
      <w:instrText>PAGE   \* MERGEFORMAT</w:instrText>
    </w:r>
    <w:r>
      <w:rPr>
        <w:rFonts w:ascii="Tahoma" w:hAnsi="Tahoma" w:cs="Tahoma"/>
        <w:spacing w:val="10"/>
        <w:sz w:val="20"/>
        <w:lang w:eastAsia="zh-CN"/>
      </w:rPr>
      <w:fldChar w:fldCharType="separate"/>
    </w:r>
    <w:r>
      <w:rPr>
        <w:rFonts w:ascii="Tahoma" w:hAnsi="Tahoma" w:cs="Tahoma"/>
        <w:spacing w:val="10"/>
        <w:sz w:val="20"/>
        <w:lang w:eastAsia="zh-CN"/>
      </w:rPr>
      <w:t>3</w:t>
    </w:r>
    <w:r>
      <w:rPr>
        <w:rFonts w:ascii="Tahoma" w:hAnsi="Tahoma" w:cs="Tahoma"/>
        <w:spacing w:val="10"/>
        <w:sz w:val="20"/>
        <w:lang w:eastAsia="zh-CN"/>
      </w:rPr>
      <w:fldChar w:fldCharType="end"/>
    </w: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70"/>
  <w:hideGrammaticalErrors/>
  <w:proofState w:spelling="clean"/>
  <w:defaultTabStop w:val="1298"/>
  <w:hyphenationZone w:val="397"/>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5D8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B356BA"/>
  <w15:docId w15:val="{C4ED1858-5B24-4686-93AD-24B1AC914BD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E12CE39182E0"/>
  <Relationship Id="rId11" Type="http://schemas.openxmlformats.org/officeDocument/2006/relationships/header" Target="header17.xml"/>
  <Relationship Id="rId12" Type="http://schemas.openxmlformats.org/officeDocument/2006/relationships/hyperlink" TargetMode="External" Target="https://www.e-tar.lt/portal/lt/legalAct/TAR.1F45AA1FF2D0"/>
  <Relationship Id="rId13" Type="http://schemas.openxmlformats.org/officeDocument/2006/relationships/hyperlink" TargetMode="External" Target="https://www.e-tar.lt/portal/lt/legalAct/TAR.D6E2FE994CAD"/>
  <Relationship Id="rId14" Type="http://schemas.openxmlformats.org/officeDocument/2006/relationships/hyperlink" TargetMode="External" Target="https://www.e-tar.lt/portal/lt/legalAct/TAR.3449AA78250D"/>
  <Relationship Id="rId15" Type="http://schemas.openxmlformats.org/officeDocument/2006/relationships/hyperlink" TargetMode="External" Target="https://www.e-tar.lt/portal/lt/legalAct/TAR.A6BE5BE0C398"/>
  <Relationship Id="rId16" Type="http://schemas.openxmlformats.org/officeDocument/2006/relationships/hyperlink" TargetMode="External" Target="https://www.e-tar.lt/portal/lt/legalAct/TAR.AA5075CB6772"/>
  <Relationship Id="rId17" Type="http://schemas.openxmlformats.org/officeDocument/2006/relationships/hyperlink" TargetMode="External" Target="https://www.e-tar.lt/portal/lt/legalAct/TAR.751B6F8BF451"/>
  <Relationship Id="rId18" Type="http://schemas.openxmlformats.org/officeDocument/2006/relationships/hyperlink" TargetMode="External" Target="https://www.e-tar.lt/portal/lt/legalAct/TAR.10BD9188E48C"/>
  <Relationship Id="rId19" Type="http://schemas.openxmlformats.org/officeDocument/2006/relationships/hyperlink" TargetMode="External" Target="https://www.e-tar.lt/portal/lt/legalAct/TAR.759E351777D0"/>
  <Relationship Id="rId2" Type="http://schemas.openxmlformats.org/officeDocument/2006/relationships/fontTable" Target="fontTable.xml"/>
  <Relationship Id="rId20" Type="http://schemas.openxmlformats.org/officeDocument/2006/relationships/hyperlink" TargetMode="External" Target="https://www.e-tar.lt/portal/lt/legalAct/TAR.0539E2FEB29E"/>
  <Relationship Id="rId21" Type="http://schemas.openxmlformats.org/officeDocument/2006/relationships/hyperlink" TargetMode="External" Target="https://www.e-tar.lt/portal/lt/legalAct/TAR.0AEAA380147B"/>
  <Relationship Id="rId22" Type="http://schemas.openxmlformats.org/officeDocument/2006/relationships/hyperlink" TargetMode="External" Target="https://www.e-tar.lt/portal/lt/legalAct/TAR.12D4F759B798"/>
  <Relationship Id="rId23" Type="http://schemas.openxmlformats.org/officeDocument/2006/relationships/hyperlink" TargetMode="External" Target="https://www.e-tar.lt/portal/lt/legalAct/TAR.D7048734A661"/>
  <Relationship Id="rId24" Type="http://schemas.openxmlformats.org/officeDocument/2006/relationships/hyperlink" TargetMode="External" Target="https://www.e-tar.lt/portal/lt/legalAct/TAR.01CE083E8B78"/>
  <Relationship Id="rId25" Type="http://schemas.openxmlformats.org/officeDocument/2006/relationships/hyperlink" TargetMode="External" Target="https://www.e-tar.lt/portal/lt/legalAct/TAR.4D0DFCDD673A"/>
  <Relationship Id="rId26" Type="http://schemas.openxmlformats.org/officeDocument/2006/relationships/hyperlink" TargetMode="External" Target="https://www.e-tar.lt/portal/lt/legalAct/TAR.924BBACA8125"/>
  <Relationship Id="rId27" Type="http://schemas.openxmlformats.org/officeDocument/2006/relationships/hyperlink" TargetMode="External" Target="https://www.e-tar.lt/portal/lt/legalAct/TAR.9725367BBD92"/>
  <Relationship Id="rId28" Type="http://schemas.openxmlformats.org/officeDocument/2006/relationships/hyperlink" TargetMode="External" Target="https://www.e-tar.lt/portal/lt/legalAct/TAR.91488566B8B2"/>
  <Relationship Id="rId29" Type="http://schemas.openxmlformats.org/officeDocument/2006/relationships/hyperlink" TargetMode="External" Target="https://www.e-tar.lt/portal/lt/legalAct/TAR.AF427DCB5C50"/>
  <Relationship Id="rId3" Type="http://schemas.openxmlformats.org/officeDocument/2006/relationships/footnotes" Target="footnotes.xml"/>
  <Relationship Id="rId30" Type="http://schemas.openxmlformats.org/officeDocument/2006/relationships/image" Target="media/image6.png"/>
  <Relationship Id="rId31" Type="http://schemas.openxmlformats.org/officeDocument/2006/relationships/header" Target="header27.xml"/>
  <Relationship Id="rId32" Type="http://schemas.openxmlformats.org/officeDocument/2006/relationships/header" Target="header28.xml"/>
  <Relationship Id="rId33" Type="http://schemas.openxmlformats.org/officeDocument/2006/relationships/footer" Target="footer25.xml"/>
  <Relationship Id="rId34" Type="http://schemas.openxmlformats.org/officeDocument/2006/relationships/footer" Target="footer26.xml"/>
  <Relationship Id="rId35" Type="http://schemas.openxmlformats.org/officeDocument/2006/relationships/header" Target="header29.xml"/>
  <Relationship Id="rId36" Type="http://schemas.openxmlformats.org/officeDocument/2006/relationships/footer" Target="footer27.xml"/>
  <Relationship Id="rId37" Type="http://schemas.openxmlformats.org/officeDocument/2006/relationships/hyperlink" TargetMode="External" Target="https://www.e-tar.lt/portal/lt/legalAct/TAR.D64990B0B8A4"/>
  <Relationship Id="rId38" Type="http://schemas.openxmlformats.org/officeDocument/2006/relationships/hyperlink" TargetMode="External" Target="https://www.e-tar.lt/portal/lt/legalAct/TAR.9968AD58BCF9"/>
  <Relationship Id="rId39" Type="http://schemas.openxmlformats.org/officeDocument/2006/relationships/hyperlink" TargetMode="External" Target="https://www.e-tar.lt/portal/lt/legalAct/TAR.F369BE5465B2"/>
  <Relationship Id="rId4" Type="http://schemas.microsoft.com/office/2011/relationships/people" Target="people.xml"/>
  <Relationship Id="rId40" Type="http://schemas.openxmlformats.org/officeDocument/2006/relationships/hyperlink" TargetMode="External" Target="https://www.e-tar.lt/portal/lt/legalAct/TAR.D64990B0B8A4"/>
  <Relationship Id="rId41" Type="http://schemas.openxmlformats.org/officeDocument/2006/relationships/hyperlink" TargetMode="External" Target="https://www.e-tar.lt/portal/lt/legalAct/TAR.9968AD58BCF9"/>
  <Relationship Id="rId42" Type="http://schemas.openxmlformats.org/officeDocument/2006/relationships/header" Target="header46.xml"/>
  <Relationship Id="rId43" Type="http://schemas.openxmlformats.org/officeDocument/2006/relationships/header" Target="header47.xml"/>
  <Relationship Id="rId44" Type="http://schemas.openxmlformats.org/officeDocument/2006/relationships/image" Target="media/image9.png"/>
  <Relationship Id="rId45" Type="http://schemas.openxmlformats.org/officeDocument/2006/relationships/header" Target="header57.xml"/>
  <Relationship Id="rId46" Type="http://schemas.openxmlformats.org/officeDocument/2006/relationships/header" Target="header58.xml"/>
  <Relationship Id="rId47" Type="http://schemas.openxmlformats.org/officeDocument/2006/relationships/footer" Target="footer37.xml"/>
  <Relationship Id="rId48" Type="http://schemas.openxmlformats.org/officeDocument/2006/relationships/footer" Target="footer38.xml"/>
  <Relationship Id="rId49" Type="http://schemas.openxmlformats.org/officeDocument/2006/relationships/header" Target="header59.xml"/>
  <Relationship Id="rId5" Type="http://schemas.openxmlformats.org/officeDocument/2006/relationships/settings" Target="settings.xml"/>
  <Relationship Id="rId50" Type="http://schemas.openxmlformats.org/officeDocument/2006/relationships/footer" Target="footer39.xml"/>
  <Relationship Id="rId51" Type="http://schemas.openxmlformats.org/officeDocument/2006/relationships/customXml" Target="../customXml/item1.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s://www.e-tar.lt/portal/lt/legalAct/TAR.5C8F10257E92"/>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48ec5874ae14aec89227e9a21bd959e" PartId="b10fdb9f34bf45bb815a6707028a8534">
    <Part Type="preambule" DocPartId="decfd8d1478a4f85a1709418ee495c14" PartId="d6df3c1edfb446329a71c03a944d89a3"/>
    <Part Type="punktas" Nr="1" Abbr="1 p." DocPartId="ffd73e0b273f446db8b4dc18e9f62f4b" PartId="e7cbc5038b134994b9ba83156ea0dc95"/>
    <Part Type="punktas" Nr="2" Abbr="2 p." DocPartId="97391923327f47379a9886718394407f" PartId="135d80d8668949f29ba14d42282c3ba9">
      <Part Type="punktas" Nr="2.1" Abbr="2.1 p." DocPartId="2e04b9e67cd242138f83f5feb63dcd55" PartId="5b31207c83384a6da7d022bd2a85a2c8">
        <Part Type="punktas" Nr="2.1.1" Abbr="2.1.1 p." DocPartId="30b18ae8527e4cd8bddbe9f81bbbc5d5" PartId="8f0933b75f944bdbad74a20ec84d7b3c">
          <Part Type="punktas" Nr="2.1.1.1" Abbr="2.1.1.1 p." DocPartId="9bef85f0d7434c28ad11adc5a82edeb0" PartId="1df1ba2ed6f2444a84b15b2dc21e18e4"/>
          <Part Type="punktas" Nr="2.1.1.2" Abbr="2.1.1.2 p." DocPartId="bf7de3910921459492fe3fa91246a7ac" PartId="501cd2413bb64f539a234dc1ada13508"/>
        </Part>
        <Part Type="punktas" Nr="2.1.2" Abbr="2.1.2 p." DocPartId="a4e2f47cc8794c04abfdf2b5f7bf66cf" PartId="d8168f5e16834667b9eca90c357ff902">
          <Part Type="punktas" Nr="2.1.2.1" Abbr="2.1.2.1 p." DocPartId="135227cfd523403ba0b97c8380f270f5" PartId="9aacd39f8a35452bb728af0bb3e460cc"/>
          <Part Type="punktas" Nr="2.1.2.2" Abbr="2.1.2.2 p." DocPartId="eb2322c3c0e94112a4c275cd3f3aee94" PartId="70ae12f1e60e461a869e4b6e6b5466a1"/>
        </Part>
      </Part>
      <Part Type="punktas" Nr="2.2" Abbr="2.2 p." DocPartId="03decf5be4494e749f94f8c8b0798295" PartId="a4517daa727b469e9691e496b7c075d6">
        <Part Type="punktas" Nr="2.2.1" Abbr="2.2.1 p." DocPartId="5572d66cc2544912bacd7bd3f14d817a" PartId="0b38e7ecead440949bda67cb6bc2a51e"/>
        <Part Type="punktas" Nr="2.2.2" Abbr="2.2.2 p." DocPartId="786287e2c9434f0ca8e0c3517e66ac0e" PartId="dda2786672754426ac75d3c5b1ebcf81"/>
        <Part Type="punktas" Nr="2.2.3" Abbr="2.2.3 p." DocPartId="c077c76a3131432a88f67574484c82bd" PartId="27bcd164bb0b4daa95f1d5eba7e2d0f5"/>
        <Part Type="punktas" Nr="2.2.4" Abbr="2.2.4 p." DocPartId="2fb7447721784bfbb43c1cd046075070" PartId="f13c486dbce84854a1edcf71673ff21c"/>
        <Part Type="punktas" Nr="2.2.5" Abbr="2.2.5 p." DocPartId="d164f7132e974c24877a88ca396a9b6e" PartId="c1a5811c0b694fefa585f0775c4bfd32"/>
        <Part Type="punktas" Nr="2.2.6" Abbr="2.2.6 p." DocPartId="fa3b0e0f91da4975bb59083e9c5a291a" PartId="9844a91052a242cd96efe21c659402ac"/>
      </Part>
      <Part Type="punktas" Nr="2.3" Abbr="2.3 p." DocPartId="b707d83c20e1468591b75d9a9f065f49" PartId="18317273e2f7430986c49fa79e8bc6d6">
        <Part Type="papunktis" Nr="2.3.1" Abbr="2.3 p. 2.3.1 pp." DocPartId="d2da0c141c8646d6a6403afbf75a63b9" PartId="81d3cf08b85c4b14b1f79af9da7bac99"/>
        <Part Type="papunktis" Nr="2.3.2" Abbr="2.3 p. 2.3.2 pp." DocPartId="ffe0f1ce584b4e8fa3dad17b29a10e2b" PartId="0e8edf599ffe4570a9ac58bf847151f9"/>
      </Part>
      <Part Type="papunktis" Nr="2.3-1" Abbr="2.3-1 p.p." DocPartId="d13ce727dee043268f607ea7a88a0d77" PartId="1fed490856f64815adc881fd193bc00d"/>
      <Part Type="papunktis" Nr="2.3-2" Abbr="2.3-2 pp." DocPartId="e7e2988898384fbe99ec23f10d6bf876" PartId="8e3ec0500f954708a45238f52ee3a5c9"/>
      <Part Type="punktas" Nr="2.4" Abbr="2.4 p." DocPartId="9361cd574ee04c8db0c69e3140b6e29d" PartId="62f1e4c735d647c0a5d40b4b8e60d621">
        <Part Type="punktas" Nr="2.4.1" Abbr="2.4.1 p." DocPartId="40e77b96df844d41a1e4d2a0725e35c9" PartId="008b7f716f1e485699f48477b54564f1"/>
        <Part Type="punktas" Nr="2.4.2" Abbr="2.4.2 p." DocPartId="71410f92c58d4562b61ad0e0fa61d76b" PartId="464855ba57204238a5e5dd658e321da7"/>
        <Part Type="punktas" Nr="2.4.3" Abbr="2.4.3 p." DocPartId="22fd9791dde64dc0b47205fdf0b769cf" PartId="d667e6f0fad740c5b396729d97a6c540"/>
        <Part Type="punktas" Nr="2.4.4" Abbr="2.4.4 p." DocPartId="8e3786dcd91a4229b733cd5bc9226fd5" PartId="c7b4df06ea914eb1bd80cd56f90c6978"/>
        <Part Type="punktas" Nr="2.4.5" Abbr="2.4.5 p." DocPartId="08d2b6350de14660a064c7160da82704" PartId="df77b74af5b04063a6174a2122f6e4b6"/>
      </Part>
      <Part Type="punktas" Nr="2.5" Abbr="2.5 p." DocPartId="48e9d65f51ca4025abd8ac45c41d232a" PartId="0202992d15374505b490ed81b5cce9a4">
        <Part Type="punktas" Nr="2.5.1" Abbr="2.5.1 p." DocPartId="9df44e206d914e5789e03136c1c36e59" PartId="b82d6d3e981646278f47ccde5125bd54"/>
        <Part Type="punktas" Nr="2.5.2" Abbr="2.5.2 p." DocPartId="2773a823a3d1472e9ff81e15bebc02f8" PartId="593e0e7ce4c5499a94f8aa512a6594e4"/>
      </Part>
      <Part Type="punktas" Nr="2.6" Abbr="2.6 p." DocPartId="8f5b55db2e0c4b27a5a2417639410682" PartId="d9961901c33942328c754dd628ae6284">
        <Part Type="punktas" Nr="2.6.1" Abbr="2.6.1 p." DocPartId="440986cb650a4d79b455ef93ad6d5a11" PartId="98e47b26138c44c2983dd8c2e3a22891"/>
        <Part Type="punktas" Nr="2.6.2" Abbr="2.6.2 p." DocPartId="8c906e77f63140248fffa84cb2e9b06e" PartId="6a5014ea7df448e3af71b58e650bf8c6"/>
        <Part Type="punktas" Nr="2.6.3" Abbr="2.6.3 p." DocPartId="537aacde5d1a415f83c70f786f3746e4" PartId="dc54143edc844643943caa99f3aa21c2"/>
      </Part>
      <Part Type="punktas" Nr="2.7" Abbr="2.7 p." DocPartId="e6f57d9fc4914b2cb79a22cff900e47f" PartId="f7d71e2c18da41f9b77a8a536f2e66dc"/>
      <Part Type="punktas" Nr="2.8" Abbr="2.8 p." DocPartId="c088022daef94c2091445d91e608a57d" PartId="6447e00360e048d0a272b0d804e11ecf"/>
      <Part Type="punktas" Nr="2.9" Abbr="2.9 p." DocPartId="559a488d946c4a8c895787e97df62735" PartId="2f8e13f322ba44e18d187d6598705118"/>
      <Part Type="punktas" Nr="2.10" Abbr="2.10 p." DocPartId="85126d4c044b4b2d9d2e15edd8bdecdc" PartId="ea4499bab30b49a3a349a66f3a5e5ac9"/>
    </Part>
    <Part Type="punktas" Nr="3" Abbr="3 p." DocPartId="1ddeb71d62b443d49d62cd15a9867bf6" PartId="6572380deeed44f5a89d8c20c1d0f0f8">
      <Part Type="punktas" Nr="3.1" Abbr="3.1 p." DocPartId="71b4626633de4fdf85b6f0735e033b9c" PartId="647aaab532634296b66a5bc3ba99463b">
        <Part Type="papunktis" Nr="3.1.1" Abbr="3.1.1 pp." DocPartId="d8302ad1d4dc4598811b9bf993daa3e0" PartId="4d3c3b06416244f1bf9cf0d31447b849"/>
        <Part Type="papunktis" Nr="3.1.2" Abbr="3.1.2 pp." DocPartId="7dca6f68968c4ff0819c3e2877839b5e" PartId="f7fb6ef6665d4a008672ef125c058ecd"/>
        <Part Type="papunktis" Nr="3.1.3" Abbr="3.1.3 pp." DocPartId="7fa50f6f93ec48b8bfa8624277252ea4" PartId="3d78474b2cde451990e6aefc0ce61529"/>
      </Part>
      <Part Type="punktas" Nr="3.2" Abbr="3.2 p." DocPartId="4a3a73a5ef6945f5853dda2504d1c6fd" PartId="f02b98dedd234ac39beed78b3e399e2d">
        <Part Type="punktas" Nr="3.2.1" Abbr="3.2.1 p." DocPartId="914d098378d54b589d627160b7964026" PartId="776cab780c49463cb1bfdc94ddeeb1be"/>
        <Part Type="punktas" Nr="3.2.2" Abbr="3.2.2 p." DocPartId="acfd324af54c4d599ef157dcc8676415" PartId="18b00754463948579927c46b237b53ed"/>
        <Part Type="punktas" Nr="3.2.3" Abbr="3.2.3 p." DocPartId="84193ebc95f14049802d2c93a7ed3b60" PartId="c0917ab15da74cfe81eb1d8e8fd54616"/>
        <Part Type="papunktis" Nr="3.2.4" Abbr="3.2.4 pp." DocPartId="bfd9fbdcbb57405fadb61eb503b388d8" PartId="c97ecaa683f1468a9a3ec3687385f384"/>
        <Part Type="papunktis" Nr="3.2.5" Abbr="3.2.5 pp." DocPartId="8b6da79765464b5ab9e19c0412bee63f" PartId="044b9c7bff8843698026593671ce8d4b"/>
      </Part>
      <Part Type="papunktis" Nr="3.2.6" Abbr="3.2.6 pp." DocPartId="f6ce2fd1498549448cff40e10840de3c" PartId="041c57de48a3473ba48b68ef70e11628"/>
    </Part>
    <Part Type="signatura" DocPartId="a8388a9c0b6e4bb9805982ba3d97f682" PartId="749d325a2b8149828a3fafb320f1ab21"/>
  </Part>
  <Part Type="patvirtinta" Title="TARŠOS INTEGRUOTOS PREVENCIJOS IR KONTROLĖS LEIDIMŲ IŠDAVIMO, PAKEITIMO IR GALIOJIMO PANAIKINIMO TAISYKLĖS" DocPartId="6e7909a053ba46289f070b8e52e7e7f0" PartId="0b964f22f86b42cbb5f79762bfe35732">
    <Part Type="skyrius" Nr="1" Title="BENDROSIOS NUOSTATOS" DocPartId="91bba7a463734a65812b12d057314a0e" PartId="9b622a8f676a4b40b1c658ee2b98a79e">
      <Part Type="punktas" Nr="1" Abbr="1 p." DocPartId="79b25108eb1c4b2396c280b4633fbe3b" PartId="b422ff0ac03d4f409a5a9f39c9913169"/>
      <Part Type="punktas" Nr="2" Abbr="2 p." DocPartId="30b032352c9443d7882df8691cc1ea07" PartId="378f097aaadb474583d77659fe97fa66"/>
      <Part Type="punktas" Nr="3" Abbr="3 p." DocPartId="eee2c5049b8c4ed8897379f11badc2c8" PartId="745725f5bfaa4533a699a58a7d8cebb1"/>
      <Part Type="punktas" Nr="4" Abbr="4 p." DocPartId="00e7f99defbc41838554eede44e3441d" PartId="695e5583de854ffb8b6da90cef477bdb"/>
      <Part Type="punktas" Nr="5" Abbr="5 p." DocPartId="9a28422255544c7488456d6c860bfea2" PartId="93debc1b04a44cd6b8a73f3f27100a97"/>
      <Part Type="punktas" Nr="6" Abbr="6 p." DocPartId="cdca2665897947c7bbf34863686c885a" PartId="367d42ad08e24eb1b47df09fbf527262">
        <Part Type="punktas" Nr="6.1" Abbr="6.1 p." DocPartId="72832f96c76248b8a32bbfb5fb297e7d" PartId="d6510e49cbf54df5be14b1d8230ed6b3"/>
        <Part Type="punktas" Nr="6.2" Abbr="6.2 p." DocPartId="70e9d0ed20704465ba461313cff77ae3" PartId="62cf82926b09464b8748e21076d0a6c8"/>
        <Part Type="punktas" Nr="6.3" Abbr="6.3 p." DocPartId="105dcbe5c488470dbed6abcc209d3a37" PartId="dcd1a98d59f24e9ea6adbc22530da2bd"/>
        <Part Type="punktas" Nr="6.4" Abbr="6.4 p." DocPartId="fa7ba5fd69c84fd68248c0a4d91d53ab" PartId="f6b862df31564b74a78bf85605232039"/>
        <Part Type="punktas" Nr="6.5" Abbr="6.5 p." DocPartId="df3be87c308a4a1c9a68d65d2d1713fb" PartId="b714b289fa8c43eaa56d12408334f922"/>
      </Part>
    </Part>
    <Part Type="skyrius" Nr="2" Title="SĄVOKOS" DocPartId="6866549b58bb4dd1ba5d631080b16a2f" PartId="9bcbf66817c54572b444536d9a450efd">
      <Part Type="punktas" Nr="7" Abbr="7 p." DocPartId="ee87a0ca923e4f79bd1e3048e396dfd8" PartId="425aca561eec4c1a937fdc719f794d14">
        <Part Type="punktas" Nr="7.1" Abbr="7.1 p." DocPartId="31ff02a5e9d84d25a68609d09cec9009" PartId="7bc62472b49946dba83d209c6fedbeb6">
          <Part Type="papunktis" Nr="a" Abbr="7.1 p. a pp." DocPartId="ed15729375a14db7a7e4e899b6582ebd" PartId="5890b02c22a84da38cf3acb91d46079f"/>
          <Part Type="papunktis" Nr="b" Abbr="7.1 p. b pp." DocPartId="23eec75e12f74afa8596bfdca11f8b3e" PartId="cf0305b00c464bbd8e00c32481809b82"/>
          <Part Type="papunktis" Nr="c" Abbr="7.1 p. c pp." DocPartId="897709671a024646aa61b3c4492ad5e1" PartId="3f130b738f2345b79b59c8f9252f0805"/>
        </Part>
        <Part Type="punktas" Nr="7.2" Abbr="7.2 p." DocPartId="a4e5f440ff0f45c8a9a28ded6e425de5" PartId="ba246e97b4904362839a130f09ba8c31"/>
        <Part Type="punktas" Nr="7.3" Abbr="7.3 p." DocPartId="6da11699e8204119a9124e84a2d39b39" PartId="1e2b7e400c95457d8b7528d5d4d676f1"/>
        <Part Type="punktas" Nr="7.4" Abbr="7.4 p." DocPartId="d6580dfcb76f4b5f84dff42607274273" PartId="6468a439f1ef4537a8d2da42a434b71e"/>
        <Part Type="punktas" Nr="7.5" Abbr="7.5 p." DocPartId="211eed6128314d66989d6aee1172fc54" PartId="264a517cbc7d468eadff13e344c83546"/>
        <Part Type="punktas" Nr="7.6" Abbr="7.6 p." DocPartId="1ba0db94414948399878ffc522cad25e" PartId="b9e980ff85ea4f00a830a3cdd79911ce"/>
        <Part Type="punktas" Nr="7.7" Abbr="7.7 p." DocPartId="872ac9340a454ab4be2ca73be08bdd4e" PartId="dc7b87c2b8a7484c8462792d96238246"/>
        <Part Type="punktas" Nr="7.8" Abbr="7.8 p." DocPartId="6ef18e3dd846452a94d9588da704aec1" PartId="2ce6079f4ac44f0ea04e7525d15af3d8"/>
        <Part Type="punktas" Nr="7.9" Abbr="7.9 p." DocPartId="6e62393ffa314bfa87fffacdb12c467d" PartId="a581ae0ec6d04af4b161a6fc8c7af4e8"/>
        <Part Type="punktas" Nr="7.10" Abbr="7.10 p." DocPartId="e49b2d4d0b3b421c8ee0f9d8d74f8c5c" PartId="b231bb8d592c40a8befa0c38b0f56b31"/>
        <Part Type="punktas" Nr="7.11" Abbr="7.11 p." DocPartId="73d4409562e0446dbf46842606e14c1f" PartId="e8a044bf8091437d93e10a9200a9c8b4"/>
        <Part Type="punktas" Nr="7.12" Abbr="7.12 p." DocPartId="63cc287b13b149cb87b4fe1f8c081aa5" PartId="6dd90907e88b4ee887b4d8f3148d284f"/>
        <Part Type="punktas" Nr="7.13" Abbr="7.13 p." DocPartId="ff02cc54d1bb405c9ad469c4c76cbfa7" PartId="08d3fbf3ee794683976ca2f685735471"/>
        <Part Type="punktas" Nr="7.14" Abbr="7.14 p." DocPartId="9aae6c67462b4dbbb0d3d68a895193a0" PartId="7a4aae0334fb42f8a211068b803a0c7b"/>
        <Part Type="punktas" Nr="7.15" Abbr="7.15 p." DocPartId="198d7fc10b3f4b3b8d7493dc59291b83" PartId="aefa4b31068d4c50bf9e0b332f2efbed"/>
        <Part Type="punktas" Nr="7.16" Abbr="7.16 p." DocPartId="059e6bd978b947c0acd0a96c525846ca" PartId="d84ec2a58cbb4657b9cb178f9606df33"/>
        <Part Type="punktas" Nr="7.17" Abbr="7.17 p." DocPartId="676b6c7c4c934865988a71e34e7da311" PartId="9530062c02854d47bc6019a064497bc4"/>
        <Part Type="punktas" Nr="7.18" Abbr="7.18 p." DocPartId="62acd78ddfed4452a9116e5a30d1c5df" PartId="480e2fec35ac4c8f9171f13e5ad08387"/>
        <Part Type="punktas" Nr="7.19" Abbr="7.19 p." DocPartId="0dbed78032ad48179a9f312adc420fb1" PartId="1fd5a372f9d74370b738852c6676efc8"/>
        <Part Type="punktas" Nr="7.20" Abbr="7.20 p." DocPartId="6e1f17a394b54914ba651a8055cb6788" PartId="80d9dc82fb4d4024923e72157e0fcf8c"/>
        <Part Type="punktas" Nr="7.21" Abbr="7.21 p." DocPartId="5b58bc92e555445d9a6425099141ab55" PartId="f741c0ce15104fe587aa2c28a996d2ba"/>
        <Part Type="punktas" Nr="7.22" Abbr="7.22 p." DocPartId="db9ad3c57f8744eb81fcec4b6146494f" PartId="1e9845cd9dda46b18d183a2b7b582723"/>
        <Part Type="punktas" Nr="7.23" Abbr="7.23 p." DocPartId="f44909f42ec442f9823729b9988d8122" PartId="67cab156a71a4010b5e1f7bb2ae42109"/>
      </Part>
      <Part Type="punktas" Nr="8" Abbr="8 p." DocPartId="ab2842c4967c4673914f4d907be38364" PartId="450d62a77315463086089a7ec91f078e"/>
      <Part Type="punktas" Nr="9" Abbr="9 p." DocPartId="f679f2c4330d4e62b3536b84681f333c" PartId="b9efc9a2f8f543c98afb6196bf3d8290"/>
    </Part>
    <Part Type="skyrius" Nr="3" Title="BENDRIEJI LEIDIMŲ IŠDAVIMO PRINCIPAI" DocPartId="5a7e24bd0ab24587a1694f956d3d9945" PartId="dea8becce7944d0eaceb2abae87ceb9b">
      <Part Type="punktas" Nr="10" Abbr="10 p." DocPartId="c678720ceb8c4b0fa430752a9be522c5" PartId="a3f1dce563e5493084d9a101a80785cd"/>
      <Part Type="punktas" Nr="11" Abbr="11 p." DocPartId="f4e60c309b99426f8b38433e9be99ad9" PartId="cf1124e5edc84aca8774d6c1aaa967c0"/>
      <Part Type="punktas" Nr="11-1" Abbr="11-1 p." DocPartId="a27190a11b304f0398bd9270569c92b6" PartId="791f7e007d5e4d1386a9b006b8957b17"/>
      <Part Type="punktas" Nr="12" Abbr="12 p." DocPartId="42b3b29781d14d40bbda1d59dbe247b8" PartId="7137f32bdc32435ebd1422af603792d0"/>
      <Part Type="punktas" Nr="13" Abbr="13 p." DocPartId="538aa675e888402d917a3e76a635dfe0" PartId="0f0db99ab1884ca28eed6620b1c92329"/>
      <Part Type="punktas" Nr="14" Abbr="14 p." DocPartId="66162c73b8da4be6a772f6e2866fce33" PartId="fbc1e757d7df4e1b980bb624997c1de9"/>
      <Part Type="punktas" Nr="15" Abbr="15 p." DocPartId="44c9b932c4d2490aaddd265daebdf73d" PartId="ce69aa0e5c0e40a19b180b66dbbd9ef5"/>
      <Part Type="punktas" Nr="16" Abbr="16 p." DocPartId="7006bb41e36145018e52a97627e0ce38" PartId="57bd9f11fa27469686f4aca04941706e"/>
      <Part Type="punktas" Nr="16-1" Abbr="16-1 p." DocPartId="8f182824bc714ea7bdc45ad9561d653c" PartId="a88894bfb8704b8c8322a92edeef1ad9"/>
    </Part>
    <Part Type="skyrius" Nr="4" Title="PAGRINDINIAI LEIDIMO SĄLYGŲ NUSTATYMO PRINCIPAI" DocPartId="542ca2adc0a34604b296ace4d143e752" PartId="0fd3e58adf784878ba9dab9b0dbe26f0">
      <Part Type="punktas" Nr="17" Abbr="17 p." DocPartId="c85cd3723a494c4094210ebfddae4e93" PartId="8180c863d29b44eb91621034929c77aa">
        <Part Type="punktas" Nr="17.1" Abbr="17.1 p." DocPartId="3d205e6cf3a8424aa49a778350fc1d4a" PartId="9dda18a7a55d4063b1177d431f20e907"/>
        <Part Type="punktas" Nr="17.2" Abbr="17.2 p." DocPartId="4fceb64ba5774acd9dc01d367b5c5d79" PartId="b5bacb3d9a304300bdc48058b7202eb1"/>
        <Part Type="punktas" Nr="17.3" Abbr="17.3 p." DocPartId="f0ffc1efa030496a854c4704c6cdbfd2" PartId="d02e3c8dac61475f9a1f5ea572c2772d"/>
        <Part Type="punktas" Nr="17.4" Abbr="17.4 p." DocPartId="e84b10ccd9e846029040be543427d97c" PartId="5fde8bdf6fe44033a3aa05dfe82f9210"/>
        <Part Type="punktas" Nr="17.5" Abbr="17.5 p." DocPartId="3dead5338f2c48c8ab585d478179aca2" PartId="9d16bf786ab143d7934e8a53b0f2587c"/>
        <Part Type="punktas" Nr="17.6" Abbr="17.6 p." DocPartId="33e245dbc6b14c748778279446ebf2ba" PartId="acd87b1ec2c1482bbb3be9b8eda6521c"/>
        <Part Type="punktas" Nr="17.7" Abbr="17.7 p." DocPartId="f94055e55f854ba6908cb52626e4975e" PartId="6f2cbfb36c9f4739ba1cc7d78a717f8a"/>
      </Part>
    </Part>
    <Part Type="skyrius" Nr="5" Title="PARAIŠKOS LEIDIMUI GAUTI AR PAKEISTI RENGIMO REIKALAVIMAI" DocPartId="c9a28f879ea1445aa6bd9f0efa44c671" PartId="59677d85b3934a9faa3e055ff47e303a">
      <Part Type="punktas" Nr="18" Abbr="18 p." DocPartId="9cdc7e65b4a645d682d676b304145c05" PartId="7ad2696d896548159c825fb59ca68f50"/>
      <Part Type="punktas" Nr="19" Abbr="19 p." DocPartId="41debc4402f34b9abfae4f415ae7533b" PartId="381929cf82464037b2ee16f959048681"/>
      <Part Type="punktas" Nr="20" Abbr="20 p." DocPartId="2ef12b3e9b1f4687a7718e2f6a20523f" PartId="49a1bd93b01f444f8c7d089afc5cfa3c"/>
      <Part Type="punktas" Nr="21" Abbr="21 p." DocPartId="981d7ad551184b8cbb391be2398116ae" PartId="0e088ad007984411a741a4cafc9020ac">
        <Part Type="punktas" Nr="21.1" Abbr="21.1 p." DocPartId="daa3cff58d384f83a23adc7b5b3ab27a" PartId="929f6cf3bd9c4410abd413160256e98c"/>
        <Part Type="punktas" Nr="21.2" Abbr="21.2 p." DocPartId="6b5d84efb977429b834fcaf89d216057" PartId="a1bb018c81904a09acec11e6ec55119f"/>
        <Part Type="punktas" Nr="21.3" Abbr="21.3 p." DocPartId="fd188a48dfe14fd1b58a5ccb0517c539" PartId="5162b33c22ea4d5faf04754e5092d395"/>
        <Part Type="punktas" Nr="21.4" Abbr="21.4 p." DocPartId="9b3606fd1154484e8ff9085e3bc00c26" PartId="2e611bb3575841459eb8de231197f9cb"/>
        <Part Type="punktas" Nr="21.5" Abbr="21.5 p." DocPartId="4e67ef3f56ea43c89b1f204b93d48b17" PartId="171e6d178dc449bd97de8b250e8a6124"/>
        <Part Type="papunktis" Nr="21.5-1" Abbr="21.5-1 pp." DocPartId="dfd0123ded13441cb4c395efe2a6dfa3" PartId="e98a6531d46640438357e90b76b9048c"/>
        <Part Type="papunktis" Nr="21.5-2" Abbr="21.5-2 pp." DocPartId="a14cab14c8014044937cc4f6b4bbf1ea" PartId="48042fbfdefa4ecb8a25a2fef6a738a0"/>
        <Part Type="papunktis" Nr="21.5-3" Abbr="21.5-3 pp." DocPartId="40ebc425d2584390beaff41061f41377" PartId="9208d5ac4e2a432db9b47c3345fca47d"/>
        <Part Type="punktas" Nr="21.6" Abbr="21.6 p." DocPartId="e0411aff88884b3db693df1b224b4f53" PartId="c6afcc9d12fd492796a3f9eb964b757a"/>
        <Part Type="punktas" Nr="21.7" Abbr="21.7 p." DocPartId="4026eedc378146149c83781db5568a3d" PartId="da695cc3319940ab98c7014084481048"/>
        <Part Type="punktas" Nr="21.8" Abbr="21.8 p." DocPartId="8d12f1ddea074d5b9641dadda945ee75" PartId="4b1415cb48444cc1a26764474d674ce3"/>
        <Part Type="punktas" Nr="21.9" Abbr="21.9 p." DocPartId="fb2baa73264c46dba81a1118fac887db" PartId="217a48d2789b45ebb31835f4d70942ea"/>
        <Part Type="punktas" Nr="21.10" Abbr="21.10 p." DocPartId="fc7c00e37d194616bf560f6b14f4ca37" PartId="ec9fc6d4cf314891a589f872e2173351"/>
        <Part Type="punktas" Nr="21.11" Abbr="21.11 p." DocPartId="45f3a7fe8fcf486ea44924f8b67e58f0" PartId="63c110f014b64b2cb3dd62a073779f38"/>
        <Part Type="punktas" Nr="21.12" Abbr="21.12 p." DocPartId="703373cc1ab04d17842d7f4ed751ed28" PartId="e45512203aa74176828e4eaed2c26e94"/>
        <Part Type="punktas" Nr="21.13" Abbr="21.13 p." DocPartId="10addbab9d894931bc04dad33b26d080" PartId="8ba74420bcef47639a253fdfb4f04003"/>
        <Part Type="punktas" Nr="21.14" Abbr="21.14 p." DocPartId="27a92f87dcd04adcb8d9fa73dad1fb14" PartId="984c38aca6494719b8a36c3f9bf2feb6"/>
        <Part Type="punktas" Nr="21.15" Abbr="21.15 p." DocPartId="0c77edfd27594c65855a3ae0dbfb1eea" PartId="e1c420b3f0f64f39804d1a54ca6990a7"/>
        <Part Type="punktas" Nr="21.16" Abbr="21.16 p." DocPartId="6ac1b96087514842ab009c7e4a7ada81" PartId="499c803e62dc43c989b742a73273dd32"/>
        <Part Type="punktas" Nr="21.17" Abbr="21.17 p." DocPartId="21281d410ee44efeab1218d51530f9ff" PartId="2b332e0438d3434fb5f3563b6d425220"/>
        <Part Type="punktas" Nr="21.18" Abbr="21.18 p." DocPartId="97499a858b4441b2a9dcbaf49c1ce356" PartId="17a13c449a09404389f636f7f2602d78"/>
        <Part Type="punktas" Nr="21.19" Abbr="21.19 p." DocPartId="400a91c8c3c24b79a2bce36d541e0d82" PartId="4e7388b665864b1c97525504406e168e"/>
        <Part Type="punktas" Nr="21.20" Abbr="21.20 p." DocPartId="64804f41522b49cfb6db4ef91519ff01" PartId="cae7d4bc59614c1b84d902a2e65f959f"/>
        <Part Type="punktas" Nr="21.21" Abbr="21.21 p." DocPartId="eb78ac4414ad4194bd2918307fc0c4d3" PartId="81b78a32e51f4deba29fdb31e8d4d86a"/>
      </Part>
      <Part Type="punktas" Nr="22" Abbr="22 p." DocPartId="546478ab4e9e4e7daf3f5277709d79f6" PartId="a68c53e7318243b9b210042a6a9d329c">
        <Part Type="punktas" Nr="22.1" Abbr="22.1 p." DocPartId="552b3077336f4883ae56dc69e2364074" PartId="fb3aee899cab4b90b52b1d3b7236e1ec"/>
        <Part Type="punktas" Nr="22.2" Abbr="22.2 p." DocPartId="dcd3ba08616f44acb3dabb41f0820c81" PartId="299cbadccf0e451d8b9f2f76c1e8ce93"/>
        <Part Type="punktas" Nr="22.3" Abbr="22.3 p." DocPartId="87abde78bc274746b84f2be7087102ec" PartId="294b96f2b1c9475f9c50de0242afa165"/>
        <Part Type="punktas" Nr="22.4" Abbr="22.4 p." DocPartId="cc62a2b1330b4568a633bec1cada2f03" PartId="9e34a308940e4613acecb4388cecbeba"/>
        <Part Type="punktas" Nr="22.5" Abbr="22.5 p." DocPartId="6b122ffca1e44700bf4072d645a05f01" PartId="5b89bbf605254db6a802f1daccf32f40"/>
        <Part Type="punktas" Nr="22.6" Abbr="22.6 p." DocPartId="a9fc4513d81947e19b28d340738e8654" PartId="b1cf785f95fb4e85a19940c2aadb7c56"/>
        <Part Type="punktas" Nr="22.7" Abbr="22.7 p." DocPartId="900abcfe934e434f892e7dd7342b6e03" PartId="f13c156f9de54d41ac48ffc0959bf5b5"/>
        <Part Type="papunktis" Nr="22.7-1" Abbr="22.7-1 pp." DocPartId="f3c07bf4cd404e59a7f61625bc0b6e8f" PartId="8d9c3385417d4d19a76d7b42e58eae35"/>
        <Part Type="punktas" Nr="22.8" Abbr="22.8 p." DocPartId="c39c935f45b94508bf480978ea17832d" PartId="13be56745f024f8c80f203e2931c2967"/>
        <Part Type="punktas" Nr="22.9" Abbr="22.9 p." DocPartId="0bd42f49a8da4aa793a06832eb3bfa10" PartId="27fade5459ad4b46a0449c74bcf7f880"/>
        <Part Type="punktas" Nr="22.10" Abbr="22.10 p." DocPartId="8142256f6dfd4588b0267f9dc8e437d3" PartId="3ba2bd74a8d74e3692774ddae881e858"/>
        <Part Type="punktas" Nr="22.11" Abbr="22.11 p." DocPartId="ab99e2bf4602428cb796a0f04af16bf1" PartId="ed873021984344cf9157c82778daeb20"/>
        <Part Type="punktas" Nr="22.12" Abbr="22.12 p." DocPartId="23c7cab6ada44a51bfa954fa3e81b982" PartId="df6ea2efc4914755a3088a972c64d781"/>
        <Part Type="punktas" Nr="22.13" Abbr="22.13 p." DocPartId="033184a3ec1e49a28749cb125b8fee6f" PartId="6633a0384ed0499c8606d124b2100312"/>
        <Part Type="papunktis" Nr="22.13-1" Abbr="22.13-1 pp." DocPartId="71b8c41fbfdd4707bcce498d9bc0efb7" PartId="c516d9bd5b4c4fe994fc33297da45664"/>
        <Part Type="punktas" Nr="22.14" Abbr="22.14 p." DocPartId="971f1f9143d746abaa07ed5ceba313bd" PartId="3e950e7380394a64a263f4d0d38922e4"/>
        <Part Type="punktas" Nr="22.15" Abbr="22.15 p." DocPartId="40809a750b3f422aa11bc641fca65b37" PartId="806e5123017742a89fe8c31a4524426c"/>
        <Part Type="punktas" Nr="22.16" Abbr="22.16 p." DocPartId="b1c85f3b9e4245cf8e4913e45048a1fe" PartId="77ff5a4e230145d08c7a2a181dea913b"/>
        <Part Type="punktas" Nr="22.17" Abbr="22.17 p." DocPartId="374c6c3d7da44324a64f09b607c08767" PartId="9571c8b5118e46318af6ffbf72e91845"/>
        <Part Type="punktas" Nr="22.18" Abbr="22.18 p." DocPartId="9a10654bed934481b9f20b6f4b914734" PartId="606cfc357d4946d39a026f56fec27ad7"/>
        <Part Type="papunktis" Nr="22.19" Abbr="22.19 pp." DocPartId="ced3f30ea01a46f6b2b62290fbd6790e" PartId="1ed887fe214c43dc8a9cdd7426ab42f2"/>
      </Part>
      <Part Type="punktas" Nr="23" Abbr="23 p." DocPartId="9cf0725b5be2412d845dc36147141f14" PartId="311d93c0f5f84cb5902d7663d7945d84"/>
      <Part Type="punktas" Nr="24" Abbr="24 p." DocPartId="3b2f4d7d1787486e8f178887f32ccc29" PartId="3bb6805c5df145c7ba9120de122b3f62"/>
      <Part Type="punktas" Nr="25" Abbr="25 p." DocPartId="de20a5d803c74512a6983ed0f43141d8" PartId="9a43bd89366f4524a8a25a1fd01d4cb2"/>
      <Part Type="punktas" Nr="26" Abbr="26 p." DocPartId="35293c80ac384bdeaeb3f3eb7b41fb82" PartId="947e0568e93a4bb9a9f9c6c209a395b7"/>
      <Part Type="punktas" Nr="27" Abbr="27 p." DocPartId="89df85c622724a92a3452057c5a83ddc" PartId="811d9e04e1974f649c2d0db7fb77ba50"/>
    </Part>
    <Part Type="skyrius" Nr="6" Title="PARAIŠKOS LEIDIMUI GAUTI AR PAKEISTI TEIKIMAS IR DERINIMAS" DocPartId="65937b6ec233496f9c4e6fb08a14b4d7" PartId="1e14df9aa4bc4f699921cf45b5cbfe65">
      <Part Type="punktas" Nr="28" Abbr="28 p." DocPartId="50c75b667c0b4782b90b6042d94b56af" PartId="8896f8a986b5439a9bafb5f88169f021"/>
      <Part Type="punktas" Nr="29" Abbr="29 p." DocPartId="4b7a320a0a784095acef3c32fa1694b1" PartId="0633a655963a4c0a81d42554f07db901"/>
      <Part Type="punktas" Nr="30" Abbr="30 p." DocPartId="0069ed38396e4e6e92b4b204b024dfeb" PartId="ba5b4002c2c640f09a2c39ddec8e1b13"/>
      <Part Type="punktas" Nr="31" Abbr="31 p." DocPartId="566ad16439194e5d8a0e8f46488e386c" PartId="46a66660d58141fdbd089a2565a3cde1"/>
      <Part Type="punktas" Nr="31-1" Abbr="31-1 p." DocPartId="189cc64229ce4eb3a0c051ce301ad8cf" PartId="bfaf5f96d5de455c8817f9067b142e7f"/>
      <Part Type="punktas" Nr="32" Abbr="32 p." DocPartId="ff1e9ec81cad4695a846cd76aa0cd3df" PartId="00d277b7e55b4ad69381fb21db09a833">
        <Part Type="papunktis" Nr="32.1" Abbr="32.1 pp." DocPartId="640e435128b640f49d80ec524ec6e3b0" PartId="682da27a72124dd4a9b059a7cf41497b"/>
        <Part Type="papunktis" Nr="32.2" Abbr="32.2 pp." DocPartId="01ec2a01c1ec4cf0808a1f47983e2a54" PartId="da64c5216dcd498f8c3ce5cd18a87785"/>
      </Part>
      <Part Type="punktas" Nr="33" Abbr="33 p." DocPartId="57cc1080732d4bf7b2b881c03105e5f8" PartId="f75c33e76701475c92f0cba7d1ce23ea"/>
      <Part Type="punktas" Nr="33-1" Abbr="33-1 p." DocPartId="1de83e9e2ab34ea59e1b082901e2d8a1" PartId="170588d945ac4c5a921e445234a0deec"/>
      <Part Type="punktas" Nr="34" Abbr="34 p." DocPartId="972045e9e4604c0eb4b953f4eee97340" PartId="fbe03ba88d1a4e63bc305cddbf4751a5"/>
      <Part Type="punktas" Nr="35" Abbr="35 p." DocPartId="0b84e4311b964f048ec20840516047cd" PartId="cadc1a4de1994e2da15961b96a183e00"/>
      <Part Type="punktas" Nr="36" Abbr="36 p." DocPartId="c0dd5e61beed47e0ae019b9e3fdddc60" PartId="64b5ca3711a54bb38811100d0e275b55">
        <Part Type="papunktis" Nr="36.1" Abbr="36.1 pp." DocPartId="5d011090ad3b4d1ca3bf221ecbe97ec9" PartId="36d7c87bd497403f972a3cf3fb2e9e28"/>
        <Part Type="papunktis" Nr="36.2" Abbr="36.2 pp." DocPartId="602761b5e46d42faaa89b350f7d7557a" PartId="414dbb8f81104b28bcd272f1992aca4a"/>
      </Part>
      <Part Type="punktas" Nr="36-1" Abbr="36-1 p." DocPartId="3018a468189c454f8d4edb45e23b83f6" PartId="0f5aff5d91214e38b215924d70fbd3ea">
        <Part Type="papunktis" Nr="36-1.1" Abbr="36-1.1 pp." DocPartId="211989331d9f4a13bbc7607cba33f60f" PartId="025d6176b75b4a2d9e494a42a10de94d"/>
        <Part Type="papunktis" Nr="36-1.2" Abbr="36-1.2 pp." DocPartId="55ceee61d98a43d49f557090639dbdb8" PartId="24cc6abd2f90471bac37c639f1ed0e84"/>
      </Part>
      <Part Type="punktas" Nr="36-2" Abbr="36-2 p." DocPartId="69e8091b0cdc48028e4d4099359d8519" PartId="421010e209224a1d99a521b2d039dc53"/>
      <Part Type="punktas" Nr="37" Abbr="37 p." DocPartId="29296d515ada49ec81df8316371aa0f5" PartId="7ad8cb0082a541808b69fdc9eacdb43c"/>
      <Part Type="punktas" Nr="38" Abbr="38 p." DocPartId="5780963fc295452ca8f914181dd82153" PartId="e9722e51f15442eea7bc0c4010432401"/>
      <Part Type="punktas" Nr="38-1" Abbr="38-1 p." DocPartId="43a81a305b95465ebd196e78cb43742d" PartId="688b3e0eab0d4d9da469700d9786ee76"/>
      <Part Type="punktas" Nr="39" Abbr="39 p." DocPartId="deab42724e09420da9c83b45c1bfe619" PartId="072f5268ee164ced9810fd726ae8b605"/>
      <Part Type="punktas" Nr="40" Abbr="40 p." DocPartId="0cc9092fd2d040af860cc850c2313762" PartId="dbc180b121c84eb19ff1f2a3343f17c4"/>
      <Part Type="punktas" Nr="41" Abbr="41 p." DocPartId="69a3da480ba947b2b3dabc7d65ecdaf7" PartId="be05af98cdbb426384bd7806d9496847"/>
      <Part Type="punktas" Nr="42" Abbr="42 p." DocPartId="df4824265831437aa643d2ec98662fbf" PartId="d9518b37db6945d5b738f9fa1708e198"/>
      <Part Type="punktas" Nr="42-1" Abbr="42-1 p." DocPartId="6141588c431348e38e566ba34b94cd56" PartId="a930202ca5424ff38f38e59dd865b59a"/>
      <Part Type="punktas" Nr="42-2" Abbr="42-2 p." DocPartId="8bd56e8add204809a0d43b2e413f906f" PartId="d778f382fb99442298bb24cf4bd90237"/>
      <Part Type="punktas" Nr="43" Abbr="43 p." DocPartId="b896481c60664e35879ec46aa40907da" PartId="f85c0ccbdee34f13b1fb19fdbb170835"/>
    </Part>
    <Part Type="skyrius" Nr="7" Title="REIKALAVIMAI LEIDIMUI RENGTI" DocPartId="e3310cfe20fa4a75a37b573a1644fe19" PartId="a9a01eebdf594e52a65cdcdb8578cad0">
      <Part Type="punktas" Nr="44" Abbr="44 p." DocPartId="5562d2ff22c84e2eba4774fdd80974e9" PartId="7d81ecb1cf174f868da961ee53bd45d5"/>
      <Part Type="punktas" Nr="45" Abbr="45 p." DocPartId="927472f21f6b49ee8ecca35a9d38954b" PartId="4499cc86eb7d4255a7ee4b528e395548">
        <Part Type="punktas" Nr="45.1" Abbr="45.1 p." DocPartId="a9b4d9419c7742f2831beb921f6bf5d8" PartId="8abfc07e0f5346c7bbe3975c1e1eb5f8"/>
        <Part Type="punktas" Nr="45.2" Abbr="45.2 p." DocPartId="5fe8bd972f5d4a9b9cff52b640db219c" PartId="f18ae520aea742d9b40a6aab61077abf"/>
        <Part Type="punktas" Nr="45.3" Abbr="45.3 p." DocPartId="2bcd33ab92cf499cbe4c2b2b5da21ab3" PartId="630ffc6f068d45baa49a1afe41c8b8de"/>
        <Part Type="punktas" Nr="45.4" Abbr="45.4 p." DocPartId="8cc1ab90ac494c6c8da86372c8f2bf9b" PartId="1d9c4a5e19ab47259bbdb24d8f9ed0a9"/>
        <Part Type="punktas" Nr="45.5" Abbr="45.5 p." DocPartId="7fc0cbf1505f47e1ad986848d705f05e" PartId="3ec59e194b6743b992c05844cf172bc9"/>
        <Part Type="punktas" Nr="45.6" Abbr="45.6 p." DocPartId="7c07e2a970be4e0589fc60a070d0f6ee" PartId="688c16e8dc14420bb0e0df49679d5b29"/>
        <Part Type="punktas" Nr="45.7" Abbr="45.7 p." DocPartId="b1f78f2ea8ff40bd9aca08d9b8cfa245" PartId="cb64c24b082f41a583beda34043767c9"/>
      </Part>
      <Part Type="punktas" Nr="46" Abbr="46 p." DocPartId="3f2c12288a264fc39b3b086f49d41e35" PartId="b944582d9d9942a68bff5dcd37ceb84b"/>
      <Part Type="punktas" Nr="47" Abbr="47 p." DocPartId="0b6a9e138b434fb180ad10b8e48ef09f" PartId="820e0579d0a047b282937398245e0be2">
        <Part Type="papunktis" Nr="47.1" Abbr="47.1 pp." DocPartId="73d2cbf4916443ffaeb1b9d3db44ba69" PartId="ecb915c6cd7e41c5923e8f5ed16a37ce"/>
        <Part Type="papunktis" Nr="47.2" Abbr="47.2 pp." DocPartId="6000f04ee2f64ad2a1dfa6b56bcbb571" PartId="704576c8b4984172a8d56c3c56d7ae50"/>
        <Part Type="papunktis" Nr="47.3" Abbr="47.3 pp." DocPartId="0414aefc15304bdaa587d0451d82f030" PartId="742172bf3bd74c94b97e293cc371cefe"/>
      </Part>
      <Part Type="punktas" Nr="47-1" Abbr="47-1 p." DocPartId="0f4ab103133442dfa94283aeb0ef7df9" PartId="4b9aa92cd071473686f24228e9761116"/>
      <Part Type="punktas" Nr="48" Abbr="48 p." DocPartId="f87ffa683d794c749e9dc7f43f24fd5b" PartId="9d77e9666e7b4bed969146d222ef3cda"/>
      <Part Type="punktas" Nr="49" Abbr="49 p." DocPartId="515a41e61f15453d80ec8b849fcec369" PartId="7e57c0768dd84aa083405b88e776dfa3">
        <Part Type="papunktis" Nr="49.1" Abbr="49.1 pp." DocPartId="4068207b1ff74e09988ea22a609166b7" PartId="3415cde612294c0abdecda4b4a520c68"/>
        <Part Type="papunktis" Nr="49.2" Abbr="49.2 pp." DocPartId="1cc3a237e3b341c7914e1669005e2261" PartId="95cd9c4439d04d18b6cde3fd702e1fc9"/>
      </Part>
      <Part Type="punktas" Nr="50" Abbr="50 p." DocPartId="672aead95a174c0fa39eedeacd43f777" PartId="87b3c086daf6486eac2e77c05af26ca7"/>
      <Part Type="punktas" Nr="51" Abbr="51 p." DocPartId="6f7003fc9027422aad3f377b3b880c80" PartId="06e51446bca9437ab7f0ad6f70d8c817">
        <Part Type="punktas" Nr="51.1" Abbr="51.1 p." DocPartId="e9789776d3724d4e8d96218e88f81dd1" PartId="2c55eaa8625c4dedafd56f3e8ad146a2"/>
        <Part Type="punktas" Nr="51.2" Abbr="51.2 p." DocPartId="cc731802a4024876a369c07f6fbb71ea" PartId="626303ea4433461091267a7def5868c2"/>
      </Part>
      <Part Type="punktas" Nr="52" Abbr="52 p." DocPartId="e8904814eb214f90bcbbfdd419625a16" PartId="65ee0138aec047ec9edab68e073fba87"/>
      <Part Type="punktas" Nr="53" Abbr="53 p." DocPartId="349e7c763ca04a8e91e2ffbbfcb2eb19" PartId="4c31e48ee25845e2bc25569a0594d780"/>
      <Part Type="punktas" Nr="54" Abbr="54 p." DocPartId="6f05b91492764ecfac23b3d718edefd2" PartId="bee899db9c804b2cb0bd11fa34df8212"/>
      <Part Type="punktas" Nr="55" Abbr="55 p." DocPartId="492d5b2d2e5847a98c4dc1cb962c84e7" PartId="9e98ce9420c345de909c7a479ec37789"/>
      <Part Type="punktas" Nr="56" Abbr="56 p." DocPartId="235f76afced5431888cd474ca9a93ed8" PartId="2d08d00b7c794058be0ec5c7f7d35f80"/>
      <Part Type="punktas" Nr="57" Abbr="57 p." DocPartId="d3a240189de449d2b27178c8912c102a" PartId="da33a6d8b0ae4246888fb292bfc6e2e8"/>
      <Part Type="punktas" Nr="58" Abbr="58 p." DocPartId="279723624bda4d1d844ea36be7b7a334" PartId="cabb075ac39f47888d89881b69bd24fd"/>
      <Part Type="punktas" Nr="59" Abbr="59 p." DocPartId="f42eab756afb4939af08282668d06b67" PartId="fa8eb407e02e4a8c9f73b65579a846f4"/>
      <Part Type="punktas" Nr="60" Abbr="60 p." DocPartId="2f699722c88f42d9962e45dad133a87a" PartId="972762ee91c848688af26576b15efc95">
        <Part Type="punktas" Nr="60.1" Abbr="60.1 p." DocPartId="7618068101e64eed9365a9b1a164ec4a" PartId="c9d9f427996f4bbbabf85b198ee0c9d7"/>
        <Part Type="punktas" Nr="60.2" Abbr="60.2 p." DocPartId="7df139d05c9c456f997c257009f174e9" PartId="7bce45f4952f4500aeb78fc609bcd23f"/>
      </Part>
      <Part Type="punktas" Nr="61" Abbr="61 p." DocPartId="ab3c6984022c40b78613e3389296746d" PartId="8ee77e16011442649af3f88d54d5e900"/>
      <Part Type="punktas" Nr="62" Abbr="62 p." DocPartId="bd501024da6d4edeb1e31091bd9e67d9" PartId="4a3fd517ddad4b85a2515f379fe3c59f">
        <Part Type="punktas" Nr="62.1" Abbr="62.1 p." DocPartId="24acc77668af48e49bbc4690727874c7" PartId="712e58cb7a9242d696e73d7990d1de64"/>
        <Part Type="punktas" Nr="62.2" Abbr="62.2 p." DocPartId="241333699eee4f20afba1f701d2be7fd" PartId="fa2cc9e9043642af9fca2cf2ddb16801"/>
        <Part Type="punktas" Nr="62.3" Abbr="62.3 p." DocPartId="17799073dfc8447693fe95707adf7a16" PartId="8cf7ae5a35984556864ee7d826b279e1"/>
        <Part Type="punktas" Nr="62.4" Abbr="62.4 p." DocPartId="995a3bf97f624d199b9dac4b3c98c6d7" PartId="a2daca8ca9f94d71a74c597add1d985d"/>
      </Part>
      <Part Type="punktas" Nr="63" Abbr="63 p." DocPartId="05639148500e4083b70626926c227433" PartId="e1b88edf71a449ce9a066e453dc8f435">
        <Part Type="punktas" Nr="63.1" Abbr="63.1 p." DocPartId="75e9785afab44247bb602fe642c589d5" PartId="267986888ba343c39a35e409db2af78c"/>
        <Part Type="punktas" Nr="63.2" Abbr="63.2 p." DocPartId="7f6191e9099a47b7b3dad64a41d6e9e0" PartId="25685e9976674649b6738e834ab57d3d"/>
        <Part Type="punktas" Nr="63.3" Abbr="63.3 p." DocPartId="b055e02a087f4c26a4ee9255a044a3fa" PartId="0f57f43e10534aac86751bd579afd707"/>
      </Part>
      <Part Type="punktas" Nr="64" Abbr="64 p." DocPartId="8d214353564e46548dfe2e6709a4d41c" PartId="2e42e1f14ac342da98178bcc882582f0">
        <Part Type="punktas" Nr="64.1" Abbr="64.1 p." DocPartId="45fe86572451435c93d6a5c5cd362019" PartId="d57b3857f34b471fa2760bf3a190eaba">
          <Part Type="punktas" Nr="64.1.1" Abbr="64.1.1 p." DocPartId="d0391e10027b4ccbb5f1b754a54895ad" PartId="58bc5f546b934e66a651d0fe16bb19a0"/>
          <Part Type="punktas" Nr="64.1.2" Abbr="64.1.2 p." DocPartId="f89ca0c0e641484c9712220abd26e29b" PartId="64683587ab614e739f21041abfb27994"/>
        </Part>
        <Part Type="punktas" Nr="64.2" Abbr="64.2 p." DocPartId="d27f42ca3bc84a9b8a6f7d2dd1318fb9" PartId="56d40c8da1254bd69fa4d2099e6e03f7">
          <Part Type="punktas" Nr="64.2.1" Abbr="64.2.1 p." DocPartId="057e9b72d4144f6197039fc874b1ae0d" PartId="87d0e07e4219420cb5d580a6182a68d4"/>
          <Part Type="punktas" Nr="64.2.2" Abbr="64.2.2 p." DocPartId="bdb3429a443e454c8598d909b64067f1" PartId="4b4c602896a84bb4a645adfcd73b07e2"/>
          <Part Type="punktas" Nr="64.2.3" Abbr="64.2.3 p." DocPartId="9db337038e8f459bbada1d5cf10d8bde" PartId="4224ad4d4ec84b5bb764ca476c3d86aa"/>
        </Part>
        <Part Type="punktas" Nr="64.3" Abbr="64.3 p." DocPartId="d5aaf2fc46a64493a8740a945f3fcd09" PartId="da7663366f5a4f898a17c91c4efa9f00"/>
        <Part Type="punktas" Nr="64.4" Abbr="64.4 p." DocPartId="c606ed1cebdf4d049fb0671c51cd7dc7" PartId="eb555bb8b3fb4228b5c323221317ed44"/>
        <Part Type="papunktis" Nr="64.5" Abbr="64.5 pp." DocPartId="9be9625f94fe4c55af3bcbb82b66d171" PartId="4853ffb8d4a6433799466e9dbf0972e2"/>
      </Part>
      <Part Type="punktas" Nr="65" Abbr="65 p." DocPartId="9207c57c60d24b4d9b47372c8da23ba0" PartId="57d5b36690b34ce99e074965bfb781f7">
        <Part Type="punktas" Nr="65.1" Abbr="65.1 p." DocPartId="10aec507e5d849359cb51f6f28acedb1" PartId="972e09c33ea0459a92a1d1b039611ac4"/>
        <Part Type="punktas" Nr="65.2" Abbr="65.2 p." DocPartId="63f28916030048019ab31889d39c1ee1" PartId="381f806e630d4216a7e3f18f99bcd0cb"/>
        <Part Type="punktas" Nr="65.3" Abbr="65.3 p." DocPartId="e94f1e65e97c4dc3829b0386449ebbcf" PartId="037871293f8c49cabbf5fd3e06060a00"/>
        <Part Type="punktas" Nr="65.4" Abbr="65.4 p." DocPartId="66216f4477ea47cead3df6fe38fc1f66" PartId="f59fd04697d740afb83bd7cb80b1b27f"/>
        <Part Type="punktas" Nr="65.5" Abbr="65.5 p." DocPartId="2c5dfaaa34a84744b67fac540d54f452" PartId="d6477b7d722a4632888886d5f01cfe91"/>
        <Part Type="punktas" Nr="65.6" Abbr="65.6 p." DocPartId="a7e3a1aad557476484c02c516356be2a" PartId="9b4e30261d1b45d8997bf1d7cfbb5b2c"/>
        <Part Type="punktas" Nr="65.7" Abbr="65.7 p." DocPartId="f76915bf20cf4ab8a5657f70950ac2e0" PartId="520d7ee1381d407cb97fdfa86717e0e9"/>
        <Part Type="punktas" Nr="65.8" Abbr="65.8 p." DocPartId="4d20769a3a034ac8b0b80b993312b664" PartId="75603be78be845d2897bdb1e40391f2e"/>
        <Part Type="punktas" Nr="65.9" Abbr="65.9 p." DocPartId="1af88d8f826348d69284732c972f674c" PartId="8e5eb419116f4842ac8b563498b2811f"/>
        <Part Type="punktas" Nr="65.10" Abbr="65.10 p." DocPartId="9aae511ae1ce4ee4b393d3d2140d898f" PartId="b16a2b504df44adb90213ede24c36dd3"/>
        <Part Type="punktas" Nr="65.11" Abbr="65.11 p." DocPartId="6d67a7c25c7b4298b25bf9bec0440eac" PartId="7db3a8c6f70946a18f45a82943abf457"/>
        <Part Type="papunktis" Nr="65.12" Abbr="65.12 pp." DocPartId="c4331ba254a340098bbc43226a99d66e" PartId="7e7810834a1d41b4ae5a0aa49629de36"/>
      </Part>
      <Part Type="punktas" Nr="66" Abbr="66 p." DocPartId="6f5cc00ae09240c3a4aa900212c7a108" PartId="95045d2d38b24b1284450563ed0db822"/>
      <Part Type="punktas" Nr="67" Abbr="67 p." DocPartId="fa3d6b1f88b74a46b211ee7b682928f4" PartId="6dd5bad3fbeb4eb4a6cb32c7998042fc"/>
      <Part Type="punktas" Nr="68" Abbr="68 p." DocPartId="4ecdb002829c4990aa9842d8d254dbbe" PartId="d46e1a4da5c44fdaab0b7c276c6220fc">
        <Part Type="punktas" Nr="68.1" Abbr="68.1 p." DocPartId="7dfa8328bd75432aae373b1d5658368a" PartId="a4a59908b21048aab05c2c9ca0683512"/>
        <Part Type="punktas" Nr="68.2" Abbr="68.2 p." DocPartId="5bf9f6b357ef4faeb04fd586525161cf" PartId="1276325f0d934d4797de91ef2e5cb85f"/>
        <Part Type="punktas" Nr="68.3" Abbr="68.3 p." DocPartId="70d43148cb2b49b4896e338acc4f4777" PartId="e90d9ebd891646b0965494f9cfb73497"/>
        <Part Type="punktas" Nr="68.4" Abbr="68.4 p." DocPartId="884df8fedf5249d588791a38a90e8b13" PartId="0923a7c0120345d48cc8434c1c943822"/>
        <Part Type="punktas" Nr="68.5" Abbr="68.5 p." DocPartId="9a0b7f37e0f545ad8d1757dbd844fca1" PartId="58c88918009b4a3c827c4a5643a476c8"/>
        <Part Type="punktas" Nr="68.6" Abbr="68.6 p." DocPartId="b9fb23242f7a40abb182fddc262ee20f" PartId="7510df2e93734f2689040492dff705ad"/>
        <Part Type="punktas" Nr="68.7" Abbr="68.7 p." DocPartId="9d0682477fd4445eb4e0e66f7808ee47" PartId="9f774b1c4ee34066a545e2e091f2a56c"/>
        <Part Type="punktas" Nr="68.8" Abbr="68.8 p." DocPartId="29edbd9525324894ba3534fe4ef8d3e9" PartId="2e59a20802094465a08688c582d75097"/>
        <Part Type="punktas" Nr="68.9" Abbr="68.9 p." DocPartId="001ad409cc08422faf20e16e041c6ecc" PartId="a6a4760b43eb4da6ac257e53e80ce08b"/>
        <Part Type="punktas" Nr="68.10" Abbr="68.10 p." DocPartId="cd53abddecb5490683870d901d36349e" PartId="50b6332208d74428a86492f28d5e5c63"/>
        <Part Type="punktas" Nr="68.11" Abbr="68.11 p." DocPartId="8ee20bb9079c4ec5a8dbae72424ae9b3" PartId="512d1e9cdc06479492188d6772a68f58"/>
        <Part Type="punktas" Nr="68.12" Abbr="68.12 p." DocPartId="21a1b16315634ddfb333062fb30561c0" PartId="c824cdf64c9a45949a9d793d4717d478"/>
        <Part Type="punktas" Nr="68.13" Abbr="68.13 p." DocPartId="60ae6fd044b7442b83a1aa0e2b196bd3" PartId="f29b678f58354629a33290aaf8066aec"/>
        <Part Type="punktas" Nr="68.14" Abbr="68.14 p." DocPartId="737e5f6ac25d49c89b3c6c908f680574" PartId="d7a1d953788548da879c2c7a16a3c1f2"/>
        <Part Type="punktas" Nr="68.15" Abbr="68.15 p." DocPartId="09d6c4d6bb5b418fb87fb1753297833b" PartId="48068e26b0454024b06b72a0c9e0d5ad"/>
        <Part Type="punktas" Nr="68.16" Abbr="68.16 p." DocPartId="8ef6c38b2e2647e2802b85897ff22117" PartId="1b705015ecaf43aeb6de0290f4b419bc"/>
        <Part Type="punktas" Nr="68.17" Abbr="68.17 p." DocPartId="df4a5c4cb3c44507a2badd3440c12c02" PartId="a39b962361a54b6692183990673ac1e2"/>
        <Part Type="papunktis" Nr="68.17-1" Abbr="68.17-1 pp." DocPartId="21b252bc2594418984e28e9e1225faef" PartId="5cd46c488cd54a968be4272995981bdf"/>
        <Part Type="punktas" Nr="68.18" Abbr="68.18 p." DocPartId="86cc153668a441dcbc8390ed700430bb" PartId="f7f15190383f4993afdcedebc372b7f9"/>
      </Part>
      <Part Type="punktas" Nr="68-1" Abbr="68-1 p." DocPartId="0cf8a7306ff94ab1bd895bf5abb2c79d" PartId="7c7af943b2d74905835eb6f5930efdc1">
        <Part Type="papunktis" Nr="68-1.1" Abbr="68-1.1 pp." DocPartId="fa2f99e66d7c44c69379e8556c08ea81" PartId="c34b1cebeb8247c09f58d8583d5613c6"/>
        <Part Type="papunktis" Nr="68-1.2" Abbr="68-1.2 pp." DocPartId="727a7ed4131744898fb29f3279c15006" PartId="95991957046f4788b488a9abea769f44"/>
        <Part Type="papunktis" Nr="68-1.3" Abbr="68-1.3 pp." DocPartId="4ff5fe47f55a4e70b0383f5cf43a2448" PartId="009a414e38e14343b13835dc8d36804e"/>
        <Part Type="papunktis" Nr="68-1.4" Abbr="68-1.4 pp." DocPartId="e2effee99adc4ad68585f4d61be0a63f" PartId="5148cd14f6a747c7bd17edef799116da">
          <Part Type="papunktis" Nr="68-1.4.1" Abbr="68-1.4.1 pp." DocPartId="6c41459a5f434da0b132042ec57b1c8c" PartId="382423e1238942288d8b9f2a83bed759"/>
          <Part Type="papunktis" Nr="68-1.4.2" Abbr="68-1.4.2 pp." DocPartId="935a93f163bd4e90992f27a609e2c1ad" PartId="a644817e71bf408cbcd1753cd5775484"/>
          <Part Type="papunktis" Nr="68-1.4.3" Abbr="68-1.4.3 pp." DocPartId="29748e31def44fc78b32d7078638cdf6" PartId="7178a8be47db471a82869b09cce48e16">
            <Part Type="papunktis" Nr="68-1.4.3.1" Abbr="68-1.4.3.1 pp." DocPartId="d075d394207441c3b76b3aae1deec087" PartId="d9167092ac8c49e1b9f5c95f751cfe07"/>
            <Part Type="papunktis" Nr="68-1.4.3.2" Abbr="68-1.4.3.2 pp." DocPartId="efd52e1bc9924bbc89e23cf4e33bd7f7" PartId="08ea4cc6e17d40ba89aa54ba9598fa58"/>
          </Part>
        </Part>
        <Part Type="papunktis" Nr="68-1.5" Abbr="68-1.5 pp." DocPartId="2486fda279bf4205bc2aaddf9d6c45b0" PartId="29d17cd1f95748faadb88aba761febc3"/>
        <Part Type="papunktis" Nr="68-1.6" Abbr="68-1.6 pp." DocPartId="fb74bdd4164a4546923e89fa87b91c4f" PartId="8af7fbf882da4652b904f3d7ef38aa1f"/>
      </Part>
    </Part>
    <Part Type="skyrius" Nr="8" Title="VISUOMENĖS IR SAVIVALDYBIŲ INSTITUCIJŲ DALYVAVIMAS LEIDIMŲ IŠDAVIMO PROCESE" DocPartId="0bd9a93aa2f84deca3d49cece71c58c4" PartId="895425fe5b7f4bf986d76a0d91147260">
      <Part Type="punktas" Nr="69" Abbr="69 p." DocPartId="ae381eef9ad34524bb896c8779d68639" PartId="b7b5e40f3a104a4da6bf5085c1b14c7d"/>
      <Part Type="punktas" Nr="70" Abbr="70 p." DocPartId="e89b2b500b0744ceb6a5b97eee9a25d5" PartId="ff290b2f32de442caf66e675fce190b6">
        <Part Type="punktas" Nr="70.1" Abbr="70.1 p." DocPartId="ebd5039dd80e4d4088dc2df06c9be7cf" PartId="42253bc57d484937a39ee08ac9887d0c"/>
        <Part Type="punktas" Nr="70.2" Abbr="70.2 p." DocPartId="98813712312845b5ad4971c526090ac7" PartId="ef97d15ee1a44b299568a021326b800a"/>
        <Part Type="punktas" Nr="70.3" Abbr="70.3 p." DocPartId="bfb38cf9426c463f9c3205faac5804d9" PartId="4b965dd083ab415395d8837798abfeba"/>
        <Part Type="punktas" Nr="70.4" Abbr="70.4 p." DocPartId="4e73a698d8b94856a52d51273f89edf9" PartId="5d740ec07ab844a0ad9c0b3629d99422"/>
      </Part>
      <Part Type="punktas" Nr="71" Abbr="71 p." DocPartId="5aeda1bf1452444dbf781257d5357c10" PartId="92d5e9d0aa204b47b4a0eb818f20604b"/>
      <Part Type="punktas" Nr="72" Abbr="72 p." DocPartId="ef64e54b7f5b4942b415732bf411dbda" PartId="a452cd888cf44fefbe37b264a746246a">
        <Part Type="punktas" Nr="72.1" Abbr="72.1 p." DocPartId="6d29adb79c3444b1b304dc50acdb5440" PartId="b85b331daeed45f5aa8968abdd6a1977"/>
        <Part Type="punktas" Nr="72.2" Abbr="72.2 p." DocPartId="344cddc9c195401398b028cfd1549948" PartId="c5faa6af72c84c92ba31564206000dcc"/>
        <Part Type="punktas" Nr="72.3" Abbr="72.3 p." DocPartId="6936b3e169584b23a674e92d6588a8a7" PartId="f76c2a34741c4aed8f963ed127765fc6"/>
        <Part Type="punktas" Nr="72.4" Abbr="72.4 p." DocPartId="d9181845b4f7466d8a9598fd83413623" PartId="ee8ca0426c4c47ac8164356d8605e52f"/>
        <Part Type="punktas" Nr="72.5" Abbr="72.5 p." DocPartId="989c01c666b34188be789a8bd23523e1" PartId="e4d2f7b04a87475183470b4eb71fc7aa"/>
        <Part Type="punktas" Nr="72.6" Abbr="72.6 p." DocPartId="450e852f3653496c8c258102603e665c" PartId="d4a639bdbe1646e9904a68d2190517ac"/>
      </Part>
      <Part Type="punktas" Nr="73" Abbr="73 p." DocPartId="346232930c5a442d834cdbfce1dbe6e8" PartId="e5014dae919540c18c7676a3247637b0"/>
      <Part Type="punktas" Nr="74" Abbr="74 p." DocPartId="65e7a119ab2b40578d0d448c179b50d2" PartId="92ae184a29d048589c20e8f9da18d31a"/>
      <Part Type="punktas" Nr="75" Abbr="75 p." DocPartId="220b4136eb614d009689fae1d195b1ff" PartId="129d34c35b53407391208df9b38735f9"/>
      <Part Type="punktas" Nr="76" Abbr="76 p." DocPartId="4a21feb8d8614a0bbffd9537d2999962" PartId="f2d8f5f9fe1e4941a7df11663fdb46a2">
        <Part Type="punktas" Nr="76.1" Abbr="76.1 p." DocPartId="a076eedabdf04910a056ad22421ebf2e" PartId="5ae3a99582964a22bea0652b8e0b522b"/>
        <Part Type="punktas" Nr="76.2" Abbr="76.2 p." DocPartId="39e783eb74004763ac1ee4d9f831c077" PartId="6aabb93cb7e74386912997e222b8b327"/>
        <Part Type="punktas" Nr="76.3" Abbr="76.3 p." DocPartId="da936e9bf7254e07b0275a7b69d104f5" PartId="4f10ebc115e54c4dbd83656abdb0d4ae"/>
        <Part Type="punktas" Nr="76.4" Abbr="76.4 p." DocPartId="a459286136c84f218dde7cfb994f2c4f" PartId="ff9fbf08123945f2831ef70529864e08"/>
        <Part Type="punktas" Nr="76.5" Abbr="76.5 p." DocPartId="2b20f1a87df4476d8ee59541a822d595" PartId="d3164472338b414faccbbbf3a6f1c60b"/>
        <Part Type="punktas" Nr="76.6" Abbr="76.6 p." DocPartId="5f70d6a324ef4b53875f497a70cb08c0" PartId="9937dc72422a4ddd9fc102323d9aead4"/>
      </Part>
      <Part Type="punktas" Nr="77" Abbr="77 p." DocPartId="ade8d5e45c3d42f5bce77846f0d3fe24" PartId="561764a9d06f4f51a23c5315a3807ecc"/>
    </Part>
    <Part Type="skyrius" Nr="9" Title="KITOS ES VALSTYBĖS INFORMAVIMO PROCEDŪROS" DocPartId="d113a5b07a6041d0a36743924bd64224" PartId="17dd1dd58ca94ebd9ae04b929e23bd1c">
      <Part Type="punktas" Nr="78" Abbr="78 p." DocPartId="3ff2ed43943b431091e111d9c760e878" PartId="e668c7e5a95e438eaa258bd30e8026a9">
        <Part Type="papunktis" Nr="78.1" Abbr="78.1 pp." DocPartId="77be9fa20ff64884aea6adf32106f426" PartId="b71d96d146634afe982a2bf070a62f31"/>
        <Part Type="papunktis" Nr="78.2" Abbr="78.2 pp." DocPartId="77acdd2461c94aa3982f44881ddf30c9" PartId="e784c9f5439a431aa55574672133b7ec"/>
        <Part Type="papunktis" Nr="78.3" Abbr="78.3 pp." DocPartId="40fe0953537c44a0a907a00873eff9b0" PartId="0af997c8292b4ecdaa078651370e942d"/>
        <Part Type="papunktis" Nr="78.4" Abbr="78.4 pp." DocPartId="0d88e6cbe38946a5b3aba7342dc91973" PartId="e31464b959e843d3ab7862b545c64866"/>
      </Part>
      <Part Type="punktas" Nr="79" Abbr="79 p." DocPartId="361e08f642264616b53af66f2281d91b" PartId="db031a51f48b45f9aeda5185709f6b97"/>
      <Part Type="punktas" Nr="80" Abbr="80 p." DocPartId="59af650815e34479a926bf3041169ccb" PartId="db5272c6dd064dadac1e603f5f4ff805"/>
      <Part Type="punktas" Nr="81" Abbr="81 p." DocPartId="d43369928af74f638ba1f7d31240194d" PartId="8c1b10f403034a74ae6e4d024385c5bb"/>
      <Part Type="punktas" Nr="82" Abbr="82 p." DocPartId="be86b8aa41724b8fb3121fdc11e53ab7" PartId="3663f6e5a421436f97e2b426aba4eb5a"/>
    </Part>
    <Part Type="skyrius" Nr="10" Title="LEIDIMO IŠDAVIMAS" DocPartId="1abebfaf18ec441ca6852e5b6c030bc2" PartId="61fa2251b4714a58895bcdad03021617">
      <Part Type="punktas" Nr="83" Abbr="83 p." DocPartId="820a97311ebf4461b2ba46141b3985a1" PartId="95e4448a4b39489aa0574dce0f09092c"/>
      <Part Type="punktas" Nr="84" Abbr="84 p." DocPartId="8f1eabf7933f4e099421bd9a34afb1de" PartId="20581889861047b9bc78b934144ca98c"/>
      <Part Type="punktas" Nr="85" Abbr="85 p." DocPartId="bf0d80020e154144a5906991ec4be60e" PartId="415c47c8dbeb492d8847f06751f2f194"/>
      <Part Type="punktas" Nr="86" Abbr="86 p." DocPartId="d434332597054b19beddb8d9ca5e0f9d" PartId="e236407c27574386b52ec771df36757b"/>
      <Part Type="punktas" Nr="87" Abbr="87 p." DocPartId="5d0f60e6f6c34a08b330018fd63d1042" PartId="b4abed87dcde4f358c497b0918d23fb6"/>
      <Part Type="punktas" Nr="88" Abbr="88 p." DocPartId="ae16b28e031e494da28371168df2e186" PartId="cd29064749d846e79e11056d150ce27b"/>
      <Part Type="punktas" Nr="89" Abbr="89 p." DocPartId="d0f5a19dbf764f6ca71d8dd2425413cf" PartId="0f5dad1486b54eb1a8f8c6f0e614b479"/>
      <Part Type="punktas" Nr="90" Abbr="90 p." DocPartId="e0e9698b00104ecf8688fb18c76b8bc8" PartId="4d5bf5f4f2f84bb2ba0cd4e8e25dc041"/>
      <Part Type="punktas" Nr="91" Abbr="91 p." DocPartId="a6936ef0e4b24ddeb220476551443299" PartId="741b80c359c143cfb423007488e29f5e"/>
    </Part>
    <Part Type="skyrius" Nr="11" Title="LEIDIMO SĄLYGŲ PERŽIŪRĖJIMAS IR LEIDIMO PAKEITIMAS" DocPartId="fc00aa27997742e3b0a9b39236d48e77" PartId="5dfcda735799479ba5e7e794ea22f1b5">
      <Part Type="punktas" Nr="92" Abbr="92 p." DocPartId="372f32cba7cb429e9b09c0baf33eb1fc" PartId="1e90ac721e954453aa86018e6fea077e">
        <Part Type="papunktis" Nr="92.1" Abbr="92.1 pp." DocPartId="2bbce62486dd48eda313ba10671513b6" PartId="7acee1a11ce549e9947bbc406106e6a1"/>
        <Part Type="papunktis" Nr="92.2" Abbr="92.2 pp." DocPartId="831e9855030743cc84f970a03455cb69" PartId="5738bebc329440d7a7639790f1c2c60e"/>
        <Part Type="papunktis" Nr="92.3" Abbr="92.3 pp." DocPartId="bbf425b1b3ae4ea98aa2d393832089c3" PartId="e15aecafd578458bb1630f9501b5a5c6"/>
        <Part Type="papunktis" Nr="92.4" Abbr="92.4 pp." DocPartId="7e44c7445a52404ebaed164ba5d7ee89" PartId="2849eaed513b4466a9c03aa521f0f110"/>
        <Part Type="papunktis" Nr="92.4-1" Abbr="92.4-1 pp." DocPartId="112a52377a0e4435ab9a26699bb7341a" PartId="01f16f7ba9064ad89da4339cbb80723e"/>
        <Part Type="papunktis" Nr="92.5" Abbr="92.5 pp." DocPartId="9c7d8af513664552813fe9ae70d66db5" PartId="63d1fe1b47af42678f6fec504afd4a06"/>
        <Part Type="papunktis" Nr="92.6" Abbr="92.6 pp." DocPartId="026801bb91fe4ae594d6432bce9b4be8" PartId="3ae1661a93dc41029e3825044f853d67"/>
        <Part Type="papunktis" Nr="92.7" Abbr="92.7 pp." DocPartId="f7e90b56d59b44f39b0c05d8c258387c" PartId="185867e4134c4bbf9fdd95290290ed84"/>
        <Part Type="papunktis" Nr="92.8" Abbr="92.8 pp." DocPartId="d84815ebef0344aaab7855d5af2021fd" PartId="939d0f4aa78041f98e63a6065d8d045e"/>
        <Part Type="papunktis" Nr="92.9" Abbr="92.9 pp." DocPartId="b4d2574c7d8647829ca0ba6b5d595f68" PartId="e2c96bd574e94bfeb6e1b1e5bf8d04fa"/>
        <Part Type="papunktis" Nr="92.10" Abbr="92.10 pp." DocPartId="852d20152f934485be8adf1c464bab6f" PartId="c897917e3665402097703210460e1f71"/>
        <Part Type="papunktis" Nr="92.11" Abbr="92.11 pp." DocPartId="66018ff2be174097b944ed593a7c3d57" PartId="31e44f3e6c8049428eeed18cc58e4a9d"/>
        <Part Type="papunktis" Nr="92.12" Abbr="92.12 pp." DocPartId="deecb70335fa4008b81ae05cffcde9e8" PartId="279c14c99bfe4a899a31d8aed658b52f"/>
        <Part Type="papunktis" Nr="92.13" Abbr="92.13 pp." DocPartId="3a370ebe2ba844798548b5d935d50ba3" PartId="f71c42ca318a4290bf2c12afa0de4b35"/>
        <Part Type="papunktis" Nr="92.14" Abbr="92.14 pp." DocPartId="4da6332300de480580868480284385f6" PartId="d456dd164ab14fbcad25a023f2e356ad"/>
        <Part Type="papunktis" Nr="92.15" Abbr="92.15 pp." DocPartId="e0d8f57042674efcb2f6a24a7efbc14f" PartId="344b9eeb9566445788387e502c74fd86"/>
      </Part>
      <Part Type="punktas" Nr="93" Abbr="93 p." DocPartId="d249f138dadc4123baecfdb913a77545" PartId="6db6c2f3baa7442abbbc234db53258a1"/>
      <Part Type="punktas" Nr="94" Abbr="94 p." DocPartId="90329aa401f243bf9af64e269b44c454" PartId="be9d7fc0a04041c88512dbf3f4b629e9"/>
      <Part Type="punktas" Nr="95" Abbr="95 p." DocPartId="0fa913cd2c70438ea5497c7d59d625fb" PartId="1a3bf0c2c3a3498fae7b8b2aa12c73b3"/>
      <Part Type="punktas" Nr="95-1" Abbr="95-1 p." DocPartId="2f1c5be66fcb4cfbb3bf0e3d6f9fa933" PartId="2a095549d5094d0f9a7bb6ed054953f6"/>
      <Part Type="punktas" Nr="95-2" Abbr="95-2 p." DocPartId="8b278ebb489a4ff8b68a2122fb46e4f2" PartId="674b9388341d48eba4332246167416a9">
        <Part Type="papunktis" Nr="95-2.1" Abbr="95-2.1 pp." DocPartId="4aaa4e7d30534278b4432e6ddb818a47" PartId="b4967e0a9b7b4733be32c37bfc9ce3ee"/>
        <Part Type="papunktis" Nr="95-2.2" Abbr="95-2.2 pp." DocPartId="899b3232470b4aed86d287e0bb5ba184" PartId="a6cce9c23beb4673946f46c5dee78d0d"/>
        <Part Type="papunktis" Nr="95-2.3" Abbr="95-2.3 pp." DocPartId="6a7cb2c898dd4c0dbc3b7de2d70533a0" PartId="a78884e591d74b88969e7edde1d10212"/>
      </Part>
      <Part Type="punktas" Nr="96" Abbr="96 p." DocPartId="e23b4d7e36da4ee9965a18dea60f56c2" PartId="199fac32572448a686ae04b62d9ababe"/>
      <Part Type="punktas" Nr="96-1" Abbr="96-1 p." DocPartId="dce5e0e5794447ccb50a8617997e22b8" PartId="6e46075045bd49c2a26c7baa254ea85e">
        <Part Type="papunktis" Nr="96-1.1" Abbr="96-1.1 pp." DocPartId="98ac10a130ba43418f83fcf8bcbbd7fa" PartId="3e05c002e6a64e2f8e217e0ae33ff2b8"/>
        <Part Type="papunktis" Nr="96-1.2" Abbr="96-1.2 pp." DocPartId="3ad597c91a7a49ca8d08f95dd5280a2b" PartId="744cde824aca4f899002fc510f35271f"/>
        <Part Type="papunktis" Nr="96-1.3" Abbr="96-1.3 pp." DocPartId="fc75b8cbce524aa28622aa27c99fd83b" PartId="19c9a741378641229df9ee64714a5b0f"/>
        <Part Type="papunktis" Nr="96-1.4" Abbr="96-1.4 pp." DocPartId="3e9384b193ae482dac79e473bd5ec346" PartId="0e8eaf5356624feca5feb774ba0bb10b"/>
      </Part>
      <Part Type="punktas" Nr="97" Abbr="97 p." DocPartId="9885117eb19c4cbd99a09d2b1f38177c" PartId="2c099e1a53ce433983f4b09bb4ace219">
        <Part Type="papunktis" Nr="97.1" Abbr="97.1 pp." DocPartId="ad649da819de4b61811d7d13621b9780" PartId="3461422e6ff54b159f5d29b56a5eb5eb"/>
        <Part Type="papunktis" Nr="97.2" Abbr="97.2 pp." DocPartId="ee235887615445f0a3dd148b6bef157d" PartId="20a65966b26843e9814bbfb96d62f060"/>
        <Part Type="papunktis" Nr="97.3" Abbr="97.3 pp." DocPartId="3babe15e90534f8284b6b1f34f91b0ac" PartId="672b24d3a68d46ec92f8d76f9f832c5e"/>
      </Part>
      <Part Type="punktas" Nr="97-1" Abbr="97-1 p." DocPartId="a5a2c0fcf7d4482ba3e9c8c99831af30" PartId="98432253b7484c6989b401f2a8af68aa"/>
      <Part Type="punktas" Nr="98" Abbr="98 p." DocPartId="59dccbef1fb84bbbace5482f41ecd2b8" PartId="b9c0ff9fc71c42f3a1499e7ad5b72b71"/>
      <Part Type="punktas" Nr="98-1" Abbr="98-1 p." DocPartId="c63f49613caa470e959829eab79db219" PartId="c4b2e76fae584cf4a077c7d1ae80eb1e">
        <Part Type="papunktis" Nr="98-1.1" Abbr="98-1.1 pp." DocPartId="fd7e93a44c2742b0b7a233a2f4cfd28f" PartId="7da04611a32e4860bf801a78378a2170"/>
        <Part Type="papunktis" Nr="98-1.2" Abbr="98-1.2 pp." DocPartId="50cfce29253c4588a85b6e0b804a722b" PartId="a1a61ff49cd8447cafaeca1ea25ff62d"/>
        <Part Type="papunktis" Nr="98-1.3" Abbr="98-1.3 pp." DocPartId="a8ee31cfedc94f44961fcd854b4efb2a" PartId="c413a20be9e749198f48c6c396c3e06d"/>
      </Part>
      <Part Type="punktas" Nr="99" Abbr="99 p." DocPartId="5e9d4337869b4bb0a0b34355849a84c1" PartId="5c88bcf3d5664bf098dbde5508c2e40e"/>
      <Part Type="punktas" Nr="100" Abbr="100 p." DocPartId="77bccc49ca5a499abc0af4644687a1cb" PartId="50be9b832f094e5faf59e8a9f4eaf5f6"/>
      <Part Type="punktas" Nr="101" Abbr="101 p." DocPartId="c12a299b5af6429cb8b1eefc0dd420a0" PartId="5b86873d322e42daa2d76ba415ae1b91">
        <Part Type="punktas" Nr="101.1" Abbr="101.1 p." DocPartId="fc3aa7fd8e314511bc1d2941c45567b3" PartId="65fadce7859747958a0e7b8e489f104b"/>
        <Part Type="punktas" Nr="101.2" Abbr="101.2 p." DocPartId="cd459adf96c348e798d0694f2297efe7" PartId="eb86e02742694879b974c37b4c555a64"/>
        <Part Type="punktas" Nr="101.3" Abbr="101.3 p." DocPartId="18bc6095694543929e2f9e3bd5a3a908" PartId="c06eb5b0fcbb4c1abea9a421c9c35d4d"/>
      </Part>
      <Part Type="punktas" Nr="102" Abbr="102 p." DocPartId="3de24c05345b4912838832a67b595152" PartId="79153d4657c149f5ab9f28465fec37b5"/>
      <Part Type="punktas" Nr="103" Abbr="103 p." DocPartId="925928f39f7a4971990604f68faa83fc" PartId="f300f7b3d8bc495892944f96ac2ee064"/>
      <Part Type="punktas" Nr="104" Abbr="104 p." DocPartId="4434c62aa611428089b87484b1b84fda" PartId="945773c22f04471a9c82b13bad5bdb66"/>
      <Part Type="punktas" Nr="105" Abbr="105 p." DocPartId="e7737e2e11064162b4a84ebcc3a51074" PartId="b61fbc011f754f45882da315628a0a64">
        <Part Type="papunktis" Nr="105.1" Abbr="105.1 pp." DocPartId="6dceea4457cb46e8b697ee1ed7300914" PartId="24cddcc2418c47f7b64d8e824a8c1d0a"/>
        <Part Type="papunktis" Nr="105.2" Abbr="105.2 pp." DocPartId="dad105d8184d40468eba0e497719f102" PartId="b119d9855bce48658ed41f467f4b26d1"/>
        <Part Type="papunktis" Nr="105.3" Abbr="105.3 pp." DocPartId="19cea63ff51e43b393b7dec4c47bd328" PartId="c76466ef93de4c23aa140871342c3005"/>
        <Part Type="papunktis" Nr="105.4" Abbr="105.4 pp." DocPartId="630dcbc9302341d28d4e991d97c4f182" PartId="9a3432cf8d804a6a9dc79f745662c59b"/>
        <Part Type="papunktis" Nr="105.5" Abbr="105.5 pp." DocPartId="5d2c1e9d84fb4dd08e8802e3c53051b1" PartId="28cd39f4fb1f4707a1075b1ae145a42d"/>
      </Part>
    </Part>
    <Part Type="skyrius" Nr="12" Title="LEIDIMO GALIOJIMO PANAIKINIMAS" DocPartId="3547b80de23e4820b331417fba28ec65" PartId="bc6438f8d2cf45158934aad6d724cb86">
      <Part Type="punktas" Nr="106" Abbr="106 p." DocPartId="d3ca9d13c53b4e0c94fa229d0ab7581f" PartId="81fe422d39624610bd951bf21c11f9d9"/>
      <Part Type="punktas" Nr="106-1" Abbr="106-1 p." DocPartId="81e70704f76b4df68b81b01f7c791ed8" PartId="6f88fab5b0d24763a1a89d5218513169"/>
      <Part Type="punktas" Nr="107" Abbr="107 p." DocPartId="7a8d9cf02bcb43938c63dc3aa538eb3f" PartId="678296aa4a6a4553ba3cf42b7865fb46">
        <Part Type="papunktis" Nr="107.1" Abbr="107.1 pp." DocPartId="ee028e0857a443e0bc5fd53bd42f9678" PartId="4c27f5155884477b86e8a398c14768f5"/>
        <Part Type="papunktis" Nr="107.2" Abbr="107.2 pp." DocPartId="17c356e621154411b95b061d31d7d381" PartId="5e57b272891244cda5b764247948895a"/>
        <Part Type="papunktis" Nr="107.3" Abbr="107.3 pp." DocPartId="e16fde1e16e541a4a11967920ae4c42b" PartId="36b02c71e7584c8da529a6b0a370461d">
          <Part Type="papunktis" Nr="107.3.1" Abbr="107.3.1 pp." DocPartId="4c17cc288e9f4a2888ee8baec9b1b5b2" PartId="e6da6294e9084a2e9b62ca4fef2ed16a"/>
          <Part Type="papunktis" Nr="107.3.2" Abbr="107.3.2 pp." DocPartId="36765b519e724fe29767d9e5339ee8ce" PartId="5b01ecc29ba1442dacd41c3a0e314e39"/>
        </Part>
      </Part>
      <Part Type="punktas" Nr="108" Abbr="108 p." DocPartId="98a89bd724a04371905a0e996caa218c" PartId="52262e2e09c0491dbeb1d3c69641ff29"/>
      <Part Type="punktas" Nr="109" Abbr="109 p." DocPartId="aafbe5758e854f3e94a5c20c89fff860" PartId="61de999d04224fa8a8027518e6ca9c95"/>
    </Part>
    <Part Type="skyrius" Nr="13" Title="NUOSTATOS DĖL EKSPLOATAVIMO VIETOS UŽDARYMO" DocPartId="219baea63a9e40cdb014dbb62c737e4d" PartId="e29a8e9b6aea49fea28ef99231d22309">
      <Part Type="punktas" Nr="110" Abbr="110 p." DocPartId="6d740a80fc3b46f58d7d38df316cb43a" PartId="26ff8c0df49248b790ccb7043e3578ba"/>
      <Part Type="punktas" Nr="111" Abbr="111 p." DocPartId="721db64a208a4ed381d1317fe32077ce" PartId="8ea8631b552e4f5fa1adf50cc26f67d7"/>
      <Part Type="punktas" Nr="112" Abbr="112 p." DocPartId="229445a4d6244d6998cc7a42b2bca903" PartId="eed94aba856741bca23b0c5426f7a544"/>
      <Part Type="punktas" Nr="112-1" Abbr="112-1 p." DocPartId="621c03beac074a1b8a69db84710c7726" PartId="6d90acc84bf9481780136f05b31d1b44">
        <Part Type="punktas" Nr="112-1.1" Abbr="112-1.1 p." DocPartId="1297bf2210b948c6af53fe2aa1c0aee3" PartId="7fc08e39911a4c9aa98af76e0e6109bf"/>
        <Part Type="punktas" Nr="112-1.2" Abbr="112-1.2 p." DocPartId="c4ad1e630c7c402b865b29d59de881f1" PartId="601de0a51a894480b55ecc5fcf67ce99"/>
      </Part>
      <Part Type="punktas" Nr="113" Abbr="113 p." DocPartId="a229954ce64c472585c5d91ab4042a7d" PartId="48f23e05bc5445f6966cfeecb6695bc6"/>
      <Part Type="punktas" Nr="114" Abbr="114 p." DocPartId="8b10a9f81c4f451694604a2344e71387" PartId="580f0132ac1a4917986c1c7ce372dcad"/>
      <Part Type="punktas" Nr="114-1" Abbr="114-1 p." DocPartId="2a531b89ef5a4267b80f39894d273e60" PartId="68d576ee2b824034a695f8fe35916316"/>
    </Part>
    <Part Type="skyrius" Nr="14" Title="LEIDIMO SĄLYGŲ LAIKYMASIS IR KONTROLĖ" DocPartId="703c1caf79c2493bac0d84339de4a0bd" PartId="f6bf4706196144fbb8f4f68cd03a4509">
      <Part Type="punktas" Nr="115" Abbr="115 p." DocPartId="46e933be572e40b780ea3c0c012a1a4d" PartId="4990e59facf447789ed8d7f359f31e67"/>
      <Part Type="punktas" Nr="116" Abbr="116 p." DocPartId="dc9624615a9d49218f663cc403ed2644" PartId="1144aee35391410a8af17c969f4659d4"/>
      <Part Type="punktas" Nr="117" Abbr="117 p." DocPartId="720ff7be788f43fd8bf719589cf3036b" PartId="21f17ca3317f43e59268202c58cc54f6"/>
      <Part Type="punktas" Nr="118" Abbr="118 p." DocPartId="0d6bc1e2a85e4e1da7cfe864f35532ef" PartId="393ce2f7f8c943d09a79879dbfe501e5">
        <Part Type="papunktis" Nr="118.1" Abbr="118.1 pp." DocPartId="f2a6b2dde6bb43ec878c0486e9006367" PartId="934884ac8de245c9a0f9e373fd6ef063"/>
        <Part Type="papunktis" Nr="118.2" Abbr="118.2 pp." DocPartId="4e19aae1943b4d0ba5f5d90c80b2819e" PartId="bf48b4a1fb5c48e9813230904029ea2d"/>
        <Part Type="papunktis" Nr="118.3" Abbr="118.3 pp." DocPartId="4184c80ff1bc4b61818ed3eee0510d5f" PartId="cf8e58c4e08a4cfaa6a584a0ae592502"/>
      </Part>
      <Part Type="punktas" Nr="119" Abbr="119 p." DocPartId="e21a3a579b5542109dfddecc44dcf6a8" PartId="330592308d1d48acbfde42ff018c77f5"/>
      <Part Type="punktas" Nr="119-1" Abbr="119-1 p." DocPartId="03d7bfc32f6b4d838fdd71e524229fd6" PartId="dbf2287cafc9408da3df698eb1edb257"/>
      <Part Type="punktas" Nr="119-2" Abbr="119-2 p." DocPartId="e048ecd5904c481785a141928d250df4" PartId="1902b0365d71473db8269f82529c4553"/>
      <Part Type="punktas" Nr="119-3" Abbr="119-3 p." DocPartId="c33c590c85e14394a5ffe8594637b7a5" PartId="6cc4271c61fd43abae0d72829a6b72b2"/>
      <Part Type="punktas" Nr="120" Abbr="120 p." DocPartId="9a2dd430ce694d299ec2dfbddad195ef" PartId="0658af485a73442abe502d204ad56e04">
        <Part Type="papunktis" Nr="120.1" Abbr="120.1 pp." DocPartId="28fd122b76104213a56f5ac63024d523" PartId="da1161a5ade4478096fbc62ef7ffce12"/>
        <Part Type="papunktis" Nr="120.2" Abbr="120.2 pp." DocPartId="f2d45f14562b4e1b92da0636ccc26368" PartId="abc99b650fcf45169b4bb3beb407dc5b"/>
        <Part Type="papunktis" Nr="120.3" Abbr="120.3 pp." DocPartId="e37071824caf4be9b8dd34a749896655" PartId="c5a2dad357db426abdaf2a1db611dac2"/>
      </Part>
    </Part>
    <Part Type="skyrius" Nr="15" Title="INFORMACIJOS VIEŠINIMAS" DocPartId="1a713c387be24a37b03d1e077c84347f" PartId="16714ee09297403ca15bc10d78d39b6f">
      <Part Type="punktas" Nr="121" Abbr="121 p." DocPartId="1ef885bfb89746ac845db81c5b9ba774" PartId="b1f0906f98344b4e85fd86fd19337be3"/>
      <Part Type="punktas" Nr="122" Abbr="122 p." DocPartId="bfebbe7a0192441492785797db09242c" PartId="7c7da25f59c6495ca71c3eabd381724d"/>
      <Part Type="punktas" Nr="123" Abbr="123 p." DocPartId="3b4dbaf98ebd49038a13570f0558ca8a" PartId="cef0c40fda46483db2aaa61ad22e2559"/>
      <Part Type="punktas" Nr="123-1" Abbr="123-1 p." DocPartId="aa2b0c0d0b6d4b0599459dd7ffad9290" PartId="779d785404ea4ffe8a35057f76a12f01"/>
      <Part Type="punktas" Nr="123-2" Abbr="123-2 p." DocPartId="024c4d11bae340f589e2604d0571f826" PartId="5a2e2f8cc0ed42f68e8d055351dff2ee"/>
      <Part Type="punktas" Nr="123-3" Abbr="123-3 p." DocPartId="f564c1a0340940768d2a09b9a0acc33c" PartId="bf404c6165dc4302bf43ff2326b0b8cd"/>
      <Part Type="punktas" Nr="123-4" Abbr="123-4 p." DocPartId="334eac4d94db4528a23f733e7ddf05f7" PartId="6aca1940ee704d11b0e08e5c6ccc23c3"/>
    </Part>
    <Part Type="skyrius" Nr="16" Title="BAIGIAMOSIOS NUOSTATOS" DocPartId="b81e493471fd409ea955be7d84596fda" PartId="3e06d35450c74ffc9d49467afecbd513">
      <Part Type="punktas" Nr="124" Abbr="124 p." DocPartId="026d8c4647a64e50b2adb279db72ad49" PartId="e048a07c228b4142a237b0ec122f7d38"/>
      <Part Type="punktas" Nr="125" Abbr="125 p." DocPartId="4e13a0d683ea47818184ccd8c7beb3b2" PartId="28a9482eba464e6ab780cd7756ab5b4a"/>
      <Part Type="punktas" Nr="125-1" Abbr="125-1 p." DocPartId="3e02ea1e4c984999b73c98755e213eea" PartId="3fe61a8cfe3b470f81a7985c6f8f99ee">
        <Part Type="punktas" Nr="125-1.1" Abbr="125-1.1 p." DocPartId="04426a19605c4004bce4544a537ce890" PartId="51017e71d80a4aec9bbdb5827788bb2d"/>
        <Part Type="punktas" Nr="125-1.2" Abbr="125-1.2 p." DocPartId="8a7dd0c9035443ed926562f2a86cbf0a" PartId="eeb3a89722664858b273382a062f5356"/>
        <Part Type="punktas" Nr="125-1.3" Abbr="125-1.3 p." DocPartId="9fcff2c6f0ea49619b4c2c7d1afcb34a" PartId="a69b3679f6a943adb71b51ed1bbab116"/>
      </Part>
      <Part Type="punktas" Nr="126" Abbr="126 p." DocPartId="e8aa3cd19fff45de9cdd12ef54e12eb9" PartId="a2700a1669114d069188508af08f356f"/>
    </Part>
    <Part Type="pabaiga" DocPartId="9ae9cc089cae4b63a4c7a8edf5c05768" PartId="916678593ed24bc482b97f8626dd9f88"/>
  </Part>
  <Part Type="priedas" Nr="1" Abbr="1 pr." Title="VEIKLOS RŪŠYS, PAGAL KURIAS NUSTATOMA, AR ĮRENGINIUI REIKIA TURĖTI LEIDIMĄ PAGAL TAISYKLIŲ REIKALAVIMUS" DocPartId="cff411479a83411fb655b554bf5d467a" PartId="27e080f03b8d4778ad804acb5d76f07a">
    <Part Type="punktas" Nr="1" Abbr="1 pr. 1 p." DocPartId="0af89f90e61240cc895427be617f1164" PartId="da7a7e54b6b340b39763f4bf80ac332e">
      <Part Type="punktas" Nr="1.1" Abbr="1 pr. 1.1 p." DocPartId="edf13482fc6944d289662a116de11b4c" PartId="38b02849b765420f889e9c02a9a5ebe9"/>
      <Part Type="punktas" Nr="1.2" Abbr="1 pr. 1.2 p." DocPartId="0847c28055bd487aa555c4f6d2bbfebb" PartId="3d419f45f2d04c369808b91c39ff8a3c"/>
      <Part Type="punktas" Nr="1.3" Abbr="1 pr. 1.3 p." DocPartId="7577fbf12cc04652bb8fb13c513fbe7f" PartId="38b29198e53e421bba6682aafb0ecfe5"/>
      <Part Type="punktas" Nr="1.4" Abbr="1 pr. 1.4 p." DocPartId="1e54b93424f54eea917c92444de8d46e" PartId="e3b9de8fc27846a69a2d6e07107db0ae"/>
    </Part>
    <Part Type="punktas" Nr="2" Abbr="1 pr. 2 p." DocPartId="a8eba31a3a2443ccb1f921417ac129c3" PartId="aa501b9bbd9942ae95fd3e071179f0f5">
      <Part Type="punktas" Nr="2.1" Abbr="1 pr. 2.1 p." DocPartId="11f2c40d012f4393837babb7c7ac33d1" PartId="4aacd967f4eb43b5a48a2dd72583d7d3"/>
      <Part Type="punktas" Nr="2.2" Abbr="1 pr. 2.2 p." DocPartId="73e5069309234b338a73aea62500c5f5" PartId="a0521a1295bb42d2aa498500798b15a1"/>
      <Part Type="punktas" Nr="2.3" Abbr="1 pr. 2.3 p." DocPartId="34e9e5ce4998440ca554e7142aefea0e" PartId="9c354aac3a3149a29668f6cee4beb2a1">
        <Part Type="punktas" Nr="2.3.1" Abbr="1 pr. 2.3.1 p." DocPartId="a0120b16bbd447ff84624f0b56d11ad8" PartId="5c853aead9c8472cba53a6e46eefab5c"/>
        <Part Type="punktas" Nr="2.3.2" Abbr="1 pr. 2.3.2 p." DocPartId="ea984be5178c4cb09206c994896df886" PartId="ecbdc618980246209938cb819cac1fd8"/>
        <Part Type="punktas" Nr="2.3.3" Abbr="1 pr. 2.3.3 p." DocPartId="ca3bbd4d2fa745c4bfbee27cb2462d95" PartId="5613f38081c041688cff33ace37bfe0b"/>
      </Part>
      <Part Type="punktas" Nr="2.4" Abbr="1 pr. 2.4 p." DocPartId="09aadf84c1a149fb9c1ea968c358933e" PartId="e667c5eafcbd4a51b3c26033ecdea2ee"/>
      <Part Type="punktas" Nr="2.5" Abbr="1 pr. 2.5 p." DocPartId="4050451ea8de4d31b55c60fefdfb4b43" PartId="e899a08697284cbda50d72f49366852e">
        <Part Type="punktas" Nr="2.5.1" Abbr="1 pr. 2.5.1 p." DocPartId="82570380834d4e629c20e918accb8ae4" PartId="4aae451b26284a48ac8dc5527cf99dd4"/>
        <Part Type="punktas" Nr="2.5.2" Abbr="1 pr. 2.5.2 p." DocPartId="edc895c2f33442b39ac890345be2d6cf" PartId="5629c49f5c0d4a39bb9d8b72f8cc0693"/>
      </Part>
      <Part Type="punktas" Nr="2.6" Abbr="1 pr. 2.6 p." DocPartId="e041c2d2d14c46b5bc10b7c93b0cef5a" PartId="fd0c8b26c0a74f6994d451a92cfb5183"/>
    </Part>
    <Part Type="punktas" Nr="3" Abbr="1 pr. 3 p." DocPartId="52b781a8ccb24778b1cc848641096650" PartId="7691e0c4850346bfad667891686f067c">
      <Part Type="punktas" Nr="3.1" Abbr="1 pr. 3.1 p." DocPartId="411689293a8e412da63fe4dbf3ef48f6" PartId="edb8ca78e1274dc6bac59fa09cab2c29">
        <Part Type="punktas" Nr="3.1.1" Abbr="1 pr. 3.1.1 p." DocPartId="866879eac96d49a5bbe2bbe3b78e8247" PartId="0c2422fdb7b242b9ae3405eb32a35ab3"/>
        <Part Type="punktas" Nr="3.1.2" Abbr="1 pr. 3.1.2 p." DocPartId="a6ae69de1bda4fe7bdcfb2eaf43deefd" PartId="5571c40434be44e99befe6abb903621a"/>
        <Part Type="punktas" Nr="3.1.3" Abbr="1 pr. 3.1.3 p." DocPartId="d312dc5d33a042759b22ff852ef9dafe" PartId="a89db4a0b3ce44a49b858266eb8614cd"/>
      </Part>
      <Part Type="punktas" Nr="3.2" Abbr="1 pr. 3.2 p." DocPartId="39d6527eecb747079082dbcba5218b74" PartId="8e3b6b797a844f7b821954921c2b7ba8"/>
      <Part Type="punktas" Nr="3.3" Abbr="1 pr. 3.3 p." DocPartId="20c861aad45648429eb444c157debd68" PartId="a0d014bef8f1419ca3518ffe272243d0"/>
      <Part Type="punktas" Nr="3.4" Abbr="1 pr. 3.4 p." DocPartId="ef783a9aa3554c84a4cad0afde03c8c8" PartId="625607d37173492c92310eccfb152e53"/>
      <Part Type="punktas" Nr="3.5" Abbr="1 pr. 3.5 p." DocPartId="5d8f108e020448beaada1d9b4094c6ba" PartId="6e77893cc1b4455ca98441d3c91a6d3d"/>
    </Part>
    <Part Type="punktas" Nr="4" Abbr="1 pr. 4 p." DocPartId="d4f3efdaf1444a20858eb2a35c9b6d39" PartId="5c9237fc1834439abd16c0de9d7d5dde">
      <Part Type="punktas" Nr="4.1" Abbr="4.1 p." DocPartId="3e7bc6e7e1064d5cb57bf40b59b8ec6b" PartId="d69af65e45894ac28dd65dea766cf379">
        <Part Type="punktas" Nr="4.1.1" Abbr="4.1.1 p." DocPartId="57065720bce64541a57d3233007591e4" PartId="20c3118f250147acb76a2a1ec7fbd430"/>
        <Part Type="punktas" Nr="4.1.2" Abbr="4.1.2 p." DocPartId="f3cba2a8967f4ff796350e5705ff67d5" PartId="f55d49a9ffed4a9cb9375a0f36b198ff"/>
        <Part Type="punktas" Nr="4.1.3" Abbr="4.1.3 p." DocPartId="f1a562b19e6b46f7a930c78f16f11ee4" PartId="11b4ab0247814b9394f1b8a160fd540b"/>
        <Part Type="punktas" Nr="4.1.4" Abbr="4.1.4 p." DocPartId="42b3e238da484782b38b9105447c298e" PartId="1fe03204c1fa4467bd9d4bea8aa2d29e"/>
        <Part Type="punktas" Nr="4.1.5" Abbr="4.1.5 p." DocPartId="f7e5dd31da074ce6b122d06cb68668a5" PartId="1f05c1ea681a4317a4597be6c3ddfad6"/>
        <Part Type="punktas" Nr="4.1.6" Abbr="4.1.6 p." DocPartId="09d910af66834ef587b4206df2c8e26c" PartId="9d09772919f54483b6acd29c645e2521"/>
        <Part Type="punktas" Nr="4.1.7" Abbr="4.1.7 p." DocPartId="01af61879fe7452a96e8e2399f40a8c1" PartId="2e505948d7944738bc03bdb67f122f61"/>
        <Part Type="punktas" Nr="4.1.8" Abbr="4.1.8 p." DocPartId="d741e5f472e8477f91580c5c3258eaef" PartId="401e262497ca4ae3bcb9afff4ad87921"/>
        <Part Type="punktas" Nr="4.1.9" Abbr="4.1.9 p." DocPartId="58ec5805fcc344808632719383556d98" PartId="71766404c0db410fbd0701ba1d06b9a0"/>
        <Part Type="punktas" Nr="4.1.10" Abbr="4.1.10 p." DocPartId="75a68088c7bf405dbca29424e41ae287" PartId="6d078582e15a454f98e90a08656a28a6"/>
        <Part Type="punktas" Nr="4.1.11" Abbr="4.1.11 p." DocPartId="3dd03586b5684190a1c16b6601f1c217" PartId="29cabbd56d024ffe923e45ffc098dbe4"/>
      </Part>
      <Part Type="punktas" Nr="4.2" Abbr="4.2 p." DocPartId="c29d130d42a2488b8a13415cff62283d" PartId="0c7b66928d124fcb8fa1b04dc021c3b4">
        <Part Type="punktas" Nr="4.2.1" Abbr="4.2.1 p." DocPartId="ef69e102f9844ba5ae10d94414b148c3" PartId="f2a34154d17d44f2902f5a028622685d"/>
        <Part Type="punktas" Nr="4.2.2" Abbr="4.2.2 p." DocPartId="ea638e4fe9e04ca383d875abc3015e1b" PartId="5a7c435000e04f1e892b48c787f60fa3"/>
        <Part Type="punktas" Nr="4.2.3" Abbr="4.2.3 p." DocPartId="34ae2a52efb04d7680ef0d976388a7e4" PartId="3cb5b70135c847059a6be2b2a96ed87b"/>
        <Part Type="punktas" Nr="4.2.4" Abbr="4.2.4 p." DocPartId="b4541b75721e46d78ebca9703560d68e" PartId="bf17f7024a4f482d97a5b606a4f17fcf"/>
        <Part Type="punktas" Nr="4.2.5" Abbr="4.2.5 p." DocPartId="6a7cc9e8bc5f4ee8a96931fb4aa8b226" PartId="222501559d52455ebead84fd3bf038ee"/>
      </Part>
      <Part Type="punktas" Nr="4.3" Abbr="4.3 p." DocPartId="f626ab7a101241b09ed64fe7dc81f7e2" PartId="45feb486b5a748c097f0fcdf35344c1b"/>
      <Part Type="punktas" Nr="4.4" Abbr="4.4 p." DocPartId="40b75187abbe4f7fbf424fdbf408095a" PartId="38fa5c5da9c649abbdfdf2488fbf97bb"/>
      <Part Type="punktas" Nr="4.5" Abbr="4.5 p." DocPartId="8f94ab0f799d4ca0bab450cb6ba4e3a5" PartId="c56e700971d24102bbfd651ea848fcea"/>
      <Part Type="punktas" Nr="4.6" Abbr="4.6 p." DocPartId="0885a16d245a45b7972cdc1e878de08e" PartId="636de194aa3b486f9b55a7a212b37aaf"/>
    </Part>
    <Part Type="punktas" Nr="5" Abbr="1 pr. 5 p." DocPartId="b7e358dee5b94d3d8b06e84f2aebb796" PartId="e8bc33bc4fa24d26b1cd2952d075a3a5">
      <Part Type="punktas" Nr="5.1" Abbr="1 pr. 5.1 p." DocPartId="acc58be9065c472aa5a7cc6b3da77986" PartId="71204f97c1614825be3f857dd4b8b907">
        <Part Type="punktas" Nr="5.1.1" Abbr="5.1.1 p." DocPartId="3e108600db2543b98a28d7979c66a51d" PartId="7efa53713ff447148a1f1b8d8221c156"/>
        <Part Type="punktas" Nr="5.1.2" Abbr="5.1.2 p." DocPartId="79d292ea91914277a3f7ed53b0c1ab72" PartId="1145c506f85844a49fd260ecbdfdb5cd"/>
        <Part Type="punktas" Nr="5.1.3" Abbr="1 pr. 5.1.3 p." DocPartId="f6f62fda53814454891b3636382fe347" PartId="58b127d78f7f41e280e73cbf4bba67d0"/>
        <Part Type="punktas" Nr="5.1.4" Abbr="1 pr. 5.1.4 p." DocPartId="4306e4ab6565415a8c0df985cb34cb83" PartId="a9c8bb037d4a46f8ab02aed51393f575"/>
        <Part Type="punktas" Nr="5.1.5" Abbr="5.1.5 p." DocPartId="cee6fbe4b89c4cf5b0682ae680be0751" PartId="854fc225175d443f8e2880ba864067d1"/>
        <Part Type="punktas" Nr="5.1.6" Abbr="5.1.6 p." DocPartId="5907d7332a9446e6b27ed491c402a188" PartId="79cdf0e30fa94f6e929b7d2d402a02b0"/>
        <Part Type="punktas" Nr="5.1.7" Abbr="5.1.7 p." DocPartId="6acebd11564e48ad8fafd56f067212b2" PartId="60d7791b68d74c599e8c0a0e618caa3e"/>
        <Part Type="punktas" Nr="5.1.8" Abbr="5.1.8 p." DocPartId="68953bfffaad418ea47828ccf22c5725" PartId="d41230de532d4049a71fdfd2fb299661"/>
        <Part Type="punktas" Nr="5.1.9" Abbr="5.1.9 p." DocPartId="96dfeaaec7e44851a6c6d97bd9874c39" PartId="7b4dad4f294a41b0981ddcd3080dca1d"/>
        <Part Type="punktas" Nr="5.1.10" Abbr="5.1.10 p." DocPartId="da0a1692b02e4e21b1d1cfd49cb900cc" PartId="2013d66e3a914de599d7b2d655245a8b"/>
        <Part Type="punktas" Nr="5.1.11" Abbr="1 pr. 5.1.11 p." DocPartId="803b6393472b43f39d81ed881309a382" PartId="52f7fb3cf70b42b29e12fcdd1f8089be"/>
      </Part>
      <Part Type="punktas" Nr="5.2" Abbr="1 pr. 5.2 p." DocPartId="9ae487be7f98419da06260e394d745a4" PartId="7a4ba9341e614da3aa6061b6d5ac7b0d">
        <Part Type="punktas" Nr="5.2.1" Abbr="1 pr. 5.2.1 p." DocPartId="0b0b88641e734959bb885319e7200243" PartId="1d01483db02f4956bb326ec7534a5c2b"/>
        <Part Type="punktas" Nr="5.2.2" Abbr="1 pr. 5.2.2 p." DocPartId="d932670ecb3d4e3ab402021c6d016db5" PartId="213dd5f9054b4d75b5d892cec4702690"/>
      </Part>
      <Part Type="punktas" Nr="5.3" Abbr="1 pr. 5.3 p." DocPartId="87f39a8a3b71491f82ba0691869ec369" PartId="89c2300029d8401db148938cbb3de72d">
        <Part Type="punktas" Nr="5.3.1" Abbr="5.3.1 p." DocPartId="5c3a98230f15455396cd329f0eb928a3" PartId="3cbf9906694f45e38a4d5b5a0cfbd76c"/>
        <Part Type="punktas" Nr="5.3.2" Abbr="5.3.2 p." DocPartId="548438c487ca44669023e74149348895" PartId="315a3e838cec4c7887c1ea2ff0a00d6a"/>
        <Part Type="punktas" Nr="5.3.3" Abbr="5.3.3 p." DocPartId="0589f4c4b10941cf8bab6cabda75e4f9" PartId="bbc88bd386b84d269302ac359fe6af0d"/>
        <Part Type="punktas" Nr="5.3.4" Abbr="5.3.4 p." DocPartId="2eb92616893a4737b582c4cfa3735123" PartId="5f9d9e2b52b941a69dce2e3f60560bab"/>
        <Part Type="punktas" Nr="5.3.5" Abbr="5.3.5 p." DocPartId="431098798d954293884e1acc9b8f57cd" PartId="05e7d13294b44e808791855a738a6c33"/>
      </Part>
      <Part Type="punktas" Nr="5.4" Abbr="1 pr. 5.4 p." DocPartId="8c44d2a0cda64da284415e92f65eb5c7" PartId="dafe64c454534103928efcb3c123a433">
        <Part Type="punktas" Nr="5.4.1" Abbr="5.4.1 p." DocPartId="08dcd6fe22ab4f2688c2007c6d765e7d" PartId="2b2ccb74f74e496998b909d207ab5eb8"/>
        <Part Type="punktas" Nr="5.4.2" Abbr="5.4.2 p." DocPartId="0d73f503b3f048b8a80861fc03ceb260" PartId="7c55e655c59144a5ad33f2ce01a51eff"/>
        <Part Type="punktas" Nr="5.4.3" Abbr="5.4.3 p." DocPartId="9d991033036c4b8b83917461849350c9" PartId="41559b6f000c49b58d0f7c7cfa842c2f"/>
        <Part Type="punktas" Nr="5.4.4" Abbr="5.4.4 p." DocPartId="1c1f07c9dea749cf827b5ac1ad96df41" PartId="687ca9d33dcb4cec82bded430e757f47"/>
      </Part>
      <Part Type="punktas" Nr="5.5" Abbr="1 pr. 5.5 p." DocPartId="c80bba6f69754bd1948f97859d585111" PartId="fc69359f51694a7f9cfb01a4794f15c0"/>
      <Part Type="punktas" Nr="5.6" Abbr="1 pr. 5.6 p." DocPartId="f7b2dc3b644241538b6afe6230e99634" PartId="486bec0d27134ac8ade90df61fd2ce96"/>
      <Part Type="punktas" Nr="5.7" Abbr="1 pr. 5.7 p." DocPartId="e732eae26934482db6c76f985c704055" PartId="6bc1034aa57348259abdb55c99abd3c6"/>
    </Part>
    <Part Type="punktas" Nr="6" Abbr="1 pr. 6 p." DocPartId="9e83739046154add9840365bef741ef1" PartId="1934d531be8a464b834df3d6bce048db">
      <Part Type="punktas" Nr="6.1" Abbr="1 pr. 6.1 p." DocPartId="e885ad554f3e4d5da0303fa60643f191" PartId="e4ac23eef9e34375b631b460b6542e96">
        <Part Type="punktas" Nr="6.1.1" Abbr="1 pr. 6.1.1 p." DocPartId="b93dfb2a9b464a2f98460d948563fe5a" PartId="8c09becd1164467ba663d4344d1f8e47"/>
        <Part Type="punktas" Nr="6.1.2" Abbr="1 pr. 6.1.2 p." DocPartId="b227a557c38f4d018c0c3d06f3b49987" PartId="5bc4252e754a48c7aadbd61f0ad70018"/>
        <Part Type="punktas" Nr="6.1.3" Abbr="1 pr. 6.1.3 p." DocPartId="0e587e56ec8b4e93af1121cdd0c04efa" PartId="170a51ee252940e3b34bcba185c23d10"/>
      </Part>
      <Part Type="punktas" Nr="6.2" Abbr="1 pr. 6.2 p." DocPartId="7fd3bc2b541f412cada073ae032dee8f" PartId="7a10e11bc7324c80ae15161dfafbbb8b"/>
      <Part Type="punktas" Nr="6.3" Abbr="1 pr. 6.3 p." DocPartId="54d998ded41c4475a4f78394e7272ce8" PartId="beb8d2a0ffa246c5a38c61525d1c0f9f"/>
      <Part Type="punktas" Nr="6.4" Abbr="1 pr. 6.4 p." DocPartId="818c602b866e41ce9ac58512ddfacbcf" PartId="965a6ec50d5a41ffa90519775af4a723">
        <Part Type="punktas" Nr="6.4.1" Abbr="1 pr. 6.4.1 p." DocPartId="ad225696272a4957aa1dc6232a06aa2a" PartId="19d4109a3cc04800ac80356a1ab48a87"/>
        <Part Type="punktas" Nr="6.4.2" Abbr="1 pr. 6.4.2 p." DocPartId="0b1c24f7b406487388455c1146c899e9" PartId="81825ce5e56d4e55890037426fda07cd">
          <Part Type="punktas" Nr="6.4.2.1" Abbr="1 pr. 6.4.2.1 p." DocPartId="a596b128c8ff460f9f163f921b34eb81" PartId="347882d0189d4d3e979ba6996f228889"/>
          <Part Type="punktas" Nr="6.4.2.2" Abbr="1 pr. 6.4.2.2 p." DocPartId="71750b351c31469994023b10412299b4" PartId="01d3cd8248764b3ea1454a4291ddcba3"/>
          <Part Type="punktas" Nr="6.4.2.3" Abbr="1 pr. 6.4.2.3 p." DocPartId="a00e836a5ae3428a9cb0c9dd6c40c418" PartId="97fe22d39a4a4275bed8bd22771d00e7"/>
        </Part>
        <Part Type="punktas" Nr="6.4.3" Abbr="1 pr. 6.4.3 p." DocPartId="f251148fa68848fcb1a03e140617c0b0" PartId="85efac2e17364a62acb4a6ab665946a0"/>
      </Part>
      <Part Type="punktas" Nr="6.5" Abbr="1 pr. 6.5 p." DocPartId="4978803d915845f8a63261be7fd9c772" PartId="a41ff52c329a4f86889ad65c69fa3c7d"/>
      <Part Type="punktas" Nr="6.6" Abbr="1 pr. 6.6 p." DocPartId="fc2b27a484b44dfb9c091bbd65071426" PartId="6afa281cc21e4476ab66ffcc488abad3">
        <Part Type="punktas" Nr="6.6.1" Abbr="1 pr. 6.6.1 p." DocPartId="1eec4f74ebb94dd1ab33378f56a0d999" PartId="95b6039e4ecd45c597a2be2bf7e434e1"/>
        <Part Type="punktas" Nr="6.6.2" Abbr="1 pr. 6.6.2 p." DocPartId="0dffbf5ebb314296b338d3ebf14ec740" PartId="b4d2d6d843014c70b2f39b94a51c7ca4"/>
        <Part Type="punktas" Nr="6.6.3" Abbr="1 pr. 6.6.3 p." DocPartId="cca8ee6a57324dfa8cf70602f27463cd" PartId="3e5a4a090fe944fc9fc0e0ee7f15f090"/>
      </Part>
      <Part Type="punktas" Nr="6.7" Abbr="1 pr. 6.7 p." DocPartId="1eea28a463fd482383e5e0f0f5f0215d" PartId="34556a2aac6b4a228df1f9a34b612014"/>
      <Part Type="punktas" Nr="6.8" Abbr="1 pr. 6.8 p." DocPartId="ef85b6b2226249fcafc6c3a88d280e1a" PartId="7a662a2fda674043965e029fbd993d41"/>
      <Part Type="punktas" Nr="6.9" Abbr="1 pr. 6.9 p." DocPartId="514888203fcb452cb84315b6919966be" PartId="0798a31d8b294b768616b9be938ce773"/>
      <Part Type="punktas" Nr="6.10" Abbr="1 pr. 6.10 p." DocPartId="99755b7e7edd4973b1ae50a8c73527d5" PartId="165f48248fa44489944349d2eeb9fc1c"/>
      <Part Type="punktas" Nr="6.11" Abbr="1 pr. 6.11 p." DocPartId="00c40c996ec24d5ea5400b818bc50d23" PartId="114e1bb8b4d64a77a962634cf5b1e25f"/>
    </Part>
  </Part>
  <Part Type="priedas" Nr="2" Abbr="2 pr." Title="GERIAUSIŲ PRIEINAMŲ GAMYBOS BŪDŲ NUSTATYMO KRITERIJAI" DocPartId="808b73338ea34631b0ae90cbc48cfeea" PartId="007b02317b5a4ed3a53c9b58a0e3ba44">
    <Part Type="punktas" Nr="1" Abbr="2 pr. 1 p." DocPartId="74225cab18854a9db691d01aa3d3fcbf" PartId="d144907401b043d29ca30511e5eed8f6"/>
    <Part Type="punktas" Nr="2" Abbr="2 pr. 2 p." DocPartId="7af0f61383b248af888b6ba74961cf5e" PartId="6e615c3900e44adeabdea4c87ca2c624"/>
    <Part Type="punktas" Nr="3" Abbr="2 pr. 3 p." DocPartId="22b25390758c4142b5a9eb007aa28bcd" PartId="ca9576858ee644ecadc17c9c8d751c4f"/>
    <Part Type="punktas" Nr="4" Abbr="2 pr. 4 p." DocPartId="184962d2a4c74288836f6c1d93afd166" PartId="2b33cf4e54f24bc0b416dbead309bb6e"/>
    <Part Type="punktas" Nr="5" Abbr="2 pr. 5 p." DocPartId="6d814ea0f6d84090bb29b2744180a074" PartId="dcf7fbdeb51443ff87f53c0cbf22b51c"/>
    <Part Type="punktas" Nr="6" Abbr="2 pr. 6 p." DocPartId="f9a004a2ec1a48228b6c41948ada4b6f" PartId="287b065b86a6418c970050cc1b41f4f7"/>
    <Part Type="punktas" Nr="7" Abbr="2 pr. 7 p." DocPartId="bf69bee941ca4191998c8899857df0f2" PartId="dcaddfa99fef47b7ae49bd0988871fe2"/>
    <Part Type="punktas" Nr="8" Abbr="2 pr. 8 p." DocPartId="0c78788eb4224f199c17ba2a27370249" PartId="d510ae8981aa4861a1373e5b4d8616b5"/>
    <Part Type="punktas" Nr="9" Abbr="2 pr. 9 p." DocPartId="0625d972b124468399c2e95da43471f0" PartId="1b5ec9ba75c940c68e58325c9784cf10"/>
    <Part Type="punktas" Nr="10" Abbr="2 pr. 10 p." DocPartId="25bb6c7d8bde4df1a97f6992674713e5" PartId="42edca0dd7f34fd5abb2ed268c3a8c35"/>
    <Part Type="punktas" Nr="11" Abbr="2 pr. 11 p." DocPartId="597c37fe503141c9b84a15e2e98d9093" PartId="035af101655e4826a617cd09920b42e7"/>
    <Part Type="punktas" Nr="12" Abbr="2 pr. 12 p." DocPartId="db4c5f4d565d44e68bb978f948adfc7b" PartId="772acd531eb0414599d206cc637b62db"/>
  </Part>
  <Part Type="priedas" Nr="3" Abbr="3 pr." Title="TERŠALŲ SĄRAŠAS" DocPartId="d2627ea2e03b48d4ab49b86e3e949cff" PartId="bfea686d59034fd98327a2ba50143cb2">
    <Part Type="skyrius" Nr="1" Title="ORAS" DocPartId="b6aeeae7b57e4e4293f557011aa83a3f" PartId="1aaa7b687a4e4f49bb359e4d9c8bcad8">
      <Part Type="punktas" Nr="1" Abbr="3 pr. 1 p." DocPartId="121457818220419e9a53fc7f3f6da4a9" PartId="a60993f11c304b26b5976a9e09cfb92b"/>
      <Part Type="punktas" Nr="2" Abbr="3 pr. 2 p." DocPartId="32776d3c85504be8ac6b2a1d3d8dbeda" PartId="cfd2cae422594f27b7405f2ab6dd3f92"/>
      <Part Type="punktas" Nr="3" Abbr="3 pr. 3 p." DocPartId="b5518630070c44b787f3f2bb092543b3" PartId="7e96a9fcbdf74aab807593375edd58d4"/>
      <Part Type="punktas" Nr="4" Abbr="3 pr. 4 p." DocPartId="1f8d8d25eadf41c4ae554ab3f4655506" PartId="b390b1faadc74c1a8160a18d3936274a"/>
      <Part Type="punktas" Nr="5" Abbr="3 pr. 5 p." DocPartId="c7ebe25ca8f44aa6b72c51a024319218" PartId="cf4a5213df704259ab1d719799c5dbbe"/>
      <Part Type="punktas" Nr="6" Abbr="3 pr. 6 p." DocPartId="a00723ba86d84705b74d8bd8cf5804d8" PartId="8eb98c15831b422987a9c5e4145a39d7"/>
      <Part Type="punktas" Nr="7" Abbr="3 pr. 7 p." DocPartId="e04c7e409b5d41a4a5b731da1d27d36c" PartId="3c86bb4a5e534ccbb443955fab360bd5"/>
      <Part Type="punktas" Nr="8" Abbr="3 pr. 8 p." DocPartId="4413310303714273bef795a9a9dc24b6" PartId="bd7bfce689bf46caacec4e78d527ac65"/>
      <Part Type="punktas" Nr="9" Abbr="3 pr. 9 p." DocPartId="cb34bed8130941d891fc783be3b7751e" PartId="e82c96eb86174d5ab029bbdd5a1a758e"/>
      <Part Type="punktas" Nr="10" Abbr="3 pr. 10 p." DocPartId="afc60fe5f16449efa3f0f7d777042f69" PartId="d7aaf478baf3463084756f42d90b190a"/>
      <Part Type="punktas" Nr="11" Abbr="3 pr. 11 p." DocPartId="04c12f41101a4c31a8f0b89c75e11aac" PartId="c869a2e5098f484d8d2d8300fb56f44a"/>
      <Part Type="punktas" Nr="12" Abbr="3 pr. 12 p." DocPartId="30cdfca111ea4587a25142cfd8b3a213" PartId="812f00240e3a4ef3b880c3f3b6ea2b22"/>
      <Part Type="punktas" Nr="13" Abbr="3 pr. 13 p." DocPartId="2e1ea2e889294bbeab096aeaad703d83" PartId="d71acfc0fdb34d2386d61196fbb847a4"/>
    </Part>
    <Part Type="skyrius" Nr="2" Title="VANDUO" DocPartId="6a9a0710d4f1476aa5c98b6552aefb7c" PartId="ad061d730d03422d9d4f4b3dc3d06af3">
      <Part Type="punktas" Nr="1" Abbr="3 pr. 1 p." DocPartId="8c7ba751c8fb4c7d9fe24b98a7df8a97" PartId="731b18a018d1444d8e9390ff62d8dfca"/>
      <Part Type="punktas" Nr="2" Abbr="3 pr. 2 p." DocPartId="20bd8edd190c49a8b6fd2c9e571707a1" PartId="2fd24a9357d5457e869d541a2b40fad2"/>
      <Part Type="punktas" Nr="3" Abbr="3 pr. 3 p." DocPartId="b0b350841e9840fd82d32406666a0df6" PartId="3eefe60e59d949a9ae75adfc9a401bd2"/>
      <Part Type="punktas" Nr="4" Abbr="3 pr. 4 p." DocPartId="497fe445335d4570a13da6c7503b86ca" PartId="12e5306e16404e6fbfaf082cdd9be23f"/>
      <Part Type="punktas" Nr="5" Abbr="3 pr. 5 p." DocPartId="622dc91abaab4c62b1e77dae2ca3a86e" PartId="279b01e8f03f4299b22c81169b33dc8b"/>
      <Part Type="punktas" Nr="6" Abbr="3 pr. 6 p." DocPartId="d28a130ad92d4636a880e81a8dc455db" PartId="f444510b82ab4a5a9770ab4ed0218960"/>
      <Part Type="punktas" Nr="7" Abbr="3 pr. 7 p." DocPartId="1861124cb9154102a061cdd486f93df4" PartId="b21f17187aa5489c85d7fc98185c5106"/>
      <Part Type="punktas" Nr="8" Abbr="3 pr. 8 p." DocPartId="4643c0b4f75943a8bee75e5e8ac63e24" PartId="b0f756cc3dd44a8c8e8c33778579c4fc"/>
      <Part Type="punktas" Nr="9" Abbr="3 pr. 9 p." DocPartId="4faa6fdff9f045509247d7f4cf06ef0b" PartId="ef6b47519a494f6394d3c33e4d8b395b"/>
      <Part Type="punktas" Nr="10" Abbr="3 pr. 10 p." DocPartId="9ef255be327f485ca11da41d238d391c" PartId="ba08acc10ce74e7fb142ba6839c6b69f"/>
      <Part Type="punktas" Nr="11" Abbr="3 pr. 11 p." DocPartId="dd3fc4f3d10644888d5b28cd18de0412" PartId="e8abfca8ff644cc29302c2b62595d733"/>
      <Part Type="punktas" Nr="12" Abbr="3 pr. 12 p." DocPartId="a466beb1cd4840d59e5511007774a49a" PartId="5f8558762de04168bce387f9dab18ecc"/>
      <Part Type="punktas" Nr="13" Abbr="3 pr. 13 p." DocPartId="96f2f548e249445a83408f84a2642e96" PartId="145c66d6c08b4c478dd513be62b03527"/>
    </Part>
  </Part>
  <Part Type="priedas" Nr="4" Abbr="4 pr." Title="(Rekomenduojama paraiškos forma) PARAIŠKA TARŠOS INTEGRUOTOS PREVENCIJOS IR KONTROLĖS LEIDIMUI GAUTI (PAKEISTI)" DocPartId="1c5e9cdf2fae4a7d8a026ff4751547bb" PartId="fc7c583111bb4528bba63aa43c8144e2">
    <Part Type="skyrius" Nr="1" Title="BENDRO POBŪDŽIO INFORMACIJA" DocPartId="346f6ab3c54e4ad08311dd4df435a878" PartId="2c18f843a020494c991040e5313adb29">
      <Part Type="punktas" Nr="1" Abbr="4 pr. 1 p." DocPartId="11d796692ad942e3b2780da4d1571409" PartId="e3229686cc424357bce9074fb57fdfb4"/>
      <Part Type="punktas" Nr="2" Abbr="4 pr. 2 p." DocPartId="c410ae019a56471b93c0dc05f2c63c42" PartId="b6bdb4eb864241f8bb37d94298e2fdd0"/>
      <Part Type="punktas" Nr="3" Abbr="4 pr. 3 p." DocPartId="9afb3f191ca648dea06fe937693f1832" PartId="23531857b1ec4089bba8c38eefb94959"/>
      <Part Type="punktas" Nr="4" Abbr="4 pr. 4 p." DocPartId="6eed1de6a0b8410398ad00c95c89df03" PartId="07daf5d46cfd4bc08c6e2b8f1ba0a5b9"/>
      <Part Type="punktas" Nr="5" Abbr="4 pr. 5 p." DocPartId="65a4cd903aba48a9adbadc2d7b4af41b" PartId="acec0426dfef4531a6542f883e17456e"/>
      <Part Type="punktas" Nr="6" Abbr="4 pr. 6 p." DocPartId="029f2f13141d47719e2ab6aee3f192ce" PartId="57ab9bdfeb0d41f38e7039c9d84718ee"/>
    </Part>
    <Part Type="skyrius" Nr="2" Title="INFORMACIJA APIE ĮRENGINĮ IR JAME VYKDOMĄ ŪKINĘ VEIKLĄ" DocPartId="225eb4af777142adb18c75d6a776585a" PartId="be0fffcc82924e81be97e592db92bdef">
      <Part Type="punktas" Nr="7" Abbr="4 pr. 7 p." DocPartId="ccc20983b89144519cc7271550d7ca45" PartId="ab7b8e0fd93a41baacdc9c710df58cb9"/>
      <Part Type="lentele" Nr="1" Title="Įrenginyje planuojama vykdyti ir (ar) vykdoma ūkinė veikla" DocPartId="cb8b21dc516e4c428905a4c285e84a9c" PartId="b720cf24cd864c80a67b163d153c5a14"/>
      <Part Type="punktas" Nr="8" Abbr="4 pr. 8 p." DocPartId="2b8867683ee94596ac5565448615abd7" PartId="74405b42177c430a82dfb7557f38f33e"/>
      <Part Type="punktas" Nr="9" Abbr="4 pr. 9 p." DocPartId="d3023da74f21422f991cc9484873ed5d" PartId="ad38b61b3676421db63009b2f90146da"/>
      <Part Type="lentele" Nr="2" Title="Kuro ir energijos vartojimas, kuro saugojimas" DocPartId="9cef4623d0084343810758c408988418" PartId="3636af3254284c02a11c3aa85a044bad"/>
      <Part Type="lentele" Nr="3" Title="Energijos gamyba" DocPartId="ce117f93bbcc4e9fab685e57c4e8e78e" PartId="cad74632aade4ea4a32780d300569247"/>
    </Part>
    <Part Type="skyrius" Nr="3" Title="GAMYBOS PROCESAI" DocPartId="38d60d1dd22c4cc9a6f707d0b39e0005" PartId="6ab3b5090fa242cd90d3998a6c71e3e5">
      <Part Type="punktas" Nr="10" Abbr="4 pr. 10 p." DocPartId="571de34c99a943be9b4d4c3cb05be166" PartId="5dc424264c97417494f22f73d6b130e4"/>
      <Part Type="punktas" Nr="11" Abbr="4 pr. 11 p." DocPartId="7f83a8ece20842408ed6da8203bb1c5e" PartId="a917718548ac4b79881e9df391b0f38c"/>
      <Part Type="punktas" Nr="12" Abbr="4 pr. 12 p." DocPartId="7d7e961004f54d1ca7c36fbe34f628c4" PartId="50756724d18d468ab2305667ec9ec316"/>
      <Part Type="punktas" Nr="13" Abbr="4 pr. 13 p." DocPartId="3520b1a6b5144a058e05f62e57e73b09" PartId="f0e9be2e2dc34d6f8e57d2809e5eb290"/>
      <Part Type="lentele" Nr="4" Title="Įrenginio atitikimo GPGB palyginamasis įvertinimas" DocPartId="774a5f07105b4611bf1fe2e6d4179a2e" PartId="4ce6007f5e46418785bfaa508ccc5a10"/>
      <Part Type="punktas" Nr="14" Abbr="4 pr. 14 p." DocPartId="1039a676647743b499ed5145e4dfd7bd" PartId="ba992b60bcdb4616be5c46881de5c251"/>
    </Part>
    <Part Type="skyrius" Nr="4" Title="ŽALIAVŲ IR MEDŽIAGŲ NAUDOJIMAS, SAUGOJIMAS" DocPartId="90058c16b5a84e7f82de221589f7ac4c" PartId="c3621c8aa5ee494c8e34f285b3375cb4">
      <Part Type="punktas" Nr="15" Abbr="4 pr. 15 p." DocPartId="bf887694b1f6439a94233f2ebb8bba20" PartId="2493453514024cf5af52625a93dc1ed5"/>
      <Part Type="lentele" Nr="5" Title="Naudojamos ir (ar) saugomos žaliavos ir papildomos (pagalbinės) medžiagos" DocPartId="53248e034f3d4b57ac270ff0556e9be5" PartId="d6b0eff43591422fb19bef5b396d8813"/>
      <Part Type="lentele" Nr="6" Title="Tirpiklių turinčių medžiagų ir mišinių naudojimas ir saugojimas" DocPartId="bf5282607dc9498db2721b119b07bdda" PartId="16e7337adaf34400ba55eb182b46b55b"/>
    </Part>
    <Part Type="skyrius" Nr="5" Title="VANDENS IŠGAVIMAS" DocPartId="e0686cab1bc2472e8670d9c8c3a69119" PartId="6ea6ae795ccb43e3aa274f1e49761416">
      <Part Type="punktas" Nr="16" Abbr="4 pr. 16 p." DocPartId="8e933da4b8984398a0f7045a3ec9bc2b" PartId="dc53f605f23649c2b297b9dd50753cac"/>
      <Part Type="lentele" Nr="7" Title="Duomenys apie paviršinį vandens telkinį, iš kurio numatoma išgauti vandenį, vandens išgavimo vietą ir planuojamą išgauti vandens kiekį" DocPartId="66949c339a7d4373ba1bb9101d50f2e5" PartId="875c606378214090b089250df328741a"/>
      <Part Type="lentele" Nr="8" DocPartId="40495cec8fe24b73b966a1cf87bebb62" PartId="472720dd213347c89c0c87a5eb20f0f6"/>
    </Part>
    <Part Type="skyrius" Nr="6" Title="TARŠA Į APLINKOS ORĄ" DocPartId="61d9dece30ca45c692186143351dd460" PartId="16524e7fe5df440e9df81036c7961ac1">
      <Part Type="punktas" Nr="17" Abbr="4 pr. 17 p." DocPartId="c6ef8be3484948b3a41284025bb59f8a" PartId="a96667d61bfd4fff93db388c0b14f739"/>
      <Part Type="lentele" Nr="9" Title="Į aplinkos orą numatomi išmesti teršalai ir jų kiekis" DocPartId="ea7b363cf75e4d0d9a54ba1574aeae96" PartId="bdc0e55284804cb79656d61fc80e86bf"/>
      <Part Type="lentele" Nr="10" Title="Stacionarių aplinkos oro taršos šaltinių fiziniai duomenys" DocPartId="e687e00669504cb9befc1d94eeab7f1f" PartId="77d211ad91ce4318bff692d12e6f7db2"/>
      <Part Type="lentele" Nr="11" Title="Tarša į aplinkos orą" DocPartId="1b10bf5fe1f34267bc483e10088d3293" PartId="a2cc19fba43544ebb5cebf39b78df9b1"/>
      <Part Type="lentele" Nr="12" Title="Aplinkos oro teršalų valymo įrenginiai ir taršos prevencijos priemonės" DocPartId="8114adb0ff5c450e8695d978443e9b37" PartId="d1bfc600c2684a6c91eb0cac18580cec"/>
      <Part Type="lentele" Nr="13" Title="Tarša į aplinkos orą esant neįprastoms (neatitiktinėms) veiklos sąlygoms" DocPartId="e128a40fd0db4b45b72f79dd3c7a5da3" PartId="1ff3f9adb41c466d904b7302a3b8662d"/>
    </Part>
    <Part Type="skyrius" Nr="7" Title="ŠILTNAMIO EFEKTĄ SUKELIANČIOS DUJOS" DocPartId="501d9cba563f46fd88199850db07cab2" PartId="0db2c15b44254f29a4c65e8314760e43">
      <Part Type="punktas" Nr="18" Abbr="4 pr. 18 p." DocPartId="c1117a30a92f4eccbda7c2e2c97aeca0" PartId="fb38a7f9da47476396117297f5ecab76"/>
      <Part Type="lentele" Nr="14" DocPartId="c9affdb5eea8485e91adf7c7f688bb99" PartId="812ce3c9386549259935ab1f28437573"/>
    </Part>
    <Part Type="skyrius" Nr="8" Title="„VIII. TERŠALŲ IŠLEIDIMAS SU NUOTEKOMIS“" DocPartId="34fddd4757b14477b9702c436531088f" PartId="06706b28d8eb41ad90fbce546a5f4b91">
      <Part Type="punktas" Nr="19" Abbr="4 pr. 19 p." DocPartId="a2ace2aad27e411c9380b97dc4d3ce20" PartId="bedd78721636425d82195571e5f231cd"/>
      <Part Type="lentele" Nr="15" DocPartId="7975332d44084964be118252a4da2eb9" PartId="ee3a4a7aff27429890778360a4aff5da"/>
      <Part Type="lentele" Nr="16" Title="Informacija apie nuotekų išleidimo vietą (išskyrus paviršinius vandens telkinius), į kurią planuojama išleisti nuotekas" DocPartId="26ad9eb2c4eb47e68adfe55090f8688d" PartId="f69351abc5e146c696539c248b0460ca"/>
      <Part Type="lentele" Nr="17" Title="Duomenys apie nuotekų šaltinius ir / arba išleistuvus" DocPartId="f09ddbb9bb86457bbca0420bb7691730" PartId="75a597d04fd343a1aea52552837eaf73"/>
      <Part Type="lentele" Nr="18" Title="„18 lentelė. Į gamtinę aplinką planuojamų išleisti nuotekų užterštumas“;" DocPartId="ca949a41c40d4b4a85eb78b8dad74f45" PartId="202960865e2e4b5d92574bf37f642b8e"/>
      <Part Type="lentele" Nr="19" Title="Objekte / įrenginyje naudojamos nuotekų kiekio ir taršos mažinimo priemonės" DocPartId="f6cbb20a5d24467099d74e5d8a01cf30" PartId="3a2e48f2310c41e7b226ae2ef6c7b4ed"/>
      <Part Type="lentele" Nr="20" Title="Numatomos vandenų apsaugos nuo taršos priemonės" DocPartId="84f5136ad53e4835a85f4069439a99d2" PartId="beb2b64286004cc5bbe13b33ceb26a68"/>
      <Part Type="lentele" Nr="21" Title="Pramonės įmonių ir kitų abonentų, iš kurių planuojama priimti nuotekas (ne paviršines), sąrašas ir planuojamų priimti nuotekų savybės" DocPartId="c10a17a50ba542b5bcef2eac68e31ef5" PartId="2d84e95fba1d4b1c878800fe3db4db3a"/>
      <Part Type="lentele" Nr="22" Title="Nuotekų apskaitos įrenginiai" DocPartId="ff862a16b1534e83b4cdf5a24b76935d" PartId="c3f8962532df4740bf5ea6231bd13587"/>
    </Part>
    <Part Type="skyrius" Nr="9" Title="DIRVOŽEMIO IR POŽEMINIO VANDENS APSAUGA" DocPartId="29c270ff75684cd8845f9f2d5e69959a" PartId="f2a0f2e0f26a40a68edc9661433c0130">
      <Part Type="punktas" Nr="20" Abbr="4 pr. 20 p." DocPartId="66959ba9f20b47a9be60975853858ce7" PartId="fa581e75621d48eeb6d5c4bb515a3acc"/>
    </Part>
    <Part Type="skyrius" Nr="10" Title="TRĘŠIMAS" DocPartId="5b1a59c8a30a4b22a6988df4a8e5ba93" PartId="3974099d2e784171bd4ab8c75234b282">
      <Part Type="punktas" Nr="21" Abbr="4 pr. 21 p." DocPartId="48c5a191b1ea45e0952aab2d7b4843d2" PartId="fcb578c2e86640319ef0bed335d84ad9"/>
      <Part Type="punktas" Nr="22" Abbr="4 pr. 22 p." DocPartId="5bb87381c6124e47a60b1a652414f081" PartId="bcb599b1165c481180e0b4580f90eeb5"/>
    </Part>
    <Part Type="skyrius" Nr="11" Title="NUMATOMAS ATLIEKŲ SUSIDARYMAS, APDOROJIMAS (NAUDOJIMAS AR ŠALINIMAS, ĮSKAITANT LAIKYMĄ IR PARUOŠIMĄ NAUDOTI AR ŠALINTI)" DocPartId="3601622c3bbf429d86d8c762380d4b23" PartId="c128be2833434b33a8ccd5b7263bb08e">
      <Part Type="punktas" Nr="23" Abbr="23 p." DocPartId="de8e47c75fa54dcaa071a70f0e1fbf56" PartId="eea0666241e04257b9cbbca19530ef28"/>
      <Part Type="punktas" Nr="24" Abbr="4 pr. 24 p." DocPartId="d4350319a40f46abb69e16d99c9cb111" PartId="5d408a24544740c184c7e5cfa2e47549">
        <Part Type="papunktis" Nr="24.1" Abbr="24.1 pp." DocPartId="e1334a1f8f604ba89446929d36d26faf" PartId="9df6c93e04f24f068967a094c89e0baf"/>
        <Part Type="papunktis" Nr="24.2" Abbr="24.2 pp." DocPartId="e03f63635beb4c0398e1fcaa25350958" PartId="0a68e32a13df4513a731b76e9da51ee6"/>
      </Part>
      <Part Type="punktas" Nr="25" Abbr="25 p." DocPartId="bf43a8e398794035b840e07efba7c418" PartId="b7a898e25e4a40a7a798675cd307045b"/>
      <Part Type="punktas" Nr="26" Abbr="26 p." DocPartId="74fd5b27dd6245f2a96a80c52244b18b" PartId="960657f9b921471aabe594b774bda0f8"/>
    </Part>
    <Part Type="skyrius" Nr="12" Title="TRIUKŠMO SKLIDIMAS IR KVAPŲ KONTROLĖ" DocPartId="5ca9bd21212b48579a269aacf7f428fa" PartId="f8b4c52021094b1d9e9ec4690a40d1b2">
      <Part Type="punktas" Nr="27" Abbr="4 pr. 27 p." DocPartId="3d6232d5dc3c42a7915374e4adfb3dfc" PartId="c44b7ec93d96413c9c69844522f88dd2"/>
      <Part Type="punktas" Nr="28" Abbr="4 pr. 28 p." DocPartId="77cd60d94abf427686965d8131688397" PartId="52c32cef4e044cbfa5c7ff4ccedeea7e"/>
      <Part Type="punktas" Nr="29" Abbr="4 pr. 29 p." DocPartId="71e7be864e274dc9951b866a0e1f0ac4" PartId="5482981f9eb14c23ae4fa1ac02fd867d"/>
      <Part Type="punktas" Nr="30" Abbr="4 pr. 30 p." DocPartId="a4b97c27fd814b48aff6e7eb0de1e861" PartId="e27574ade40249279a04df6740c515b7"/>
    </Part>
    <Part Type="skyrius" Nr="13" Title="APLINKOSAUGOS VEIKSMŲ PLANAS" DocPartId="59e5c573d2674c98bb6b2c4459bdf82a" PartId="089c758ac2b54f17b5ed9577baa84b14"/>
    <Part Type="lentele" Nr="28" Title="Aplinkosaugos veiksmų planas" DocPartId="1812f46d57d64f3598ce046293c28fcd" PartId="7eba9a4131be477ba1fa3e2cf50d2ccf"/>
    <Part Type="skyrius" Nr="14" Title="„XIV. PARAIŠKOS DOKUMENTAI, KITI PRIEDAI, INFORMACIJA IR DUOMENYS“;" DocPartId="98de1a527c1247608cbc46e8f126e0ac" PartId="262d5876d92d4ed68653344cb99952e8"/>
    <Part Type="priedas" Nr="1" Abbr="1 pr." Title="DEKLARACIJA" DocPartId="07b8bba0aaeb4ef18e5d293754fc552b" PartId="455c5a3455a94b89938cc1adc4b916ed"/>
  </Part>
  <Part Type="priedas" Nr="5" Abbr="5 pr." Title="(Taršos integruotos prevencijos ir kontrolės leidimo formos pavyzdys)" DocPartId="54bc606009fb4d87b06d21b15ff8cd56" PartId="a0f52f77899a46d7bacb414125614699">
    <Part Type="skyrius" Nr="1" Title="BENDROJI DALIS" DocPartId="e6e028a80d924bbcaf9017af5cf77c00" PartId="fe8f0502c3e042ba8687790554d5c63f">
      <Part Type="punktas" Nr="1" Abbr="5 pr. 1 p." DocPartId="3f58b1223d844b299153a7bc8c31c8cc" PartId="1743cc99315240b7835c501f64af8677"/>
      <Part Type="punktas" Nr="2" Abbr="5 pr. 2 p." DocPartId="23f676d62ce84ebc850007a59d6f0f16" PartId="48af961830ce4540b51b3a0b031ce3d8"/>
      <Part Type="punktas" Nr="3" Abbr="5 pr. 3 p." DocPartId="78967d17cfe44a9ebc7b44a931c217e4" PartId="c50ea24da8b74eddb56d470d16b05e79"/>
      <Part Type="punktas" Nr="4" Abbr="5 pr. 4 p." DocPartId="0b8e72b991bb44d1b7d5891071992e11" PartId="96baeb528f954757bea55f3a46805bbb"/>
      <Part Type="punktas" Nr="5" Abbr="5 pr. 5 p." DocPartId="cff8364d30c44fc7a14b72b3201de819" PartId="ed9b35ad2827475983f2dcc09d0294e1"/>
      <Part Type="punktas" Nr="6" Abbr="5 pr. 6 p." DocPartId="682052ffb5a0442bbb39db0e9a45bf41" PartId="35b99a34fe05447ab6d8040b31ee2f1e"/>
    </Part>
    <Part Type="skyrius" Nr="2" Title="LEIDIMO SĄLYGOS" DocPartId="8fa5a6b56aa44c4cad7e132971bafab7" PartId="86340098fd77476caa0d8ae9519bf4b6">
      <Part Type="punktas" Nr="7" Abbr="5 pr. 7 p." DocPartId="c1626c8db51f446087c1dff4ee1b716b" PartId="b6675a3dab824f95836931f259769bfb"/>
      <Part Type="punktas" Nr="8" Abbr="5 pr. 8 p." DocPartId="5d1ccba604e3440a8d93f1f2026721a6" PartId="a497e62bb2104ed1a79cfe0a8f6b85a7"/>
      <Part Type="punktas" Nr="9" Abbr="5 pr. 9 p." DocPartId="7feb28ddbe054bdba1d0d5f9a63861c5" PartId="40d64e7f474d41a297885a8d645462cb"/>
      <Part Type="punktas" Nr="10" Abbr="5 pr. 10 p." DocPartId="3fed8f27cc07434f9829780ca32fcccd" PartId="24ad00818e5b411b9d83be93bcc7c581"/>
      <Part Type="punktas" Nr="11" Abbr="5 pr. 11 p." DocPartId="ff16114d77344d6399b2bb39544d63d9" PartId="e46ef6baf63842308db840be0f5d502f"/>
      <Part Type="punktas" Nr="12" Abbr="5 pr. 12 p." DocPartId="dd58433df6e346a8a0c6746b8087ac07" PartId="8315de8b3d4642b4aa9ceaf43177da63">
        <Part Type="papunktis" Nr="12.1" Abbr="5 pr. 12.1 pp." DocPartId="cb82799ff5074580a48ecbf8d80e5a29" PartId="239985d05c3c4169a4f064c0b5c5031b"/>
        <Part Type="papunktis" Nr="12.2" Abbr="5 pr. 12.2 pp." DocPartId="4b2dfed7ca6a43f292bfa6e8256738ed" PartId="c601c4bf722c4b7f9fd59d72870ed9d2"/>
      </Part>
      <Part Type="punktas" Nr="13" Abbr="5 pr. 13 p." DocPartId="44aa0f10538644fa82d0db2a059707b7" PartId="c2225ec383c44f35925fbb347fef2c41"/>
      <Part Type="punktas" Nr="14" Abbr="5 pr. 14 p." DocPartId="61f8d36d557e441caa39d158ff211f43" PartId="4fe55d4bcacb45e08513f998d618653a"/>
      <Part Type="punktas" Nr="15" Abbr="5 pr. 15 p." DocPartId="c3bebfcf9222496cb7d6708857ebcd8a" PartId="b75d86e586f741f8a9d5d948417d029f"/>
      <Part Type="punktas" Nr="16" Abbr="5 pr. 16 p." DocPartId="a46d0e8e4a544841b1e89cd21e679e25" PartId="074f6eea99d7479b956c91d21d3c935c"/>
      <Part Type="punktas" Nr="17" Abbr="5 pr. 17 p." DocPartId="7fe4e05b66824ae4adf2d291d7ae1b1e" PartId="0272db8c5d9d4c2aa3aca39c3fa9c246"/>
      <Part Type="punktas" Nr="18" Abbr="5 pr. 18 p." DocPartId="5d54e76a0ec34dde8a74ce3257d87c05" PartId="6fea27e1c0df45049fb6c2ac9f08568f"/>
      <Part Type="punktas" Abbr="5 pr. p." DocPartId="3dd60bc483ab443684dcc8c67aec4811" PartId="20cf393ca17a49f8ac6998fdfa14932f"/>
      <Part Type="punktas" Nr="20" Abbr="5 pr. 20 p." DocPartId="613b9532c2f34b65aa0f026efb10a4cf" PartId="5e6bbcb6f4f7464983b98f1168cdeeb0"/>
    </Part>
    <Part Type="skyrius" Nr="3" Title="LEIDIMO PRIEDAI" DocPartId="65903ebc61234a699a2fa32fa61db470" PartId="da22116e93ca4a97a7bd5076abec7e53"/>
  </Part>
  <Part Type="priedas" Nr="1" Abbr="1 pr." Title="TARŠOS INTEGRUOTOS PREVENCIJOS IR KONTROLĖS LEIDIMO NR. .......................... PRIEDAI" DocPartId="b9846973a2f64fc7a7a49561b7df7752" PartId="73075031d83d4d4eb03a8e2b0390edf3">
    <Part Type="punktas" Nr="1" Abbr="1 pr. 1 p." DocPartId="248972450d5d49b59c7780cf53e3e25e" PartId="f3dc6bbb67194de88d0ad276a5c43a5f"/>
    <Part Type="punktas" Nr="2" Abbr="1 pr. 2 p." DocPartId="5d07afdffc79473d800ec70153c5642b" PartId="352e8fe7a36641cea8081f16450958e9"/>
    <Part Type="punktas" Nr="3" Abbr="1 pr. 3 p." DocPartId="51475342aa6d421896349a0b9f289734" PartId="d9608965e409417c8c64f5c8556d0278"/>
    <Part Type="punktas" Nr="4" Abbr="1 pr. 4 p." DocPartId="ead400d0bd1a4b3d92d5746eb9f27ee6" PartId="b9c0f6c3c96c4e00b878aac5045ab954"/>
  </Part>
  <Part Type="priedas" Nr="6" Abbr="6 pr." Title="PAAIŠKINIMAI DĖL KAI KURIŲ PARAIŠKOS DALIŲ PILDYMO" DocPartId="1465a085076045708f0c9a95070e867a" PartId="25e1cfe3d59a4d1a81a498263398265b">
    <Part Type="skirsnis" Title="II PARAIŠKOS DALIES „INFORMACIJA APIE ĮRENGINĮ IR JAME VYKDOMĄ ŪKINĘ VEIKLĄ“ PILDYMAS" DocPartId="bb6c4e7af6e84caa9d8f63a8abb9c4f6" PartId="234a09cd1bfa4dc693f83401e921f736"/>
    <Part Type="skirsnis" Title="III PARAIŠKOS DALIES „GAMYBOS PROCESAI“ PILDYMAS" DocPartId="b2050e2ddd8e425d886c8a33a481a543" PartId="54c652288e624cf2911387bcd794bee6"/>
    <Part Type="skirsnis" Title="IV PARAIŠKOS DALIES „ŽALIAVŲ IR MEDŽIAGŲ NAUDOJIMAS, SAUGOJIMAS“ PILDYMAS" DocPartId="67c0873f494744fe81396981a72f2440" PartId="d6859bf144ec428f901e33756c873617">
      <Part Type="punktas" Nr="1" Abbr="6 pr. 1 p." DocPartId="c2ef95a4283240cf9cf34ee3c4485c5c" PartId="f99cc848f02e4109b206f1eb5cbaff0e"/>
      <Part Type="punktas" Nr="2" Abbr="6 pr. 2 p." DocPartId="bb56538a5da549e290d05780e6e2ad75" PartId="f9efcf4dbf3e474b9b8bcc381f84e2dd"/>
      <Part Type="punktas" Nr="3" Abbr="6 pr. 3 p." DocPartId="cf495fc0a66f42f6bb3c6a230c93b166" PartId="d4e010bcfd0e4153a2c196cd38c17e3c"/>
    </Part>
    <Part Type="skirsnis" Title="V PARAIŠKOS DALIES „VANDENS IŠGAVIMAS“ PILDYMAS" DocPartId="39ddb0698a2e4eabbcda0daefc1a19ca" PartId="de767ff77cc24db6b53ab6e4a6271768">
      <Part Type="punktas" Nr="1" Abbr="6 pr. 1 p." DocPartId="a0538b0011f14a39908ef944c5d78883" PartId="f8d285f086cd4abbb5d51a168212e375"/>
      <Part Type="punktas" Nr="2" Abbr="6 pr. 2 p." DocPartId="068294f1861849429cef92ed2bc73435" PartId="ccd77f7478c34c94badaef63c5d91b6b"/>
      <Part Type="punktas" Nr="3" Abbr="6 pr. 3 p." DocPartId="412c6cdfaff142a2919af1fe68be245c" PartId="368541a7baba4e7d8941b8dfd535a14a"/>
      <Part Type="punktas" Nr="4" Abbr="6 pr. 4 p." DocPartId="e0daf5ff7a174000bea7dd3b55573d4b" PartId="535b38d28526420fbb1d1af8885bff43"/>
      <Part Type="punktas" Nr="5" Abbr="6 pr. 5 p." DocPartId="e10d10f2fd6e4e51a76a91f52934ea7c" PartId="e459b1ed13254c1286bfad36992b4148"/>
    </Part>
    <Part Type="skirsnis" Title="VI PARAIŠKOS DALIES „TARŠA Į APLINKOS ORĄ“ PILDYMAS" DocPartId="c6d93f61f73c474ea3e8434705283a71" PartId="a3cfa08cee0b4b9aa03305241c6ccdd8">
      <Part Type="skirsnis" Title="A. Šioje dalyje turi būti pateikiama informacija apie:" DocPartId="4785fae7486c4b27b20b9b578f88c69d" PartId="42cacded39564bfab41cc01d6eecc320"/>
      <Part Type="skirsnis" Title="B. Šios paraiškos dalies lentelėse informacija apie:" DocPartId="a0e262a20e0d4892a746309440c7224f" PartId="aed5dca3bdc24353962c2735c7b29e11"/>
      <Part Type="skirsnis" Title="C." DocPartId="0c5166345d544b8892e07ec6c63f1193" PartId="07dafa5adaf54016a7f18ee58c5f4a78"/>
      <Part Type="skirsnis" Title="D." DocPartId="9bc4618fb6fe4c5189c58bba49a0ef74" PartId="b3fc24d702944545a630fa8d6582764f"/>
      <Part Type="skirsnis" Title="E." DocPartId="729730b199384d55b014d06eedf8767a" PartId="0262f52d9d664292a74d63f48fa2dbe3"/>
      <Part Type="skirsnis" Title="F." DocPartId="84dd72cf2683408da94462a5fc5abd80" PartId="8474d374f0784d6cbf0f331733ad9ff6"/>
      <Part Type="skirsnis" Title="G." DocPartId="418b8dc8d7834b9685bf3f0f20659c70" PartId="aa9234b9e56c4b019459c693bb6fc2a6"/>
    </Part>
    <Part Type="skirsnis" Title="VIII PARAIŠKOS DALIES „TERŠALŲ IŠLEIDIMAS SU NUOTEKOMIS Į APLINKĄ“ PILDYMAS" DocPartId="2439902da257409db95e30aad386130e" PartId="11df2742f5e740cc9bc2a45edb637f4a">
      <Part Type="skirsnis" Title="A. Šioje paraiškos dalyje turi būti pateikiama informacija:" DocPartId="61017394ad4240549d59e3b32668f74d" PartId="e133f763b11d4698837ffeaac5805ac3"/>
      <Part Type="skirsnis" Title="B. Teikiant informaciją apie paviršinį vandens telkinį (priimtuvą), į kurį planuojama išleisti nuotekas, nurodoma:" DocPartId="d408895a60054ddb96c1e3552dcabf6c" PartId="7dc4040cf97c43ddb46bfa4be4eb9d63"/>
      <Part Type="skirsnis" DocPartId="2ce418ae66ff455b9c8fa306c4c5f60a" PartId="6a1c734eaa1540998e9ec8b398014240"/>
      <Part Type="skirsnis" DocPartId="39b065802338455497f0661d0ddc8762" PartId="96cca290a8084abda4c078f97b0e09a9"/>
      <Part Type="skirsnis" Title="E. Teikiant informaciją apie planuojamų išleisti nuotekų užterštumą, nurodoma:" DocPartId="5395b5bb537e42879816edbd655a81d9" PartId="b782410877c0414899d132712c12bfad"/>
      <Part Type="skirsnis" Title="F. Teikiant informaciją apie objekte / įrenginyje naudojamas nuotekų kiekio ir taršos mažinimo priemones, nurodoma:" DocPartId="d5c8d71f58654fd1be7bf94d59a2e68f" PartId="e3c7bf35bd6f4416b7dc7908b9d87c8c"/>
      <Part Type="skirsnis" Title="G. Teikiant informaciją apie numatomas vandenų apsaugos nuo taršos priemones, nurodoma:" DocPartId="6c75d2b0c5e546f9aac38bfcfe30b63a" PartId="89bfd7f4de464e128266ccb4369eca15"/>
      <Part Type="skirsnis" Title="H. Informaciją apie pramonės įmones ir kitus abonentus, iš kurių planuojama priimti nuotekas (ne paviršines) ir planuojamų priimti nuotekų savybes, nurodoma:" DocPartId="80043061223f4ba98575613c94141652" PartId="840a4564d253448ca20f4b439aa1fd94"/>
      <Part Type="skirsnis" Title="I. Informuojant apie nuotekų apskaitos prietaisus, nurodoma:" DocPartId="1566c1d0c7474d7aa77cc60c8a73d874" PartId="fbd13f87dd4043ddafc5fb68e0ebb76a"/>
    </Part>
    <Part Type="skirsnis" Title="XI PARAIŠKOS DALIES „ATLIEKŲ APDOROJIMAS (NAUDOJIMAS AR ŠALINIMAS, ĮSKAITANT LAIKYMĄ IR PARUOŠIMĄ NAUDOTI AR ŠALINTI)“ PILDYMAS" DocPartId="1e74771d6af84c7ba2d272e05720fc55" PartId="bbb32408890a464482da4c9387576072"/>
    <Part Type="skirsnis" Title="XII PARAIŠKOS DALIES „TRIUKŠMO SKLIDIMAS IR KVAPŲ KONTROLĖ“ PILDYMAS" DocPartId="c7375b87f97b48e292697754506ef168" PartId="2c8b4944d8cd4cdda39070f8360f4fe5">
      <Part Type="punktas" Nr="1" Abbr="1 p." DocPartId="41719ea493274fe7a38a00d18c001eb0" PartId="21a5cbf1a2c4468394c61a6401a5495d"/>
      <Part Type="punktas" Nr="2" Abbr="2 p." DocPartId="65aa6d15e02844b1a646ed27a843b568" PartId="a32e54c4ade9456da69ca0d50c888cf9"/>
      <Part Type="punktas" Nr="3" Abbr="3 p." DocPartId="b59b1f29c41940318067cce3ac60f59d" PartId="f16e519aed324c4ca2653255d3caf45f"/>
      <Part Type="punktas" Nr="4" Abbr="4 p." DocPartId="ab426c7961fb4b0c908a4aca7d228211" PartId="dd652655b53c4d4984821702e391eef2"/>
      <Part Type="punktas" Nr="5" Abbr="5 p." DocPartId="b2663ef845a8405cb25f0572193add68" PartId="a45d606936494a2cbfb50877c20338cf"/>
    </Part>
  </Part>
  <Part Type="priedas" Nr="7" Abbr="7 pr." Title="TARŠOS INTEGRUOTOS PREVENCIJOS IR KONTROLĖS LEIDIMO TITULINIO LAPO (VIRŠELIO) PILDYMO TVARKA" DocPartId="d7439c768c3048748d1e2a024474b245" PartId="a2b1c01885584e4698ff9136ee174092"/>
  <Part Type="priedas" Nr="8" Abbr="8 pr." Title="METODINIAI NURODYMAI KIAULIŲ RŪŠIMS PERSKAIČIUOTI" DocPartId="aff13c3d731c4770aaafe198405b106d" PartId="06b3927e372341e6b267bb7ee46c1697">
    <Part Type="punktas" Nr="1" Abbr="8 pr. 1 p." DocPartId="9f6bae7e2e1340b6a8197807c5774242" PartId="f4f6eebbf9a04e30a0a2dc2eee380801"/>
    <Part Type="punktas" Nr="2" Abbr="8 pr. 2 p." DocPartId="0540d892b55e4ca0a594b0531ac809b2" PartId="939969f15ae149b58751f699f6aee96e"/>
    <Part Type="punktas" Nr="3" Abbr="8 pr. 3 p." DocPartId="020b5c6631ec4025ab6b74f08a575a03" PartId="700b3a44672046a68a3da12c1a97159b">
      <Part Type="papunktis" Nr="3.1" Abbr="8 pr. 3.1 pp." DocPartId="99b4d97d64f4414eb1c36b6de898b304" PartId="72552a865d884a0aab21a0cde1dca418"/>
      <Part Type="papunktis" Nr="3.2" Abbr="8 pr. 3.2 pp." DocPartId="b4b769521c584709a96e23c4756cac7d" PartId="5646d631235b4149be5c8e594bba29c0"/>
      <Part Type="papunktis" Nr="3.3" Abbr="8 pr. 3.3 pp." DocPartId="03265b66009c4b5ca4cd0e053b6ec191" PartId="541bf90a151446bcae21d750b788ae37"/>
    </Part>
    <Part Type="punktas" Nr="4" Abbr="8 pr. 4 p." DocPartId="a42b12c65d2e42dc9ffed40c9466105d" PartId="ee0a5327f46742abb29d0aeba43e32a7">
      <Part Type="papunktis" Nr="4.1" Abbr="8 pr. 4.1 pp." DocPartId="350bf15fdfc94564825309b14a07352d" PartId="4f557e50686741c4ac1457336140e32b"/>
      <Part Type="papunktis" Nr="4.2" Abbr="8 pr. 4.2 pp." DocPartId="d55eaf8db2d447cb9b4b96ff4f5167ef" PartId="d625b57599a5471d88ba7762f9fc89c1"/>
    </Part>
    <Part Type="punktas" Nr="5" Abbr="8 pr. 5 p." DocPartId="ba31df2c68c4450fbcc8694673b16277" PartId="4e400d7ee4a04222bd8330c357000682">
      <Part Type="papunktis" Nr="5.1" Abbr="8 pr. 5.1 pp." DocPartId="fc8afdab7c674e739e0ac9bfed31532b" PartId="bf05bdc39c2b4d87bdaa58342332b12a"/>
      <Part Type="papunktis" Nr="5.2" Abbr="8 pr. 5.2 pp." DocPartId="b971a53d55d34608b532b17b45b7b00c" PartId="97383b2bb95a4af6b358548f6371502e"/>
      <Part Type="papunktis" Nr="5.3" Abbr="8 pr. 5.3 pp." DocPartId="c2c18493e3814d9397c714b85c1b7773" PartId="cfea6f7db1cb4b2889ef76b45ed762da"/>
      <Part Type="papunktis" Nr="5.4" Abbr="8 pr. 5.4 pp." DocPartId="27a0853923ca433b8bec6d7178ffec9a" PartId="edd5372799a54264b176428139407c56"/>
      <Part Type="papunktis" Nr="5.5" Abbr="8 pr. 5.5 pp." DocPartId="b4d8adf761e449c78d097a67c29372f5" PartId="37d31932152e4895b8c6ae5d38d5a98d"/>
      <Part Type="papunktis" Nr="5.6" Abbr="8 pr. 5.6 pp." DocPartId="e6f35205a7824b99b2d85bdcf9b07f5a" PartId="e2a73f5ef3ff47c28697cd673f029b2e"/>
    </Part>
    <Part Type="punktas" Nr="6" Abbr="8 pr. 6 p." DocPartId="3cbaee1f803049d293098835c8fcafe1" PartId="6e3102b140194ecdb159ab98279db9bf"/>
    <Part Type="punktas" Nr="7" Abbr="8 pr. 7 p." DocPartId="54cccb31514345ae8833659a0f51ae36" PartId="e1fcd509060340bd9bf0a03b2ddba58e">
      <Part Type="papunktis" Nr="7.1" Abbr="8 pr. 7.1 pp." DocPartId="ab0b2019ba9b4cf184e452757c151ba8" PartId="b6bf2561a71b41fc9885e23aa5843215"/>
      <Part Type="papunktis" Nr="7.2" Abbr="8 pr. 7.2 pp." DocPartId="47f5910bc80b4f7ebe3ff208eee542c1" PartId="0bc7579c4ea9465abf163476f64cd9ae"/>
      <Part Type="papunktis" Nr="7.3" Abbr="8 pr. 7.3 pp." DocPartId="521164248fe04bc6a4295af1f6056422" PartId="2443140da8f94b80a38a45c4eb27c564"/>
      <Part Type="papunktis" Nr="7.4" Abbr="8 pr. 7.4 pp." DocPartId="a084de2d16ec40ae9894232ec3af4b0d" PartId="d0af5a21d02f4dddba6081de3e02db4c"/>
      <Part Type="papunktis" Nr="7.5" Abbr="8 pr. 7.5 pp." DocPartId="c38aa2fa5aad46ae849d1285ccbfe57d" PartId="a1a3cc00ab6e42f4bafd9b02949c30f5"/>
      <Part Type="papunktis" Nr="7.6" Abbr="8 pr. 7.6 pp." DocPartId="5a9160e04bc94c57b0f6064aeb54a740" PartId="dabf408a27b545d0bd8d0a9650da0590"/>
      <Part Type="papunktis" Nr="7.7" Abbr="8 pr. 7.7 pp." DocPartId="58af3a97cb674559877499298fb8baa7" PartId="62fd3612e95f4909a21d59a51afa2ca2"/>
    </Part>
    <Part Type="punktas" Nr="8" Abbr="8 pr. 8 p." DocPartId="b267dd763bf74d029112253b77bb3409" PartId="22bef548aa684ec49a02af5aa7034be6"/>
    <Part Type="punktas" Nr="9" Abbr="8 pr. 9 p." DocPartId="eaf74c35fbba4250b26868d1cc079b7e" PartId="814f8f22dd634f07b5a146a4effcf402"/>
    <Part Type="punktas" Nr="10" Abbr="8 pr. 10 p." DocPartId="eae63e26af0540d1987cfb32e61c431f" PartId="04c75711450d438aaa46761975a18f7f"/>
    <Part Type="punktas" Nr="11" Abbr="8 pr. 11 p." DocPartId="80fda9b98d254da285afe59335c2619a" PartId="ebbf16fb145a472eb644ed9477f89c10"/>
    <Part Type="punktas" Nr="12" Abbr="8 pr. 12 p." DocPartId="f14e99f9dfba4e59afd76883ab1322d6" PartId="049b96aac9a3403d88a585ac49136034"/>
    <Part Type="punktas" Nr="13" Abbr="8 pr. 13 p." DocPartId="eb5aa2754a894d89bbadf2e79533160e" PartId="5ba97f3b74dd4df3a1078ee0059f28f9"/>
    <Part Type="punktas" Nr="14" Abbr="8 pr. 14 p." DocPartId="ded5e67980f34a46a0bf6197c38a354f" PartId="863c7d27e89640129b4ed8ab708a8253"/>
  </Part>
</Parts>
</file>

<file path=customXml/itemProps1.xml><?xml version="1.0" encoding="utf-8"?>
<ds:datastoreItem xmlns:ds="http://schemas.openxmlformats.org/officeDocument/2006/customXml" ds:itemID="{85BFC51D-57ED-4E57-86D8-3E9CEAA6DC03}">
  <ds:schemaRefs>
    <ds:schemaRef ds:uri="http://lrs.lt/TAIS/DocParts"/>
  </ds:schemaRefs>
</ds:datastoreItem>
</file>

<file path=docProps/app.xml><?xml version="1.0" encoding="utf-8"?>
<Properties xmlns="http://schemas.openxmlformats.org/officeDocument/2006/extended-properties">
  <Template>Normal.dotm</Template>
  <TotalTime>249</TotalTime>
  <Pages>101</Pages>
  <Words>174715</Words>
  <Characters>99589</Characters>
  <Application>Microsoft Office Word</Application>
  <DocSecurity>0</DocSecurity>
  <Lines>829</Lines>
  <Paragraphs>547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IV skyrius</vt:lpstr>
    </vt:vector>
  </TitlesOfParts>
  <Company>VŽ</Company>
  <LinksUpToDate>false</LinksUpToDate>
  <CharactersWithSpaces>273757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2015-07-22T05:55:00Z</dcterms:created>
  <dc:creator>Vidmantas</dc:creator>
  <lastModifiedBy>JUOSPONIENĖ Karolina</lastModifiedBy>
  <dcterms:modified xsi:type="dcterms:W3CDTF">2024-05-07T16:32:00Z</dcterms:modified>
  <revision>39</revision>
  <dc:title>IV skyrius</dc:title>
</coreProperties>
</file>