
<file path=[Content_Types].xml><?xml version="1.0" encoding="utf-8"?>
<Types xmlns="http://schemas.openxmlformats.org/package/2006/content-types">
  <Default Extension="bin" ContentType="application/vnd.openxmlformats-officedocument.oleObject"/>
  <Default Extension="doc" ContentType="application/msword"/>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e4c45dee17b4cb382250b0524124363"/>
        <w:lock w:val="sdtLocked"/>
        <w:richText/>
      </w:sdtPr>
      <w:sdtContent>
        <w:p>
          <w:pPr>
            <w:jc w:val="both"/>
            <w:rPr>
              <w:rFonts w:ascii="Times New Roman" w:hAnsi="Times New Roman"/>
            </w:rPr>
          </w:pPr>
          <w:r>
            <w:rPr>
              <w:rFonts w:ascii="Times New Roman" w:hAnsi="Times New Roman"/>
              <w:b/>
              <w:i/>
            </w:rPr>
            <w:t>Suvestinė redakcija nuo 2025-07-01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C6DC7ED40268">
            <w:r w:rsidRPr="00532B9F">
              <w:rPr>
                <w:rFonts w:ascii="Times New Roman" w:eastAsia="MS Mincho" w:hAnsi="Times New Roman"/>
                <w:sz w:val="20"/>
                <w:i/>
                <w:iCs/>
                <w:color w:val="0000FF" w:themeColor="hyperlink"/>
                <w:u w:val="single"/>
              </w:rPr>
              <w:t>43-2132</w:t>
            </w:r>
          </w:fldSimple>
          <w:r>
            <w:rPr>
              <w:rFonts w:ascii="Times New Roman" w:eastAsia="MS Mincho" w:hAnsi="Times New Roman"/>
              <w:sz w:val="20"/>
              <w:i/>
              <w:iCs/>
            </w:rPr>
            <w:t>, i. k. 1132250ISAK000V-388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pPr>
            <w:rPr>
              <w:rFonts w:ascii="Times New Roman" w:hAnsi="Times New Roman"/>
              <w:sz w:val="22"/>
            </w:rPr>
          </w:pP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tabs>
              <w:tab w:val="left" w:pos="1134"/>
            </w:tabs>
            <w:jc w:val="center"/>
            <w:rPr>
              <w:rFonts w:eastAsia="Calibri"/>
              <w:b/>
              <w:szCs w:val="24"/>
            </w:rPr>
          </w:pPr>
          <w:r>
            <w:rPr>
              <w:rFonts w:eastAsia="Calibri"/>
              <w:b/>
              <w:szCs w:val="24"/>
            </w:rPr>
            <w:t>DĖL ASMENS SVEIKATOS PRIEŽIŪROS PASLAUGŲ, KURIŲ IŠLAIDOS APMOKAMOS PRIVALOMOJO SVEIKATOS DRAUDIMO FONDO BIUDŽETO LĖŠOMIS, BAZINIŲ KAINŲ NUSTATYMO METODIKOS PATVIRTINIMO</w:t>
          </w:r>
        </w:p>
        <w:p>
          <w:pPr>
            <w:tabs>
              <w:tab w:val="left" w:pos="1134"/>
            </w:tabs>
            <w:jc w:val="center"/>
            <w:rPr>
              <w:rFonts w:eastAsia="Calibri"/>
              <w:b/>
              <w:szCs w:val="24"/>
            </w:rPr>
          </w:pPr>
        </w:p>
        <w:p>
          <w:pPr>
            <w:tabs>
              <w:tab w:val="left" w:pos="1134"/>
            </w:tabs>
            <w:jc w:val="center"/>
            <w:rPr>
              <w:color w:val="000000"/>
              <w:szCs w:val="24"/>
              <w:lang w:eastAsia="lt-LT"/>
            </w:rPr>
          </w:pPr>
          <w:r>
            <w:rPr>
              <w:color w:val="000000"/>
              <w:szCs w:val="24"/>
              <w:lang w:eastAsia="lt-LT"/>
            </w:rPr>
            <w:t>2013 m. balandžio 22 d. Nr. V-388</w:t>
          </w:r>
        </w:p>
        <w:p>
          <w:pPr>
            <w:tabs>
              <w:tab w:val="left" w:pos="1134"/>
            </w:tabs>
            <w:jc w:val="center"/>
            <w:rPr>
              <w:color w:val="000000"/>
              <w:szCs w:val="24"/>
              <w:lang w:eastAsia="lt-LT"/>
            </w:rPr>
          </w:pPr>
          <w:r>
            <w:rPr>
              <w:color w:val="000000"/>
              <w:szCs w:val="24"/>
              <w:lang w:eastAsia="lt-LT"/>
            </w:rPr>
            <w:t>Vilnius</w:t>
          </w:r>
        </w:p>
        <w:p>
          <w:pPr>
            <w:tabs>
              <w:tab w:val="left" w:pos="1134"/>
            </w:tabs>
            <w:jc w:val="center"/>
            <w:rPr>
              <w:rFonts w:eastAsia="Calibri"/>
              <w:szCs w:val="24"/>
              <w:lang w:val="en-US"/>
            </w:rPr>
          </w:pPr>
        </w:p>
        <w:p>
          <w:pPr>
            <w:tabs>
              <w:tab w:val="left" w:pos="1134"/>
            </w:tabs>
            <w:ind w:left="851"/>
            <w:jc w:val="both"/>
            <w:rPr>
              <w:rFonts w:eastAsia="Calibri"/>
              <w:szCs w:val="24"/>
              <w:lang w:val="en-US"/>
            </w:rPr>
          </w:pPr>
        </w:p>
        <w:sdt>
          <w:sdtPr>
            <w:alias w:val="preambule"/>
            <w:tag w:val="part_f7ea2305b7f44e458ee3fece1b933052"/>
            <w:lock w:val="sdtLocked"/>
            <w:richText/>
          </w:sdtPr>
          <w:sdtContent>
            <w:p>
              <w:pPr>
                <w:widowControl w:val="0"/>
                <w:ind w:firstLine="720"/>
                <w:jc w:val="both"/>
                <w:rPr>
                  <w:color w:val="000000"/>
                  <w:szCs w:val="24"/>
                  <w:lang w:eastAsia="lt-LT"/>
                </w:rPr>
              </w:pPr>
              <w:r>
                <w:rPr>
                  <w:color w:val="000000"/>
                  <w:szCs w:val="24"/>
                  <w:lang w:eastAsia="lt-LT"/>
                </w:rPr>
                <w:t>Vadovaudamasis Lietuvos Respublikos sveikatos draudimo įstatymo 25 straipsnio 2 dalimi:</w:t>
              </w:r>
            </w:p>
          </w:sdtContent>
        </w:sdt>
        <w:sdt>
          <w:sdtPr>
            <w:alias w:val="1 p."/>
            <w:tag w:val="part_621cdde6275840f8904db72ad2387899"/>
            <w:lock w:val="sdtLocked"/>
            <w:richText/>
          </w:sdtPr>
          <w:sdtContent>
            <w:p>
              <w:pPr>
                <w:widowControl w:val="0"/>
                <w:ind w:firstLine="720"/>
                <w:jc w:val="both"/>
                <w:rPr>
                  <w:color w:val="000000"/>
                  <w:szCs w:val="24"/>
                  <w:lang w:eastAsia="lt-LT"/>
                </w:rPr>
              </w:pPr>
              <w:sdt>
                <w:sdtPr>
                  <w:alias w:val="Numeris"/>
                  <w:tag w:val="nr_621cdde6275840f8904db72ad2387899"/>
                  <w:lock w:val="sdtLocked"/>
                  <w:richText/>
                </w:sdtPr>
                <w:sdtContent>
                  <w:r>
                    <w:rPr>
                      <w:color w:val="000000"/>
                      <w:szCs w:val="24"/>
                      <w:lang w:eastAsia="lt-LT"/>
                    </w:rPr>
                    <w:t>1</w:t>
                  </w:r>
                </w:sdtContent>
              </w:sdt>
              <w:r>
                <w:rPr>
                  <w:color w:val="000000"/>
                  <w:szCs w:val="24"/>
                  <w:lang w:eastAsia="lt-LT"/>
                </w:rPr>
                <w:t xml:space="preserve">. </w:t>
              </w:r>
              <w:r>
                <w:rPr>
                  <w:color w:val="000000"/>
                  <w:spacing w:val="60"/>
                  <w:szCs w:val="24"/>
                  <w:lang w:eastAsia="lt-LT"/>
                </w:rPr>
                <w:t>Tvirtinu</w:t>
              </w:r>
              <w:r>
                <w:rPr>
                  <w:color w:val="000000"/>
                  <w:szCs w:val="24"/>
                  <w:lang w:eastAsia="lt-LT"/>
                </w:rPr>
                <w:t xml:space="preserve"> Asmens sveikatos priežiūros paslaugų, kurių išlaidos apmokamos Privalomojo sveikatos draudimo fondo biudžeto lėšomis, bazinių kainų nustatymo metodiką (pridedama).</w:t>
              </w:r>
            </w:p>
          </w:sdtContent>
        </w:sdt>
        <w:sdt>
          <w:sdtPr>
            <w:alias w:val="2 p."/>
            <w:tag w:val="part_c1cdae2d93aa40298a14507a74910be6"/>
            <w:lock w:val="sdtLocked"/>
            <w:richText/>
          </w:sdtPr>
          <w:sdtContent>
            <w:p>
              <w:pPr>
                <w:widowControl w:val="0"/>
                <w:ind w:firstLine="720"/>
                <w:jc w:val="both"/>
              </w:pPr>
              <w:sdt>
                <w:sdtPr>
                  <w:alias w:val="Numeris"/>
                  <w:tag w:val="nr_c1cdae2d93aa40298a14507a74910be6"/>
                  <w:lock w:val="sdtLocked"/>
                  <w:richText/>
                </w:sdtPr>
                <w:sdtContent>
                  <w:r>
                    <w:rPr>
                      <w:color w:val="000000"/>
                      <w:szCs w:val="24"/>
                      <w:lang w:eastAsia="lt-LT"/>
                    </w:rPr>
                    <w:t>2</w:t>
                  </w:r>
                </w:sdtContent>
              </w:sdt>
              <w:r>
                <w:rPr>
                  <w:color w:val="000000"/>
                  <w:szCs w:val="24"/>
                  <w:lang w:eastAsia="lt-LT"/>
                </w:rPr>
                <w:t xml:space="preserve">. </w:t>
              </w:r>
              <w:r>
                <w:rPr>
                  <w:color w:val="000000"/>
                  <w:spacing w:val="60"/>
                  <w:szCs w:val="24"/>
                  <w:lang w:eastAsia="lt-LT"/>
                </w:rPr>
                <w:t>Pavedu</w:t>
              </w:r>
              <w:r>
                <w:rPr>
                  <w:color w:val="000000"/>
                  <w:szCs w:val="24"/>
                  <w:lang w:eastAsia="lt-LT"/>
                </w:rPr>
                <w:t xml:space="preserve"> įsakymo vykdymą kontroliuoti viceministrui pagal veiklos sritį.</w:t>
              </w:r>
            </w:p>
          </w:sdtContent>
        </w:sdt>
        <w:sdt>
          <w:sdtPr>
            <w:alias w:val="signatura"/>
            <w:tag w:val="part_9fbeac79ce414f5db26f9c3499dd5cc8"/>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szCs w:val="24"/>
                  <w:lang w:eastAsia="lt-LT"/>
                </w:rPr>
              </w:pPr>
              <w:r>
                <w:rPr>
                  <w:caps/>
                  <w:color w:val="000000"/>
                  <w:szCs w:val="24"/>
                  <w:lang w:eastAsia="lt-LT"/>
                </w:rPr>
                <w:t>SVEIKATOS APSAUGOS MINISTRAS</w:t>
                <w:tab/>
                <w:t>VYTENIS POVILAS ANDRIUKAITIS</w:t>
              </w:r>
            </w:p>
          </w:sdtContent>
        </w:sdt>
        <w:p/>
      </w:sdtContent>
    </w:sdt>
    <w:sdt>
      <w:sdtPr>
        <w:alias w:val="patvirtinta"/>
        <w:tag w:val="part_bf03225f50274137a7cdf4cdc7155147"/>
        <w:lock w:val="sdtLocked"/>
        <w:richText/>
      </w:sdtPr>
      <w:sdtContent>
        <w:p>
          <w:pPr>
            <w:ind w:left="4535"/>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567" w:footer="284" w:gutter="0"/>
              <w:cols w:space="1296"/>
              <w:titlePg/>
              <w:docGrid w:linePitch="360"/>
            </w:sectPr>
          </w:pPr>
        </w:p>
        <w:p>
          <w:pPr>
            <w:ind w:left="4535"/>
            <w:rPr>
              <w:szCs w:val="24"/>
              <w:lang w:eastAsia="lt-LT"/>
            </w:rPr>
          </w:pPr>
          <w:r>
            <w:rPr>
              <w:szCs w:val="24"/>
              <w:lang w:eastAsia="lt-LT"/>
            </w:rPr>
            <w:t>PATVIRTINTA</w:t>
          </w:r>
        </w:p>
        <w:p>
          <w:pPr>
            <w:ind w:left="4535"/>
            <w:rPr>
              <w:szCs w:val="24"/>
              <w:lang w:eastAsia="lt-LT"/>
            </w:rPr>
          </w:pPr>
          <w:r>
            <w:rPr>
              <w:szCs w:val="24"/>
              <w:lang w:eastAsia="lt-LT"/>
            </w:rPr>
            <w:t xml:space="preserve">Lietuvos Respublikos sveikatos apsaugos ministro 2013 m. balandžio 22 d. įsakymu Nr. V-388 </w:t>
          </w:r>
        </w:p>
        <w:p>
          <w:pPr>
            <w:jc w:val="center"/>
            <w:rPr>
              <w:b/>
              <w:szCs w:val="24"/>
              <w:lang w:eastAsia="lt-LT"/>
            </w:rPr>
          </w:pPr>
        </w:p>
        <w:p>
          <w:pPr>
            <w:jc w:val="center"/>
            <w:rPr>
              <w:b/>
              <w:szCs w:val="24"/>
              <w:lang w:eastAsia="lt-LT"/>
            </w:rPr>
          </w:pPr>
          <w:sdt>
            <w:sdtPr>
              <w:alias w:val="Pavadinimas"/>
              <w:tag w:val="title_bf03225f50274137a7cdf4cdc7155147"/>
              <w:lock w:val="sdtLocked"/>
              <w:richText/>
            </w:sdtPr>
            <w:sdtContent>
              <w:r>
                <w:rPr>
                  <w:b/>
                  <w:szCs w:val="24"/>
                  <w:lang w:eastAsia="lt-LT"/>
                </w:rPr>
                <w:t>ASMENS SVEIKATOS PRIEŽIŪROS PASLAUGŲ, KURIŲ IŠLAIDOS APMOKAMOS PRIVALOMOJO SVEIKATOS DRAUDIMO FONDO BIUDŽETO LĖŠOMIS, BAZINIŲ KAINŲ NUSTATYMO METODIKA</w:t>
              </w:r>
            </w:sdtContent>
          </w:sdt>
        </w:p>
        <w:p>
          <w:pPr>
            <w:jc w:val="center"/>
            <w:rPr>
              <w:b/>
              <w:szCs w:val="24"/>
              <w:lang w:eastAsia="lt-LT"/>
            </w:rPr>
          </w:pPr>
        </w:p>
        <w:sdt>
          <w:sdtPr>
            <w:alias w:val="skyrius"/>
            <w:tag w:val="part_0b9841d256cb461fbbb50c17bbe0e4e2"/>
            <w:lock w:val="sdtLocked"/>
            <w:richText/>
          </w:sdtPr>
          <w:sdtContent>
            <w:p>
              <w:pPr>
                <w:jc w:val="center"/>
                <w:rPr>
                  <w:b/>
                  <w:szCs w:val="24"/>
                </w:rPr>
              </w:pPr>
              <w:sdt>
                <w:sdtPr>
                  <w:alias w:val="Numeris"/>
                  <w:tag w:val="nr_0b9841d256cb461fbbb50c17bbe0e4e2"/>
                  <w:lock w:val="sdtLocked"/>
                  <w:richText/>
                </w:sdtPr>
                <w:sdtContent>
                  <w:r>
                    <w:rPr>
                      <w:b/>
                      <w:szCs w:val="24"/>
                    </w:rPr>
                    <w:t>I</w:t>
                  </w:r>
                </w:sdtContent>
              </w:sdt>
              <w:r>
                <w:rPr>
                  <w:b/>
                  <w:szCs w:val="24"/>
                </w:rPr>
                <w:t xml:space="preserve"> </w:t>
              </w:r>
              <w:sdt>
                <w:sdtPr>
                  <w:alias w:val="Pavadinimas"/>
                  <w:tag w:val="title_0b9841d256cb461fbbb50c17bbe0e4e2"/>
                  <w:lock w:val="sdtLocked"/>
                  <w:richText/>
                </w:sdtPr>
                <w:sdtContent>
                  <w:r>
                    <w:rPr>
                      <w:b/>
                      <w:szCs w:val="24"/>
                    </w:rPr>
                    <w:t xml:space="preserve">SKYRIUS </w:t>
                    <w:b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sdt>
              <w:sdtPr>
                <w:alias w:val="1 p."/>
                <w:tag w:val="part_cc08c8514345477d91f9a91b0491d2ce"/>
                <w:lock w:val="sdtLocked"/>
                <w:richText/>
              </w:sdtPr>
              <w:sdtContent>
                <w:p>
                  <w:pPr>
                    <w:tabs>
                      <w:tab w:val="left" w:pos="993"/>
                    </w:tabs>
                    <w:ind w:firstLine="567"/>
                    <w:jc w:val="both"/>
                    <w:rPr>
                      <w:szCs w:val="24"/>
                      <w:lang w:eastAsia="lt-LT"/>
                    </w:rPr>
                  </w:pPr>
                  <w:sdt>
                    <w:sdtPr>
                      <w:alias w:val="Numeris"/>
                      <w:tag w:val="nr_cc08c8514345477d91f9a91b0491d2ce"/>
                      <w:lock w:val="sdtLocked"/>
                      <w:richText/>
                    </w:sdtPr>
                    <w:sdtContent>
                      <w:r>
                        <w:rPr>
                          <w:szCs w:val="24"/>
                          <w:lang w:eastAsia="lt-LT"/>
                        </w:rPr>
                        <w:t>1</w:t>
                      </w:r>
                    </w:sdtContent>
                  </w:sdt>
                  <w:r>
                    <w:rPr>
                      <w:szCs w:val="24"/>
                      <w:lang w:eastAsia="lt-LT"/>
                    </w:rPr>
                    <w:t>. Asmens sveikatos priežiūros paslaugų, kurių išlaidos apmokamos Privalomojo sveikatos draudimo fondo biudžeto lėšomis, bazinių kainų nustatymo metodika (toliau – Metodika) reglamentuoja bendruosius asmens sveikatos priežiūros paslaugų, įskaitant aktyviojo gydymo paslaugas, kurių išlaidos apmokamos Privalomojo sveikatos draudimo fondo biudžeto lėšomis, bazinių kainų skaičiavimo principus ir tvarką.</w:t>
                  </w:r>
                </w:p>
              </w:sdtContent>
            </w:sdt>
            <w:sdt>
              <w:sdtPr>
                <w:alias w:val="2 p."/>
                <w:tag w:val="part_bd7a8450a2a14dcba3b0cc054e0cbf7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sdtContent>
            </w:sdt>
            <w:sdt>
              <w:sdtPr>
                <w:alias w:val="3 p."/>
                <w:tag w:val="part_c4ad971c350b4aef83f02d60904518f7"/>
                <w:lock w:val="sdtLocked"/>
                <w:richText/>
              </w:sdtPr>
              <w:sdtContent>
                <w:p>
                  <w:pPr>
                    <w:tabs>
                      <w:tab w:val="left" w:pos="993"/>
                    </w:tabs>
                    <w:ind w:firstLine="567"/>
                    <w:jc w:val="both"/>
                    <w:rPr>
                      <w:szCs w:val="24"/>
                      <w:lang w:eastAsia="lt-LT"/>
                    </w:rPr>
                  </w:pPr>
                  <w:sdt>
                    <w:sdtPr>
                      <w:alias w:val="Numeris"/>
                      <w:tag w:val="nr_c4ad971c350b4aef83f02d60904518f7"/>
                      <w:lock w:val="sdtLocked"/>
                      <w:richText/>
                    </w:sdtPr>
                    <w:sdtContent>
                      <w:r>
                        <w:rPr>
                          <w:szCs w:val="24"/>
                        </w:rPr>
                        <w:t>3</w:t>
                      </w:r>
                    </w:sdtContent>
                  </w:sdt>
                  <w:r>
                    <w:rPr>
                      <w:szCs w:val="24"/>
                    </w:rPr>
                    <w:t>. Metodika privalo vadovautis Lietuvos Respublikos sveikatos apsaugos ministerija (toliau – SAM), Valstybinė ligonių kasa prie Sveikatos apsaugos ministerijos (toliau – VLK) ir asmens sveikatos priežiūros įstaigos (toliau –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9e016446e711f0b070ee7f1ceefc75">
                    <w:r w:rsidRPr="00532B9F">
                      <w:rPr>
                        <w:rFonts w:ascii="Times New Roman" w:eastAsia="MS Mincho" w:hAnsi="Times New Roman"/>
                        <w:sz w:val="20"/>
                        <w:i/>
                        <w:iCs/>
                        <w:color w:val="0000FF" w:themeColor="hyperlink"/>
                        <w:u w:val="single"/>
                      </w:rPr>
                      <w:t>V-546</w:t>
                    </w:r>
                  </w:fldSimple>
                  <w:r>
                    <w:rPr>
                      <w:rFonts w:ascii="Times New Roman" w:eastAsia="MS Mincho" w:hAnsi="Times New Roman"/>
                      <w:sz w:val="20"/>
                      <w:i/>
                      <w:iCs/>
                    </w:rPr>
                    <w:t>,
2025-06-11,
paskelbta TAR 2025-06-11, i. k. 2025-10640            </w:t>
                  </w:r>
                </w:p>
                <w:p/>
              </w:sdtContent>
            </w:sdt>
          </w:sdtContent>
        </w:sdt>
        <w:sdt>
          <w:sdtPr>
            <w:alias w:val="skyrius"/>
            <w:tag w:val="part_5d880546ab954d0c82506b762c98c3b2"/>
            <w:lock w:val="sdtLocked"/>
            <w:richText/>
          </w:sdtPr>
          <w:sdtContent>
            <w:p>
              <w:pPr>
                <w:keepNext/>
                <w:jc w:val="center"/>
                <w:rPr>
                  <w:rFonts w:eastAsia="Calibri"/>
                  <w:b/>
                  <w:bCs/>
                  <w:kern w:val="32"/>
                  <w:szCs w:val="24"/>
                </w:rPr>
              </w:pPr>
              <w:sdt>
                <w:sdtPr>
                  <w:alias w:val="Numeris"/>
                  <w:tag w:val="nr_5d880546ab954d0c82506b762c98c3b2"/>
                  <w:lock w:val="sdtLocked"/>
                  <w:richText/>
                </w:sdtPr>
                <w:sdtContent>
                  <w:r>
                    <w:rPr>
                      <w:rFonts w:eastAsia="Calibri"/>
                      <w:b/>
                      <w:bCs/>
                      <w:kern w:val="32"/>
                      <w:szCs w:val="24"/>
                    </w:rPr>
                    <w:t>II</w:t>
                  </w:r>
                </w:sdtContent>
              </w:sdt>
              <w:r>
                <w:rPr>
                  <w:rFonts w:eastAsia="Calibri"/>
                  <w:b/>
                  <w:bCs/>
                  <w:kern w:val="32"/>
                  <w:szCs w:val="24"/>
                </w:rPr>
                <w:t xml:space="preserve"> </w:t>
              </w:r>
              <w:sdt>
                <w:sdtPr>
                  <w:alias w:val="Pavadinimas"/>
                  <w:tag w:val="title_5d880546ab954d0c82506b762c98c3b2"/>
                  <w:lock w:val="sdtLocked"/>
                  <w:richText/>
                </w:sdtPr>
                <w:sdtContent>
                  <w:r>
                    <w:rPr>
                      <w:rFonts w:eastAsia="Calibri"/>
                      <w:b/>
                      <w:bCs/>
                      <w:kern w:val="32"/>
                      <w:szCs w:val="24"/>
                    </w:rPr>
                    <w:t xml:space="preserve">SKYRIUS </w:t>
                    <w:br/>
                    <w:t xml:space="preserve">METODIKOJE VARTOJAMOS SĄVOKOS IR JŲ APIBRĖŽIMAI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sdt>
              <w:sdtPr>
                <w:alias w:val="4 p."/>
                <w:tag w:val="part_f33d455c32cf4c16a71eeb6bd602882a"/>
                <w:lock w:val="sdtLocked"/>
                <w:richText/>
              </w:sdtPr>
              <w:sdtContent>
                <w:p>
                  <w:pPr>
                    <w:widowControl w:val="0"/>
                    <w:ind w:firstLine="567"/>
                    <w:jc w:val="both"/>
                    <w:rPr>
                      <w:szCs w:val="24"/>
                    </w:rPr>
                  </w:pPr>
                  <w:sdt>
                    <w:sdtPr>
                      <w:alias w:val="Numeris"/>
                      <w:tag w:val="nr_f33d455c32cf4c16a71eeb6bd602882a"/>
                      <w:lock w:val="sdtLocked"/>
                      <w:richText/>
                    </w:sdtPr>
                    <w:sdtContent>
                      <w:r>
                        <w:rPr>
                          <w:szCs w:val="24"/>
                        </w:rPr>
                        <w:t>4</w:t>
                      </w:r>
                    </w:sdtContent>
                  </w:sdt>
                  <w:r>
                    <w:rPr>
                      <w:szCs w:val="24"/>
                    </w:rPr>
                    <w:t>. Metodikoje vartojamos šios sąvokos ir jų apibrėžimai:</w:t>
                  </w:r>
                </w:p>
                <w:sdt>
                  <w:sdtPr>
                    <w:alias w:val="4.1 pp."/>
                    <w:tag w:val="part_886b591b358b47c5b14ae9608732e875"/>
                    <w:lock w:val="sdtLocked"/>
                    <w:richText/>
                  </w:sdtPr>
                  <w:sdtContent>
                    <w:p>
                      <w:pPr>
                        <w:widowControl w:val="0"/>
                        <w:ind w:firstLine="567"/>
                        <w:jc w:val="both"/>
                        <w:rPr>
                          <w:szCs w:val="24"/>
                        </w:rPr>
                      </w:pPr>
                      <w:sdt>
                        <w:sdtPr>
                          <w:alias w:val="Numeris"/>
                          <w:tag w:val="nr_886b591b358b47c5b14ae9608732e875"/>
                          <w:lock w:val="sdtLocked"/>
                          <w:richText/>
                        </w:sdtPr>
                        <w:sdtContent>
                          <w:r>
                            <w:rPr>
                              <w:szCs w:val="24"/>
                            </w:rPr>
                            <w:t>4.1</w:t>
                          </w:r>
                        </w:sdtContent>
                      </w:sdt>
                      <w:r>
                        <w:rPr>
                          <w:szCs w:val="24"/>
                        </w:rPr>
                        <w:t>.</w:t>
                      </w:r>
                      <w:r>
                        <w:rPr>
                          <w:b/>
                          <w:szCs w:val="24"/>
                        </w:rPr>
                        <w:t xml:space="preserve"> aktyviojo gydymo atvejis </w:t>
                      </w:r>
                      <w:r>
                        <w:rPr>
                          <w:szCs w:val="24"/>
                        </w:rPr>
                        <w:t>– paciento gydymo laikotarpis (gydymo etapas), kuriuo jam teikiamos aktyviojo gydymo paslaugos;</w:t>
                      </w:r>
                    </w:p>
                  </w:sdtContent>
                </w:sdt>
                <w:sdt>
                  <w:sdtPr>
                    <w:alias w:val="4.2 pp."/>
                    <w:tag w:val="part_84c4929566364ace922314a00dc0215b"/>
                    <w:lock w:val="sdtLocked"/>
                    <w:richText/>
                  </w:sdtPr>
                  <w:sdtContent>
                    <w:p>
                      <w:pPr>
                        <w:widowControl w:val="0"/>
                        <w:ind w:firstLine="567"/>
                        <w:jc w:val="both"/>
                        <w:rPr>
                          <w:b/>
                          <w:szCs w:val="24"/>
                        </w:rPr>
                      </w:pPr>
                      <w:sdt>
                        <w:sdtPr>
                          <w:alias w:val="Numeris"/>
                          <w:tag w:val="nr_84c4929566364ace922314a00dc0215b"/>
                          <w:lock w:val="sdtLocked"/>
                          <w:richText/>
                        </w:sdtPr>
                        <w:sdtContent>
                          <w:r>
                            <w:rPr>
                              <w:szCs w:val="24"/>
                            </w:rPr>
                            <w:t>4.2</w:t>
                          </w:r>
                        </w:sdtContent>
                      </w:sdt>
                      <w:r>
                        <w:rPr>
                          <w:szCs w:val="24"/>
                        </w:rPr>
                        <w:t>.</w:t>
                      </w:r>
                      <w:r>
                        <w:rPr>
                          <w:b/>
                          <w:szCs w:val="24"/>
                        </w:rPr>
                        <w:t xml:space="preserve"> aktyviojo gydymo atvejo</w:t>
                      </w:r>
                      <w:r>
                        <w:rPr>
                          <w:szCs w:val="24"/>
                        </w:rPr>
                        <w:t xml:space="preserve"> </w:t>
                      </w:r>
                      <w:r>
                        <w:rPr>
                          <w:b/>
                          <w:szCs w:val="24"/>
                        </w:rPr>
                        <w:t xml:space="preserve">kainos koeficientas </w:t>
                      </w:r>
                      <w:r>
                        <w:rPr>
                          <w:szCs w:val="24"/>
                        </w:rPr>
                        <w:t>– dydis, parodantis bazinės ir faktinės aktyviojo gydymo atvejo kainų santykį ir priklausantis nuo giminingų diagnozių grupės, kuriai priskiriamas aktyviojo gydymo atvejis, ir gydymo trukmės. Bazinė aktyviojo gydymo kaina prilyginama vienetui, o giminingų diagnozių grupių kainų koeficientai apskaičiuojami vieneto atžvilgiu;</w:t>
                      </w:r>
                    </w:p>
                  </w:sdtContent>
                </w:sdt>
                <w:sdt>
                  <w:sdtPr>
                    <w:alias w:val="4.3 pp."/>
                    <w:tag w:val="part_41bde33c43dd439280e937481e85dd46"/>
                    <w:lock w:val="sdtLocked"/>
                    <w:richText/>
                  </w:sdtPr>
                  <w:sdtContent>
                    <w:p>
                      <w:pPr>
                        <w:widowControl w:val="0"/>
                        <w:ind w:firstLine="567"/>
                        <w:jc w:val="both"/>
                        <w:rPr>
                          <w:szCs w:val="24"/>
                        </w:rPr>
                      </w:pPr>
                      <w:sdt>
                        <w:sdtPr>
                          <w:alias w:val="Numeris"/>
                          <w:tag w:val="nr_41bde33c43dd439280e937481e85dd46"/>
                          <w:lock w:val="sdtLocked"/>
                          <w:richText/>
                        </w:sdtPr>
                        <w:sdtContent>
                          <w:r>
                            <w:rPr>
                              <w:szCs w:val="24"/>
                            </w:rPr>
                            <w:t>4.3</w:t>
                          </w:r>
                        </w:sdtContent>
                      </w:sdt>
                      <w:r>
                        <w:rPr>
                          <w:szCs w:val="24"/>
                        </w:rPr>
                        <w:t>.</w:t>
                      </w:r>
                      <w:r>
                        <w:rPr>
                          <w:b/>
                          <w:szCs w:val="24"/>
                        </w:rPr>
                        <w:t xml:space="preserve"> aktyviojo gydymo paslaugos </w:t>
                      </w:r>
                      <w:r>
                        <w:rPr>
                          <w:szCs w:val="24"/>
                        </w:rPr>
                        <w:t>– dienos chirurgijos ir stacionarinės asmens sveikatos priežiūros</w:t>
                      </w:r>
                      <w:r>
                        <w:rPr>
                          <w:b/>
                          <w:szCs w:val="24"/>
                        </w:rPr>
                        <w:t xml:space="preserve"> </w:t>
                      </w:r>
                      <w:r>
                        <w:rPr>
                          <w:szCs w:val="24"/>
                        </w:rPr>
                        <w:t>paslaugos, teikiamos pacientams dėl ūmios ligos, lėtinės ligos paūmėjimo, tęstinio aktyvaus gydymo ar sužalojimo, kai reikalingas ištyrimas ir (ar) aktyvus medikamentinis, ir (ar) chirurginis gydymas, kuris negali būti taikomas ambulatorinėmis sąlygomis, išskyrus ilgalaikio gydymo ir stacionarinės medicininės reabilitacijos paslaugas ir asmens slaugančio vaiką (-us) išlaikymą;</w:t>
                      </w:r>
                    </w:p>
                  </w:sdtContent>
                </w:sdt>
                <w:sdt>
                  <w:sdtPr>
                    <w:alias w:val="4.4 pp."/>
                    <w:tag w:val="part_92f83c92f9ee47a5b2e66d7d9490e281"/>
                    <w:lock w:val="sdtLocked"/>
                    <w:richText/>
                  </w:sdtPr>
                  <w:sdtContent>
                    <w:p>
                      <w:pPr>
                        <w:widowControl w:val="0"/>
                        <w:ind w:firstLine="567"/>
                        <w:jc w:val="both"/>
                        <w:rPr>
                          <w:b/>
                          <w:szCs w:val="24"/>
                        </w:rPr>
                      </w:pPr>
                      <w:sdt>
                        <w:sdtPr>
                          <w:alias w:val="Numeris"/>
                          <w:tag w:val="nr_92f83c92f9ee47a5b2e66d7d9490e281"/>
                          <w:lock w:val="sdtLocked"/>
                          <w:richText/>
                        </w:sdtPr>
                        <w:sdtContent>
                          <w:r>
                            <w:rPr>
                              <w:szCs w:val="24"/>
                            </w:rPr>
                            <w:t>4.4</w:t>
                          </w:r>
                        </w:sdtContent>
                      </w:sdt>
                      <w:r>
                        <w:rPr>
                          <w:szCs w:val="24"/>
                        </w:rPr>
                        <w:t>.</w:t>
                      </w:r>
                      <w:r>
                        <w:rPr>
                          <w:b/>
                          <w:szCs w:val="24"/>
                        </w:rPr>
                        <w:t xml:space="preserve"> bazinė aktyviojo gydymo atvejo kaina </w:t>
                      </w:r>
                      <w:r>
                        <w:rPr>
                          <w:szCs w:val="24"/>
                        </w:rPr>
                        <w:t>– kiekvienais metais nustatoma ataskaitinio laikotarpio (praėjusių kalendorinių metų) nekintamoji faktinės aktyviojo gydymo atvejo kainos dalis, išreikšta balais;</w:t>
                      </w:r>
                    </w:p>
                  </w:sdtContent>
                </w:sdt>
                <w:sdt>
                  <w:sdtPr>
                    <w:alias w:val="4.5 pp."/>
                    <w:tag w:val="part_140dfa28db9645b798009b1fcd8b19ac"/>
                    <w:lock w:val="sdtLocked"/>
                    <w:richText/>
                  </w:sdtPr>
                  <w:sdtContent>
                    <w:p>
                      <w:pPr>
                        <w:widowControl w:val="0"/>
                        <w:ind w:firstLine="567"/>
                        <w:jc w:val="both"/>
                        <w:rPr>
                          <w:szCs w:val="24"/>
                        </w:rPr>
                      </w:pPr>
                      <w:sdt>
                        <w:sdtPr>
                          <w:alias w:val="Numeris"/>
                          <w:tag w:val="nr_140dfa28db9645b798009b1fcd8b19ac"/>
                          <w:lock w:val="sdtLocked"/>
                          <w:richText/>
                        </w:sdtPr>
                        <w:sdtContent>
                          <w:r>
                            <w:rPr>
                              <w:szCs w:val="24"/>
                            </w:rPr>
                            <w:t>4.5</w:t>
                          </w:r>
                        </w:sdtContent>
                      </w:sdt>
                      <w:r>
                        <w:rPr>
                          <w:szCs w:val="24"/>
                        </w:rPr>
                        <w:t>.</w:t>
                      </w:r>
                      <w:r>
                        <w:rPr>
                          <w:b/>
                          <w:szCs w:val="24"/>
                        </w:rPr>
                        <w:t xml:space="preserve"> bazinė kaina</w:t>
                      </w:r>
                      <w:r>
                        <w:rPr>
                          <w:szCs w:val="24"/>
                        </w:rPr>
                        <w:t xml:space="preserve"> – asmens sveikatos priežiūros paslaugų, kurių išlaidos apmokamos iš Privalomojo sveikatos draudimo fondo (toliau – PSDF) biudžeto, kaina. Viešojo pirkimo būdu centralizuotai įsigyjamų protezų, reagentų ir kitų medicinos pagalbos priemonių, būtinų asmens sveikatos priežiūrai, kaina laikoma šių priemonių bazine kaina;</w:t>
                      </w:r>
                    </w:p>
                  </w:sdtContent>
                </w:sdt>
                <w:sdt>
                  <w:sdtPr>
                    <w:alias w:val="4.6 pp."/>
                    <w:tag w:val="part_94be097c40c9465583f23eff05840a7d"/>
                    <w:lock w:val="sdtLocked"/>
                    <w:richText/>
                  </w:sdtPr>
                  <w:sdtContent>
                    <w:p>
                      <w:pPr>
                        <w:ind w:firstLine="567"/>
                        <w:jc w:val="both"/>
                        <w:rPr>
                          <w:b/>
                          <w:szCs w:val="24"/>
                        </w:rPr>
                      </w:pPr>
                      <w:sdt>
                        <w:sdtPr>
                          <w:alias w:val="Numeris"/>
                          <w:tag w:val="nr_94be097c40c9465583f23eff05840a7d"/>
                          <w:lock w:val="sdtLocked"/>
                          <w:richText/>
                        </w:sdtPr>
                        <w:sdtContent>
                          <w:r>
                            <w:rPr>
                              <w:sz w:val="23"/>
                              <w:szCs w:val="23"/>
                            </w:rPr>
                            <w:t>4.6</w:t>
                          </w:r>
                        </w:sdtContent>
                      </w:sdt>
                      <w:r>
                        <w:rPr>
                          <w:sz w:val="23"/>
                          <w:szCs w:val="23"/>
                        </w:rPr>
                        <w:t>.</w:t>
                      </w:r>
                      <w:r>
                        <w:rPr>
                          <w:b/>
                          <w:sz w:val="23"/>
                          <w:szCs w:val="23"/>
                        </w:rPr>
                        <w:t xml:space="preserve"> faktinė aktyviojo gydymo atvejo kaina</w:t>
                      </w:r>
                      <w:r>
                        <w:rPr>
                          <w:sz w:val="23"/>
                          <w:szCs w:val="23"/>
                        </w:rPr>
                        <w:t xml:space="preserve"> – aktyviojo gydymo atvejo kaina, kurią nustatant bazinė aktyviojo gydymo atvejo kaina dauginama iš atitinkamo aktyviojo gydymo atvejo kainos koeficiento, vadovaujantis Giminingų diagnozių grupių sąrašu bei Normatyvinės gydymo trukmės ir giminingų diagnozių grupėms priskiriamų kainų koeficientų sąrašu, patvirtintais Lietuvos Respublikos sveikatos apsaugos ministro 2011 m. gruodžio 23 d. įsakymu Nr. V-1118 „Dėl Giminingų diagnozių grupių sąrašo, Normatyvinės gydymo trukmės ir giminingų diagnozių grupėms priskiriamų kainų koeficientų sąrašo bei bazinės aktyviojo gydymo atvejo kainos tvirtinimo“. Jei aktyviojo gydymo atveju taikoma m</w:t>
                      </w:r>
                      <w:r>
                        <w:rPr>
                          <w:color w:val="000000"/>
                          <w:sz w:val="23"/>
                          <w:szCs w:val="23"/>
                        </w:rPr>
                        <w:t xml:space="preserve">edicinos pagalbos priemonė ir (ar) vaistas, ir (ar) kraujo komponentas, ir (ar) procedūra, kurių kainos yra įtrauktos į Medicinos pagalbos priemonių, vaistų, procedūrų ir kraujo komponentų kainų, turinčių įtakos faktinei aktyviojo gydymo atvejo kainai, sąrašą, </w:t>
                      </w:r>
                      <w:r>
                        <w:rPr>
                          <w:sz w:val="23"/>
                          <w:szCs w:val="23"/>
                        </w:rPr>
                        <w:t xml:space="preserve">patvirtintą šiame papunktyje nurodytu įsakymu, </w:t>
                      </w:r>
                      <w:r>
                        <w:rPr>
                          <w:color w:val="000000"/>
                          <w:sz w:val="23"/>
                          <w:szCs w:val="23"/>
                        </w:rPr>
                        <w:t xml:space="preserve">faktinė </w:t>
                      </w:r>
                      <w:r>
                        <w:rPr>
                          <w:sz w:val="23"/>
                          <w:szCs w:val="23"/>
                        </w:rPr>
                        <w:t xml:space="preserve">aktyviojo gydymo </w:t>
                      </w:r>
                      <w:r>
                        <w:rPr>
                          <w:color w:val="000000"/>
                          <w:sz w:val="23"/>
                          <w:szCs w:val="23"/>
                        </w:rPr>
                        <w:t xml:space="preserve">atvejo kaina apskaičiuojama jo bazinę kainą dauginant iš tam tikro kainos koeficiento ir pridedant šiame sąraše nurodytą taikytos </w:t>
                      </w:r>
                      <w:r>
                        <w:rPr>
                          <w:sz w:val="23"/>
                          <w:szCs w:val="23"/>
                        </w:rPr>
                        <w:t>m</w:t>
                      </w:r>
                      <w:r>
                        <w:rPr>
                          <w:color w:val="000000"/>
                          <w:sz w:val="23"/>
                          <w:szCs w:val="23"/>
                        </w:rPr>
                        <w:t>edicinos pagalbos priemonės ir (ar) vaisto, ir (ar) kraujo komponento, ir (ar) procedūros kainą. Faktinės ir bazinės</w:t>
                      </w:r>
                      <w:r>
                        <w:rPr>
                          <w:sz w:val="23"/>
                          <w:szCs w:val="23"/>
                        </w:rPr>
                        <w:t xml:space="preserve"> aktyviojo gydymo atvejo kainų skirtumas sudaro kintamąją faktinės aktyviojo gydymo kainos dalį, išreikštą balais;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581e50617311e7b85cfdc787069b42">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2017-07-04,
paskelbta TAR 2017-07-07, i. k. 2017-11667            </w:t>
                      </w:r>
                    </w:p>
                    <w:p/>
                  </w:sdtContent>
                </w:sdt>
                <w:sdt>
                  <w:sdtPr>
                    <w:alias w:val="4.7 pp."/>
                    <w:tag w:val="part_aa325e074fdf4137b1553a72b7b7bb86"/>
                    <w:lock w:val="sdtLocked"/>
                    <w:richText/>
                  </w:sdtPr>
                  <w:sdtContent>
                    <w:p>
                      <w:pPr>
                        <w:widowControl w:val="0"/>
                        <w:ind w:firstLine="567"/>
                        <w:jc w:val="both"/>
                        <w:rPr>
                          <w:szCs w:val="24"/>
                        </w:rPr>
                      </w:pPr>
                      <w:sdt>
                        <w:sdtPr>
                          <w:alias w:val="Numeris"/>
                          <w:tag w:val="nr_aa325e074fdf4137b1553a72b7b7bb86"/>
                          <w:lock w:val="sdtLocked"/>
                          <w:richText/>
                        </w:sdtPr>
                        <w:sdtContent>
                          <w:r>
                            <w:rPr>
                              <w:szCs w:val="24"/>
                            </w:rPr>
                            <w:t>4.7</w:t>
                          </w:r>
                        </w:sdtContent>
                      </w:sdt>
                      <w:r>
                        <w:rPr>
                          <w:szCs w:val="24"/>
                        </w:rPr>
                        <w:t>.</w:t>
                      </w:r>
                      <w:r>
                        <w:rPr>
                          <w:b/>
                          <w:szCs w:val="24"/>
                        </w:rPr>
                        <w:t xml:space="preserve"> giminingų diagnozių grupė – </w:t>
                      </w:r>
                      <w:r>
                        <w:rPr>
                          <w:szCs w:val="24"/>
                        </w:rPr>
                        <w:t>aktyviojo gydymo</w:t>
                      </w:r>
                      <w:r>
                        <w:rPr>
                          <w:b/>
                          <w:szCs w:val="24"/>
                        </w:rPr>
                        <w:t xml:space="preserve"> </w:t>
                      </w:r>
                      <w:r>
                        <w:rPr>
                          <w:szCs w:val="24"/>
                        </w:rPr>
                        <w:t>paslaugų grupė, kurią sudaro medicinos (pagal diagnozes ir kitus kriterijus) ir ekonomikos (pagal sąnaudas) požiūriu panašios paslaugos;</w:t>
                      </w:r>
                    </w:p>
                  </w:sdtContent>
                </w:sdt>
                <w:sdt>
                  <w:sdtPr>
                    <w:alias w:val="4.8 pp."/>
                    <w:tag w:val="part_b70458e335a54485bab32c454cb3dd82"/>
                    <w:lock w:val="sdtLocked"/>
                    <w:richText/>
                  </w:sdtPr>
                  <w:sdtContent>
                    <w:p>
                      <w:pPr>
                        <w:widowControl w:val="0"/>
                        <w:ind w:firstLine="567"/>
                        <w:jc w:val="both"/>
                        <w:rPr>
                          <w:szCs w:val="24"/>
                        </w:rPr>
                      </w:pPr>
                      <w:sdt>
                        <w:sdtPr>
                          <w:alias w:val="Numeris"/>
                          <w:tag w:val="nr_b70458e335a54485bab32c454cb3dd82"/>
                          <w:lock w:val="sdtLocked"/>
                          <w:richText/>
                        </w:sdtPr>
                        <w:sdtContent>
                          <w:r>
                            <w:rPr>
                              <w:szCs w:val="24"/>
                            </w:rPr>
                            <w:t>4.8</w:t>
                          </w:r>
                        </w:sdtContent>
                      </w:sdt>
                      <w:r>
                        <w:rPr>
                          <w:szCs w:val="24"/>
                        </w:rPr>
                        <w:t>.</w:t>
                      </w:r>
                      <w:r>
                        <w:rPr>
                          <w:b/>
                          <w:szCs w:val="24"/>
                        </w:rPr>
                        <w:t xml:space="preserve"> ilgalaikis gydymas</w:t>
                      </w:r>
                      <w:r>
                        <w:rPr>
                          <w:szCs w:val="24"/>
                        </w:rPr>
                        <w:t xml:space="preserve"> – stacionarinės asmens sveikatos priežiūros</w:t>
                      </w:r>
                      <w:r>
                        <w:rPr>
                          <w:b/>
                          <w:szCs w:val="24"/>
                        </w:rPr>
                        <w:t xml:space="preserve"> </w:t>
                      </w:r>
                      <w:r>
                        <w:rPr>
                          <w:szCs w:val="24"/>
                        </w:rPr>
                        <w:t>paslaugos, teikiamos lėtinėmis ligomis sergantiems pacientams, kai reikalingas ilgai (dažniausiai ilgiau nei mėnesį) trunkantis etiopatogenezinis ir (ar) palaikomasis, ir (ar) simptominis gydymas, ir (ar) slauga. Ilgalaikio gydymo paslaugų pavyzdžiai: palaikomojo gydymo ir slaugos, paliatyviosios pagalbos, tuberkuliozės, specialiosios psichiatrijos, psichikos ligų ilgalaikio gydymo paslaugos ir pan.;</w:t>
                      </w:r>
                    </w:p>
                  </w:sdtContent>
                </w:sdt>
                <w:sdt>
                  <w:sdtPr>
                    <w:alias w:val="4.9 pp."/>
                    <w:tag w:val="part_2076edbae3434151a172f7b5b554c119"/>
                    <w:lock w:val="sdtLocked"/>
                    <w:richText/>
                  </w:sdtPr>
                  <w:sdtContent>
                    <w:p>
                      <w:pPr>
                        <w:widowControl w:val="0"/>
                        <w:ind w:firstLine="567"/>
                        <w:jc w:val="both"/>
                        <w:rPr>
                          <w:szCs w:val="24"/>
                        </w:rPr>
                      </w:pPr>
                      <w:sdt>
                        <w:sdtPr>
                          <w:alias w:val="Numeris"/>
                          <w:tag w:val="nr_2076edbae3434151a172f7b5b554c119"/>
                          <w:lock w:val="sdtLocked"/>
                          <w:richText/>
                        </w:sdtPr>
                        <w:sdtContent>
                          <w:r>
                            <w:rPr>
                              <w:szCs w:val="24"/>
                            </w:rPr>
                            <w:t>4.9</w:t>
                          </w:r>
                        </w:sdtContent>
                      </w:sdt>
                      <w:r>
                        <w:rPr>
                          <w:szCs w:val="24"/>
                        </w:rPr>
                        <w:t>.</w:t>
                      </w:r>
                      <w:r>
                        <w:rPr>
                          <w:b/>
                          <w:szCs w:val="24"/>
                        </w:rPr>
                        <w:t xml:space="preserve"> prisirašęs gyventojas</w:t>
                      </w:r>
                      <w:r>
                        <w:rPr>
                          <w:szCs w:val="24"/>
                        </w:rPr>
                        <w:t xml:space="preserve"> – prie pirminės ambulatorinės asmens sveikatos priežiūros (toliau – PAASP) paslaugas teikiančios ASPĮ prisirašęs gyventojas;</w:t>
                      </w:r>
                    </w:p>
                  </w:sdtContent>
                </w:sdt>
                <w:sdt>
                  <w:sdtPr>
                    <w:alias w:val="4.10 pp."/>
                    <w:tag w:val="part_3949205fe73d40be888ada74a120f4f9"/>
                    <w:lock w:val="sdtLocked"/>
                    <w:richText/>
                  </w:sdtPr>
                  <w:sdtContent>
                    <w:p>
                      <w:pPr>
                        <w:widowControl w:val="0"/>
                        <w:ind w:firstLine="567"/>
                        <w:jc w:val="both"/>
                        <w:rPr>
                          <w:szCs w:val="24"/>
                        </w:rPr>
                      </w:pPr>
                      <w:sdt>
                        <w:sdtPr>
                          <w:alias w:val="Numeris"/>
                          <w:tag w:val="nr_3949205fe73d40be888ada74a120f4f9"/>
                          <w:lock w:val="sdtLocked"/>
                          <w:richText/>
                        </w:sdtPr>
                        <w:sdtContent>
                          <w:r>
                            <w:rPr>
                              <w:szCs w:val="24"/>
                            </w:rPr>
                            <w:t>4.10</w:t>
                          </w:r>
                        </w:sdtContent>
                      </w:sdt>
                      <w:r>
                        <w:rPr>
                          <w:szCs w:val="24"/>
                        </w:rPr>
                        <w:t>.</w:t>
                      </w:r>
                      <w:r>
                        <w:rPr>
                          <w:b/>
                          <w:szCs w:val="24"/>
                        </w:rPr>
                        <w:t xml:space="preserve"> tarptautinis sąnaudų grupės kainos koeficientas – </w:t>
                      </w:r>
                      <w:r>
                        <w:rPr>
                          <w:szCs w:val="24"/>
                        </w:rPr>
                        <w:t>dydis, apskaičiuojamas naudojantis Australijos Sandraugos Vyriausybės agentūros, vadinamosios Nepriklausomos gydymo paslaugų kainodaros institucijos (toliau – NGPKI), originaliais duomenimis apie sąnaudų grupių struktūrą (pagal Australijos AR-DRG klasifikavimo sistemą), kurie skelbiami Australijos NGPKI oficialiame tinklalapyje (www. ihpa. gov. au);</w:t>
                      </w:r>
                    </w:p>
                  </w:sdtContent>
                </w:sdt>
                <w:sdt>
                  <w:sdtPr>
                    <w:alias w:val="4.11 pp."/>
                    <w:tag w:val="part_f18d877c32f0489584020a1dc9e75303"/>
                    <w:lock w:val="sdtLocked"/>
                    <w:richText/>
                  </w:sdtPr>
                  <w:sdtContent>
                    <w:p>
                      <w:pPr>
                        <w:tabs>
                          <w:tab w:val="left" w:pos="710"/>
                          <w:tab w:val="left" w:pos="1134"/>
                        </w:tabs>
                        <w:ind w:firstLine="567"/>
                        <w:jc w:val="both"/>
                        <w:rPr>
                          <w:szCs w:val="24"/>
                        </w:rPr>
                      </w:pPr>
                      <w:sdt>
                        <w:sdtPr>
                          <w:alias w:val="Numeris"/>
                          <w:tag w:val="nr_f18d877c32f0489584020a1dc9e75303"/>
                          <w:lock w:val="sdtLocked"/>
                          <w:richText/>
                        </w:sdtPr>
                        <w:sdtContent>
                          <w:r>
                            <w:rPr>
                              <w:szCs w:val="24"/>
                            </w:rPr>
                            <w:t>4.11</w:t>
                          </w:r>
                        </w:sdtContent>
                      </w:sdt>
                      <w:r>
                        <w:rPr>
                          <w:szCs w:val="24"/>
                        </w:rPr>
                        <w:t xml:space="preserve"> </w:t>
                      </w:r>
                      <w:r>
                        <w:rPr>
                          <w:b/>
                          <w:bCs/>
                          <w:szCs w:val="24"/>
                        </w:rPr>
                        <w:t>vartotojų kainų indeksas (06 Sveikata)</w:t>
                      </w:r>
                      <w:r>
                        <w:rPr>
                          <w:szCs w:val="24"/>
                        </w:rPr>
                        <w:t xml:space="preserve"> </w:t>
                      </w:r>
                      <w:r>
                        <w:rPr>
                          <w:color w:val="000000"/>
                          <w:szCs w:val="24"/>
                        </w:rPr>
                        <w:t>–</w:t>
                      </w:r>
                      <w:r>
                        <w:rPr>
                          <w:szCs w:val="24"/>
                        </w:rPr>
                        <w:t xml:space="preserve"> santykinis rodiklis, kuriuo išreiškiamas vartojimo prekių ir paslaugų, kurias namų ūkiai perka sveikatos poreikiams, bendras kainų pokytis per tam tikrą laikotarpį, skelbiamas Oficialiosios statistikos portale.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4f9460e21811ea9342c1d4e2ff6ff6">
                        <w:r w:rsidRPr="00532B9F">
                          <w:rPr>
                            <w:rFonts w:ascii="Times New Roman" w:eastAsia="MS Mincho" w:hAnsi="Times New Roman"/>
                            <w:sz w:val="20"/>
                            <w:i/>
                            <w:iCs/>
                            <w:color w:val="0000FF" w:themeColor="hyperlink"/>
                            <w:u w:val="single"/>
                          </w:rPr>
                          <w:t>V-1869</w:t>
                        </w:r>
                      </w:fldSimple>
                      <w:r>
                        <w:rPr>
                          <w:rFonts w:ascii="Times New Roman" w:eastAsia="MS Mincho" w:hAnsi="Times New Roman"/>
                          <w:sz w:val="20"/>
                          <w:i/>
                          <w:iCs/>
                        </w:rPr>
                        <w:t>,
2020-08-19,
paskelbta TAR 2020-08-19, i. k. 2020-17548        </w:t>
                      </w:r>
                    </w:p>
                    <w:p/>
                  </w:sdtContent>
                </w:sdt>
                <w:sdt>
                  <w:sdtPr>
                    <w:alias w:val="4.12 pp."/>
                    <w:tag w:val="part_38bfa0b3095d466fbadd29cdcb261336"/>
                    <w:lock w:val="sdtLocked"/>
                    <w:richText/>
                  </w:sdtPr>
                  <w:sdtContent>
                    <w:p>
                      <w:pPr>
                        <w:widowControl w:val="0"/>
                        <w:ind w:firstLine="567"/>
                        <w:jc w:val="both"/>
                        <w:rPr>
                          <w:b/>
                          <w:szCs w:val="24"/>
                        </w:rPr>
                      </w:pPr>
                      <w:sdt>
                        <w:sdtPr>
                          <w:alias w:val="Numeris"/>
                          <w:tag w:val="nr_38bfa0b3095d466fbadd29cdcb261336"/>
                          <w:lock w:val="sdtLocked"/>
                          <w:richText/>
                        </w:sdtPr>
                        <w:sdtContent>
                          <w:r>
                            <w:rPr>
                              <w:szCs w:val="24"/>
                            </w:rPr>
                            <w:t>4.12</w:t>
                          </w:r>
                        </w:sdtContent>
                      </w:sdt>
                      <w:r>
                        <w:rPr>
                          <w:szCs w:val="24"/>
                        </w:rPr>
                        <w:t>.</w:t>
                      </w:r>
                      <w:r>
                        <w:rPr>
                          <w:b/>
                          <w:szCs w:val="24"/>
                        </w:rPr>
                        <w:t xml:space="preserve"> veiklos sąnaudos </w:t>
                      </w:r>
                      <w:r>
                        <w:rPr>
                          <w:szCs w:val="24"/>
                        </w:rPr>
                        <w:t>– ASPĮ ataskaitinio laikotarpio išlaidos, susijusios su pagrindine ASPĮ veikla;</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4f9460e21811ea9342c1d4e2ff6ff6">
                        <w:r w:rsidRPr="00532B9F">
                          <w:rPr>
                            <w:rFonts w:ascii="Times New Roman" w:eastAsia="MS Mincho" w:hAnsi="Times New Roman"/>
                            <w:sz w:val="20"/>
                            <w:i/>
                            <w:iCs/>
                            <w:color w:val="0000FF" w:themeColor="hyperlink"/>
                            <w:u w:val="single"/>
                          </w:rPr>
                          <w:t>V-1869</w:t>
                        </w:r>
                      </w:fldSimple>
                      <w:r>
                        <w:rPr>
                          <w:rFonts w:ascii="Times New Roman" w:eastAsia="MS Mincho" w:hAnsi="Times New Roman"/>
                          <w:sz w:val="20"/>
                          <w:i/>
                          <w:iCs/>
                        </w:rPr>
                        <w:t>,
2020-08-19,
paskelbta TAR 2020-08-19, i. k. 2020-17548        </w:t>
                      </w:r>
                    </w:p>
                    <w:p/>
                  </w:sdtContent>
                </w:sdt>
                <w:sdt>
                  <w:sdtPr>
                    <w:alias w:val="4.13 pp."/>
                    <w:tag w:val="part_3800b288de74464ea4b96d2c2dc7d163"/>
                    <w:lock w:val="sdtLocked"/>
                    <w:richText/>
                  </w:sdtPr>
                  <w:sdtContent>
                    <w:p>
                      <w:pPr>
                        <w:pStyle w:val="PlainText"/>
                        <w:ind w:firstLine="567"/>
                        <w:jc w:val="both"/>
                        <w:rPr>
                          <w:rFonts w:ascii="Times New Roman" w:hAnsi="Times New Roman"/>
                          <w:b/>
                          <w:bCs/>
                          <w:sz w:val="22"/>
                        </w:rPr>
                      </w:pPr>
                      <w:r>
                        <w:rPr>
                          <w:rFonts w:ascii="Times New Roman" w:hAnsi="Times New Roman"/>
                          <w:sz w:val="22"/>
                        </w:rPr>
                        <w:t>4.13</w:t>
                      </w:r>
                      <w:r>
                        <w:rPr>
                          <w:rFonts w:ascii="Times New Roman" w:hAnsi="Times New Roman"/>
                          <w:sz w:val="22"/>
                        </w:rPr>
                        <w:t>.</w:t>
                      </w:r>
                      <w:r>
                        <w:rPr>
                          <w:rFonts w:ascii="Times New Roman" w:eastAsia="MS Mincho" w:hAnsi="Times New Roman"/>
                          <w:sz w:val="20"/>
                          <w:i/>
                          <w:iCs/>
                        </w:rPr>
                        <w:t xml:space="preserve"> Neteko galios nuo 2023-07-01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6ebb00e6d11ee9f7ec2ffce8b47bc">
                        <w:r w:rsidRPr="00532B9F">
                          <w:rPr>
                            <w:rFonts w:ascii="Times New Roman" w:eastAsia="MS Mincho" w:hAnsi="Times New Roman"/>
                            <w:sz w:val="20"/>
                            <w:i/>
                            <w:iCs/>
                            <w:color w:val="0000FF" w:themeColor="hyperlink"/>
                            <w:u w:val="single"/>
                          </w:rPr>
                          <w:t>V-702</w:t>
                        </w:r>
                      </w:fldSimple>
                      <w:r>
                        <w:rPr>
                          <w:rFonts w:ascii="Times New Roman" w:eastAsia="MS Mincho" w:hAnsi="Times New Roman"/>
                          <w:sz w:val="20"/>
                          <w:i/>
                          <w:iCs/>
                        </w:rPr>
                        <w:t>,
2023-06-19,
paskelbta TAR 2023-06-19, i. k. 2023-12151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29de70d07d11e8bea9885f77677ec1">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2018-10-15,
paskelbta TAR 2018-10-15, i. k. 2018-16218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76005ee011ea931dbf3357b5b1c0">
                        <w:r w:rsidRPr="00532B9F">
                          <w:rPr>
                            <w:rFonts w:ascii="Times New Roman" w:eastAsia="MS Mincho" w:hAnsi="Times New Roman"/>
                            <w:sz w:val="20"/>
                            <w:i/>
                            <w:iCs/>
                            <w:color w:val="0000FF" w:themeColor="hyperlink"/>
                            <w:u w:val="single"/>
                          </w:rPr>
                          <w:t>V-261</w:t>
                        </w:r>
                      </w:fldSimple>
                      <w:r>
                        <w:rPr>
                          <w:rFonts w:ascii="Times New Roman" w:eastAsia="MS Mincho" w:hAnsi="Times New Roman"/>
                          <w:sz w:val="20"/>
                          <w:i/>
                          <w:iCs/>
                        </w:rPr>
                        <w:t>,
2020-03-03,
paskelbta TAR 2020-03-05, i. k. 2020-04965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4f9460e21811ea9342c1d4e2ff6ff6">
                        <w:r w:rsidRPr="00532B9F">
                          <w:rPr>
                            <w:rFonts w:ascii="Times New Roman" w:eastAsia="MS Mincho" w:hAnsi="Times New Roman"/>
                            <w:sz w:val="20"/>
                            <w:i/>
                            <w:iCs/>
                            <w:color w:val="0000FF" w:themeColor="hyperlink"/>
                            <w:u w:val="single"/>
                          </w:rPr>
                          <w:t>V-1869</w:t>
                        </w:r>
                      </w:fldSimple>
                      <w:r>
                        <w:rPr>
                          <w:rFonts w:ascii="Times New Roman" w:eastAsia="MS Mincho" w:hAnsi="Times New Roman"/>
                          <w:sz w:val="20"/>
                          <w:i/>
                          <w:iCs/>
                        </w:rPr>
                        <w:t>,
2020-08-19,
paskelbta TAR 2020-08-19, i. k. 2020-17548        </w:t>
                      </w:r>
                    </w:p>
                    <w:p/>
                  </w:sdtContent>
                </w:sdt>
                <w:sdt>
                  <w:sdtPr>
                    <w:alias w:val="4.14 pp."/>
                    <w:tag w:val="part_23555cb18ee3453ba6053c73b06158d2"/>
                    <w:lock w:val="sdtLocked"/>
                    <w:richText/>
                  </w:sdtPr>
                  <w:sdtContent>
                    <w:p>
                      <w:pPr>
                        <w:tabs>
                          <w:tab w:val="left" w:pos="993"/>
                        </w:tabs>
                        <w:ind w:firstLine="567"/>
                        <w:jc w:val="both"/>
                      </w:pPr>
                      <w:sdt>
                        <w:sdtPr>
                          <w:alias w:val="Numeris"/>
                          <w:tag w:val="nr_23555cb18ee3453ba6053c73b06158d2"/>
                          <w:lock w:val="sdtLocked"/>
                          <w:richText/>
                        </w:sdtPr>
                        <w:sdtContent>
                          <w:r>
                            <w:rPr>
                              <w:szCs w:val="24"/>
                            </w:rPr>
                            <w:t>4.14</w:t>
                          </w:r>
                        </w:sdtContent>
                      </w:sdt>
                      <w:r>
                        <w:rPr>
                          <w:szCs w:val="24"/>
                        </w:rPr>
                        <w:t xml:space="preserve">. </w:t>
                      </w:r>
                      <w:r>
                        <w:rPr>
                          <w:b/>
                          <w:szCs w:val="24"/>
                        </w:rPr>
                        <w:t xml:space="preserve">vienam prisirašiusiam gyventojui tenkančių PAASP paslaugų (išskyrus </w:t>
                      </w:r>
                      <w:r>
                        <w:rPr>
                          <w:b/>
                          <w:color w:val="000000"/>
                          <w:szCs w:val="24"/>
                        </w:rPr>
                        <w:t xml:space="preserve">pirminės ambulatorinės </w:t>
                      </w:r>
                      <w:r>
                        <w:rPr>
                          <w:b/>
                          <w:szCs w:val="24"/>
                        </w:rPr>
                        <w:t>odontologinės asmens sveikatos priežiūros ir psichikos sveikatos priežiūros paslaugas) metinė bazinė kaina</w:t>
                      </w:r>
                      <w:r>
                        <w:rPr>
                          <w:szCs w:val="24"/>
                        </w:rPr>
                        <w:t xml:space="preserve"> – metinė vienam prisirašiusiam gyventojui tenkančių PAASP paslaugų (išskyrus </w:t>
                      </w:r>
                      <w:r>
                        <w:rPr>
                          <w:color w:val="000000"/>
                          <w:szCs w:val="24"/>
                        </w:rPr>
                        <w:t xml:space="preserve">pirminės ambulatorinės </w:t>
                      </w:r>
                      <w:r>
                        <w:rPr>
                          <w:szCs w:val="24"/>
                        </w:rPr>
                        <w:t>odontologinės asmens sveikatos priežiūros ir psichikos sveikatos priežiūros paslaugas) kaina, nustatoma atsižvelgiant į vidutines ataskaitinio laikotarpio (kalendorinių metų) jų teikimo šalies mastu sąnaudas, tenkančias vienam atitinkamos amžiaus grupės prisirašiusiam gyventojui, ir įvertinant (šalies mastu) prisirašiusių gyventojų apsilankymų skaičių, atliekamų tyrimų skaičių bei sergamumą vienu metu dviem (ir daugiau) lėtinėmis ligomis, kurioms gydyti būtini dideli žmogiškieji ir materialiniai ištekliai, t. y. poliligotumą, bei atitinkamų amžiaus grupių prisirašiusių gyventojų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29de70d07d11e8bea9885f77677ec1">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2018-10-15,
paskelbta TAR 2018-10-15, i. k. 2018-16218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4f9460e21811ea9342c1d4e2ff6ff6">
                        <w:r w:rsidRPr="00532B9F">
                          <w:rPr>
                            <w:rFonts w:ascii="Times New Roman" w:eastAsia="MS Mincho" w:hAnsi="Times New Roman"/>
                            <w:sz w:val="20"/>
                            <w:i/>
                            <w:iCs/>
                            <w:color w:val="0000FF" w:themeColor="hyperlink"/>
                            <w:u w:val="single"/>
                          </w:rPr>
                          <w:t>V-1869</w:t>
                        </w:r>
                      </w:fldSimple>
                      <w:r>
                        <w:rPr>
                          <w:rFonts w:ascii="Times New Roman" w:eastAsia="MS Mincho" w:hAnsi="Times New Roman"/>
                          <w:sz w:val="20"/>
                          <w:i/>
                          <w:iCs/>
                        </w:rPr>
                        <w:t>,
2020-08-19,
paskelbta TAR 2020-08-19, i. k. 2020-17548        </w:t>
                      </w:r>
                    </w:p>
                    <w:p/>
                  </w:sdtContent>
                </w:sdt>
                <w:sdt>
                  <w:sdtPr>
                    <w:alias w:val="4.15 pp."/>
                    <w:tag w:val="part_4fe7fbe3ab014ed48b47ee5f150fb849"/>
                    <w:lock w:val="sdtLocked"/>
                    <w:richText/>
                  </w:sdtPr>
                  <w:sdtContent>
                    <w:p>
                      <w:pPr>
                        <w:tabs>
                          <w:tab w:val="left" w:pos="426"/>
                          <w:tab w:val="left" w:pos="709"/>
                          <w:tab w:val="left" w:pos="1418"/>
                          <w:tab w:val="left" w:pos="1560"/>
                        </w:tabs>
                        <w:ind w:firstLine="567"/>
                        <w:jc w:val="both"/>
                        <w:rPr>
                          <w:szCs w:val="24"/>
                        </w:rPr>
                      </w:pPr>
                      <w:sdt>
                        <w:sdtPr>
                          <w:alias w:val="Numeris"/>
                          <w:tag w:val="nr_4fe7fbe3ab014ed48b47ee5f150fb849"/>
                          <w:lock w:val="sdtLocked"/>
                          <w:richText/>
                        </w:sdtPr>
                        <w:sdtContent>
                          <w:r>
                            <w:rPr>
                              <w:szCs w:val="24"/>
                            </w:rPr>
                            <w:t>4.15</w:t>
                          </w:r>
                        </w:sdtContent>
                      </w:sdt>
                      <w:r>
                        <w:rPr>
                          <w:szCs w:val="24"/>
                        </w:rPr>
                        <w:t xml:space="preserve">. </w:t>
                      </w:r>
                      <w:r>
                        <w:rPr>
                          <w:b/>
                          <w:szCs w:val="24"/>
                        </w:rPr>
                        <w:t xml:space="preserve">vienam prisirašiusiam gyventojui tenkančių </w:t>
                      </w:r>
                      <w:r>
                        <w:rPr>
                          <w:b/>
                          <w:color w:val="000000"/>
                          <w:szCs w:val="24"/>
                        </w:rPr>
                        <w:t>pirminės ambulatorinės odontologinės asmens sveikatos priežiūros arba pirminės ambulatorinės psichikos sveikatos priežiūros paslaugų</w:t>
                      </w:r>
                      <w:r>
                        <w:rPr>
                          <w:b/>
                          <w:szCs w:val="24"/>
                        </w:rPr>
                        <w:t xml:space="preserve"> metinė</w:t>
                      </w:r>
                      <w:r>
                        <w:rPr>
                          <w:b/>
                          <w:color w:val="000000"/>
                          <w:szCs w:val="24"/>
                        </w:rPr>
                        <w:t xml:space="preserve"> </w:t>
                      </w:r>
                      <w:r>
                        <w:rPr>
                          <w:b/>
                          <w:szCs w:val="24"/>
                        </w:rPr>
                        <w:t>bazinė kaina</w:t>
                      </w:r>
                      <w:r>
                        <w:rPr>
                          <w:szCs w:val="24"/>
                        </w:rPr>
                        <w:t xml:space="preserve"> – metinė vienam prisirašiusiam gyventojui tenkančių </w:t>
                      </w:r>
                      <w:r>
                        <w:rPr>
                          <w:color w:val="000000"/>
                          <w:szCs w:val="24"/>
                        </w:rPr>
                        <w:t xml:space="preserve">pirminės ambulatorinės odontologinės asmens sveikatos priežiūros arba pirminės ambulatorinės psichikos sveikatos priežiūros paslaugų </w:t>
                      </w:r>
                      <w:r>
                        <w:rPr>
                          <w:szCs w:val="24"/>
                        </w:rPr>
                        <w:t>kaina, nustatoma atsižvelgiant į vidutines ataskaitinio laikotarpio (kalendorinių metų) jų teikimo šalies mastu sąnaudas, tenkančias vienam atitinkamos amžiaus grupės prisirašiusiam gyventojui;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29de70d07d11e8bea9885f77677ec1">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2018-10-15,
paskelbta TAR 2018-10-15, i. k. 2018-16218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4f9460e21811ea9342c1d4e2ff6ff6">
                        <w:r w:rsidRPr="00532B9F">
                          <w:rPr>
                            <w:rFonts w:ascii="Times New Roman" w:eastAsia="MS Mincho" w:hAnsi="Times New Roman"/>
                            <w:sz w:val="20"/>
                            <w:i/>
                            <w:iCs/>
                            <w:color w:val="0000FF" w:themeColor="hyperlink"/>
                            <w:u w:val="single"/>
                          </w:rPr>
                          <w:t>V-1869</w:t>
                        </w:r>
                      </w:fldSimple>
                      <w:r>
                        <w:rPr>
                          <w:rFonts w:ascii="Times New Roman" w:eastAsia="MS Mincho" w:hAnsi="Times New Roman"/>
                          <w:sz w:val="20"/>
                          <w:i/>
                          <w:iCs/>
                        </w:rPr>
                        <w:t>,
2020-08-19,
paskelbta TAR 2020-08-19, i. k. 2020-17548        </w:t>
                      </w:r>
                    </w:p>
                    <w:p/>
                  </w:sdtContent>
                </w:sdt>
                <w:sdt>
                  <w:sdtPr>
                    <w:alias w:val="4.16 pp."/>
                    <w:tag w:val="part_b45c0a80b8e7410c98685aad8c3962e7"/>
                    <w:lock w:val="sdtLocked"/>
                    <w:richText/>
                  </w:sdtPr>
                  <w:sdtContent>
                    <w:p>
                      <w:pPr>
                        <w:tabs>
                          <w:tab w:val="left" w:pos="1134"/>
                        </w:tabs>
                        <w:ind w:firstLine="709"/>
                        <w:jc w:val="both"/>
                      </w:pPr>
                      <w:sdt>
                        <w:sdtPr>
                          <w:alias w:val="Numeris"/>
                          <w:tag w:val="nr_b45c0a80b8e7410c98685aad8c3962e7"/>
                          <w:lock w:val="sdtLocked"/>
                          <w:richText/>
                        </w:sdtPr>
                        <w:sdtContent>
                          <w:r>
                            <w:rPr>
                              <w:szCs w:val="24"/>
                            </w:rPr>
                            <w:t>4.16</w:t>
                          </w:r>
                        </w:sdtContent>
                      </w:sdt>
                      <w:r>
                        <w:rPr>
                          <w:szCs w:val="24"/>
                        </w:rPr>
                        <w:t xml:space="preserve">.  Minimali ilgalaikio materialiojo turto (medicinos priemonės), kuris yra tiesiogiai susijęs su atitinkamos paslaugos teikimu ir kurio nusidėvėjimo / amortizacijos sąnaudos yra įskaičiuojamos į atitinkamos paslaugos, įvardytos Metodikos VII skyriuje, kainą, vertė (įsigijimo (pagaminimo) savikaina) yra apibrėžta 12-jame viešojo sektoriaus apskaitos ir finansinės atskaitomybės standarte „Ilgalaikis materialusis turtas“, patvirtintame Lietuvos Respublikos finansų ministro 2008 m. gegužės 8 d. įsakymu Nr. 1K-174 „Dėl viešojo sektoriaus apskaitos ir finansinės atskaitomybės 12-ojo standarto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7f6800e1b11ebb74de75171d26d52">
                        <w:r w:rsidRPr="00532B9F">
                          <w:rPr>
                            <w:rFonts w:ascii="Times New Roman" w:eastAsia="MS Mincho" w:hAnsi="Times New Roman"/>
                            <w:sz w:val="20"/>
                            <w:i/>
                            <w:iCs/>
                            <w:color w:val="0000FF" w:themeColor="hyperlink"/>
                            <w:u w:val="single"/>
                          </w:rPr>
                          <w:t>V-2265</w:t>
                        </w:r>
                      </w:fldSimple>
                      <w:r>
                        <w:rPr>
                          <w:rFonts w:ascii="Times New Roman" w:eastAsia="MS Mincho" w:hAnsi="Times New Roman"/>
                          <w:sz w:val="20"/>
                          <w:i/>
                          <w:iCs/>
                        </w:rPr>
                        <w:t>,
2020-10-14,
paskelbta TAR 2020-10-14, i. k. 2020-21348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6ebb00e6d11ee9f7ec2ffce8b47bc">
                        <w:r w:rsidRPr="00532B9F">
                          <w:rPr>
                            <w:rFonts w:ascii="Times New Roman" w:eastAsia="MS Mincho" w:hAnsi="Times New Roman"/>
                            <w:sz w:val="20"/>
                            <w:i/>
                            <w:iCs/>
                            <w:color w:val="0000FF" w:themeColor="hyperlink"/>
                            <w:u w:val="single"/>
                          </w:rPr>
                          <w:t>V-702</w:t>
                        </w:r>
                      </w:fldSimple>
                      <w:r>
                        <w:rPr>
                          <w:rFonts w:ascii="Times New Roman" w:eastAsia="MS Mincho" w:hAnsi="Times New Roman"/>
                          <w:sz w:val="20"/>
                          <w:i/>
                          <w:iCs/>
                        </w:rPr>
                        <w:t>,
2023-06-19,
paskelbta TAR 2023-06-19, i. k. 2023-12151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474907a2211eea5a28c81c82193a8">
                        <w:r w:rsidRPr="00532B9F">
                          <w:rPr>
                            <w:rFonts w:ascii="Times New Roman" w:eastAsia="MS Mincho" w:hAnsi="Times New Roman"/>
                            <w:sz w:val="20"/>
                            <w:i/>
                            <w:iCs/>
                            <w:color w:val="0000FF" w:themeColor="hyperlink"/>
                            <w:u w:val="single"/>
                          </w:rPr>
                          <w:t>V-1141</w:t>
                        </w:r>
                      </w:fldSimple>
                      <w:r>
                        <w:rPr>
                          <w:rFonts w:ascii="Times New Roman" w:eastAsia="MS Mincho" w:hAnsi="Times New Roman"/>
                          <w:sz w:val="20"/>
                          <w:i/>
                          <w:iCs/>
                        </w:rPr>
                        <w:t>,
2023-11-03,
paskelbta TAR 2023-11-03, i. k. 2023-21494            </w:t>
                      </w:r>
                    </w:p>
                    <w:p/>
                  </w:sdtContent>
                </w:sdt>
                <w:sdt>
                  <w:sdtPr>
                    <w:alias w:val="4.17 pp."/>
                    <w:tag w:val="part_46b19a9a2b834f04a50977dd46a59cd4"/>
                    <w:lock w:val="sdtLocked"/>
                    <w:richText/>
                  </w:sdtPr>
                  <w:sdtContent>
                    <w:p>
                      <w:pPr>
                        <w:widowControl w:val="0"/>
                        <w:ind w:firstLine="567"/>
                        <w:jc w:val="both"/>
                        <w:rPr>
                          <w:szCs w:val="24"/>
                          <w:lang w:eastAsia="lt-LT"/>
                        </w:rPr>
                      </w:pPr>
                      <w:sdt>
                        <w:sdtPr>
                          <w:alias w:val="Numeris"/>
                          <w:tag w:val="nr_46b19a9a2b834f04a50977dd46a59cd4"/>
                          <w:lock w:val="sdtLocked"/>
                          <w:richText/>
                        </w:sdtPr>
                        <w:sdtContent>
                          <w:r>
                            <w:rPr>
                              <w:szCs w:val="24"/>
                            </w:rPr>
                            <w:t>4.17</w:t>
                          </w:r>
                        </w:sdtContent>
                      </w:sdt>
                      <w:r>
                        <w:rPr>
                          <w:szCs w:val="24"/>
                        </w:rPr>
                        <w:t>. Kitos Metodikoje vartojamos sąvokos atitinka teisės aktuose, reglamentuojančiuose asmens sveikatos priežiūros paslaugų teikimo ir apmokėjimo už jas tvarką, nurodytas sąvokas ir jų apibrėžimus.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29de70d07d11e8bea9885f77677ec1">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2018-10-15,
paskelbta TAR 2018-10-15, i. k. 2018-16218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4f9460e21811ea9342c1d4e2ff6ff6">
                        <w:r w:rsidRPr="00532B9F">
                          <w:rPr>
                            <w:rFonts w:ascii="Times New Roman" w:eastAsia="MS Mincho" w:hAnsi="Times New Roman"/>
                            <w:sz w:val="20"/>
                            <w:i/>
                            <w:iCs/>
                            <w:color w:val="0000FF" w:themeColor="hyperlink"/>
                            <w:u w:val="single"/>
                          </w:rPr>
                          <w:t>V-1869</w:t>
                        </w:r>
                      </w:fldSimple>
                      <w:r>
                        <w:rPr>
                          <w:rFonts w:ascii="Times New Roman" w:eastAsia="MS Mincho" w:hAnsi="Times New Roman"/>
                          <w:sz w:val="20"/>
                          <w:i/>
                          <w:iCs/>
                        </w:rPr>
                        <w:t>,
2020-08-19,
paskelbta TAR 2020-08-19, i. k. 2020-17548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7f6800e1b11ebb74de75171d26d52">
                        <w:r w:rsidRPr="00532B9F">
                          <w:rPr>
                            <w:rFonts w:ascii="Times New Roman" w:eastAsia="MS Mincho" w:hAnsi="Times New Roman"/>
                            <w:sz w:val="20"/>
                            <w:i/>
                            <w:iCs/>
                            <w:color w:val="0000FF" w:themeColor="hyperlink"/>
                            <w:u w:val="single"/>
                          </w:rPr>
                          <w:t>V-2265</w:t>
                        </w:r>
                      </w:fldSimple>
                      <w:r>
                        <w:rPr>
                          <w:rFonts w:ascii="Times New Roman" w:eastAsia="MS Mincho" w:hAnsi="Times New Roman"/>
                          <w:sz w:val="20"/>
                          <w:i/>
                          <w:iCs/>
                        </w:rPr>
                        <w:t>,
2020-10-14,
paskelbta TAR 2020-10-14, i. k. 2020-21348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sdtContent>
            </w:sdt>
          </w:sdtContent>
        </w:sdt>
        <w:sdt>
          <w:sdtPr>
            <w:alias w:val="skyrius"/>
            <w:tag w:val="part_fca6cc11aa5a47f4bbc24986a225fb49"/>
            <w:lock w:val="sdtLocked"/>
            <w:richText/>
          </w:sdtPr>
          <w:sdtContent>
            <w:p>
              <w:pPr>
                <w:keepNext/>
                <w:jc w:val="center"/>
              </w:pPr>
              <w:sdt>
                <w:sdtPr>
                  <w:alias w:val="Numeris"/>
                  <w:tag w:val="nr_fca6cc11aa5a47f4bbc24986a225fb49"/>
                  <w:lock w:val="sdtLocked"/>
                  <w:richText/>
                </w:sdtPr>
                <w:sdtContent>
                  <w:r>
                    <w:rPr>
                      <w:rFonts w:eastAsia="Calibri"/>
                      <w:b/>
                      <w:bCs/>
                      <w:kern w:val="32"/>
                      <w:szCs w:val="24"/>
                    </w:rPr>
                    <w:t>III SKYRIUS</w:t>
                  </w:r>
                </w:sdtContent>
              </w:sdt>
            </w:p>
            <w:p>
              <w:pPr>
                <w:keepNext/>
                <w:jc w:val="center"/>
                <w:rPr>
                  <w:rFonts w:eastAsia="Calibri"/>
                  <w:b/>
                  <w:bCs/>
                  <w:kern w:val="32"/>
                  <w:szCs w:val="24"/>
                </w:rPr>
              </w:pPr>
              <w:sdt>
                <w:sdtPr>
                  <w:alias w:val="Pavadinimas"/>
                  <w:tag w:val="title_fca6cc11aa5a47f4bbc24986a225fb49"/>
                  <w:lock w:val="sdtLocked"/>
                  <w:richText/>
                </w:sdtPr>
                <w:sdtContent>
                  <w:r>
                    <w:rPr>
                      <w:rFonts w:eastAsia="Calibri"/>
                      <w:b/>
                      <w:bCs/>
                      <w:kern w:val="32"/>
                      <w:szCs w:val="24"/>
                    </w:rPr>
                    <w:t xml:space="preserve">BENDRIEJI ASMENS SVEIKATOS PRIEŽIŪROS PASLAUGŲ BAZINIŲ KAINŲ NUSTATYMO PRINCIPAI IR ASMENS SVEIKATOS PRIEŽIŪROS PASLAUGŲ BAZINIŲ KAINŲ AR JŲ BALO VERČIŲ PERSKAIČIAVIMO KRITERIJAI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4f9460e21811ea9342c1d4e2ff6ff6">
                <w:r w:rsidRPr="00532B9F">
                  <w:rPr>
                    <w:rFonts w:ascii="Times New Roman" w:eastAsia="MS Mincho" w:hAnsi="Times New Roman"/>
                    <w:sz w:val="20"/>
                    <w:i/>
                    <w:iCs/>
                    <w:color w:val="0000FF" w:themeColor="hyperlink"/>
                    <w:u w:val="single"/>
                  </w:rPr>
                  <w:t>V-1869</w:t>
                </w:r>
              </w:fldSimple>
              <w:r>
                <w:rPr>
                  <w:rFonts w:ascii="Times New Roman" w:eastAsia="MS Mincho" w:hAnsi="Times New Roman"/>
                  <w:sz w:val="20"/>
                  <w:i/>
                  <w:iCs/>
                </w:rPr>
                <w:t>,
2020-08-19,
paskelbta TAR 2020-08-19, i. k. 2020-17548        </w:t>
              </w:r>
            </w:p>
            <w:p/>
            <w:sdt>
              <w:sdtPr>
                <w:alias w:val="5 p."/>
                <w:tag w:val="part_e40288710f254aaaae0df9516a2fe4e1"/>
                <w:lock w:val="sdtLocked"/>
                <w:richText/>
              </w:sdtPr>
              <w:sdtContent>
                <w:p>
                  <w:pPr>
                    <w:tabs>
                      <w:tab w:val="left" w:pos="993"/>
                      <w:tab w:val="left" w:pos="1134"/>
                    </w:tabs>
                    <w:ind w:firstLine="567"/>
                    <w:jc w:val="both"/>
                    <w:rPr>
                      <w:rFonts w:eastAsia="Calibri"/>
                      <w:szCs w:val="24"/>
                    </w:rPr>
                  </w:pPr>
                  <w:sdt>
                    <w:sdtPr>
                      <w:alias w:val="Numeris"/>
                      <w:tag w:val="nr_e40288710f254aaaae0df9516a2fe4e1"/>
                      <w:lock w:val="sdtLocked"/>
                      <w:richText/>
                    </w:sdtPr>
                    <w:sdtContent>
                      <w:r>
                        <w:rPr>
                          <w:rFonts w:eastAsia="Calibri"/>
                          <w:szCs w:val="24"/>
                        </w:rPr>
                        <w:t>5</w:t>
                      </w:r>
                    </w:sdtContent>
                  </w:sdt>
                  <w:r>
                    <w:rPr>
                      <w:rFonts w:eastAsia="Calibri"/>
                      <w:szCs w:val="24"/>
                    </w:rPr>
                    <w:t>. Asmens sveikatos priežiūros paslaugų bazinės kainos nustatomos vadovaujantis šiais pagrindiniais principais:</w:t>
                  </w:r>
                </w:p>
                <w:sdt>
                  <w:sdtPr>
                    <w:alias w:val="5.1 pp."/>
                    <w:tag w:val="part_13c072769bbe4356916730214abfa105"/>
                    <w:lock w:val="sdtLocked"/>
                    <w:richText/>
                  </w:sdtPr>
                  <w:sdtContent>
                    <w:p>
                      <w:pPr>
                        <w:tabs>
                          <w:tab w:val="left" w:pos="1134"/>
                        </w:tabs>
                        <w:ind w:firstLine="567"/>
                        <w:jc w:val="both"/>
                        <w:rPr>
                          <w:rFonts w:eastAsia="Calibri"/>
                          <w:bCs/>
                          <w:szCs w:val="24"/>
                        </w:rPr>
                      </w:pPr>
                      <w:sdt>
                        <w:sdtPr>
                          <w:alias w:val="Numeris"/>
                          <w:tag w:val="nr_13c072769bbe4356916730214abfa105"/>
                          <w:lock w:val="sdtLocked"/>
                          <w:richText/>
                        </w:sdtPr>
                        <w:sdtContent>
                          <w:r>
                            <w:rPr>
                              <w:rFonts w:eastAsia="Calibri"/>
                              <w:bCs/>
                              <w:szCs w:val="24"/>
                            </w:rPr>
                            <w:t>5.1</w:t>
                          </w:r>
                        </w:sdtContent>
                      </w:sdt>
                      <w:r>
                        <w:rPr>
                          <w:rFonts w:eastAsia="Calibri"/>
                          <w:bCs/>
                          <w:szCs w:val="24"/>
                        </w:rPr>
                        <w:t>. objektyvumo – bazinės kainos nustatomos vadovaujantis teisinga sąnaudų apskaita, t. y. sąnaudų priskyrimas paslaugoms vykdomas nešališkai, neiškreipiant nė vienos paslaugos teikimo sąnaudų duomenų ar ASPĮ galutinių ataskaitinio laikotarpio rezultatų;</w:t>
                      </w:r>
                    </w:p>
                  </w:sdtContent>
                </w:sdt>
                <w:sdt>
                  <w:sdtPr>
                    <w:alias w:val="5.2 pp."/>
                    <w:tag w:val="part_dee13a8bf20f4e839b33739b8ca99077"/>
                    <w:lock w:val="sdtLocked"/>
                    <w:richText/>
                  </w:sdtPr>
                  <w:sdtContent>
                    <w:p>
                      <w:pPr>
                        <w:tabs>
                          <w:tab w:val="left" w:pos="851"/>
                        </w:tabs>
                        <w:ind w:firstLine="567"/>
                        <w:jc w:val="both"/>
                        <w:rPr>
                          <w:rFonts w:eastAsia="Calibri"/>
                          <w:bCs/>
                          <w:szCs w:val="24"/>
                        </w:rPr>
                      </w:pPr>
                      <w:sdt>
                        <w:sdtPr>
                          <w:alias w:val="Numeris"/>
                          <w:tag w:val="nr_dee13a8bf20f4e839b33739b8ca99077"/>
                          <w:lock w:val="sdtLocked"/>
                          <w:richText/>
                        </w:sdtPr>
                        <w:sdtContent>
                          <w:r>
                            <w:rPr>
                              <w:rFonts w:eastAsia="Calibri"/>
                              <w:bCs/>
                              <w:szCs w:val="24"/>
                            </w:rPr>
                            <w:t>5.2</w:t>
                          </w:r>
                        </w:sdtContent>
                      </w:sdt>
                      <w:r>
                        <w:rPr>
                          <w:rFonts w:eastAsia="Calibri"/>
                          <w:bCs/>
                          <w:szCs w:val="24"/>
                        </w:rPr>
                        <w:t>. skaidrumo – bazinių kainų skaičiavimo sistema turi leisti skaidriai, aiškiai ir nesudėtingai nustatyti kiekvienos ASPĮ veiklos sąnaudas;</w:t>
                      </w:r>
                    </w:p>
                  </w:sdtContent>
                </w:sdt>
                <w:sdt>
                  <w:sdtPr>
                    <w:alias w:val="5.3 pp."/>
                    <w:tag w:val="part_d0f77f0df8eb49d1b92818d32987f461"/>
                    <w:lock w:val="sdtLocked"/>
                    <w:richText/>
                  </w:sdtPr>
                  <w:sdtContent>
                    <w:p>
                      <w:pPr>
                        <w:tabs>
                          <w:tab w:val="left" w:pos="1134"/>
                        </w:tabs>
                        <w:ind w:firstLine="567"/>
                        <w:jc w:val="both"/>
                        <w:rPr>
                          <w:rFonts w:eastAsia="Calibri"/>
                          <w:bCs/>
                          <w:szCs w:val="24"/>
                        </w:rPr>
                      </w:pPr>
                      <w:sdt>
                        <w:sdtPr>
                          <w:alias w:val="Numeris"/>
                          <w:tag w:val="nr_d0f77f0df8eb49d1b92818d32987f461"/>
                          <w:lock w:val="sdtLocked"/>
                          <w:richText/>
                        </w:sdtPr>
                        <w:sdtContent>
                          <w:r>
                            <w:rPr>
                              <w:rFonts w:eastAsia="Calibri"/>
                              <w:bCs/>
                              <w:szCs w:val="24"/>
                            </w:rPr>
                            <w:t>5.3</w:t>
                          </w:r>
                        </w:sdtContent>
                      </w:sdt>
                      <w:r>
                        <w:rPr>
                          <w:rFonts w:eastAsia="Calibri"/>
                          <w:bCs/>
                          <w:szCs w:val="24"/>
                        </w:rPr>
                        <w:t>. viešumo – informacija apie bazinių kainų skaičiavimo sistemos veikimo principus ir rezultatus turi būti prieinama ir suprantama jos naudotojams ar gavėjams, turintiems teisę gauti šią informaciją;</w:t>
                      </w:r>
                    </w:p>
                  </w:sdtContent>
                </w:sdt>
                <w:sdt>
                  <w:sdtPr>
                    <w:alias w:val="5.4 pp."/>
                    <w:tag w:val="part_4065976dcc39402b97073cf4dcd456d6"/>
                    <w:lock w:val="sdtLocked"/>
                    <w:richText/>
                  </w:sdtPr>
                  <w:sdtContent>
                    <w:p>
                      <w:pPr>
                        <w:tabs>
                          <w:tab w:val="left" w:pos="709"/>
                          <w:tab w:val="left" w:pos="1134"/>
                        </w:tabs>
                        <w:ind w:firstLine="567"/>
                        <w:jc w:val="both"/>
                        <w:rPr>
                          <w:color w:val="000000"/>
                          <w:szCs w:val="24"/>
                        </w:rPr>
                      </w:pPr>
                      <w:sdt>
                        <w:sdtPr>
                          <w:alias w:val="Numeris"/>
                          <w:tag w:val="nr_4065976dcc39402b97073cf4dcd456d6"/>
                          <w:lock w:val="sdtLocked"/>
                          <w:richText/>
                        </w:sdtPr>
                        <w:sdtContent>
                          <w:r>
                            <w:rPr>
                              <w:color w:val="000000"/>
                              <w:szCs w:val="24"/>
                            </w:rPr>
                            <w:t>5.4</w:t>
                          </w:r>
                        </w:sdtContent>
                      </w:sdt>
                      <w:r>
                        <w:rPr>
                          <w:color w:val="000000"/>
                          <w:szCs w:val="24"/>
                        </w:rPr>
                        <w:t>. asmens sveikatos priežiūros</w:t>
                      </w:r>
                      <w:r>
                        <w:rPr>
                          <w:rFonts w:ascii="Arial" w:hAnsi="Arial" w:cs="Arial"/>
                          <w:color w:val="000000"/>
                          <w:sz w:val="22"/>
                          <w:szCs w:val="22"/>
                        </w:rPr>
                        <w:t xml:space="preserve"> </w:t>
                      </w:r>
                      <w:r>
                        <w:rPr>
                          <w:color w:val="000000"/>
                          <w:szCs w:val="24"/>
                        </w:rPr>
                        <w:t>paslaugų, nurodytų Metodikos IV–VII skyriuose, bazinės kainos ar jų balo vertės perskaičiuojamos, kai:</w:t>
                      </w:r>
                    </w:p>
                    <w:sdt>
                      <w:sdtPr>
                        <w:alias w:val="5.4.1 pp."/>
                        <w:tag w:val="part_572fc559c6d147c5a627aa78014021f0"/>
                        <w:lock w:val="sdtLocked"/>
                        <w:richText/>
                      </w:sdtPr>
                      <w:sdtContent>
                        <w:p>
                          <w:pPr>
                            <w:ind w:firstLine="567"/>
                            <w:jc w:val="both"/>
                            <w:rPr>
                              <w:szCs w:val="24"/>
                            </w:rPr>
                          </w:pPr>
                          <w:sdt>
                            <w:sdtPr>
                              <w:alias w:val="Numeris"/>
                              <w:tag w:val="nr_572fc559c6d147c5a627aa78014021f0"/>
                              <w:lock w:val="sdtLocked"/>
                              <w:richText/>
                            </w:sdtPr>
                            <w:sdtContent>
                              <w:r>
                                <w:rPr>
                                  <w:szCs w:val="24"/>
                                </w:rPr>
                                <w:t>5.4.1</w:t>
                              </w:r>
                            </w:sdtContent>
                          </w:sdt>
                          <w:r>
                            <w:rPr>
                              <w:szCs w:val="24"/>
                            </w:rPr>
                            <w:t>.</w:t>
                          </w:r>
                          <w:r>
                            <w:rPr>
                              <w:b/>
                              <w:bCs/>
                              <w:szCs w:val="24"/>
                            </w:rPr>
                            <w:t xml:space="preserve"> </w:t>
                          </w:r>
                          <w:r>
                            <w:rPr>
                              <w:szCs w:val="24"/>
                            </w:rPr>
                            <w:t>sprendimas dėl asmens sveikatos priežiūros paslaugų bazinių kainų indeksavimo, susijusio su infliacijos augimu, priimamas įvertinus jos pokyčius nuo to paskutinio asmens sveikatos priežiūros paslaugų bazinių kainų keitimo, kuriuo buvo siekiama kompensuoti didėjančias ASPĮ išlaidas, susijusias su išaugusia infliacija;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474907a2211eea5a28c81c82193a8">
                            <w:r w:rsidRPr="00532B9F">
                              <w:rPr>
                                <w:rFonts w:ascii="Times New Roman" w:eastAsia="MS Mincho" w:hAnsi="Times New Roman"/>
                                <w:sz w:val="20"/>
                                <w:i/>
                                <w:iCs/>
                                <w:color w:val="0000FF" w:themeColor="hyperlink"/>
                                <w:u w:val="single"/>
                              </w:rPr>
                              <w:t>V-1141</w:t>
                            </w:r>
                          </w:fldSimple>
                          <w:r>
                            <w:rPr>
                              <w:rFonts w:ascii="Times New Roman" w:eastAsia="MS Mincho" w:hAnsi="Times New Roman"/>
                              <w:sz w:val="20"/>
                              <w:i/>
                              <w:iCs/>
                            </w:rPr>
                            <w:t>,
2023-11-03,
paskelbta TAR 2023-11-03, i. k. 2023-21494            </w:t>
                          </w:r>
                        </w:p>
                        <w:p/>
                      </w:sdtContent>
                    </w:sdt>
                    <w:sdt>
                      <w:sdtPr>
                        <w:alias w:val="5.4.2 pp."/>
                        <w:tag w:val="part_0c3a482bf43a49c2a7efada3fea4f8ea"/>
                        <w:lock w:val="sdtLocked"/>
                        <w:richText/>
                      </w:sdtPr>
                      <w:sdtContent>
                        <w:p>
                          <w:pPr>
                            <w:ind w:firstLine="567"/>
                            <w:jc w:val="both"/>
                            <w:rPr>
                              <w:szCs w:val="24"/>
                            </w:rPr>
                          </w:pPr>
                          <w:sdt>
                            <w:sdtPr>
                              <w:alias w:val="Numeris"/>
                              <w:tag w:val="nr_0c3a482bf43a49c2a7efada3fea4f8ea"/>
                              <w:lock w:val="sdtLocked"/>
                              <w:richText/>
                            </w:sdtPr>
                            <w:sdtContent>
                              <w:r>
                                <w:rPr>
                                  <w:szCs w:val="24"/>
                                </w:rPr>
                                <w:t>5.4.2</w:t>
                              </w:r>
                            </w:sdtContent>
                          </w:sdt>
                          <w:r>
                            <w:rPr>
                              <w:szCs w:val="24"/>
                            </w:rPr>
                            <w:t xml:space="preserve"> priimtas sprendimas didinti Lietuvos nacionalinės sveikatos sistemos sveikatos priežiūros įstaigų darbuotojų vidutinį darbo užmokestį tam tikra procentine dalimi (bendrai arba numatytai specialistų grupei). Atsižvelgiant į asmens sveikatos priežiūros paslaugų grupių sąnaudų struktūrą, VLK apskaičiuoja, kokia procentine dalimi didinamos asmens sveikatos priežiūros paslaugų grupių bazinės kainos ar jų balo vertės;</w:t>
                          </w:r>
                        </w:p>
                      </w:sdtContent>
                    </w:sdt>
                    <w:sdt>
                      <w:sdtPr>
                        <w:alias w:val="5.4.3 pp."/>
                        <w:tag w:val="part_dc0d70203b0a457fb5e62341fa626cdc"/>
                        <w:lock w:val="sdtLocked"/>
                        <w:richText/>
                      </w:sdtPr>
                      <w:sdtContent>
                        <w:p>
                          <w:pPr>
                            <w:tabs>
                              <w:tab w:val="left" w:pos="1134"/>
                            </w:tabs>
                            <w:ind w:firstLine="567"/>
                            <w:jc w:val="both"/>
                            <w:rPr>
                              <w:color w:val="000000"/>
                              <w:szCs w:val="24"/>
                            </w:rPr>
                          </w:pPr>
                          <w:sdt>
                            <w:sdtPr>
                              <w:alias w:val="Numeris"/>
                              <w:tag w:val="nr_dc0d70203b0a457fb5e62341fa626cdc"/>
                              <w:lock w:val="sdtLocked"/>
                              <w:richText/>
                            </w:sdtPr>
                            <w:sdtContent>
                              <w:r>
                                <w:rPr>
                                  <w:szCs w:val="24"/>
                                </w:rPr>
                                <w:t>5.4.3</w:t>
                              </w:r>
                            </w:sdtContent>
                          </w:sdt>
                          <w:r>
                            <w:rPr>
                              <w:szCs w:val="24"/>
                            </w:rPr>
                            <w:t xml:space="preserve">. padidėja arba sumažėja PSDF biudžeto lėšos asmens sveikatos priežiūros paslaugoms (PSDF biudžeto 01 išlaidų straipsnis) tokiu dydžiu, kad visas ar tam tikros asmens sveikatos priežiūros paslaugų grupės bazines kainas ar jų balo vertes būtų galima didinti arba reikėtų mažinti ne mažiau kaip vienu procentiniu punktu. </w:t>
                          </w:r>
                          <w:r>
                            <w:rPr>
                              <w:color w:val="000000"/>
                              <w:szCs w:val="24"/>
                            </w:rPr>
                            <w:t xml:space="preserve">Nustatant lėšas, kurios galėtų būti skiriamos </w:t>
                          </w:r>
                          <w:r>
                            <w:rPr>
                              <w:szCs w:val="24"/>
                            </w:rPr>
                            <w:t xml:space="preserve">asmens sveikatos priežiūros paslaugų </w:t>
                          </w:r>
                          <w:r>
                            <w:rPr>
                              <w:color w:val="000000"/>
                              <w:szCs w:val="24"/>
                            </w:rPr>
                            <w:t>bazinių kainų ar jų balo verčių didinimui, neįtraukiamos lėšos, būtinos:</w:t>
                          </w:r>
                        </w:p>
                        <w:sdt>
                          <w:sdtPr>
                            <w:alias w:val="5.4.3.1 pp."/>
                            <w:tag w:val="part_800a4514a61c4f6db3ef8ab9546d9524"/>
                            <w:lock w:val="sdtLocked"/>
                            <w:richText/>
                          </w:sdtPr>
                          <w:sdtContent>
                            <w:p>
                              <w:pPr>
                                <w:tabs>
                                  <w:tab w:val="left" w:pos="709"/>
                                  <w:tab w:val="left" w:pos="993"/>
                                  <w:tab w:val="left" w:pos="1134"/>
                                </w:tabs>
                                <w:ind w:firstLine="567"/>
                                <w:jc w:val="both"/>
                                <w:rPr>
                                  <w:color w:val="000000"/>
                                  <w:szCs w:val="24"/>
                                </w:rPr>
                              </w:pPr>
                              <w:sdt>
                                <w:sdtPr>
                                  <w:alias w:val="Numeris"/>
                                  <w:tag w:val="nr_800a4514a61c4f6db3ef8ab9546d9524"/>
                                  <w:lock w:val="sdtLocked"/>
                                  <w:richText/>
                                </w:sdtPr>
                                <w:sdtContent>
                                  <w:r>
                                    <w:rPr>
                                      <w:szCs w:val="24"/>
                                    </w:rPr>
                                    <w:t>5.4.3.1</w:t>
                                  </w:r>
                                </w:sdtContent>
                              </w:sdt>
                              <w:r>
                                <w:rPr>
                                  <w:szCs w:val="24"/>
                                </w:rPr>
                                <w:t>.</w:t>
                              </w:r>
                              <w:r>
                                <w:rPr>
                                  <w:color w:val="000000"/>
                                  <w:szCs w:val="24"/>
                                </w:rPr>
                                <w:t xml:space="preserve"> </w:t>
                              </w:r>
                              <w:r>
                                <w:rPr>
                                  <w:szCs w:val="24"/>
                                </w:rPr>
                                <w:t>asmens sveikatos priežiūros paslaugų</w:t>
                              </w:r>
                              <w:r>
                                <w:rPr>
                                  <w:color w:val="000000"/>
                                  <w:szCs w:val="24"/>
                                </w:rPr>
                                <w:t>, kurių bazinės kainos ar jų balo vertės pakeistos ne nuo metų pradžios, apmokėjimui pakeistomis bazinėmis kainomis ar balo vertėmis visus ateinančius metus užtikrinti;</w:t>
                              </w:r>
                            </w:p>
                          </w:sdtContent>
                        </w:sdt>
                        <w:sdt>
                          <w:sdtPr>
                            <w:alias w:val="5.4.3.2 pp."/>
                            <w:tag w:val="part_ef58726d37df47b8aa6c4eaff6739565"/>
                            <w:lock w:val="sdtLocked"/>
                            <w:richText/>
                          </w:sdtPr>
                          <w:sdtContent>
                            <w:p>
                              <w:pPr>
                                <w:tabs>
                                  <w:tab w:val="left" w:pos="709"/>
                                  <w:tab w:val="left" w:pos="993"/>
                                  <w:tab w:val="left" w:pos="1134"/>
                                </w:tabs>
                                <w:ind w:firstLine="567"/>
                                <w:jc w:val="both"/>
                                <w:rPr>
                                  <w:color w:val="000000"/>
                                  <w:szCs w:val="24"/>
                                </w:rPr>
                              </w:pPr>
                              <w:sdt>
                                <w:sdtPr>
                                  <w:alias w:val="Numeris"/>
                                  <w:tag w:val="nr_ef58726d37df47b8aa6c4eaff6739565"/>
                                  <w:lock w:val="sdtLocked"/>
                                  <w:richText/>
                                </w:sdtPr>
                                <w:sdtContent>
                                  <w:r>
                                    <w:rPr>
                                      <w:szCs w:val="24"/>
                                    </w:rPr>
                                    <w:t>5.4.3.2</w:t>
                                  </w:r>
                                </w:sdtContent>
                              </w:sdt>
                              <w:r>
                                <w:rPr>
                                  <w:szCs w:val="24"/>
                                </w:rPr>
                                <w:t>.</w:t>
                              </w:r>
                              <w:r>
                                <w:rPr>
                                  <w:color w:val="000000"/>
                                  <w:szCs w:val="24"/>
                                </w:rPr>
                                <w:t xml:space="preserve"> naujų </w:t>
                              </w:r>
                              <w:r>
                                <w:rPr>
                                  <w:szCs w:val="24"/>
                                </w:rPr>
                                <w:t>asmens sveikatos priežiūros paslaugų</w:t>
                              </w:r>
                              <w:r>
                                <w:rPr>
                                  <w:color w:val="000000"/>
                                  <w:szCs w:val="24"/>
                                </w:rPr>
                                <w:t>, kurios pradėtos kompensuoti ne nuo metų pradžios, kompensavimo tęstinumui visus ateinančius metus užtikrinti;</w:t>
                              </w:r>
                            </w:p>
                          </w:sdtContent>
                        </w:sdt>
                        <w:sdt>
                          <w:sdtPr>
                            <w:alias w:val="5.4.3.3 pp."/>
                            <w:tag w:val="part_28b5c928041d482da52f671147da0141"/>
                            <w:lock w:val="sdtLocked"/>
                            <w:richText/>
                          </w:sdtPr>
                          <w:sdtContent>
                            <w:p>
                              <w:pPr>
                                <w:tabs>
                                  <w:tab w:val="left" w:pos="709"/>
                                  <w:tab w:val="left" w:pos="993"/>
                                  <w:tab w:val="left" w:pos="1134"/>
                                </w:tabs>
                                <w:ind w:firstLine="567"/>
                                <w:jc w:val="both"/>
                                <w:rPr>
                                  <w:color w:val="000000"/>
                                  <w:szCs w:val="24"/>
                                </w:rPr>
                              </w:pPr>
                              <w:sdt>
                                <w:sdtPr>
                                  <w:alias w:val="Numeris"/>
                                  <w:tag w:val="nr_28b5c928041d482da52f671147da0141"/>
                                  <w:lock w:val="sdtLocked"/>
                                  <w:richText/>
                                </w:sdtPr>
                                <w:sdtContent>
                                  <w:r>
                                    <w:rPr>
                                      <w:szCs w:val="24"/>
                                    </w:rPr>
                                    <w:t>5.4.3.3</w:t>
                                  </w:r>
                                </w:sdtContent>
                              </w:sdt>
                              <w:r>
                                <w:rPr>
                                  <w:szCs w:val="24"/>
                                </w:rPr>
                                <w:t>.</w:t>
                              </w:r>
                              <w:r>
                                <w:rPr>
                                  <w:color w:val="000000"/>
                                  <w:szCs w:val="24"/>
                                </w:rPr>
                                <w:t xml:space="preserve"> </w:t>
                              </w:r>
                              <w:r>
                                <w:rPr>
                                  <w:szCs w:val="24"/>
                                </w:rPr>
                                <w:t>asmens sveikatos priežiūros paslaugų</w:t>
                              </w:r>
                              <w:r>
                                <w:rPr>
                                  <w:color w:val="000000"/>
                                  <w:szCs w:val="24"/>
                                </w:rPr>
                                <w:t>, kurias ne nuo metų pradžios pradėjo teikti naujos (papildomos) asmens sveikatos priežiūros įstaigos, apmokėjimo tęstinumui visus ateinančius metus užtikrinti;</w:t>
                              </w:r>
                            </w:p>
                          </w:sdtContent>
                        </w:sdt>
                        <w:sdt>
                          <w:sdtPr>
                            <w:alias w:val="5.4.3.4 pp."/>
                            <w:tag w:val="part_1e254e9627ce4371848b7f1187d697d0"/>
                            <w:lock w:val="sdtLocked"/>
                            <w:richText/>
                          </w:sdtPr>
                          <w:sdtContent>
                            <w:p>
                              <w:pPr>
                                <w:tabs>
                                  <w:tab w:val="left" w:pos="709"/>
                                  <w:tab w:val="left" w:pos="993"/>
                                  <w:tab w:val="left" w:pos="1134"/>
                                </w:tabs>
                                <w:ind w:firstLine="567"/>
                                <w:jc w:val="both"/>
                                <w:rPr>
                                  <w:color w:val="000000"/>
                                  <w:szCs w:val="24"/>
                                </w:rPr>
                              </w:pPr>
                              <w:sdt>
                                <w:sdtPr>
                                  <w:alias w:val="Numeris"/>
                                  <w:tag w:val="nr_1e254e9627ce4371848b7f1187d697d0"/>
                                  <w:lock w:val="sdtLocked"/>
                                  <w:richText/>
                                </w:sdtPr>
                                <w:sdtContent>
                                  <w:r>
                                    <w:rPr>
                                      <w:szCs w:val="24"/>
                                    </w:rPr>
                                    <w:t>5.4.3.4</w:t>
                                  </w:r>
                                </w:sdtContent>
                              </w:sdt>
                              <w:r>
                                <w:rPr>
                                  <w:szCs w:val="24"/>
                                </w:rPr>
                                <w:t xml:space="preserve">. </w:t>
                              </w:r>
                              <w:r>
                                <w:rPr>
                                  <w:color w:val="000000"/>
                                  <w:szCs w:val="24"/>
                                </w:rPr>
                                <w:t xml:space="preserve">pradėti kompensuoti  naujas </w:t>
                              </w:r>
                              <w:r>
                                <w:rPr>
                                  <w:szCs w:val="24"/>
                                </w:rPr>
                                <w:t>asmens sveikatos priežiūros paslaugas</w:t>
                              </w:r>
                              <w:r>
                                <w:rPr>
                                  <w:color w:val="000000"/>
                                  <w:szCs w:val="24"/>
                                </w:rPr>
                                <w:t xml:space="preserve"> pagal Asmens sveikatos priežiūros paslaugų vertinimo komiteto nustatytą eiliškumą;</w:t>
                              </w:r>
                            </w:p>
                          </w:sdtContent>
                        </w:sdt>
                        <w:sdt>
                          <w:sdtPr>
                            <w:alias w:val="5.4.3.5 pp."/>
                            <w:tag w:val="part_db39ac6205a641338433b57c05ccebf3"/>
                            <w:lock w:val="sdtLocked"/>
                            <w:richText/>
                          </w:sdtPr>
                          <w:sdtContent>
                            <w:p>
                              <w:pPr>
                                <w:tabs>
                                  <w:tab w:val="left" w:pos="709"/>
                                  <w:tab w:val="left" w:pos="993"/>
                                  <w:tab w:val="left" w:pos="1134"/>
                                </w:tabs>
                                <w:ind w:firstLine="567"/>
                                <w:jc w:val="both"/>
                                <w:rPr>
                                  <w:rFonts w:eastAsia="Calibri"/>
                                  <w:bCs/>
                                  <w:szCs w:val="24"/>
                                </w:rPr>
                              </w:pPr>
                              <w:sdt>
                                <w:sdtPr>
                                  <w:alias w:val="Numeris"/>
                                  <w:tag w:val="nr_db39ac6205a641338433b57c05ccebf3"/>
                                  <w:lock w:val="sdtLocked"/>
                                  <w:richText/>
                                </w:sdtPr>
                                <w:sdtContent>
                                  <w:r>
                                    <w:rPr>
                                      <w:szCs w:val="24"/>
                                    </w:rPr>
                                    <w:t>5.4.3.5</w:t>
                                  </w:r>
                                </w:sdtContent>
                              </w:sdt>
                              <w:r>
                                <w:rPr>
                                  <w:szCs w:val="24"/>
                                </w:rPr>
                                <w:t>.</w:t>
                              </w:r>
                              <w:r>
                                <w:rPr>
                                  <w:color w:val="000000"/>
                                  <w:szCs w:val="24"/>
                                </w:rPr>
                                <w:t xml:space="preserve"> einamųjų metų prognozuojamoms viršsutartinėms  asmens sveikatos priežiūros paslaugoms apmokėti.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4f9460e21811ea9342c1d4e2ff6ff6">
                        <w:r w:rsidRPr="00532B9F">
                          <w:rPr>
                            <w:rFonts w:ascii="Times New Roman" w:eastAsia="MS Mincho" w:hAnsi="Times New Roman"/>
                            <w:sz w:val="20"/>
                            <w:i/>
                            <w:iCs/>
                            <w:color w:val="0000FF" w:themeColor="hyperlink"/>
                            <w:u w:val="single"/>
                          </w:rPr>
                          <w:t>V-1869</w:t>
                        </w:r>
                      </w:fldSimple>
                      <w:r>
                        <w:rPr>
                          <w:rFonts w:ascii="Times New Roman" w:eastAsia="MS Mincho" w:hAnsi="Times New Roman"/>
                          <w:sz w:val="20"/>
                          <w:i/>
                          <w:iCs/>
                        </w:rPr>
                        <w:t>,
2020-08-19,
paskelbta TAR 2020-08-19, i. k. 2020-17548            </w:t>
                      </w:r>
                    </w:p>
                    <w:p/>
                  </w:sdtContent>
                </w:sdt>
                <w:sdt>
                  <w:sdtPr>
                    <w:alias w:val="5.5 pp."/>
                    <w:tag w:val="part_0336191346bf4d92ab4d3ad438907539"/>
                    <w:lock w:val="sdtLocked"/>
                    <w:richText/>
                  </w:sdtPr>
                  <w:sdtContent>
                    <w:p>
                      <w:pPr>
                        <w:widowControl w:val="0"/>
                        <w:ind w:firstLine="567"/>
                        <w:jc w:val="both"/>
                        <w:rPr>
                          <w:rFonts w:eastAsia="Calibri"/>
                          <w:bCs/>
                          <w:szCs w:val="24"/>
                        </w:rPr>
                      </w:pPr>
                      <w:sdt>
                        <w:sdtPr>
                          <w:alias w:val="Numeris"/>
                          <w:tag w:val="nr_0336191346bf4d92ab4d3ad438907539"/>
                          <w:lock w:val="sdtLocked"/>
                          <w:richText/>
                        </w:sdtPr>
                        <w:sdtContent>
                          <w:r>
                            <w:rPr>
                              <w:szCs w:val="24"/>
                            </w:rPr>
                            <w:t>5.5</w:t>
                          </w:r>
                        </w:sdtContent>
                      </w:sdt>
                      <w:r>
                        <w:rPr>
                          <w:szCs w:val="24"/>
                        </w:rPr>
                        <w:t xml:space="preserve">. </w:t>
                      </w:r>
                      <w:r>
                        <w:rPr>
                          <w:bCs/>
                          <w:szCs w:val="24"/>
                        </w:rPr>
                        <w:t xml:space="preserve">įprastinis ataskaitinis laikotarpis, pagal kurio duomenis nustatomos </w:t>
                      </w:r>
                      <w:r>
                        <w:rPr>
                          <w:szCs w:val="24"/>
                        </w:rPr>
                        <w:t xml:space="preserve">asmens sveikatos priežiūros paslaugų </w:t>
                      </w:r>
                      <w:r>
                        <w:rPr>
                          <w:bCs/>
                          <w:szCs w:val="24"/>
                        </w:rPr>
                        <w:t>bazinės kainos, yra vieni PSDF biudžeto formavimo ir vykdymo metai. Atskirais atvejais, pasikeitus metinei PSDF biudžeto lėšų sumai (pvz., dėl papildomų lėšų, skirtų darbuotojų darbo užmokesčiui didinti), ataskaitinis laikotarpis gali sutapti su pasikeitusio PSDF biudžeto formavimo ir vykdymo laikotarpiu. Kiekvienais finansiniais metais, remiantis ataskaitinio laikotarpio (praėjusių metų) veiklos sąnaudų duomenimis, numatomos ateinančių finansinių metų aktyviojo gydymo paslaugas teikiančių ASPĮ veiklos sąnaudos ir kiti ASPĮ veiklos rodikliai.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b2ac20fe9011e68034be159a964f47">
                        <w:r w:rsidRPr="00532B9F">
                          <w:rPr>
                            <w:rFonts w:ascii="Times New Roman" w:eastAsia="MS Mincho" w:hAnsi="Times New Roman"/>
                            <w:sz w:val="20"/>
                            <w:i/>
                            <w:iCs/>
                            <w:color w:val="0000FF" w:themeColor="hyperlink"/>
                            <w:u w:val="single"/>
                          </w:rPr>
                          <w:t>V-226</w:t>
                        </w:r>
                      </w:fldSimple>
                      <w:r>
                        <w:rPr>
                          <w:rFonts w:ascii="Times New Roman" w:eastAsia="MS Mincho" w:hAnsi="Times New Roman"/>
                          <w:sz w:val="20"/>
                          <w:i/>
                          <w:iCs/>
                        </w:rPr>
                        <w:t>,
2017-02-28,
paskelbta TAR 2017-03-02, i. k. 2017-03483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5bc70d97b11eb9f09e7df20500045">
                        <w:r w:rsidRPr="00532B9F">
                          <w:rPr>
                            <w:rFonts w:ascii="Times New Roman" w:eastAsia="MS Mincho" w:hAnsi="Times New Roman"/>
                            <w:sz w:val="20"/>
                            <w:i/>
                            <w:iCs/>
                            <w:color w:val="0000FF" w:themeColor="hyperlink"/>
                            <w:u w:val="single"/>
                          </w:rPr>
                          <w:t>V-1502</w:t>
                        </w:r>
                      </w:fldSimple>
                      <w:r>
                        <w:rPr>
                          <w:rFonts w:ascii="Times New Roman" w:eastAsia="MS Mincho" w:hAnsi="Times New Roman"/>
                          <w:sz w:val="20"/>
                          <w:i/>
                          <w:iCs/>
                        </w:rPr>
                        <w:t>,
2021-06-29,
paskelbta TAR 2021-06-30, i. k. 2021-14693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108480c4ba11ec8d9390588bf2de65">
                        <w:r w:rsidRPr="00532B9F">
                          <w:rPr>
                            <w:rFonts w:ascii="Times New Roman" w:eastAsia="MS Mincho" w:hAnsi="Times New Roman"/>
                            <w:sz w:val="20"/>
                            <w:i/>
                            <w:iCs/>
                            <w:color w:val="0000FF" w:themeColor="hyperlink"/>
                            <w:u w:val="single"/>
                          </w:rPr>
                          <w:t>V-816</w:t>
                        </w:r>
                      </w:fldSimple>
                      <w:r>
                        <w:rPr>
                          <w:rFonts w:ascii="Times New Roman" w:eastAsia="MS Mincho" w:hAnsi="Times New Roman"/>
                          <w:sz w:val="20"/>
                          <w:i/>
                          <w:iCs/>
                        </w:rPr>
                        <w:t>,
2022-04-25,
paskelbta TAR 2022-04-25, i. k. 2022-08400            </w:t>
                      </w:r>
                    </w:p>
                    <w:p/>
                  </w:sdtContent>
                </w:sdt>
              </w:sdtContent>
            </w:sdt>
          </w:sdtContent>
        </w:sdt>
        <w:sdt>
          <w:sdtPr>
            <w:alias w:val="skyrius"/>
            <w:tag w:val="part_6c49bdf510574a15bcc09ebe905df3be"/>
            <w:lock w:val="sdtLocked"/>
            <w:richText/>
          </w:sdtPr>
          <w:sdtContent>
            <w:p>
              <w:pPr>
                <w:jc w:val="center"/>
                <w:rPr>
                  <w:b/>
                  <w:szCs w:val="24"/>
                </w:rPr>
              </w:pPr>
              <w:sdt>
                <w:sdtPr>
                  <w:alias w:val="Numeris"/>
                  <w:tag w:val="nr_6c49bdf510574a15bcc09ebe905df3be"/>
                  <w:lock w:val="sdtLocked"/>
                  <w:richText/>
                </w:sdtPr>
                <w:sdtContent>
                  <w:r>
                    <w:rPr>
                      <w:b/>
                      <w:szCs w:val="24"/>
                    </w:rPr>
                    <w:t>IV</w:t>
                  </w:r>
                </w:sdtContent>
              </w:sdt>
              <w:r>
                <w:rPr>
                  <w:b/>
                  <w:szCs w:val="24"/>
                </w:rPr>
                <w:t xml:space="preserve"> SKYRIUS</w:t>
              </w:r>
            </w:p>
            <w:p>
              <w:pPr>
                <w:jc w:val="center"/>
                <w:rPr>
                  <w:b/>
                  <w:szCs w:val="24"/>
                </w:rPr>
              </w:pPr>
              <w:sdt>
                <w:sdtPr>
                  <w:alias w:val="Pavadinimas"/>
                  <w:tag w:val="title_6c49bdf510574a15bcc09ebe905df3be"/>
                  <w:lock w:val="sdtLocked"/>
                  <w:richText/>
                </w:sdtPr>
                <w:sdtContent>
                  <w:r>
                    <w:rPr>
                      <w:b/>
                      <w:szCs w:val="24"/>
                    </w:rPr>
                    <w:t>PIRMINĖS AMBULATORINĖS ASMENS SVEIKATOS PRIEŽIŪROS PASLAUGŲ BAZINIŲ KAINŲ NUSTATYMAS</w:t>
                  </w:r>
                </w:sdtContent>
              </w:sdt>
            </w:p>
            <w:p>
              <w:pPr>
                <w:jc w:val="center"/>
                <w:rPr>
                  <w:b/>
                  <w:szCs w:val="24"/>
                </w:rPr>
              </w:pPr>
            </w:p>
            <w:p>
              <w:pPr>
                <w:jc w:val="both"/>
                <w:rPr>
                  <w:szCs w:val="24"/>
                </w:rPr>
              </w:pPr>
            </w:p>
            <w:sdt>
              <w:sdtPr>
                <w:alias w:val="6 p."/>
                <w:tag w:val="part_6a150632cdbc411099665996bb513ca7"/>
                <w:lock w:val="sdtLocked"/>
                <w:richText/>
              </w:sdtPr>
              <w:sdtContent>
                <w:p>
                  <w:pPr>
                    <w:tabs>
                      <w:tab w:val="left" w:pos="567"/>
                      <w:tab w:val="left" w:pos="851"/>
                    </w:tabs>
                    <w:spacing w:line="259" w:lineRule="auto"/>
                    <w:ind w:firstLine="502"/>
                    <w:jc w:val="both"/>
                    <w:rPr>
                      <w:szCs w:val="24"/>
                    </w:rPr>
                  </w:pPr>
                  <w:sdt>
                    <w:sdtPr>
                      <w:alias w:val="Numeris"/>
                      <w:tag w:val="nr_6a150632cdbc411099665996bb513ca7"/>
                      <w:lock w:val="sdtLocked"/>
                      <w:richText/>
                    </w:sdtPr>
                    <w:sdtContent>
                      <w:r>
                        <w:rPr>
                          <w:rFonts w:eastAsia="Calibri"/>
                          <w:szCs w:val="24"/>
                        </w:rPr>
                        <w:t>6</w:t>
                      </w:r>
                    </w:sdtContent>
                  </w:sdt>
                  <w:r>
                    <w:rPr>
                      <w:rFonts w:eastAsia="Calibri"/>
                      <w:szCs w:val="24"/>
                    </w:rPr>
                    <w:t>.</w:t>
                    <w:tab/>
                  </w:r>
                  <w:r>
                    <w:rPr>
                      <w:szCs w:val="24"/>
                      <w:lang w:eastAsia="lt-LT"/>
                    </w:rPr>
                    <w:t xml:space="preserve">Vienam prisirašiusiam gyventojui tenkančių </w:t>
                  </w:r>
                  <w:r>
                    <w:rPr>
                      <w:szCs w:val="24"/>
                    </w:rPr>
                    <w:t>pirminės ambulatorinės odontologinės asmens sveikatos priežiūros paslaugų arba pirminės ambulatorinės psichikos sveikatos priežiūros paslaugų</w:t>
                  </w:r>
                  <w:r>
                    <w:rPr>
                      <w:szCs w:val="24"/>
                      <w:lang w:eastAsia="lt-LT"/>
                    </w:rPr>
                    <w:t xml:space="preserve"> metinė bazinė kaina (balais) apskaičiuojama taip:</w:t>
                  </w:r>
                </w:p>
                <w:p>
                  <w:pPr>
                    <w:tabs>
                      <w:tab w:val="left" w:pos="567"/>
                      <w:tab w:val="left" w:pos="851"/>
                    </w:tabs>
                    <w:spacing w:line="259" w:lineRule="auto"/>
                    <w:ind w:left="360"/>
                    <w:jc w:val="both"/>
                    <w:rPr>
                      <w:rFonts w:eastAsia="Calibri"/>
                      <w:szCs w:val="24"/>
                    </w:rPr>
                  </w:pPr>
                </w:p>
                <w:p>
                  <w:pPr>
                    <w:tabs>
                      <w:tab w:val="left" w:pos="567"/>
                      <w:tab w:val="left" w:pos="851"/>
                    </w:tabs>
                    <w:spacing w:line="259" w:lineRule="auto"/>
                    <w:ind w:left="360"/>
                    <w:jc w:val="both"/>
                    <w:rPr>
                      <w:rFonts w:eastAsia="Calibri"/>
                      <w:i/>
                      <w:szCs w:val="24"/>
                      <w:lang w:val="en-US"/>
                    </w:rPr>
                  </w:pPr>
                  <m:oMathPara>
                    <m:oMathParaPr>
                      <m:jc m:val="center"/>
                    </m:oMathParaPr>
                    <m:oMath>
                      <m:sSub>
                        <m:sSubPr>
                          <m:ctrlPr>
                            <w:rPr>
                              <w:rFonts w:ascii="Cambria Math" w:hAnsi="Cambria Math"/>
                              <w:i/>
                              <w:szCs w:val="24"/>
                            </w:rPr>
                          </m:ctrlPr>
                        </m:sSubPr>
                        <m:e>
                          <m:r>
                            <w:rPr>
                              <w:rFonts w:ascii="Cambria Math" w:hAnsi="Cambria Math"/>
                              <w:szCs w:val="24"/>
                            </w:rPr>
                            <m:t>B</m:t>
                          </m:r>
                        </m:e>
                        <m:sub>
                          <m:r>
                            <w:rPr>
                              <w:rFonts w:ascii="Cambria Math" w:hAnsi="Cambria Math"/>
                              <w:szCs w:val="24"/>
                            </w:rPr>
                            <m:t>p</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E</m:t>
                                  </m:r>
                                </m:e>
                                <m:sub>
                                  <m:r>
                                    <w:rPr>
                                      <w:rFonts w:ascii="Cambria Math" w:hAnsi="Cambria Math"/>
                                      <w:szCs w:val="24"/>
                                    </w:rPr>
                                    <m:t>i</m:t>
                                  </m:r>
                                </m:sub>
                              </m:sSub>
                            </m:e>
                          </m:nary>
                        </m:num>
                        <m:den>
                          <m:nary>
                            <m:naryPr>
                              <m:chr m:val="∑"/>
                              <m:limLoc m:val="undOvr"/>
                              <m:ctrlPr>
                                <w:rPr>
                                  <w:rFonts w:ascii="Cambria Math" w:hAnsi="Cambria Math"/>
                                  <w:i/>
                                  <w:szCs w:val="24"/>
                                </w:rPr>
                              </m:ctrlPr>
                            </m:naryPr>
                            <m:sub>
                              <m:r>
                                <w:rPr>
                                  <w:rFonts w:ascii="Cambria Math" w:hAnsi="Cambria Math"/>
                                  <w:szCs w:val="24"/>
                                </w:rPr>
                                <m:t>i</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G</m:t>
                                  </m:r>
                                </m:e>
                                <m:sub>
                                  <m:r>
                                    <w:rPr>
                                      <w:rFonts w:ascii="Cambria Math" w:hAnsi="Cambria Math"/>
                                      <w:szCs w:val="24"/>
                                    </w:rPr>
                                    <m:t>i</m:t>
                                  </m:r>
                                </m:sub>
                              </m:sSub>
                            </m:e>
                          </m:nary>
                        </m:den>
                      </m:f>
                      <m:r>
                        <w:rPr>
                          <w:rFonts w:ascii="Cambria Math" w:hAnsi="Cambria Math"/>
                          <w:szCs w:val="24"/>
                        </w:rPr>
                        <m:t xml:space="preserve"> </m:t>
                      </m:r>
                      <m:r>
                        <m:rPr>
                          <m:sty m:val="p"/>
                        </m:rPr>
                        <w:rPr>
                          <w:rFonts w:ascii="Cambria Math" w:hAnsi="Cambria Math"/>
                          <w:szCs w:val="24"/>
                        </w:rPr>
                        <m:t>,</m:t>
                      </m:r>
                    </m:oMath>
                  </m:oMathPara>
                </w:p>
                <w:p>
                  <w:pPr>
                    <w:tabs>
                      <w:tab w:val="right" w:pos="8313"/>
                    </w:tabs>
                    <w:ind w:left="720"/>
                    <w:jc w:val="both"/>
                    <w:rPr>
                      <w:rFonts w:eastAsia="Calibri"/>
                      <w:szCs w:val="24"/>
                      <w:lang w:val="en-US"/>
                    </w:rPr>
                  </w:pPr>
                </w:p>
                <w:p>
                  <w:pPr>
                    <w:ind w:firstLine="360"/>
                    <w:jc w:val="both"/>
                    <w:rPr>
                      <w:szCs w:val="24"/>
                    </w:rPr>
                  </w:pPr>
                  <w:r>
                    <w:rPr>
                      <w:szCs w:val="24"/>
                    </w:rPr>
                    <w:t>kai:</w:t>
                  </w:r>
                </w:p>
                <w:p>
                  <w:pPr>
                    <w:ind w:firstLine="360"/>
                    <w:jc w:val="both"/>
                    <w:rPr>
                      <w:szCs w:val="24"/>
                    </w:rPr>
                  </w:pPr>
                  <w:r>
                    <w:rPr>
                      <w:i/>
                      <w:szCs w:val="24"/>
                    </w:rPr>
                    <w:t>B</w:t>
                  </w:r>
                  <w:r>
                    <w:rPr>
                      <w:i/>
                      <w:szCs w:val="24"/>
                      <w:vertAlign w:val="subscript"/>
                    </w:rPr>
                    <w:t>p</w:t>
                  </w:r>
                  <w:r>
                    <w:rPr>
                      <w:szCs w:val="24"/>
                    </w:rPr>
                    <w:t xml:space="preserve"> – metinė prisirašiusiam gyventojui tenkančių pirminės ambulatorinės odontologinės asmens sveikatos priežiūros paslaugų arba pirminės ambulatorinės psichikos sveikatos priežiūros paslaugų bazinė kaina (balais),</w:t>
                  </w:r>
                </w:p>
                <w:p>
                  <w:pPr>
                    <w:ind w:firstLine="360"/>
                    <w:jc w:val="both"/>
                    <w:rPr>
                      <w:szCs w:val="24"/>
                    </w:rPr>
                  </w:pPr>
                  <w:r>
                    <w:rPr>
                      <w:i/>
                      <w:szCs w:val="24"/>
                    </w:rPr>
                    <w:t>E</w:t>
                  </w:r>
                  <w:r>
                    <w:rPr>
                      <w:i/>
                      <w:szCs w:val="24"/>
                      <w:vertAlign w:val="subscript"/>
                    </w:rPr>
                    <w:t>i</w:t>
                  </w:r>
                  <w:r>
                    <w:rPr>
                      <w:szCs w:val="24"/>
                    </w:rPr>
                    <w:t xml:space="preserve"> – i-tosios ASPĮ ataskaitinio laikotarpio veiklos sąnaudos, susijusios su pirminės ambulatorinės odontologinės asmens sveikatos priežiūros paslaugų arba pirminės ambulatorinės psichikos sveikatos priežiūros paslaugų teikimu atitinkamos amžiaus grupės gyventojams,</w:t>
                  </w:r>
                </w:p>
                <w:p>
                  <w:pPr>
                    <w:ind w:firstLine="360"/>
                    <w:jc w:val="both"/>
                    <w:rPr>
                      <w:szCs w:val="24"/>
                    </w:rPr>
                  </w:pPr>
                  <w:r>
                    <w:rPr>
                      <w:i/>
                      <w:szCs w:val="24"/>
                    </w:rPr>
                    <w:t>G</w:t>
                  </w:r>
                  <w:r>
                    <w:rPr>
                      <w:i/>
                      <w:szCs w:val="24"/>
                      <w:vertAlign w:val="subscript"/>
                    </w:rPr>
                    <w:t>i</w:t>
                  </w:r>
                  <w:r>
                    <w:rPr>
                      <w:szCs w:val="24"/>
                    </w:rPr>
                    <w:t xml:space="preserve"> – atitinkamos amžiaus grupės prisirašiusių prie i-tosios ASPĮ, teikiančios pirminės ambulatorinės odontologinės asmens sveikatos priežiūros paslaugas ir (ar) pirminės ambulatorinės psichikos sveikatos priežiūros paslaugas, gyventojų skaičius,</w:t>
                  </w:r>
                </w:p>
                <w:p>
                  <w:pPr>
                    <w:ind w:firstLine="360"/>
                    <w:jc w:val="both"/>
                    <w:rPr>
                      <w:szCs w:val="24"/>
                    </w:rPr>
                  </w:pPr>
                  <w:r>
                    <w:rPr>
                      <w:i/>
                      <w:szCs w:val="24"/>
                    </w:rPr>
                    <w:t>n</w:t>
                  </w:r>
                  <w:r>
                    <w:rPr>
                      <w:szCs w:val="24"/>
                    </w:rPr>
                    <w:t xml:space="preserve"> – ASPĮ, teikiančių pirminės ambulatorinės odontologinės asmens sveikatos priežiūros paslaugas ir (ar) pirminės ambulatorinės psichikos sveikatos priežiūros paslaugas, skaičius,</w:t>
                  </w:r>
                </w:p>
                <w:p>
                  <w:pPr>
                    <w:ind w:firstLine="360"/>
                    <w:jc w:val="both"/>
                    <w:rPr>
                      <w:szCs w:val="24"/>
                    </w:rPr>
                  </w:pPr>
                  <w:r>
                    <w:rPr>
                      <w:i/>
                      <w:szCs w:val="24"/>
                    </w:rPr>
                    <w:t>i (i = 1, 2, 3, …, n</w:t>
                  </w:r>
                  <w:r>
                    <w:rPr>
                      <w:szCs w:val="24"/>
                    </w:rPr>
                    <w:t>) – ASPĮ, teikiančių pirminės ambulatorinės odontologinės asmens sveikatos priežiūros paslaugas ir (ar) pirminės ambulatorinės psichikos sveikatos priežiūros paslaugas, indeksas.</w:t>
                  </w:r>
                </w:p>
              </w:sdtContent>
            </w:sdt>
            <w:sdt>
              <w:sdtPr>
                <w:alias w:val="7 p."/>
                <w:tag w:val="part_ec1dbdbe4224479cb1e9b9c912d2f538"/>
                <w:lock w:val="sdtLocked"/>
                <w:richText/>
              </w:sdtPr>
              <w:sdtContent>
                <w:p>
                  <w:pPr>
                    <w:tabs>
                      <w:tab w:val="left" w:pos="567"/>
                      <w:tab w:val="left" w:pos="851"/>
                    </w:tabs>
                    <w:spacing w:line="259" w:lineRule="auto"/>
                    <w:ind w:firstLine="360"/>
                    <w:jc w:val="both"/>
                    <w:rPr>
                      <w:szCs w:val="24"/>
                    </w:rPr>
                  </w:pPr>
                  <w:sdt>
                    <w:sdtPr>
                      <w:alias w:val="Numeris"/>
                      <w:tag w:val="nr_ec1dbdbe4224479cb1e9b9c912d2f538"/>
                      <w:lock w:val="sdtLocked"/>
                      <w:richText/>
                    </w:sdtPr>
                    <w:sdtContent>
                      <w:r>
                        <w:rPr>
                          <w:szCs w:val="24"/>
                        </w:rPr>
                        <w:t>7</w:t>
                      </w:r>
                    </w:sdtContent>
                  </w:sdt>
                  <w:r>
                    <w:rPr>
                      <w:rFonts w:eastAsia="Calibri"/>
                      <w:szCs w:val="24"/>
                    </w:rPr>
                    <w:t>.</w:t>
                  </w:r>
                  <w:r>
                    <w:rPr>
                      <w:szCs w:val="24"/>
                    </w:rPr>
                    <w:t xml:space="preserve"> Vienam prisirašiusiam gyventojui tenkančių PAASP paslaugų (išskyrus pirminės ambulatorinės psichikos sveikatos priežiūros ir pirminės ambulatorinės odontologinės asmens sveikatos priežiūros paslaugas) metinė bazinė kaina (balais) apskaičiuojama pagal ateinantiems metams PAASP paslaugoms numatytą PSDF biudžeto lėšų sumą (įvertinant prisirašiusių gyventojų apsilankymų skaičių, atliekamų tyrimų skaičių ir sergamumą dviem (ir daugiau) lėtinėmis ligomis vienu metu, kurioms gydyti būtini dideli žmogiškieji ir materialiniai ištekliai, t. y. poliligotumą) bei atitinkamų amžiaus grupių prisirašiusių gyventojų skaičių:</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29de70d07d11e8bea9885f77677ec1">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2018-10-15,
paskelbta TAR 2018-10-15, i. k. 2018-16218            </w:t>
                  </w:r>
                </w:p>
                <w:sdt>
                  <w:sdtPr>
                    <w:alias w:val="7.1 pp."/>
                    <w:tag w:val="part_72cb51531f1f41e0b71acdfe40cd18d2"/>
                    <w:lock w:val="sdtLocked"/>
                    <w:richText/>
                  </w:sdtPr>
                  <w:sdtContent>
                    <w:p>
                      <w:pPr>
                        <w:tabs>
                          <w:tab w:val="left" w:pos="851"/>
                        </w:tabs>
                        <w:spacing w:line="259" w:lineRule="auto"/>
                        <w:ind w:firstLine="426"/>
                        <w:jc w:val="both"/>
                        <w:rPr>
                          <w:szCs w:val="24"/>
                        </w:rPr>
                      </w:pPr>
                      <w:sdt>
                        <w:sdtPr>
                          <w:alias w:val="Numeris"/>
                          <w:tag w:val="nr_72cb51531f1f41e0b71acdfe40cd18d2"/>
                          <w:lock w:val="sdtLocked"/>
                          <w:richText/>
                        </w:sdtPr>
                        <w:sdtContent>
                          <w:r>
                            <w:rPr>
                              <w:szCs w:val="24"/>
                            </w:rPr>
                            <w:t>7.1</w:t>
                          </w:r>
                        </w:sdtContent>
                      </w:sdt>
                      <w:r>
                        <w:rPr>
                          <w:szCs w:val="24"/>
                        </w:rPr>
                        <w:t xml:space="preserve">. PSDF lėšų suma, skirta ateinančių metų PAASP paslaugų (išskyrus psichikos sveikatos priežiūros ir odontologinės asmens sveikatos priežiūros paslaugas) išlaidoms apmokėti, paskirstoma į 3 nustatyto dydžio (procentais) dalis: lėšų tyrimų sąnaudoms padengti dalį, lėšų gydymo, susijusio su poliligotumu, sąnaudoms padengti dalį ir likusių lėšų dalį, skirtą kitoms ASPĮ veiklos sąnaudoms padengti. </w:t>
                      </w:r>
                    </w:p>
                  </w:sdtContent>
                </w:sdt>
                <w:sdt>
                  <w:sdtPr>
                    <w:alias w:val="7.2 pp."/>
                    <w:tag w:val="part_f56e71ec7df9438ca75a4efd32098fb8"/>
                    <w:lock w:val="sdtLocked"/>
                    <w:richText/>
                  </w:sdtPr>
                  <w:sdtContent>
                    <w:p>
                      <w:pPr>
                        <w:tabs>
                          <w:tab w:val="left" w:pos="851"/>
                        </w:tabs>
                        <w:spacing w:line="259" w:lineRule="auto"/>
                        <w:ind w:firstLine="426"/>
                        <w:jc w:val="both"/>
                        <w:rPr>
                          <w:szCs w:val="24"/>
                        </w:rPr>
                      </w:pPr>
                      <w:sdt>
                        <w:sdtPr>
                          <w:alias w:val="Numeris"/>
                          <w:tag w:val="nr_f56e71ec7df9438ca75a4efd32098fb8"/>
                          <w:lock w:val="sdtLocked"/>
                          <w:richText/>
                        </w:sdtPr>
                        <w:sdtContent>
                          <w:r>
                            <w:rPr>
                              <w:szCs w:val="24"/>
                            </w:rPr>
                            <w:t>7.2</w:t>
                          </w:r>
                        </w:sdtContent>
                      </w:sdt>
                      <w:r>
                        <w:rPr>
                          <w:szCs w:val="24"/>
                        </w:rPr>
                        <w:t>. Vienam atitinkamos gyventojų amžiaus grupės prisirašiusiam gyventojui tenkančių PAASP paslaugų (išskyrus psichikos sveikatos priežiūros ir odontologinės asmens sveikatos priežiūros paslaugas) metinė bazinė kaina (balais) apskaičiuojama taip:</w:t>
                      </w:r>
                    </w:p>
                    <w:p>
                      <w:pPr>
                        <w:tabs>
                          <w:tab w:val="left" w:pos="851"/>
                        </w:tabs>
                        <w:spacing w:line="259" w:lineRule="auto"/>
                        <w:ind w:left="-142" w:firstLine="426"/>
                        <w:jc w:val="both"/>
                        <w:rPr>
                          <w:szCs w:val="24"/>
                        </w:rPr>
                      </w:pPr>
                    </w:p>
                    <w:p>
                      <w:pPr>
                        <w:rPr>
                          <w:i/>
                          <w:szCs w:val="24"/>
                          <w:lang w:val="en-US"/>
                        </w:rPr>
                      </w:pPr>
                      <m:oMathPara>
                        <m:oMath>
                          <m:sSub>
                            <m:sSubPr>
                              <m:ctrlPr>
                                <w:rPr>
                                  <w:rFonts w:ascii="Cambria Math" w:hAnsi="Cambria Math"/>
                                  <w:i/>
                                </w:rPr>
                              </m:ctrlPr>
                            </m:sSubPr>
                            <m:e>
                              <m:r>
                                <w:rPr>
                                  <w:rFonts w:ascii="Cambria Math" w:hAnsi="Cambria Math"/>
                                </w:rPr>
                                <m:t>K</m:t>
                              </m:r>
                            </m:e>
                            <m:sub>
                              <m:r>
                                <w:rPr>
                                  <w:rFonts w:ascii="Cambria Math" w:hAnsi="Cambria Math"/>
                                </w:rPr>
                                <m:t>AG</m:t>
                              </m:r>
                            </m:sub>
                          </m:sSub>
                          <m:r>
                            <w:rPr>
                              <w:rFonts w:ascii="Cambria Math" w:hAnsi="Cambria Math"/>
                              <w:lang w:val="en-US"/>
                            </w:rPr>
                            <m:t xml:space="preserve">= </m:t>
                          </m:r>
                          <m:f>
                            <m:fPr>
                              <m:ctrlPr>
                                <w:rPr>
                                  <w:rFonts w:ascii="Cambria Math" w:hAnsi="Cambria Math"/>
                                  <w:i/>
                                  <w:lang w:val="en-US"/>
                                </w:rPr>
                              </m:ctrlPr>
                            </m:fPr>
                            <m:num>
                              <m:r>
                                <w:rPr>
                                  <w:rFonts w:ascii="Cambria Math" w:hAnsi="Cambria Math"/>
                                  <w:lang w:val="en-US"/>
                                </w:rPr>
                                <m:t>T</m:t>
                              </m:r>
                            </m:num>
                            <m:den>
                              <m:nary>
                                <m:naryPr>
                                  <m:chr m:val="∑"/>
                                  <m:limLoc m:val="subSup"/>
                                  <m:supHide m:val="1"/>
                                  <m:ctrlPr>
                                    <w:rPr>
                                      <w:rFonts w:ascii="Cambria Math" w:hAnsi="Cambria Math"/>
                                      <w:i/>
                                      <w:lang w:val="en-US"/>
                                    </w:rPr>
                                  </m:ctrlPr>
                                </m:naryPr>
                                <m:sub>
                                  <m:r>
                                    <w:rPr>
                                      <w:rFonts w:ascii="Cambria Math" w:hAnsi="Cambria Math"/>
                                      <w:lang w:val="en-US"/>
                                    </w:rPr>
                                    <m:t>AG</m:t>
                                  </m:r>
                                </m:sub>
                                <m:sup/>
                                <m:e>
                                  <m:sSub>
                                    <m:sSubPr>
                                      <m:ctrlPr>
                                        <w:rPr>
                                          <w:rFonts w:ascii="Cambria Math" w:hAnsi="Cambria Math"/>
                                          <w:i/>
                                          <w:lang w:val="en-US"/>
                                        </w:rPr>
                                      </m:ctrlPr>
                                    </m:sSubPr>
                                    <m:e>
                                      <m:r>
                                        <w:rPr>
                                          <w:rFonts w:ascii="Cambria Math" w:hAnsi="Cambria Math"/>
                                          <w:lang w:val="en-US"/>
                                        </w:rPr>
                                        <m:t>PR</m:t>
                                      </m:r>
                                    </m:e>
                                    <m:sub>
                                      <m:r>
                                        <w:rPr>
                                          <w:rFonts w:ascii="Cambria Math" w:hAnsi="Cambria Math"/>
                                          <w:lang w:val="en-US"/>
                                        </w:rPr>
                                        <m:t>AG</m:t>
                                      </m:r>
                                    </m:sub>
                                  </m:sSub>
                                </m:e>
                              </m:nary>
                            </m:den>
                          </m:f>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r>
                                <w:rPr>
                                  <w:rFonts w:ascii="Cambria Math" w:hAnsi="Cambria Math"/>
                                  <w:lang w:val="en-US"/>
                                </w:rPr>
                                <m:t>T</m:t>
                              </m:r>
                            </m:e>
                            <m:sub>
                              <m:r>
                                <w:rPr>
                                  <w:rFonts w:ascii="Cambria Math" w:hAnsi="Cambria Math"/>
                                  <w:lang w:val="en-US"/>
                                </w:rPr>
                                <m:t>AG</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P</m:t>
                              </m:r>
                            </m:num>
                            <m:den>
                              <m:nary>
                                <m:naryPr>
                                  <m:chr m:val="∑"/>
                                  <m:limLoc m:val="subSup"/>
                                  <m:supHide m:val="1"/>
                                  <m:ctrlPr>
                                    <w:rPr>
                                      <w:rFonts w:ascii="Cambria Math" w:hAnsi="Cambria Math"/>
                                      <w:i/>
                                      <w:lang w:val="en-US"/>
                                    </w:rPr>
                                  </m:ctrlPr>
                                </m:naryPr>
                                <m:sub>
                                  <m:r>
                                    <w:rPr>
                                      <w:rFonts w:ascii="Cambria Math" w:hAnsi="Cambria Math"/>
                                      <w:lang w:val="en-US"/>
                                    </w:rPr>
                                    <m:t>AG</m:t>
                                  </m:r>
                                </m:sub>
                                <m:sup/>
                                <m:e>
                                  <m:sSub>
                                    <m:sSubPr>
                                      <m:ctrlPr>
                                        <w:rPr>
                                          <w:rFonts w:ascii="Cambria Math" w:hAnsi="Cambria Math"/>
                                          <w:i/>
                                          <w:lang w:val="en-US"/>
                                        </w:rPr>
                                      </m:ctrlPr>
                                    </m:sSubPr>
                                    <m:e>
                                      <m:r>
                                        <w:rPr>
                                          <w:rFonts w:ascii="Cambria Math" w:hAnsi="Cambria Math"/>
                                          <w:lang w:val="en-US"/>
                                        </w:rPr>
                                        <m:t>PR</m:t>
                                      </m:r>
                                    </m:e>
                                    <m:sub>
                                      <m:r>
                                        <w:rPr>
                                          <w:rFonts w:ascii="Cambria Math" w:hAnsi="Cambria Math"/>
                                          <w:lang w:val="en-US"/>
                                        </w:rPr>
                                        <m:t>AG</m:t>
                                      </m:r>
                                    </m:sub>
                                  </m:sSub>
                                </m:e>
                              </m:nary>
                            </m:den>
                          </m:f>
                          <m:r>
                            <w:rPr>
                              <w:rFonts w:ascii="Cambria Math" w:hAnsi="Cambria Math"/>
                              <w:lang w:val="en-US"/>
                            </w:rPr>
                            <m:t>×</m:t>
                          </m:r>
                          <m:sSub>
                            <m:sSubPr>
                              <m:ctrlPr>
                                <w:rPr>
                                  <w:rFonts w:ascii="Cambria Math" w:hAnsi="Cambria Math"/>
                                  <w:i/>
                                  <w:lang w:val="en-US"/>
                                </w:rPr>
                              </m:ctrlPr>
                            </m:sSubPr>
                            <m:e>
                              <m:r>
                                <w:rPr>
                                  <w:rFonts w:ascii="Cambria Math" w:hAnsi="Cambria Math"/>
                                  <w:lang w:val="en-US"/>
                                </w:rPr>
                                <m:t>KP</m:t>
                              </m:r>
                            </m:e>
                            <m:sub>
                              <m:r>
                                <w:rPr>
                                  <w:rFonts w:ascii="Cambria Math" w:hAnsi="Cambria Math"/>
                                  <w:lang w:val="en-US"/>
                                </w:rPr>
                                <m:t>AG</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A</m:t>
                              </m:r>
                            </m:num>
                            <m:den>
                              <m:nary>
                                <m:naryPr>
                                  <m:chr m:val="∑"/>
                                  <m:limLoc m:val="subSup"/>
                                  <m:supHide m:val="1"/>
                                  <m:ctrlPr>
                                    <w:rPr>
                                      <w:rFonts w:ascii="Cambria Math" w:hAnsi="Cambria Math"/>
                                      <w:i/>
                                      <w:lang w:val="en-US"/>
                                    </w:rPr>
                                  </m:ctrlPr>
                                </m:naryPr>
                                <m:sub>
                                  <m:r>
                                    <w:rPr>
                                      <w:rFonts w:ascii="Cambria Math" w:hAnsi="Cambria Math"/>
                                      <w:lang w:val="en-US"/>
                                    </w:rPr>
                                    <m:t>AG</m:t>
                                  </m:r>
                                </m:sub>
                                <m:sup/>
                                <m:e>
                                  <m:sSub>
                                    <m:sSubPr>
                                      <m:ctrlPr>
                                        <w:rPr>
                                          <w:rFonts w:ascii="Cambria Math" w:hAnsi="Cambria Math"/>
                                          <w:i/>
                                          <w:lang w:val="en-US"/>
                                        </w:rPr>
                                      </m:ctrlPr>
                                    </m:sSubPr>
                                    <m:e>
                                      <m:r>
                                        <w:rPr>
                                          <w:rFonts w:ascii="Cambria Math" w:hAnsi="Cambria Math"/>
                                          <w:lang w:val="en-US"/>
                                        </w:rPr>
                                        <m:t>PR</m:t>
                                      </m:r>
                                    </m:e>
                                    <m:sub>
                                      <m:r>
                                        <w:rPr>
                                          <w:rFonts w:ascii="Cambria Math" w:hAnsi="Cambria Math"/>
                                          <w:lang w:val="en-US"/>
                                        </w:rPr>
                                        <m:t>AG</m:t>
                                      </m:r>
                                    </m:sub>
                                  </m:sSub>
                                </m:e>
                              </m:nary>
                            </m:den>
                          </m:f>
                          <m:r>
                            <w:rPr>
                              <w:rFonts w:ascii="Cambria Math" w:hAnsi="Cambria Math"/>
                              <w:lang w:val="en-US"/>
                            </w:rPr>
                            <m:t>×</m:t>
                          </m:r>
                          <m:sSub>
                            <m:sSubPr>
                              <m:ctrlPr>
                                <w:rPr>
                                  <w:rFonts w:ascii="Cambria Math" w:hAnsi="Cambria Math"/>
                                  <w:i/>
                                  <w:lang w:val="en-US"/>
                                </w:rPr>
                              </m:ctrlPr>
                            </m:sSubPr>
                            <m:e>
                              <m:r>
                                <w:rPr>
                                  <w:rFonts w:ascii="Cambria Math" w:hAnsi="Cambria Math"/>
                                  <w:lang w:val="en-US"/>
                                </w:rPr>
                                <m:t>KAPS</m:t>
                              </m:r>
                            </m:e>
                            <m:sub>
                              <m:r>
                                <w:rPr>
                                  <w:rFonts w:ascii="Cambria Math" w:hAnsi="Cambria Math"/>
                                  <w:lang w:val="en-US"/>
                                </w:rPr>
                                <m:t>AG</m:t>
                              </m:r>
                            </m:sub>
                          </m:sSub>
                          <m:r>
                            <w:rPr>
                              <w:rFonts w:ascii="Cambria Math" w:hAnsi="Cambria Math"/>
                              <w:lang w:val="en-US"/>
                            </w:rPr>
                            <m:t xml:space="preserve"> </m:t>
                          </m:r>
                          <m:r>
                            <m:rPr>
                              <m:sty m:val="p"/>
                            </m:rPr>
                            <w:rPr>
                              <w:rFonts w:ascii="Cambria Math" w:hAnsi="Cambria Math"/>
                              <w:lang w:val="en-US"/>
                            </w:rPr>
                            <m:t>,</m:t>
                          </m:r>
                        </m:oMath>
                      </m:oMathPara>
                    </w:p>
                    <w:p>
                      <w:pPr>
                        <w:tabs>
                          <w:tab w:val="right" w:pos="8313"/>
                        </w:tabs>
                        <w:jc w:val="both"/>
                        <w:rPr>
                          <w:szCs w:val="24"/>
                        </w:rPr>
                      </w:pPr>
                    </w:p>
                    <w:p>
                      <w:pPr>
                        <w:ind w:firstLine="709"/>
                        <w:jc w:val="both"/>
                        <w:rPr>
                          <w:szCs w:val="24"/>
                        </w:rPr>
                      </w:pPr>
                      <w:r>
                        <w:rPr>
                          <w:szCs w:val="24"/>
                        </w:rPr>
                        <w:t>kai:</w:t>
                      </w:r>
                    </w:p>
                    <w:p>
                      <w:pPr>
                        <w:ind w:firstLine="742"/>
                        <w:jc w:val="both"/>
                        <w:rPr>
                          <w:rFonts w:ascii="Calibri" w:eastAsia="Calibri" w:hAnsi="Calibri"/>
                          <w:sz w:val="22"/>
                          <w:szCs w:val="22"/>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AG</m:t>
                            </m:r>
                          </m:sub>
                        </m:sSub>
                      </m:oMath>
                      <w:r>
                        <w:rPr>
                          <w:rFonts w:eastAsia="Calibri"/>
                          <w:i/>
                          <w:szCs w:val="24"/>
                        </w:rPr>
                        <w:t xml:space="preserve">– </w:t>
                      </w:r>
                      <w:r>
                        <w:rPr>
                          <w:rFonts w:eastAsia="Calibri"/>
                          <w:szCs w:val="24"/>
                        </w:rPr>
                        <w:t>vienam prisirašiusiam atitinkamos amžiaus grupės gyventojui tenkančių PAASP paslaugų (išskyrus psichikos sveikatos priežiūros ir odontologinės asmens sveikatos priežiūros paslaugas) metinė bazinė kaina (balais),</w:t>
                      </w:r>
                    </w:p>
                    <w:p>
                      <w:pPr>
                        <w:ind w:firstLine="875"/>
                        <w:jc w:val="both"/>
                        <w:rPr>
                          <w:rFonts w:ascii="Calibri" w:eastAsia="Calibri" w:hAnsi="Calibri"/>
                          <w:sz w:val="22"/>
                          <w:szCs w:val="22"/>
                        </w:rPr>
                      </w:pPr>
                      <m:oMath>
                        <m:sSub>
                          <m:sSubPr>
                            <m:ctrlPr>
                              <w:rPr>
                                <w:rFonts w:ascii="Cambria Math" w:hAnsi="Cambria Math"/>
                                <w:i/>
                                <w:szCs w:val="24"/>
                              </w:rPr>
                            </m:ctrlPr>
                          </m:sSubPr>
                          <m:e>
                            <m:r>
                              <w:rPr>
                                <w:rFonts w:ascii="Cambria Math" w:hAnsi="Cambria Math"/>
                                <w:szCs w:val="24"/>
                              </w:rPr>
                              <m:t>PR</m:t>
                            </m:r>
                          </m:e>
                          <m:sub>
                            <m:r>
                              <w:rPr>
                                <w:rFonts w:ascii="Cambria Math" w:hAnsi="Cambria Math"/>
                                <w:szCs w:val="24"/>
                              </w:rPr>
                              <m:t>AG</m:t>
                            </m:r>
                          </m:sub>
                        </m:sSub>
                      </m:oMath>
                      <w:r>
                        <w:rPr>
                          <w:rFonts w:eastAsia="Calibri"/>
                          <w:i/>
                          <w:szCs w:val="24"/>
                        </w:rPr>
                        <w:t>–</w:t>
                      </w:r>
                      <w:r>
                        <w:rPr>
                          <w:rFonts w:ascii="Cambria Math" w:eastAsia="Calibri" w:hAnsi="Cambria Math"/>
                          <w:i/>
                          <w:szCs w:val="24"/>
                        </w:rPr>
                        <w:t xml:space="preserve"> </w:t>
                      </w:r>
                      <w:r>
                        <w:rPr>
                          <w:rFonts w:eastAsia="Calibri"/>
                          <w:szCs w:val="24"/>
                        </w:rPr>
                        <w:t>atitinkamos amžiaus grupės prisirašiusių gyventojų (išskyrus gyventojus, prisirašiusius prie ASPĮ, teikiančių tik pirminės ambulatorinės odontologinės asmens sveikatos priežiūros paslaugas ir (ar) pirminės ambulatorinės psichikos sveikatos priežiūros paslaugas) skaičius,</w:t>
                      </w:r>
                    </w:p>
                    <w:p>
                      <w:pPr>
                        <w:ind w:firstLine="680"/>
                        <w:jc w:val="both"/>
                        <w:rPr>
                          <w:rFonts w:eastAsia="Calibri"/>
                          <w:szCs w:val="24"/>
                        </w:rPr>
                      </w:pPr>
                      <w:r>
                        <w:rPr>
                          <w:rFonts w:eastAsia="Calibri"/>
                          <w:i/>
                          <w:szCs w:val="24"/>
                        </w:rPr>
                        <w:t>T</w:t>
                      </w:r>
                      <w:r>
                        <w:rPr>
                          <w:rFonts w:eastAsia="Calibri"/>
                          <w:szCs w:val="24"/>
                        </w:rPr>
                        <w:t xml:space="preserve"> – lėšų suma, skirta padengti ASPĮ veiklos sąnaudoms, susijusioms su PAASP paslaugų teikimo metu atliekamais tyrimais,  </w:t>
                      </w:r>
                    </w:p>
                    <w:p>
                      <w:pPr>
                        <w:ind w:firstLine="680"/>
                        <w:jc w:val="both"/>
                        <w:rPr>
                          <w:rFonts w:eastAsia="Calibri"/>
                          <w:szCs w:val="24"/>
                        </w:rPr>
                      </w:pPr>
                      <w:r>
                        <w:rPr>
                          <w:rFonts w:eastAsia="Calibri"/>
                          <w:i/>
                          <w:szCs w:val="24"/>
                        </w:rPr>
                        <w:t>P</w:t>
                      </w:r>
                      <w:r>
                        <w:rPr>
                          <w:rFonts w:eastAsia="Calibri"/>
                          <w:szCs w:val="24"/>
                        </w:rPr>
                        <w:t xml:space="preserve"> – lėšų suma, skirta padengti ASPĮ veiklos sąnaudoms, susijusioms su pacientų gydymu dėl dviejų (ir daugiau) lėtinių ligų</w:t>
                      </w:r>
                      <w:r>
                        <w:rPr>
                          <w:szCs w:val="24"/>
                        </w:rPr>
                        <w:t xml:space="preserve"> vienu metu, kurioms gydyti būtini dideli žmogiškieji ir materialiniai ištekliai</w:t>
                      </w:r>
                      <w:r>
                        <w:rPr>
                          <w:rFonts w:eastAsia="Calibri"/>
                          <w:szCs w:val="24"/>
                        </w:rPr>
                        <w:t xml:space="preserve"> (poliligotumu),</w:t>
                      </w:r>
                    </w:p>
                    <w:p>
                      <w:pPr>
                        <w:ind w:firstLine="680"/>
                        <w:jc w:val="both"/>
                        <w:rPr>
                          <w:rFonts w:eastAsia="Calibri"/>
                          <w:szCs w:val="24"/>
                        </w:rPr>
                      </w:pPr>
                      <w:r>
                        <w:rPr>
                          <w:rFonts w:eastAsia="Calibri"/>
                          <w:i/>
                          <w:szCs w:val="24"/>
                        </w:rPr>
                        <w:t>A</w:t>
                      </w:r>
                      <w:r>
                        <w:rPr>
                          <w:rFonts w:eastAsia="Calibri"/>
                          <w:szCs w:val="24"/>
                        </w:rPr>
                        <w:t xml:space="preserve"> – lėšų suma, skirta padengti kitoms ASPĮ veiklos sąnaudoms, susijusioms su PAASP paslaugų (išskyrus </w:t>
                      </w:r>
                      <w:r>
                        <w:rPr>
                          <w:szCs w:val="24"/>
                        </w:rPr>
                        <w:t xml:space="preserve">pirminės ambulatorinės </w:t>
                      </w:r>
                      <w:r>
                        <w:rPr>
                          <w:rFonts w:eastAsia="Calibri"/>
                          <w:szCs w:val="24"/>
                        </w:rPr>
                        <w:t xml:space="preserve">psichikos sveikatos priežiūros ir </w:t>
                      </w:r>
                      <w:r>
                        <w:rPr>
                          <w:szCs w:val="24"/>
                        </w:rPr>
                        <w:t>pirminės ambulatorinės</w:t>
                      </w:r>
                      <w:r>
                        <w:rPr>
                          <w:rFonts w:eastAsia="Calibri"/>
                          <w:szCs w:val="24"/>
                        </w:rPr>
                        <w:t xml:space="preserve"> odontologinės asmens sveikatos priežiūros paslaugas) teikimu,</w:t>
                      </w:r>
                    </w:p>
                    <w:p>
                      <w:pPr>
                        <w:ind w:firstLine="742"/>
                        <w:jc w:val="both"/>
                        <w:rPr>
                          <w:rFonts w:eastAsia="Calibri"/>
                          <w:szCs w:val="24"/>
                          <w:lang w:val="en-US"/>
                        </w:rPr>
                      </w:pPr>
                      <m:oMath>
                        <m:sSub>
                          <m:sSubPr>
                            <m:ctrlPr>
                              <w:rPr>
                                <w:rFonts w:ascii="Cambria Math" w:eastAsia="Calibri" w:hAnsi="Cambria Math"/>
                                <w:i/>
                                <w:lang w:val="en-US"/>
                              </w:rPr>
                            </m:ctrlPr>
                          </m:sSubPr>
                          <m:e>
                            <m:r>
                              <w:rPr>
                                <w:rFonts w:ascii="Cambria Math" w:eastAsia="Calibri" w:hAnsi="Cambria Math"/>
                                <w:lang w:val="en-US"/>
                              </w:rPr>
                              <m:t>KT</m:t>
                            </m:r>
                          </m:e>
                          <m:sub>
                            <m:r>
                              <w:rPr>
                                <w:rFonts w:ascii="Cambria Math" w:eastAsia="Calibri" w:hAnsi="Cambria Math"/>
                                <w:lang w:val="en-US"/>
                              </w:rPr>
                              <m:t>AG</m:t>
                            </m:r>
                          </m:sub>
                        </m:sSub>
                      </m:oMath>
                      <w:r>
                        <w:rPr>
                          <w:rFonts w:eastAsia="Calibri"/>
                          <w:i/>
                          <w:szCs w:val="24"/>
                          <w:lang w:val="en-US"/>
                        </w:rPr>
                        <w:t xml:space="preserve">– </w:t>
                      </w:r>
                      <w:r>
                        <w:rPr>
                          <w:rFonts w:eastAsia="Calibri"/>
                          <w:szCs w:val="24"/>
                          <w:lang w:val="en-US"/>
                        </w:rPr>
                        <w:t>atitinkamos amžiaus grupės gyventojams atliekamų tyrimų koeficientas,</w:t>
                      </w:r>
                    </w:p>
                    <w:p>
                      <w:pPr>
                        <w:ind w:firstLine="742"/>
                        <w:jc w:val="both"/>
                        <w:rPr>
                          <w:rFonts w:eastAsia="Calibri"/>
                          <w:szCs w:val="24"/>
                          <w:lang w:val="en-US"/>
                        </w:rPr>
                      </w:pPr>
                      <m:oMath>
                        <m:sSub>
                          <m:sSubPr>
                            <m:ctrlPr>
                              <w:rPr>
                                <w:rFonts w:ascii="Cambria Math" w:eastAsia="Calibri" w:hAnsi="Cambria Math"/>
                                <w:i/>
                                <w:lang w:val="en-US"/>
                              </w:rPr>
                            </m:ctrlPr>
                          </m:sSubPr>
                          <m:e>
                            <m:r>
                              <w:rPr>
                                <w:rFonts w:ascii="Cambria Math" w:eastAsia="Calibri" w:hAnsi="Cambria Math"/>
                                <w:lang w:val="en-US"/>
                              </w:rPr>
                              <m:t>KP</m:t>
                            </m:r>
                          </m:e>
                          <m:sub>
                            <m:r>
                              <w:rPr>
                                <w:rFonts w:ascii="Cambria Math" w:eastAsia="Calibri" w:hAnsi="Cambria Math"/>
                                <w:lang w:val="en-US"/>
                              </w:rPr>
                              <m:t>AG</m:t>
                            </m:r>
                          </m:sub>
                        </m:sSub>
                      </m:oMath>
                      <w:r>
                        <w:rPr>
                          <w:rFonts w:eastAsia="Calibri"/>
                          <w:i/>
                          <w:szCs w:val="24"/>
                          <w:lang w:val="en-US"/>
                        </w:rPr>
                        <w:t>–</w:t>
                      </w:r>
                      <w:r>
                        <w:rPr>
                          <w:rFonts w:eastAsia="Calibri"/>
                          <w:szCs w:val="24"/>
                          <w:lang w:val="en-US"/>
                        </w:rPr>
                        <w:t xml:space="preserve"> atitinkamos amžiaus grupės gyventojų</w:t>
                      </w:r>
                      <w:r>
                        <w:rPr>
                          <w:rFonts w:eastAsia="Calibri"/>
                          <w:i/>
                          <w:szCs w:val="24"/>
                          <w:lang w:val="en-US"/>
                        </w:rPr>
                        <w:t xml:space="preserve"> </w:t>
                      </w:r>
                      <w:r>
                        <w:rPr>
                          <w:rFonts w:eastAsia="Calibri"/>
                          <w:szCs w:val="24"/>
                          <w:lang w:val="en-US"/>
                        </w:rPr>
                        <w:t>poliligotumo koeficientas,</w:t>
                      </w:r>
                    </w:p>
                    <w:p>
                      <w:pPr>
                        <w:ind w:firstLine="742"/>
                        <w:jc w:val="both"/>
                        <w:rPr>
                          <w:rFonts w:eastAsia="Calibri"/>
                          <w:szCs w:val="24"/>
                          <w:lang w:val="en-US"/>
                        </w:rPr>
                      </w:pPr>
                      <m:oMath>
                        <m:sSub>
                          <m:sSubPr>
                            <m:ctrlPr>
                              <w:rPr>
                                <w:rFonts w:ascii="Cambria Math" w:eastAsia="Calibri" w:hAnsi="Cambria Math"/>
                                <w:i/>
                                <w:lang w:val="en-US"/>
                              </w:rPr>
                            </m:ctrlPr>
                          </m:sSubPr>
                          <m:e>
                            <m:r>
                              <w:rPr>
                                <w:rFonts w:ascii="Cambria Math" w:eastAsia="Calibri" w:hAnsi="Cambria Math"/>
                                <w:lang w:val="en-US"/>
                              </w:rPr>
                              <m:t>KAPS</m:t>
                            </m:r>
                          </m:e>
                          <m:sub>
                            <m:r>
                              <w:rPr>
                                <w:rFonts w:ascii="Cambria Math" w:eastAsia="Calibri" w:hAnsi="Cambria Math"/>
                                <w:lang w:val="en-US"/>
                              </w:rPr>
                              <m:t>AG</m:t>
                            </m:r>
                          </m:sub>
                        </m:sSub>
                      </m:oMath>
                      <w:r>
                        <w:rPr>
                          <w:rFonts w:eastAsia="Calibri"/>
                          <w:i/>
                          <w:szCs w:val="24"/>
                          <w:lang w:val="en-US"/>
                        </w:rPr>
                        <w:t>–</w:t>
                      </w:r>
                      <w:r>
                        <w:rPr>
                          <w:rFonts w:eastAsia="Calibri"/>
                          <w:szCs w:val="24"/>
                          <w:lang w:val="en-US"/>
                        </w:rPr>
                        <w:t xml:space="preserve"> atitinkamos amžiaus grupės gyventojų apsilankymų </w:t>
                      </w:r>
                      <w:r>
                        <w:rPr>
                          <w:szCs w:val="24"/>
                        </w:rPr>
                        <w:t xml:space="preserve">PAASP paslaugas teikiančiose ASPĮ </w:t>
                      </w:r>
                      <w:r>
                        <w:rPr>
                          <w:rFonts w:eastAsia="Calibri"/>
                          <w:szCs w:val="24"/>
                          <w:lang w:val="en-US"/>
                        </w:rPr>
                        <w:t>koeficientas,</w:t>
                      </w:r>
                    </w:p>
                    <w:p>
                      <w:pPr>
                        <w:ind w:firstLine="680"/>
                        <w:jc w:val="both"/>
                        <w:rPr>
                          <w:szCs w:val="24"/>
                          <w:lang w:eastAsia="lt-LT"/>
                        </w:rPr>
                      </w:pPr>
                      <w:r>
                        <w:rPr>
                          <w:rFonts w:eastAsia="Calibri"/>
                          <w:i/>
                          <w:szCs w:val="24"/>
                          <w:lang w:val="en-US"/>
                        </w:rPr>
                        <w:t xml:space="preserve">AG – </w:t>
                      </w:r>
                      <w:r>
                        <w:rPr>
                          <w:rFonts w:eastAsia="Calibri"/>
                          <w:szCs w:val="24"/>
                          <w:lang w:val="en-US"/>
                        </w:rPr>
                        <w:t>gyventojų amžiaus grupė.</w:t>
                      </w:r>
                      <w:r>
                        <w:t xml:space="preserve"> </w:t>
                      </w:r>
                    </w:p>
                  </w:sdtContent>
                </w:sdt>
                <w:sdt>
                  <w:sdtPr>
                    <w:alias w:val="7.3 pp."/>
                    <w:tag w:val="part_34d1b63a548647fcbd4e660e0171e517"/>
                    <w:lock w:val="sdtLocked"/>
                    <w:richText/>
                  </w:sdtPr>
                  <w:sdtContent>
                    <w:p>
                      <w:pPr>
                        <w:tabs>
                          <w:tab w:val="left" w:pos="426"/>
                          <w:tab w:val="left" w:pos="851"/>
                          <w:tab w:val="left" w:pos="1134"/>
                        </w:tabs>
                        <w:ind w:firstLine="736"/>
                        <w:jc w:val="both"/>
                        <w:rPr>
                          <w:color w:val="000000"/>
                          <w:szCs w:val="24"/>
                        </w:rPr>
                      </w:pPr>
                      <w:sdt>
                        <w:sdtPr>
                          <w:alias w:val="Numeris"/>
                          <w:tag w:val="nr_34d1b63a548647fcbd4e660e0171e517"/>
                          <w:lock w:val="sdtLocked"/>
                          <w:richText/>
                        </w:sdtPr>
                        <w:sdtContent>
                          <w:r>
                            <w:rPr>
                              <w:szCs w:val="24"/>
                            </w:rPr>
                            <w:t>7.3</w:t>
                          </w:r>
                        </w:sdtContent>
                      </w:sdt>
                      <w:r>
                        <w:rPr>
                          <w:szCs w:val="24"/>
                        </w:rPr>
                        <w:t>. Jei keičiamas arba nustatomas naujas m</w:t>
                      </w:r>
                      <w:r>
                        <w:rPr>
                          <w:color w:val="000000"/>
                          <w:szCs w:val="24"/>
                        </w:rPr>
                        <w:t xml:space="preserve">aksimalus pirminės </w:t>
                      </w:r>
                      <w:r>
                        <w:rPr>
                          <w:szCs w:val="24"/>
                        </w:rPr>
                        <w:t xml:space="preserve">ambulatorinės </w:t>
                      </w:r>
                      <w:r>
                        <w:rPr>
                          <w:color w:val="000000"/>
                          <w:szCs w:val="24"/>
                        </w:rPr>
                        <w:t xml:space="preserve">odontologinės asmens sveikatos priežiūros </w:t>
                      </w:r>
                      <w:r>
                        <w:rPr>
                          <w:szCs w:val="24"/>
                        </w:rPr>
                        <w:t xml:space="preserve">ir </w:t>
                      </w:r>
                      <w:r>
                        <w:rPr>
                          <w:color w:val="000000"/>
                          <w:szCs w:val="24"/>
                        </w:rPr>
                        <w:t xml:space="preserve">pirminės </w:t>
                      </w:r>
                      <w:r>
                        <w:rPr>
                          <w:szCs w:val="24"/>
                        </w:rPr>
                        <w:t xml:space="preserve">ambulatorinės </w:t>
                      </w:r>
                      <w:r>
                        <w:rPr>
                          <w:color w:val="000000"/>
                          <w:szCs w:val="24"/>
                        </w:rPr>
                        <w:t xml:space="preserve">psichikos sveikatos priežiūros paslaugas </w:t>
                      </w:r>
                      <w:r>
                        <w:rPr>
                          <w:szCs w:val="24"/>
                        </w:rPr>
                        <w:t xml:space="preserve">teikiančių </w:t>
                      </w:r>
                      <w:r>
                        <w:rPr>
                          <w:color w:val="000000"/>
                          <w:szCs w:val="24"/>
                        </w:rPr>
                        <w:t>sveikatos priežiūros bei kitų specialistų aptarnaujamų prisirašiusių gyventojų skaičiaus normatyvas, šių paslaugų metinės bazinės kainos pokytis apskaičiuojamas taip:</w:t>
                      </w:r>
                    </w:p>
                    <w:p>
                      <w:pPr>
                        <w:tabs>
                          <w:tab w:val="left" w:pos="426"/>
                          <w:tab w:val="left" w:pos="851"/>
                          <w:tab w:val="left" w:pos="1134"/>
                        </w:tabs>
                        <w:ind w:firstLine="426"/>
                        <w:jc w:val="both"/>
                        <w:rPr>
                          <w:color w:val="000000"/>
                          <w:szCs w:val="24"/>
                        </w:rPr>
                      </w:pPr>
                    </w:p>
                    <w:p>
                      <w:pPr>
                        <w:rPr>
                          <w:szCs w:val="24"/>
                        </w:rPr>
                      </w:pPr>
                      <m:oMathPara>
                        <m:oMathParaPr>
                          <m:jc m:val="center"/>
                        </m:oMathParaPr>
                        <m:oMath>
                          <m:r>
                            <m:rPr>
                              <m:sty m:val="p"/>
                            </m:rPr>
                            <w:rPr>
                              <w:rFonts w:ascii="Cambria Math" w:hAnsi="Cambria Math"/>
                            </w:rPr>
                            <m:t>∆</m:t>
                          </m:r>
                          <m:sSub>
                            <m:sSubPr>
                              <m:ctrlPr>
                                <w:rPr>
                                  <w:rFonts w:ascii="Cambria Math" w:hAnsi="Cambria Math"/>
                                </w:rPr>
                              </m:ctrlPr>
                            </m:sSubPr>
                            <m:e>
                              <m:r>
                                <w:rPr>
                                  <w:rFonts w:ascii="Cambria Math" w:hAnsi="Cambria Math"/>
                                </w:rPr>
                                <m:t>B</m:t>
                              </m:r>
                            </m:e>
                            <m:sub>
                              <m:r>
                                <w:rPr>
                                  <w:rFonts w:ascii="Cambria Math" w:hAnsi="Cambria Math"/>
                                </w:rPr>
                                <m:t>p</m:t>
                              </m:r>
                            </m:sub>
                          </m:sSub>
                          <m:r>
                            <w:rPr>
                              <w:rFonts w:ascii="Cambria Math" w:hAnsi="Cambria Math"/>
                              <w:lang w:val="en-US"/>
                            </w:rPr>
                            <m:t>=</m:t>
                          </m:r>
                          <m:f>
                            <m:fPr>
                              <m:ctrlPr>
                                <w:rPr>
                                  <w:rFonts w:ascii="Cambria Math" w:hAnsi="Cambria Math"/>
                                  <w:lang w:val="en-US"/>
                                </w:rPr>
                              </m:ctrlPr>
                            </m:fPr>
                            <m:num>
                              <m:nary>
                                <m:naryPr>
                                  <m:chr m:val="∑"/>
                                  <m:limLoc m:val="undOvr"/>
                                  <m:supHide m:val="1"/>
                                  <m:ctrlPr>
                                    <w:rPr>
                                      <w:rFonts w:ascii="Cambria Math" w:hAnsi="Cambria Math"/>
                                      <w:i/>
                                      <w:lang w:val="en-US"/>
                                    </w:rPr>
                                  </m:ctrlPr>
                                </m:naryPr>
                                <m:sub>
                                  <m:r>
                                    <w:rPr>
                                      <w:rFonts w:ascii="Cambria Math" w:hAnsi="Cambria Math"/>
                                      <w:lang w:val="en-US"/>
                                    </w:rPr>
                                    <m:t>k</m:t>
                                  </m:r>
                                </m:sub>
                                <m:sup/>
                                <m:e>
                                  <m:r>
                                    <w:rPr>
                                      <w:rFonts w:ascii="Cambria Math" w:hAnsi="Cambria Math"/>
                                      <w:lang w:val="en-US"/>
                                    </w:rPr>
                                    <m:t>VID</m:t>
                                  </m:r>
                                  <m:sSub>
                                    <m:sSubPr>
                                      <m:ctrlPr>
                                        <w:rPr>
                                          <w:rFonts w:ascii="Cambria Math" w:hAnsi="Cambria Math"/>
                                          <w:lang w:val="en-US"/>
                                        </w:rPr>
                                      </m:ctrlPr>
                                    </m:sSubPr>
                                    <m:e>
                                      <m:r>
                                        <w:rPr>
                                          <w:rFonts w:ascii="Cambria Math" w:hAnsi="Cambria Math"/>
                                          <w:lang w:val="en-US"/>
                                        </w:rPr>
                                        <m:t>DUF</m:t>
                                      </m:r>
                                    </m:e>
                                    <m:sub>
                                      <m:r>
                                        <w:rPr>
                                          <w:rFonts w:ascii="Cambria Math" w:hAnsi="Cambria Math"/>
                                          <w:lang w:val="en-US"/>
                                        </w:rPr>
                                        <m:t>k</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ET</m:t>
                                      </m:r>
                                    </m:e>
                                    <m:sub>
                                      <m:r>
                                        <w:rPr>
                                          <w:rFonts w:ascii="Cambria Math" w:hAnsi="Cambria Math"/>
                                          <w:lang w:val="en-US"/>
                                        </w:rPr>
                                        <m:t>k</m:t>
                                      </m:r>
                                    </m:sub>
                                  </m:sSub>
                                  <m:r>
                                    <w:rPr>
                                      <w:rFonts w:ascii="Cambria Math" w:hAnsi="Cambria Math"/>
                                      <w:lang w:val="en-US"/>
                                    </w:rPr>
                                    <m:t>×</m:t>
                                  </m:r>
                                  <m:r>
                                    <w:rPr>
                                      <w:rFonts w:ascii="Cambria Math" w:hAnsi="Cambria Math"/>
                                      <w:lang w:val="en-US"/>
                                    </w:rPr>
                                    <m:t>q</m:t>
                                  </m:r>
                                </m:e>
                              </m:nary>
                            </m:num>
                            <m:den>
                              <m:r>
                                <w:rPr>
                                  <w:rFonts w:ascii="Cambria Math" w:hAnsi="Cambria Math"/>
                                  <w:lang w:val="en-US"/>
                                </w:rPr>
                                <m:t>PR</m:t>
                              </m:r>
                            </m:den>
                          </m:f>
                          <m:r>
                            <w:rPr>
                              <w:rFonts w:ascii="Cambria Math" w:hAnsi="Cambria Math"/>
                              <w:lang w:val="en-US"/>
                            </w:rPr>
                            <m:t>,</m:t>
                          </m:r>
                        </m:oMath>
                      </m:oMathPara>
                    </w:p>
                    <w:p>
                      <w:pPr>
                        <w:tabs>
                          <w:tab w:val="left" w:pos="1134"/>
                        </w:tabs>
                        <w:jc w:val="both"/>
                        <w:rPr>
                          <w:color w:val="000000"/>
                          <w:szCs w:val="24"/>
                        </w:rPr>
                      </w:pPr>
                    </w:p>
                    <w:p>
                      <w:pPr>
                        <w:ind w:left="720" w:firstLine="414"/>
                        <w:jc w:val="both"/>
                        <w:rPr>
                          <w:szCs w:val="24"/>
                        </w:rPr>
                      </w:pPr>
                      <w:r>
                        <w:rPr>
                          <w:szCs w:val="24"/>
                        </w:rPr>
                        <w:t>kai:</w:t>
                      </w:r>
                    </w:p>
                    <w:p>
                      <w:pPr>
                        <w:tabs>
                          <w:tab w:val="left" w:pos="1134"/>
                        </w:tabs>
                        <w:ind w:firstLine="1196"/>
                        <w:jc w:val="both"/>
                        <w:rPr>
                          <w:szCs w:val="24"/>
                        </w:rPr>
                      </w:pPr>
                      <m:oMath>
                        <m:r>
                          <m:rPr>
                            <m:sty m:val="p"/>
                          </m:rPr>
                          <w:rPr>
                            <w:rFonts w:ascii="Cambria Math" w:hAnsi="Cambria Math"/>
                          </w:rPr>
                          <m:t>∆</m:t>
                        </m:r>
                        <m:sSub>
                          <m:sSubPr>
                            <m:ctrlPr>
                              <w:rPr>
                                <w:rFonts w:ascii="Cambria Math" w:hAnsi="Cambria Math"/>
                              </w:rPr>
                            </m:ctrlPr>
                          </m:sSubPr>
                          <m:e>
                            <m:r>
                              <w:rPr>
                                <w:rFonts w:ascii="Cambria Math" w:hAnsi="Cambria Math"/>
                              </w:rPr>
                              <m:t>B</m:t>
                            </m:r>
                          </m:e>
                          <m:sub>
                            <m:r>
                              <w:rPr>
                                <w:rFonts w:ascii="Cambria Math" w:hAnsi="Cambria Math"/>
                              </w:rPr>
                              <m:t>p</m:t>
                            </m:r>
                          </m:sub>
                        </m:sSub>
                      </m:oMath>
                      <w:r>
                        <w:rPr>
                          <w:szCs w:val="24"/>
                        </w:rPr>
                        <w:t>– pirminės ambulatorinės odontologinės asmens sveikatos priežiūros paslaugų arba pirminės ambulatorinės psichikos sveikatos priežiūros paslaugų metinės bazinės kainos pokytis,</w:t>
                      </w:r>
                    </w:p>
                    <w:p>
                      <w:pPr>
                        <w:tabs>
                          <w:tab w:val="left" w:pos="1134"/>
                        </w:tabs>
                        <w:ind w:firstLine="1196"/>
                        <w:jc w:val="both"/>
                        <w:rPr>
                          <w:iCs/>
                          <w:szCs w:val="24"/>
                        </w:rPr>
                      </w:pPr>
                      <m:oMath>
                        <m:r>
                          <w:rPr>
                            <w:rFonts w:ascii="Cambria Math" w:hAnsi="Cambria Math"/>
                          </w:rPr>
                          <m:t>VID</m:t>
                        </m:r>
                        <m:sSub>
                          <m:sSubPr>
                            <m:ctrlPr>
                              <w:rPr>
                                <w:rFonts w:ascii="Cambria Math" w:hAnsi="Cambria Math"/>
                                <w:lang w:val="en-US"/>
                              </w:rPr>
                            </m:ctrlPr>
                          </m:sSubPr>
                          <m:e>
                            <m:r>
                              <w:rPr>
                                <w:rFonts w:ascii="Cambria Math" w:hAnsi="Cambria Math"/>
                              </w:rPr>
                              <m:t>DUF</m:t>
                            </m:r>
                          </m:e>
                          <m:sub>
                            <m:r>
                              <w:rPr>
                                <w:rFonts w:ascii="Cambria Math" w:hAnsi="Cambria Math"/>
                              </w:rPr>
                              <m:t>k</m:t>
                            </m:r>
                          </m:sub>
                        </m:sSub>
                        <m:r>
                          <m:rPr>
                            <m:sty m:val="p"/>
                          </m:rPr>
                          <w:rPr>
                            <w:rFonts w:ascii="Cambria Math" w:hAnsi="Cambria Math"/>
                          </w:rPr>
                          <m:t>–</m:t>
                        </m:r>
                      </m:oMath>
                      <w:r>
                        <w:rPr>
                          <w:iCs/>
                          <w:szCs w:val="24"/>
                        </w:rPr>
                        <w:t xml:space="preserve">vidutinis šalies ataskaitinio laikotarpio atitinkamos kategorijos </w:t>
                      </w:r>
                      <w:r>
                        <w:rPr>
                          <w:color w:val="000000"/>
                          <w:szCs w:val="24"/>
                        </w:rPr>
                        <w:t xml:space="preserve">pirminės </w:t>
                      </w:r>
                      <w:r>
                        <w:rPr>
                          <w:szCs w:val="24"/>
                        </w:rPr>
                        <w:t xml:space="preserve">ambulatorinės </w:t>
                      </w:r>
                      <w:r>
                        <w:rPr>
                          <w:color w:val="000000"/>
                          <w:szCs w:val="24"/>
                        </w:rPr>
                        <w:t xml:space="preserve">odontologinės asmens sveikatos priežiūros arba pirminės </w:t>
                      </w:r>
                      <w:r>
                        <w:rPr>
                          <w:szCs w:val="24"/>
                        </w:rPr>
                        <w:t xml:space="preserve">ambulatorinės </w:t>
                      </w:r>
                      <w:r>
                        <w:rPr>
                          <w:color w:val="000000"/>
                          <w:szCs w:val="24"/>
                        </w:rPr>
                        <w:t xml:space="preserve">psichikos sveikatos priežiūros paslaugas </w:t>
                      </w:r>
                      <w:r>
                        <w:rPr>
                          <w:szCs w:val="24"/>
                        </w:rPr>
                        <w:t xml:space="preserve">teikiančio </w:t>
                      </w:r>
                      <w:r>
                        <w:rPr>
                          <w:iCs/>
                          <w:szCs w:val="24"/>
                        </w:rPr>
                        <w:t>specialisto, arba kito specialisto metinis darbo užmokesčio fondas,</w:t>
                      </w:r>
                    </w:p>
                    <w:p>
                      <w:pPr>
                        <w:tabs>
                          <w:tab w:val="left" w:pos="1134"/>
                        </w:tabs>
                        <w:ind w:firstLine="1196"/>
                        <w:jc w:val="both"/>
                        <w:rPr>
                          <w:szCs w:val="24"/>
                        </w:rPr>
                      </w:pPr>
                      <m:oMath>
                        <m:sSub>
                          <m:sSubPr>
                            <m:ctrlPr>
                              <w:rPr>
                                <w:rFonts w:ascii="Cambria Math" w:hAnsi="Cambria Math"/>
                                <w:lang w:val="en-US"/>
                              </w:rPr>
                            </m:ctrlPr>
                          </m:sSubPr>
                          <m:e>
                            <m:r>
                              <w:rPr>
                                <w:rFonts w:ascii="Cambria Math" w:hAnsi="Cambria Math"/>
                              </w:rPr>
                              <m:t>ET</m:t>
                            </m:r>
                          </m:e>
                          <m:sub>
                            <m:r>
                              <w:rPr>
                                <w:rFonts w:ascii="Cambria Math" w:hAnsi="Cambria Math"/>
                              </w:rPr>
                              <m:t>k</m:t>
                            </m:r>
                          </m:sub>
                        </m:sSub>
                        <m:r>
                          <w:rPr>
                            <w:rFonts w:ascii="Cambria Math" w:hAnsi="Cambria Math"/>
                          </w:rPr>
                          <m:t xml:space="preserve"> –</m:t>
                        </m:r>
                      </m:oMath>
                      <w:r>
                        <w:rPr>
                          <w:szCs w:val="24"/>
                        </w:rPr>
                        <w:t xml:space="preserve">reikiamų atitinkamos kategorijos </w:t>
                      </w:r>
                      <w:r>
                        <w:rPr>
                          <w:color w:val="000000"/>
                          <w:szCs w:val="24"/>
                        </w:rPr>
                        <w:t xml:space="preserve">pirminės </w:t>
                      </w:r>
                      <w:r>
                        <w:rPr>
                          <w:szCs w:val="24"/>
                        </w:rPr>
                        <w:t xml:space="preserve">ambulatorinės </w:t>
                      </w:r>
                      <w:r>
                        <w:rPr>
                          <w:color w:val="000000"/>
                          <w:szCs w:val="24"/>
                        </w:rPr>
                        <w:t>odontologinės asmens sveikatos priežiūros arba</w:t>
                      </w:r>
                      <w:r>
                        <w:rPr>
                          <w:szCs w:val="24"/>
                        </w:rPr>
                        <w:t xml:space="preserve"> </w:t>
                      </w:r>
                      <w:r>
                        <w:rPr>
                          <w:color w:val="000000"/>
                          <w:szCs w:val="24"/>
                        </w:rPr>
                        <w:t xml:space="preserve">pirminės </w:t>
                      </w:r>
                      <w:r>
                        <w:rPr>
                          <w:szCs w:val="24"/>
                        </w:rPr>
                        <w:t xml:space="preserve">ambulatorinės </w:t>
                      </w:r>
                      <w:r>
                        <w:rPr>
                          <w:color w:val="000000"/>
                          <w:szCs w:val="24"/>
                        </w:rPr>
                        <w:t xml:space="preserve">psichikos sveikatos priežiūros paslaugas </w:t>
                      </w:r>
                      <w:r>
                        <w:rPr>
                          <w:szCs w:val="24"/>
                        </w:rPr>
                        <w:t>teikiančio specialisto, arba kito specialisto etatų skaičius,</w:t>
                      </w:r>
                    </w:p>
                    <w:p>
                      <w:pPr>
                        <w:tabs>
                          <w:tab w:val="left" w:pos="1134"/>
                        </w:tabs>
                        <w:ind w:firstLine="1196"/>
                        <w:jc w:val="both"/>
                        <w:rPr>
                          <w:szCs w:val="24"/>
                        </w:rPr>
                      </w:pPr>
                      <m:oMath>
                        <m:r>
                          <w:rPr>
                            <w:rFonts w:ascii="Cambria Math" w:hAnsi="Cambria Math"/>
                            <w:lang w:val="en-US"/>
                          </w:rPr>
                          <m:t>q</m:t>
                        </m:r>
                      </m:oMath>
                      <w:r>
                        <w:rPr>
                          <w:szCs w:val="24"/>
                        </w:rPr>
                        <w:t>–</w:t>
                      </w:r>
                      <w:r>
                        <w:rPr>
                          <w:szCs w:val="24"/>
                          <w:lang w:val="en-US"/>
                        </w:rPr>
                        <w:t xml:space="preserve"> bendrųjų ūkio sąnaudų koeficientas, </w:t>
                      </w:r>
                    </w:p>
                    <w:p>
                      <w:pPr>
                        <w:tabs>
                          <w:tab w:val="left" w:pos="1134"/>
                        </w:tabs>
                        <w:ind w:firstLine="1196"/>
                        <w:jc w:val="both"/>
                        <w:rPr>
                          <w:iCs/>
                          <w:szCs w:val="24"/>
                        </w:rPr>
                      </w:pPr>
                      <m:oMath>
                        <m:r>
                          <w:rPr>
                            <w:rFonts w:ascii="Cambria Math" w:hAnsi="Cambria Math"/>
                          </w:rPr>
                          <m:t>PR</m:t>
                        </m:r>
                      </m:oMath>
                      <w:r>
                        <w:rPr>
                          <w:i/>
                          <w:iCs/>
                          <w:szCs w:val="24"/>
                          <w:lang w:val="en-US"/>
                        </w:rPr>
                        <w:t>–</w:t>
                      </w:r>
                      <w:r>
                        <w:rPr>
                          <w:iCs/>
                          <w:szCs w:val="24"/>
                          <w:lang w:val="en-US"/>
                        </w:rPr>
                        <w:t xml:space="preserve"> </w:t>
                      </w:r>
                      <w:r>
                        <w:rPr>
                          <w:iCs/>
                          <w:szCs w:val="24"/>
                        </w:rPr>
                        <w:t>prisirašiusių gyventojų skaičius,</w:t>
                      </w:r>
                    </w:p>
                    <w:p>
                      <w:pPr>
                        <w:tabs>
                          <w:tab w:val="left" w:pos="426"/>
                          <w:tab w:val="left" w:pos="851"/>
                          <w:tab w:val="left" w:pos="1134"/>
                        </w:tabs>
                        <w:ind w:firstLine="1134"/>
                        <w:jc w:val="both"/>
                        <w:rPr>
                          <w:szCs w:val="24"/>
                          <w:lang w:eastAsia="lt-LT"/>
                        </w:rPr>
                      </w:pPr>
                      <w:r>
                        <w:rPr>
                          <w:i/>
                          <w:iCs/>
                          <w:szCs w:val="24"/>
                          <w:lang w:val="en-US"/>
                        </w:rPr>
                        <w:t xml:space="preserve">k – </w:t>
                      </w:r>
                      <w:r>
                        <w:rPr>
                          <w:iCs/>
                          <w:szCs w:val="24"/>
                          <w:lang w:val="en-US"/>
                        </w:rPr>
                        <w:t>specialisto kategorija.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29de70d07d11e8bea9885f77677ec1">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2018-10-15,
paskelbta TAR 2018-10-15, i. k. 2018-16218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7d2af0544911e884cbc4327e55f3ca">
                <w:r w:rsidRPr="00532B9F">
                  <w:rPr>
                    <w:rFonts w:ascii="Times New Roman" w:eastAsia="MS Mincho" w:hAnsi="Times New Roman"/>
                    <w:sz w:val="20"/>
                    <w:i/>
                    <w:iCs/>
                    <w:color w:val="0000FF" w:themeColor="hyperlink"/>
                    <w:u w:val="single"/>
                  </w:rPr>
                  <w:t>V-571</w:t>
                </w:r>
              </w:fldSimple>
              <w:r>
                <w:rPr>
                  <w:rFonts w:ascii="Times New Roman" w:eastAsia="MS Mincho" w:hAnsi="Times New Roman"/>
                  <w:sz w:val="20"/>
                  <w:i/>
                  <w:iCs/>
                </w:rPr>
                <w:t>,
2018-05-10,
paskelbta TAR 2018-05-10, i. k. 2018-07594            </w:t>
              </w:r>
            </w:p>
            <w:p/>
          </w:sdtContent>
        </w:sdt>
        <w:sdt>
          <w:sdtPr>
            <w:alias w:val="skyrius"/>
            <w:tag w:val="part_4a839470046a4bdebbc2755209a2f7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skyrius.</w:t>
              </w:r>
              <w:r>
                <w:rPr>
                  <w:rFonts w:ascii="Times New Roman" w:eastAsia="MS Mincho" w:hAnsi="Times New Roman"/>
                  <w:sz w:val="20"/>
                  <w:i/>
                  <w:iCs/>
                </w:rPr>
                <w:t xml:space="preserve"> Neteko galios nuo 2023-07-01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6ebb00e6d11ee9f7ec2ffce8b47bc">
                <w:r w:rsidRPr="00532B9F">
                  <w:rPr>
                    <w:rFonts w:ascii="Times New Roman" w:eastAsia="MS Mincho" w:hAnsi="Times New Roman"/>
                    <w:sz w:val="20"/>
                    <w:i/>
                    <w:iCs/>
                    <w:color w:val="0000FF" w:themeColor="hyperlink"/>
                    <w:u w:val="single"/>
                  </w:rPr>
                  <w:t>V-702</w:t>
                </w:r>
              </w:fldSimple>
              <w:r>
                <w:rPr>
                  <w:rFonts w:ascii="Times New Roman" w:eastAsia="MS Mincho" w:hAnsi="Times New Roman"/>
                  <w:sz w:val="20"/>
                  <w:i/>
                  <w:iCs/>
                </w:rPr>
                <w:t>,
2023-06-19,
paskelbta TAR 2023-06-19, i. k. 2023-12151        </w:t>
              </w:r>
            </w:p>
            <w:p/>
          </w:sdtContent>
        </w:sdt>
        <w:sdt>
          <w:sdtPr>
            <w:alias w:val="skyrius"/>
            <w:tag w:val="part_cbdfb49a95974a319e63f77c506146a9"/>
            <w:lock w:val="sdtLocked"/>
            <w:richText/>
          </w:sdtPr>
          <w:sdtContent>
            <w:p>
              <w:pPr>
                <w:tabs>
                  <w:tab w:val="left" w:pos="1276"/>
                </w:tabs>
                <w:jc w:val="center"/>
                <w:rPr>
                  <w:rFonts w:eastAsia="Calibri"/>
                  <w:b/>
                  <w:szCs w:val="24"/>
                </w:rPr>
              </w:pPr>
              <w:sdt>
                <w:sdtPr>
                  <w:alias w:val="Numeris"/>
                  <w:tag w:val="nr_cbdfb49a95974a319e63f77c506146a9"/>
                  <w:lock w:val="sdtLocked"/>
                  <w:richText/>
                </w:sdtPr>
                <w:sdtContent>
                  <w:r>
                    <w:rPr>
                      <w:rFonts w:eastAsia="Calibri"/>
                      <w:b/>
                      <w:szCs w:val="24"/>
                    </w:rPr>
                    <w:t>VI</w:t>
                  </w:r>
                </w:sdtContent>
              </w:sdt>
              <w:r>
                <w:rPr>
                  <w:rFonts w:eastAsia="Calibri"/>
                  <w:b/>
                  <w:szCs w:val="24"/>
                </w:rPr>
                <w:t xml:space="preserve"> </w:t>
              </w:r>
              <w:sdt>
                <w:sdtPr>
                  <w:alias w:val="Pavadinimas"/>
                  <w:tag w:val="title_cbdfb49a95974a319e63f77c506146a9"/>
                  <w:lock w:val="sdtLocked"/>
                  <w:richText/>
                </w:sdtPr>
                <w:sdtContent>
                  <w:r>
                    <w:rPr>
                      <w:rFonts w:eastAsia="Calibri"/>
                      <w:b/>
                      <w:szCs w:val="24"/>
                    </w:rPr>
                    <w:t xml:space="preserve">SKYRIUS </w:t>
                    <w:br/>
                    <w:t xml:space="preserve">BAZINĖS AKTYVIOJO GYDYMO ATVEJO KAINOS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sdt>
              <w:sdtPr>
                <w:alias w:val="9 p."/>
                <w:tag w:val="part_e443ddee3f144ff3ad39f298ef1d9677"/>
                <w:lock w:val="sdtLocked"/>
                <w:richText/>
              </w:sdtPr>
              <w:sdtContent>
                <w:p>
                  <w:pPr>
                    <w:tabs>
                      <w:tab w:val="left" w:pos="709"/>
                      <w:tab w:val="left" w:pos="851"/>
                      <w:tab w:val="left" w:pos="1418"/>
                    </w:tabs>
                    <w:ind w:firstLine="567"/>
                    <w:jc w:val="both"/>
                    <w:rPr>
                      <w:szCs w:val="24"/>
                    </w:rPr>
                  </w:pPr>
                  <w:sdt>
                    <w:sdtPr>
                      <w:alias w:val="Numeris"/>
                      <w:tag w:val="nr_e443ddee3f144ff3ad39f298ef1d9677"/>
                      <w:lock w:val="sdtLocked"/>
                      <w:richText/>
                    </w:sdtPr>
                    <w:sdtContent>
                      <w:r>
                        <w:rPr>
                          <w:szCs w:val="24"/>
                        </w:rPr>
                        <w:t>9</w:t>
                      </w:r>
                    </w:sdtContent>
                  </w:sdt>
                  <w:r>
                    <w:rPr>
                      <w:szCs w:val="24"/>
                    </w:rPr>
                    <w:t>. Bazinė aktyviojo gydymo atvejo kaina (balais) apskaičiuojama prognozuojamą metinę PSDF biudžeto išlaidų sumą, skirtą ateinančių finansinių metų aktyviojo gydymo paslaugų išlaidoms apmokėti, dalijant iš svertinio aktyviojo gydymo atvejų ir lovadienių skaičiaus (šio skaičiaus nustatymo tvarka pateikiama Metodikos 1 priede). Svertinis aktyviojo gydymo atvejų ir lovadienių skaičius – tai bendras standartizuotas aktyviojo gydymo atvejų ir lovadienių skaičius, kurio dydis priklauso nuo šių atvejų sudėtingumo.</w:t>
                  </w:r>
                </w:p>
                <w:p>
                  <w:pPr>
                    <w:tabs>
                      <w:tab w:val="left" w:pos="709"/>
                      <w:tab w:val="left" w:pos="851"/>
                      <w:tab w:val="left" w:pos="1418"/>
                    </w:tabs>
                    <w:ind w:firstLine="567"/>
                    <w:jc w:val="both"/>
                    <w:rPr>
                      <w:szCs w:val="24"/>
                    </w:rPr>
                  </w:pPr>
                  <w:r>
                    <w:rPr>
                      <w:szCs w:val="24"/>
                    </w:rPr>
                    <w:t>Prognozuojama metinė PSDF biudžeto išlaidų suma ateinančių finansinių metų aktyviojo gydymo paslaugoms apskaičiuojama iš bendros metinės PSDF biudžeto išlaidų sumos, numatytos aktyviajam gydymui ateinančiais finansiniais metais, atimant prognozuojamas einamųjų metų išlaidas medicinos pagalbos priemonėms, vaistams, procedūroms ir kraujo komponentams, kurie yra įtraukti į Medicinos pagalbos priemonių, vaistų, procedūrų ir kraujo komponentų kainų, turinčių įtakos faktinei aktyviojo gydymo atvejo kainai, sąrašą, patvirtintą Lietuvos Respublikos sveikatos apsaugos ministro 2011 m. gruodžio 23 d. įsakymu Nr. V-1118 „Dėl Giminingų diagnozių grupių sąrašo, Normatyvinės gydymo trukmės ir giminingų diagnozių grupėms priskiriamų kainų koeficientų sąrašo, bazinės aktyviojo gydymo atvejo kainos ir Medicinos pagalbos priemonių, vaistų, procedūrų ir kraujo komponentų kainų, turinčių įtakos faktinei aktyviojo gydymo atvejo kainai, sąrašo tvirtinimo“ (toliau – Sąrašas), taip pat atimant planuojamas išlaidas ateinančiais finansiniais metais numatomoms įtraukti į Sąrašą medicinos pagalbos priemonėms, vaistams, procedūroms ir kraujo komponentams.</w:t>
                  </w:r>
                </w:p>
                <w:sdt>
                  <w:sdtPr>
                    <w:alias w:val="9.1 pp."/>
                    <w:tag w:val="part_db023434fb0647b892aab82711017856"/>
                    <w:lock w:val="sdtLocked"/>
                    <w:richText/>
                  </w:sdtPr>
                  <w:sdtContent>
                    <w:p>
                      <w:pPr>
                        <w:tabs>
                          <w:tab w:val="left" w:pos="851"/>
                          <w:tab w:val="left" w:pos="1418"/>
                        </w:tabs>
                        <w:ind w:firstLine="567"/>
                        <w:jc w:val="both"/>
                        <w:rPr>
                          <w:szCs w:val="24"/>
                        </w:rPr>
                      </w:pPr>
                      <w:sdt>
                        <w:sdtPr>
                          <w:alias w:val="Numeris"/>
                          <w:tag w:val="nr_db023434fb0647b892aab82711017856"/>
                          <w:lock w:val="sdtLocked"/>
                          <w:richText/>
                        </w:sdtPr>
                        <w:sdtContent>
                          <w:r>
                            <w:rPr>
                              <w:szCs w:val="24"/>
                            </w:rPr>
                            <w:t>9.1</w:t>
                          </w:r>
                        </w:sdtContent>
                      </w:sdt>
                      <w:r>
                        <w:rPr>
                          <w:szCs w:val="24"/>
                        </w:rPr>
                        <w:t>. Bazinė aktyviojo gydymo atvejo kaina (balais) apskaičiuojama:</w:t>
                      </w:r>
                    </w:p>
                    <w:p>
                      <w:pPr>
                        <w:tabs>
                          <w:tab w:val="left" w:pos="851"/>
                        </w:tabs>
                        <w:ind w:firstLine="567"/>
                        <w:jc w:val="both"/>
                        <w:rPr>
                          <w:szCs w:val="24"/>
                        </w:rPr>
                      </w:pPr>
                    </w:p>
                    <w:p>
                      <w:pPr>
                        <w:tabs>
                          <w:tab w:val="left" w:pos="851"/>
                        </w:tabs>
                        <w:ind w:firstLine="567"/>
                        <w:jc w:val="center"/>
                        <w:rPr>
                          <w:szCs w:val="24"/>
                        </w:rPr>
                      </w:pPr>
                      <w:r>
                        <w:rPr>
                          <w:position w:val="-24"/>
                          <w:szCs w:val="24"/>
                        </w:rPr>
                        <w:object w:dxaOrig="1419"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1.35pt;height:31.3pt" o:ole="">
                            <v:imagedata r:id="rId85" o:title=""/>
                          </v:shape>
                          <o:OLEObject Type="Embed" ProgID="Equation.3" ShapeID="_x0000_i1025" DrawAspect="Content" ObjectID="_0000000001" r:id="rId86"/>
                        </w:object>
                      </w:r>
                      <w:r>
                        <w:rPr>
                          <w:szCs w:val="24"/>
                        </w:rPr>
                        <w:t>,</w:t>
                      </w:r>
                    </w:p>
                    <w:p>
                      <w:pPr>
                        <w:tabs>
                          <w:tab w:val="left" w:pos="851"/>
                        </w:tabs>
                        <w:ind w:firstLine="567"/>
                        <w:jc w:val="both"/>
                        <w:rPr>
                          <w:szCs w:val="24"/>
                        </w:rPr>
                      </w:pPr>
                      <w:r>
                        <w:rPr>
                          <w:szCs w:val="24"/>
                        </w:rPr>
                        <w:t>kai:</w:t>
                      </w:r>
                    </w:p>
                    <w:p>
                      <w:pPr>
                        <w:tabs>
                          <w:tab w:val="left" w:pos="851"/>
                        </w:tabs>
                        <w:ind w:firstLine="567"/>
                        <w:jc w:val="both"/>
                        <w:rPr>
                          <w:szCs w:val="24"/>
                        </w:rPr>
                      </w:pPr>
                      <w:r>
                        <w:rPr>
                          <w:i/>
                          <w:szCs w:val="24"/>
                        </w:rPr>
                        <w:t>BK</w:t>
                      </w:r>
                      <w:r>
                        <w:rPr>
                          <w:szCs w:val="24"/>
                        </w:rPr>
                        <w:t xml:space="preserve"> – bazinė aktyviojo gydymo atvejo kaina,</w:t>
                      </w:r>
                    </w:p>
                    <w:p>
                      <w:pPr>
                        <w:tabs>
                          <w:tab w:val="left" w:pos="851"/>
                        </w:tabs>
                        <w:ind w:firstLine="567"/>
                        <w:jc w:val="both"/>
                        <w:rPr>
                          <w:szCs w:val="24"/>
                        </w:rPr>
                      </w:pPr>
                      <w:r>
                        <w:rPr>
                          <w:i/>
                          <w:szCs w:val="24"/>
                        </w:rPr>
                        <w:t>P</w:t>
                      </w:r>
                      <w:r>
                        <w:rPr>
                          <w:szCs w:val="24"/>
                        </w:rPr>
                        <w:t xml:space="preserve"> – prognozuojama metinė ateinančių finansinių metų PSDF biudžeto išlaidų suma (balais) aktyviojo gydymo paslaugoms,</w:t>
                      </w:r>
                    </w:p>
                    <w:p>
                      <w:pPr>
                        <w:tabs>
                          <w:tab w:val="left" w:pos="851"/>
                        </w:tabs>
                        <w:ind w:firstLine="567"/>
                        <w:jc w:val="both"/>
                        <w:rPr>
                          <w:szCs w:val="24"/>
                          <w:lang w:eastAsia="lt-LT"/>
                        </w:rPr>
                      </w:pPr>
                      <w:r>
                        <w:rPr>
                          <w:i/>
                          <w:szCs w:val="24"/>
                        </w:rPr>
                        <w:t>SALSK</w:t>
                      </w:r>
                      <w:r>
                        <w:rPr>
                          <w:szCs w:val="24"/>
                        </w:rPr>
                        <w:t xml:space="preserve"> – svertinis aktyviojo gydymo atvejų ir lovadienių skaičius.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de903d8611e89ba7f73323f8faa4">
                    <w:r w:rsidRPr="00532B9F">
                      <w:rPr>
                        <w:rFonts w:ascii="Times New Roman" w:eastAsia="MS Mincho" w:hAnsi="Times New Roman"/>
                        <w:sz w:val="20"/>
                        <w:i/>
                        <w:iCs/>
                        <w:color w:val="0000FF" w:themeColor="hyperlink"/>
                        <w:u w:val="single"/>
                      </w:rPr>
                      <w:t>V-409</w:t>
                    </w:r>
                  </w:fldSimple>
                  <w:r>
                    <w:rPr>
                      <w:rFonts w:ascii="Times New Roman" w:eastAsia="MS Mincho" w:hAnsi="Times New Roman"/>
                      <w:sz w:val="20"/>
                      <w:i/>
                      <w:iCs/>
                    </w:rPr>
                    <w:t>,
2018-04-10,
paskelbta TAR 2018-04-12, i. k. 2018-05888            </w:t>
                  </w:r>
                </w:p>
                <w:p/>
              </w:sdtContent>
            </w:sdt>
            <w:sdt>
              <w:sdtPr>
                <w:alias w:val="10 p."/>
                <w:tag w:val="part_049c6c23541b416a9972214c43f90792"/>
                <w:lock w:val="sdtLocked"/>
                <w:richText/>
              </w:sdtPr>
              <w:sdtContent>
                <w:p>
                  <w:pPr>
                    <w:tabs>
                      <w:tab w:val="left" w:pos="1418"/>
                    </w:tabs>
                    <w:ind w:firstLine="567"/>
                    <w:jc w:val="both"/>
                    <w:rPr>
                      <w:szCs w:val="24"/>
                      <w:lang w:eastAsia="lt-LT"/>
                    </w:rPr>
                  </w:pPr>
                  <w:sdt>
                    <w:sdtPr>
                      <w:alias w:val="Numeris"/>
                      <w:tag w:val="nr_049c6c23541b416a9972214c43f90792"/>
                      <w:lock w:val="sdtLocked"/>
                      <w:richText/>
                    </w:sdtPr>
                    <w:sdtContent>
                      <w:r>
                        <w:rPr>
                          <w:szCs w:val="24"/>
                          <w:lang w:eastAsia="lt-LT"/>
                        </w:rPr>
                        <w:t>10</w:t>
                      </w:r>
                    </w:sdtContent>
                  </w:sdt>
                  <w:r>
                    <w:rPr>
                      <w:szCs w:val="24"/>
                      <w:lang w:eastAsia="lt-LT"/>
                    </w:rPr>
                    <w:t xml:space="preserve">. Bazinę aktyviojo gydymo atvejo kainą dauginant iš aktyviojo gydymo atvejo kainos koeficiento apskaičiuojama faktinė aktyviojo gydymo atvejo kaina: </w:t>
                  </w:r>
                </w:p>
                <w:sdt>
                  <w:sdtPr>
                    <w:alias w:val="10.1 pp."/>
                    <w:tag w:val="part_b4e2bb43712b4084baaa884d60171e36"/>
                    <w:lock w:val="sdtLocked"/>
                    <w:richText/>
                  </w:sdtPr>
                  <w:sdtContent>
                    <w:p>
                      <w:pPr>
                        <w:tabs>
                          <w:tab w:val="left" w:pos="1418"/>
                        </w:tabs>
                        <w:ind w:firstLine="567"/>
                        <w:jc w:val="both"/>
                        <w:rPr>
                          <w:szCs w:val="24"/>
                          <w:lang w:eastAsia="lt-LT"/>
                        </w:rPr>
                      </w:pPr>
                      <w:sdt>
                        <w:sdtPr>
                          <w:alias w:val="Numeris"/>
                          <w:tag w:val="nr_b4e2bb43712b4084baaa884d60171e36"/>
                          <w:lock w:val="sdtLocked"/>
                          <w:richText/>
                        </w:sdtPr>
                        <w:sdtContent>
                          <w:r>
                            <w:rPr>
                              <w:szCs w:val="24"/>
                              <w:lang w:eastAsia="lt-LT"/>
                            </w:rPr>
                            <w:t>10.1</w:t>
                          </w:r>
                        </w:sdtContent>
                      </w:sdt>
                      <w:r>
                        <w:rPr>
                          <w:szCs w:val="24"/>
                          <w:lang w:eastAsia="lt-LT"/>
                        </w:rPr>
                        <w:t>. matematiniu statistiniu logaritminės skalės L3H3 metodu nustatoma kiekvieno atitinkamai giminingų diagnozių grupei priskiriamo aktyviojo gydymo atvejo normatyvinė vidutinė, minimali ir maksimali trukmė (šio dydžio nustatymo tvarka pateikiama Metodikos 2 priede);</w:t>
                      </w:r>
                    </w:p>
                  </w:sdtContent>
                </w:sdt>
                <w:sdt>
                  <w:sdtPr>
                    <w:alias w:val="10.2 pp."/>
                    <w:tag w:val="part_6e64187e5d744a3ba58901951637c1e3"/>
                    <w:lock w:val="sdtLocked"/>
                    <w:richText/>
                  </w:sdtPr>
                  <w:sdtContent>
                    <w:p>
                      <w:pPr>
                        <w:tabs>
                          <w:tab w:val="left" w:pos="1418"/>
                        </w:tabs>
                        <w:ind w:firstLine="567"/>
                        <w:jc w:val="both"/>
                        <w:rPr>
                          <w:szCs w:val="24"/>
                          <w:lang w:eastAsia="lt-LT"/>
                        </w:rPr>
                      </w:pPr>
                      <w:sdt>
                        <w:sdtPr>
                          <w:alias w:val="Numeris"/>
                          <w:tag w:val="nr_6e64187e5d744a3ba58901951637c1e3"/>
                          <w:lock w:val="sdtLocked"/>
                          <w:richText/>
                        </w:sdtPr>
                        <w:sdtContent>
                          <w:r>
                            <w:rPr>
                              <w:szCs w:val="24"/>
                              <w:lang w:eastAsia="lt-LT"/>
                            </w:rPr>
                            <w:t>10.2</w:t>
                          </w:r>
                        </w:sdtContent>
                      </w:sdt>
                      <w:r>
                        <w:rPr>
                          <w:szCs w:val="24"/>
                          <w:lang w:eastAsia="lt-LT"/>
                        </w:rPr>
                        <w:t>. apskaičiuojama aktyviojo gydymo atvejo kainos koeficiento reikšmė, atsižvelgiant į giminingų diagnozių grupę, kuriai priskiriamas aktyviojo gydymo atvejis, ir gydymo trukmę (šio dydžio nustatymo tvarka pateikiama Metodikos 3 priede). Skaičiuojami šie aktyviojo gydymo kainos koeficientai:</w:t>
                      </w:r>
                    </w:p>
                    <w:sdt>
                      <w:sdtPr>
                        <w:alias w:val="10.2.1 pp."/>
                        <w:tag w:val="part_6200259e8b3948a08daf8de3e7d1408e"/>
                        <w:lock w:val="sdtLocked"/>
                        <w:richText/>
                      </w:sdtPr>
                      <w:sdtContent>
                        <w:p>
                          <w:pPr>
                            <w:tabs>
                              <w:tab w:val="left" w:pos="1418"/>
                            </w:tabs>
                            <w:ind w:firstLine="567"/>
                            <w:jc w:val="both"/>
                            <w:rPr>
                              <w:szCs w:val="24"/>
                              <w:lang w:eastAsia="lt-LT"/>
                            </w:rPr>
                          </w:pPr>
                          <w:sdt>
                            <w:sdtPr>
                              <w:alias w:val="Numeris"/>
                              <w:tag w:val="nr_6200259e8b3948a08daf8de3e7d1408e"/>
                              <w:lock w:val="sdtLocked"/>
                              <w:richText/>
                            </w:sdtPr>
                            <w:sdtContent>
                              <w:r>
                                <w:rPr>
                                  <w:szCs w:val="24"/>
                                  <w:lang w:eastAsia="lt-LT"/>
                                </w:rPr>
                                <w:t>10.2.1</w:t>
                              </w:r>
                            </w:sdtContent>
                          </w:sdt>
                          <w:r>
                            <w:rPr>
                              <w:szCs w:val="24"/>
                              <w:lang w:eastAsia="lt-LT"/>
                            </w:rPr>
                            <w:t>. dienos gydymo kainos koeficientas (</w:t>
                          </w:r>
                          <w:r>
                            <w:rPr>
                              <w:i/>
                              <w:szCs w:val="24"/>
                              <w:lang w:eastAsia="lt-LT"/>
                            </w:rPr>
                            <w:t>DK</w:t>
                          </w:r>
                          <w:r>
                            <w:rPr>
                              <w:szCs w:val="24"/>
                              <w:lang w:eastAsia="lt-LT"/>
                            </w:rPr>
                            <w:t>) – šis aktyviojo gydymo atvejo kainos koeficientas taikomas tada, kai atvejui priskiriamas požymis „dienos paslauga“ arba kai pacientas atvyksta į gydymo įstaigą ir išvyksta iš jos tą pačią dieną,</w:t>
                          </w:r>
                        </w:p>
                      </w:sdtContent>
                    </w:sdt>
                    <w:sdt>
                      <w:sdtPr>
                        <w:alias w:val="10.2.2 pp."/>
                        <w:tag w:val="part_d05d39061ef24da29db9045f17bd19b0"/>
                        <w:lock w:val="sdtLocked"/>
                        <w:richText/>
                      </w:sdtPr>
                      <w:sdtContent>
                        <w:p>
                          <w:pPr>
                            <w:ind w:firstLine="567"/>
                            <w:jc w:val="both"/>
                            <w:rPr>
                              <w:szCs w:val="24"/>
                              <w:lang w:eastAsia="lt-LT"/>
                            </w:rPr>
                          </w:pPr>
                          <w:sdt>
                            <w:sdtPr>
                              <w:alias w:val="Numeris"/>
                              <w:tag w:val="nr_d05d39061ef24da29db9045f17bd19b0"/>
                              <w:lock w:val="sdtLocked"/>
                              <w:richText/>
                            </w:sdtPr>
                            <w:sdtContent>
                              <w:r>
                                <w:rPr>
                                  <w:szCs w:val="24"/>
                                  <w:lang w:eastAsia="lt-LT"/>
                                </w:rPr>
                                <w:t>10.2.2</w:t>
                              </w:r>
                            </w:sdtContent>
                          </w:sdt>
                          <w:r>
                            <w:rPr>
                              <w:szCs w:val="24"/>
                              <w:lang w:eastAsia="lt-LT"/>
                            </w:rPr>
                            <w:t>. paros gydymo kainos koeficientas (</w:t>
                          </w:r>
                          <w:r>
                            <w:rPr>
                              <w:i/>
                              <w:szCs w:val="24"/>
                              <w:lang w:eastAsia="lt-LT"/>
                            </w:rPr>
                            <w:t>PK</w:t>
                          </w:r>
                          <w:r>
                            <w:rPr>
                              <w:szCs w:val="24"/>
                              <w:lang w:eastAsia="lt-LT"/>
                            </w:rPr>
                            <w:t>) – šis aktyviojo gydymo atvejo kainos koeficientas taikomas tada, kai pacientas vieną dieną atvyksta į gydymo įstaigą, o kitą dieną (antrąją dieną po atvykimo) iš jos išvyksta,</w:t>
                          </w:r>
                        </w:p>
                      </w:sdtContent>
                    </w:sdt>
                    <w:sdt>
                      <w:sdtPr>
                        <w:alias w:val="10.2.3 pp."/>
                        <w:tag w:val="part_16b7d18fac9147348f5fa658145e5fc4"/>
                        <w:lock w:val="sdtLocked"/>
                        <w:richText/>
                      </w:sdtPr>
                      <w:sdtContent>
                        <w:p>
                          <w:pPr>
                            <w:ind w:firstLine="567"/>
                            <w:jc w:val="both"/>
                            <w:rPr>
                              <w:szCs w:val="24"/>
                              <w:lang w:eastAsia="lt-LT"/>
                            </w:rPr>
                          </w:pPr>
                          <w:sdt>
                            <w:sdtPr>
                              <w:alias w:val="Numeris"/>
                              <w:tag w:val="nr_16b7d18fac9147348f5fa658145e5fc4"/>
                              <w:lock w:val="sdtLocked"/>
                              <w:richText/>
                            </w:sdtPr>
                            <w:sdtContent>
                              <w:r>
                                <w:rPr>
                                  <w:szCs w:val="24"/>
                                  <w:lang w:eastAsia="lt-LT"/>
                                </w:rPr>
                                <w:t>10.2.3</w:t>
                              </w:r>
                            </w:sdtContent>
                          </w:sdt>
                          <w:r>
                            <w:rPr>
                              <w:szCs w:val="24"/>
                              <w:lang w:eastAsia="lt-LT"/>
                            </w:rPr>
                            <w:t>. vidutinės trukmės gydymo atvejo kainos koeficientas</w:t>
                          </w:r>
                          <w:r>
                            <w:rPr>
                              <w:i/>
                              <w:szCs w:val="24"/>
                              <w:lang w:eastAsia="lt-LT"/>
                            </w:rPr>
                            <w:t xml:space="preserve"> </w:t>
                          </w:r>
                          <w:r>
                            <w:rPr>
                              <w:szCs w:val="24"/>
                              <w:lang w:eastAsia="lt-LT"/>
                            </w:rPr>
                            <w:t>(</w:t>
                          </w:r>
                          <w:r>
                            <w:rPr>
                              <w:i/>
                              <w:szCs w:val="24"/>
                              <w:lang w:eastAsia="lt-LT"/>
                            </w:rPr>
                            <w:t>AK</w:t>
                          </w:r>
                          <w:r>
                            <w:rPr>
                              <w:szCs w:val="24"/>
                              <w:lang w:eastAsia="lt-LT"/>
                            </w:rPr>
                            <w:t>) – šis koeficientas taikomas aktyviojo gydymo atvejo kainai nustatyti, kai gydymo trukmė ilgesnė už minimalią gydymo trukmę arba lygi jai ir trumpesnė už maksimalią gydymo trukmę arba lygi jai,</w:t>
                          </w:r>
                        </w:p>
                      </w:sdtContent>
                    </w:sdt>
                    <w:sdt>
                      <w:sdtPr>
                        <w:alias w:val="10.2.4 pp."/>
                        <w:tag w:val="part_3376102fbc6c41e1829944ac943d4e7a"/>
                        <w:lock w:val="sdtLocked"/>
                        <w:richText/>
                      </w:sdtPr>
                      <w:sdtContent>
                        <w:p>
                          <w:pPr>
                            <w:tabs>
                              <w:tab w:val="left" w:pos="1560"/>
                            </w:tabs>
                            <w:ind w:firstLine="567"/>
                            <w:jc w:val="both"/>
                            <w:rPr>
                              <w:szCs w:val="24"/>
                              <w:lang w:eastAsia="lt-LT"/>
                            </w:rPr>
                          </w:pPr>
                          <w:sdt>
                            <w:sdtPr>
                              <w:alias w:val="Numeris"/>
                              <w:tag w:val="nr_3376102fbc6c41e1829944ac943d4e7a"/>
                              <w:lock w:val="sdtLocked"/>
                              <w:richText/>
                            </w:sdtPr>
                            <w:sdtContent>
                              <w:r>
                                <w:rPr>
                                  <w:szCs w:val="24"/>
                                  <w:lang w:eastAsia="lt-LT"/>
                                </w:rPr>
                                <w:t>10.2.4</w:t>
                              </w:r>
                            </w:sdtContent>
                          </w:sdt>
                          <w:r>
                            <w:rPr>
                              <w:szCs w:val="24"/>
                              <w:lang w:eastAsia="lt-LT"/>
                            </w:rPr>
                            <w:t>. lovadienio kainos koeficientas (</w:t>
                          </w:r>
                          <w:r>
                            <w:rPr>
                              <w:i/>
                              <w:szCs w:val="24"/>
                              <w:lang w:eastAsia="lt-LT"/>
                            </w:rPr>
                            <w:t>LKMIN</w:t>
                          </w:r>
                          <w:r>
                            <w:rPr>
                              <w:szCs w:val="24"/>
                              <w:lang w:eastAsia="lt-LT"/>
                            </w:rPr>
                            <w:t>) – šis koeficientas taikomas lovadienio kainai nustatyti, kai gydymo trukmė yra trumpesnė už minimalią gydymo trukmę ir ilgesnė už 1 lovadienį,</w:t>
                          </w:r>
                        </w:p>
                      </w:sdtContent>
                    </w:sdt>
                    <w:sdt>
                      <w:sdtPr>
                        <w:alias w:val="10.2.5 pp."/>
                        <w:tag w:val="part_6f42021a06284afca7a48750f93579b4"/>
                        <w:lock w:val="sdtLocked"/>
                        <w:richText/>
                      </w:sdtPr>
                      <w:sdtContent>
                        <w:p>
                          <w:pPr>
                            <w:ind w:firstLine="567"/>
                            <w:jc w:val="both"/>
                          </w:pPr>
                          <w:sdt>
                            <w:sdtPr>
                              <w:alias w:val="Numeris"/>
                              <w:tag w:val="nr_6f42021a06284afca7a48750f93579b4"/>
                              <w:lock w:val="sdtLocked"/>
                              <w:richText/>
                            </w:sdtPr>
                            <w:sdtContent>
                              <w:r>
                                <w:rPr>
                                  <w:szCs w:val="24"/>
                                  <w:lang w:eastAsia="lt-LT"/>
                                </w:rPr>
                                <w:t>10.2.5</w:t>
                              </w:r>
                            </w:sdtContent>
                          </w:sdt>
                          <w:r>
                            <w:rPr>
                              <w:szCs w:val="24"/>
                              <w:lang w:eastAsia="lt-LT"/>
                            </w:rPr>
                            <w:t>. lovadienio kainos koeficientas (</w:t>
                          </w:r>
                          <w:r>
                            <w:rPr>
                              <w:i/>
                              <w:szCs w:val="24"/>
                              <w:lang w:eastAsia="lt-LT"/>
                            </w:rPr>
                            <w:t>LKMAX</w:t>
                          </w:r>
                          <w:r>
                            <w:rPr>
                              <w:szCs w:val="24"/>
                              <w:lang w:eastAsia="lt-LT"/>
                            </w:rPr>
                            <w:t>) – šis koeficientas taikomas lovadienio kainai nustatyti, kai gydymo trukmė ilgesnė už maksimalią gydymo trukmę;</w:t>
                          </w:r>
                        </w:p>
                      </w:sdtContent>
                    </w:sdt>
                  </w:sdtContent>
                </w:sdt>
                <w:sdt>
                  <w:sdtPr>
                    <w:alias w:val="10.3 pp."/>
                    <w:tag w:val="part_1b33bccf9358470781e838351b8f6e0d"/>
                    <w:lock w:val="sdtLocked"/>
                    <w:richText/>
                  </w:sdtPr>
                  <w:sdtContent>
                    <w:p>
                      <w:pPr>
                        <w:tabs>
                          <w:tab w:val="left" w:pos="1418"/>
                        </w:tabs>
                        <w:ind w:firstLine="567"/>
                        <w:jc w:val="both"/>
                        <w:rPr>
                          <w:szCs w:val="24"/>
                          <w:lang w:eastAsia="lt-LT"/>
                        </w:rPr>
                      </w:pPr>
                      <w:sdt>
                        <w:sdtPr>
                          <w:alias w:val="Numeris"/>
                          <w:tag w:val="nr_1b33bccf9358470781e838351b8f6e0d"/>
                          <w:lock w:val="sdtLocked"/>
                          <w:richText/>
                        </w:sdtPr>
                        <w:sdtContent>
                          <w:r>
                            <w:rPr>
                              <w:sz w:val="23"/>
                              <w:szCs w:val="23"/>
                            </w:rPr>
                            <w:t>10.3</w:t>
                          </w:r>
                        </w:sdtContent>
                      </w:sdt>
                      <w:r>
                        <w:rPr>
                          <w:sz w:val="23"/>
                          <w:szCs w:val="23"/>
                        </w:rPr>
                        <w:t>. Jei aktyviojo gydymo atveju taikoma m</w:t>
                      </w:r>
                      <w:r>
                        <w:rPr>
                          <w:color w:val="000000"/>
                          <w:sz w:val="23"/>
                          <w:szCs w:val="23"/>
                        </w:rPr>
                        <w:t>edicinos pagalbos priemonė ir (ar) vaistas, ir (ar) kraujo komponentas, ir (ar) procedūra, kurių kainos yra įtrauktos į Medicinos pagalbos priemonių, vaistų, procedūrų ir kraujo komponentų kainų, turinčių įtakos faktinei aktyviojo gydymo atvejo kainai, sąrašą,</w:t>
                      </w:r>
                      <w:r>
                        <w:rPr>
                          <w:sz w:val="23"/>
                          <w:szCs w:val="23"/>
                        </w:rPr>
                        <w:t xml:space="preserve"> prie Metodikos 10 punkte nurodytu būdu apskaičiuotos faktinės aktyviojo gydymo atvejo kainos </w:t>
                      </w:r>
                      <w:r>
                        <w:rPr>
                          <w:color w:val="000000"/>
                          <w:sz w:val="23"/>
                          <w:szCs w:val="23"/>
                        </w:rPr>
                        <w:t xml:space="preserve">pridedama šiame sąraše nurodyta taikytos </w:t>
                      </w:r>
                      <w:r>
                        <w:rPr>
                          <w:sz w:val="23"/>
                          <w:szCs w:val="23"/>
                        </w:rPr>
                        <w:t>m</w:t>
                      </w:r>
                      <w:r>
                        <w:rPr>
                          <w:color w:val="000000"/>
                          <w:sz w:val="23"/>
                          <w:szCs w:val="23"/>
                        </w:rPr>
                        <w:t>edicinos pagalbos priemonės ir (ar) vaisto, ir (ar) kraujo komponento, ir (ar) procedūros kaina;</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581e50617311e7b85cfdc787069b42">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2017-07-04,
paskelbta TAR 2017-07-07, i. k. 2017-11667        </w:t>
                      </w:r>
                    </w:p>
                    <w:p/>
                  </w:sdtContent>
                </w:sdt>
                <w:sdt>
                  <w:sdtPr>
                    <w:alias w:val="10.4 pp."/>
                    <w:tag w:val="part_ac8175e633344d009e25af30f8bcb9c8"/>
                    <w:lock w:val="sdtLocked"/>
                    <w:richText/>
                  </w:sdtPr>
                  <w:sdtContent>
                    <w:p>
                      <w:pPr>
                        <w:tabs>
                          <w:tab w:val="left" w:pos="1418"/>
                        </w:tabs>
                        <w:ind w:firstLine="567"/>
                        <w:jc w:val="both"/>
                      </w:pPr>
                      <w:sdt>
                        <w:sdtPr>
                          <w:alias w:val="Numeris"/>
                          <w:tag w:val="nr_ac8175e633344d009e25af30f8bcb9c8"/>
                          <w:lock w:val="sdtLocked"/>
                          <w:richText/>
                        </w:sdtPr>
                        <w:sdtContent>
                          <w:r>
                            <w:rPr>
                              <w:szCs w:val="24"/>
                              <w:lang w:eastAsia="lt-LT"/>
                            </w:rPr>
                            <w:t>10.4</w:t>
                          </w:r>
                        </w:sdtContent>
                      </w:sdt>
                      <w:r>
                        <w:rPr>
                          <w:szCs w:val="24"/>
                          <w:lang w:eastAsia="lt-LT"/>
                        </w:rPr>
                        <w:t>. Atskirais atvejais, nustačius, kad Metodikos 10 punkte nurodytu būdu apskaičiuota faktinė aktyviojo gydymo atvejo kaina pagrįstai neatitinka ASPĮ faktinių aktyviojo gydymo atvejo sąnaudų, aktyviojo gydymo atvejo kainos koeficientas gali būti tikslinamas pagal šių sąnaudų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581e50617311e7b85cfdc787069b42">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2017-07-04,
paskelbta TAR 2017-07-07, i. k. 2017-11667        </w:t>
                      </w:r>
                    </w:p>
                    <w:p/>
                  </w:sdtContent>
                </w:sdt>
              </w:sdtContent>
            </w:sdt>
            <w:sdt>
              <w:sdtPr>
                <w:alias w:val="10.5 pp."/>
                <w:tag w:val="part_acebd80399544c67825db2a4bf8dfa5f"/>
                <w:lock w:val="sdtLocked"/>
                <w:richText/>
              </w:sdtPr>
              <w:sdtContent>
                <w:p>
                  <w:pPr>
                    <w:ind w:firstLine="567"/>
                    <w:jc w:val="both"/>
                    <w:rPr>
                      <w:szCs w:val="24"/>
                    </w:rPr>
                  </w:pPr>
                  <w:sdt>
                    <w:sdtPr>
                      <w:alias w:val="Numeris"/>
                      <w:tag w:val="nr_acebd80399544c67825db2a4bf8dfa5f"/>
                      <w:lock w:val="sdtLocked"/>
                      <w:richText/>
                    </w:sdtPr>
                    <w:sdtContent>
                      <w:r>
                        <w:rPr>
                          <w:szCs w:val="24"/>
                        </w:rPr>
                        <w:t>10.5</w:t>
                      </w:r>
                    </w:sdtContent>
                  </w:sdt>
                  <w:r>
                    <w:rPr>
                      <w:szCs w:val="24"/>
                    </w:rPr>
                    <w:t>. Vidutinės medicinos pagalbos priemonės, procedūros ar vaistinio preparato, naudojamų aktyviojo gydymo metu, sąnaudos, kurių nepadengia apskaičiuota vidutinė faktinė aktyviojo gydymo atvejo kaina, gali būti įskaičiuojamos į aktyviojo gydymo atvejo kainą, koreguojant aktyviojo gydymo atvejo kainos koeficientą:</w:t>
                  </w:r>
                </w:p>
                <w:sdt>
                  <w:sdtPr>
                    <w:alias w:val="10.5.1 pp."/>
                    <w:tag w:val="part_32a4b3de43614c9097f2020a98bd262c"/>
                    <w:lock w:val="sdtLocked"/>
                    <w:richText/>
                  </w:sdtPr>
                  <w:sdtContent>
                    <w:p>
                      <w:pPr>
                        <w:ind w:firstLine="567"/>
                        <w:jc w:val="both"/>
                        <w:rPr>
                          <w:szCs w:val="24"/>
                          <w:lang w:eastAsia="lt-LT"/>
                        </w:rPr>
                      </w:pPr>
                      <w:sdt>
                        <w:sdtPr>
                          <w:alias w:val="Numeris"/>
                          <w:tag w:val="nr_32a4b3de43614c9097f2020a98bd262c"/>
                          <w:lock w:val="sdtLocked"/>
                          <w:richText/>
                        </w:sdtPr>
                        <w:sdtContent>
                          <w:r>
                            <w:rPr>
                              <w:szCs w:val="24"/>
                              <w:lang w:eastAsia="lt-LT"/>
                            </w:rPr>
                            <w:t>10.5.1</w:t>
                          </w:r>
                        </w:sdtContent>
                      </w:sdt>
                      <w:r>
                        <w:rPr>
                          <w:szCs w:val="24"/>
                          <w:lang w:eastAsia="lt-LT"/>
                        </w:rPr>
                        <w:t>. jei atitinkamai gretimų giminingų diagnozių grupei (ADRG) priskiriamais aktyviojo gydymo atvejais tam tikra medicinos pagalbos priemonė, procedūra ar vaistinis preparatas yra taikomi pakankamai dažnai, t. y. tenkinama sąlyga:</w:t>
                      </w:r>
                    </w:p>
                    <w:p>
                      <w:pPr>
                        <w:ind w:firstLine="567"/>
                        <w:jc w:val="center"/>
                        <w:rPr>
                          <w:i/>
                          <w:szCs w:val="24"/>
                          <w:lang w:val="en-US" w:eastAsia="lt-LT"/>
                        </w:rPr>
                      </w:pPr>
                      <m:oMath>
                        <m:sSub>
                          <m:sSubPr>
                            <m:ctrlPr>
                              <w:rPr>
                                <w:rFonts w:ascii="Cambria Math" w:hAnsi="Cambria Math"/>
                                <w:i/>
                              </w:rPr>
                            </m:ctrlPr>
                          </m:sSubPr>
                          <m:e>
                            <m:r>
                              <w:rPr>
                                <w:rFonts w:ascii="Cambria Math" w:hAnsi="Cambria Math"/>
                              </w:rPr>
                              <m:t>n</m:t>
                            </m:r>
                          </m:e>
                          <m:sub>
                            <m:r>
                              <w:rPr>
                                <w:rFonts w:ascii="Cambria Math" w:hAnsi="Cambria Math"/>
                              </w:rPr>
                              <m:t>ADRG</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ADRG</m:t>
                                </m:r>
                              </m:sub>
                            </m:sSub>
                          </m:num>
                          <m:den>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ADRG</m:t>
                                </m:r>
                              </m:sub>
                            </m:sSub>
                            <m:r>
                              <w:rPr>
                                <w:rFonts w:ascii="Cambria Math" w:hAnsi="Cambria Math"/>
                                <w:lang w:val="en-US"/>
                              </w:rPr>
                              <m:t>×</m:t>
                            </m:r>
                            <m:sSup>
                              <m:sSupPr>
                                <m:ctrlPr>
                                  <w:rPr>
                                    <w:rFonts w:ascii="Cambria Math" w:hAnsi="Cambria Math"/>
                                    <w:i/>
                                    <w:lang w:val="en-US"/>
                                  </w:rPr>
                                </m:ctrlPr>
                              </m:sSupPr>
                              <m:e>
                                <m:r>
                                  <w:rPr>
                                    <w:rFonts w:ascii="Cambria Math" w:hAnsi="Cambria Math"/>
                                    <w:lang w:val="en-US"/>
                                  </w:rPr>
                                  <m:t>∆</m:t>
                                </m:r>
                              </m:e>
                              <m:sup>
                                <m:r>
                                  <w:rPr>
                                    <w:rFonts w:ascii="Cambria Math" w:hAnsi="Cambria Math"/>
                                    <w:lang w:val="en-US"/>
                                  </w:rPr>
                                  <m:t>2</m:t>
                                </m:r>
                              </m:sup>
                            </m:sSup>
                            <m:r>
                              <w:rPr>
                                <w:rFonts w:ascii="Cambria Math" w:hAnsi="Cambria Math"/>
                                <w:lang w:val="en-US"/>
                              </w:rPr>
                              <m:t>+1</m:t>
                            </m:r>
                          </m:den>
                        </m:f>
                      </m:oMath>
                      <w:r>
                        <w:rPr>
                          <w:i/>
                          <w:szCs w:val="24"/>
                          <w:lang w:val="en-US" w:eastAsia="lt-LT"/>
                        </w:rPr>
                        <w:t>,</w:t>
                      </w:r>
                    </w:p>
                    <w:p>
                      <w:pPr>
                        <w:ind w:firstLine="567"/>
                        <w:rPr>
                          <w:i/>
                          <w:szCs w:val="24"/>
                          <w:lang w:val="en-US" w:eastAsia="lt-LT"/>
                        </w:rPr>
                      </w:pPr>
                      <w:r>
                        <w:rPr>
                          <w:color w:val="000000"/>
                          <w:szCs w:val="24"/>
                          <w:lang w:eastAsia="lt-LT"/>
                        </w:rPr>
                        <w:t>kai:</w:t>
                      </w:r>
                    </w:p>
                    <w:p>
                      <w:pPr>
                        <w:ind w:firstLine="567"/>
                        <w:jc w:val="both"/>
                        <w:rPr>
                          <w:color w:val="000000"/>
                          <w:szCs w:val="24"/>
                          <w:lang w:eastAsia="lt-LT"/>
                        </w:rPr>
                      </w:pPr>
                      <w:r>
                        <w:rPr>
                          <w:color w:val="000000"/>
                          <w:szCs w:val="24"/>
                          <w:lang w:eastAsia="lt-LT"/>
                        </w:rPr>
                        <w:t>n</w:t>
                      </w:r>
                      <w:r>
                        <w:rPr>
                          <w:color w:val="000000"/>
                          <w:szCs w:val="24"/>
                          <w:vertAlign w:val="subscript"/>
                          <w:lang w:eastAsia="lt-LT"/>
                        </w:rPr>
                        <w:t>ADRG</w:t>
                      </w:r>
                      <w:r>
                        <w:rPr>
                          <w:color w:val="000000"/>
                          <w:szCs w:val="24"/>
                          <w:lang w:eastAsia="lt-LT"/>
                        </w:rPr>
                        <w:t>– atitinkamai ADRG priskirtų aktyviojo gydymo atvejų, kuriais buvo taikyta medicinos pagalbos priemonė, procedūra ar vaistinis preparatas, skaičius,</w:t>
                      </w:r>
                    </w:p>
                    <w:p>
                      <w:pPr>
                        <w:ind w:firstLine="567"/>
                        <w:jc w:val="both"/>
                        <w:rPr>
                          <w:color w:val="000000"/>
                          <w:szCs w:val="24"/>
                          <w:lang w:eastAsia="lt-LT"/>
                        </w:rPr>
                      </w:pPr>
                      <w:r>
                        <w:rPr>
                          <w:color w:val="000000"/>
                          <w:szCs w:val="24"/>
                          <w:lang w:eastAsia="lt-LT"/>
                        </w:rPr>
                        <w:t>N</w:t>
                      </w:r>
                      <w:r>
                        <w:rPr>
                          <w:color w:val="000000"/>
                          <w:szCs w:val="24"/>
                          <w:vertAlign w:val="subscript"/>
                          <w:lang w:eastAsia="lt-LT"/>
                        </w:rPr>
                        <w:t xml:space="preserve">ADRG </w:t>
                      </w:r>
                      <w:r>
                        <w:rPr>
                          <w:color w:val="000000"/>
                          <w:szCs w:val="24"/>
                          <w:lang w:eastAsia="lt-LT"/>
                        </w:rPr>
                        <w:t>– bendras aktyviojo gydymo atvejų, priskirtų atitinkamai ADRG, skaičius,</w:t>
                      </w:r>
                    </w:p>
                    <w:p>
                      <w:pPr>
                        <w:ind w:firstLine="567"/>
                        <w:jc w:val="both"/>
                        <w:rPr>
                          <w:szCs w:val="24"/>
                        </w:rPr>
                      </w:pPr>
                      <w:r>
                        <w:rPr>
                          <w:color w:val="000000"/>
                          <w:szCs w:val="24"/>
                          <w:lang w:eastAsia="lt-LT"/>
                        </w:rPr>
                        <w:t>∆ – reikšmingumo lygmuo (1–10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108480c4ba11ec8d9390588bf2de65">
                        <w:r w:rsidRPr="00532B9F">
                          <w:rPr>
                            <w:rFonts w:ascii="Times New Roman" w:eastAsia="MS Mincho" w:hAnsi="Times New Roman"/>
                            <w:sz w:val="20"/>
                            <w:i/>
                            <w:iCs/>
                            <w:color w:val="0000FF" w:themeColor="hyperlink"/>
                            <w:u w:val="single"/>
                          </w:rPr>
                          <w:t>V-816</w:t>
                        </w:r>
                      </w:fldSimple>
                      <w:r>
                        <w:rPr>
                          <w:rFonts w:ascii="Times New Roman" w:eastAsia="MS Mincho" w:hAnsi="Times New Roman"/>
                          <w:sz w:val="20"/>
                          <w:i/>
                          <w:iCs/>
                        </w:rPr>
                        <w:t>,
2022-04-25,
paskelbta TAR 2022-04-25, i. k. 2022-08400            </w:t>
                      </w:r>
                    </w:p>
                    <w:p/>
                  </w:sdtContent>
                </w:sdt>
                <w:sdt>
                  <w:sdtPr>
                    <w:alias w:val="10.5.2 pp."/>
                    <w:tag w:val="part_f22ca4b617fd43c1bc121b17ea7ce51f"/>
                    <w:lock w:val="sdtLocked"/>
                    <w:richText/>
                  </w:sdtPr>
                  <w:sdtContent>
                    <w:p>
                      <w:pPr>
                        <w:spacing w:line="259" w:lineRule="auto"/>
                        <w:ind w:firstLine="567"/>
                        <w:jc w:val="both"/>
                      </w:pPr>
                      <w:sdt>
                        <w:sdtPr>
                          <w:alias w:val="Numeris"/>
                          <w:tag w:val="nr_f22ca4b617fd43c1bc121b17ea7ce51f"/>
                          <w:lock w:val="sdtLocked"/>
                          <w:richText/>
                        </w:sdtPr>
                        <w:sdtContent>
                          <w:r>
                            <w:rPr>
                              <w:rFonts w:eastAsia="Calibri"/>
                              <w:szCs w:val="24"/>
                            </w:rPr>
                            <w:t>10.5.2</w:t>
                          </w:r>
                        </w:sdtContent>
                      </w:sdt>
                      <w:r>
                        <w:rPr>
                          <w:rFonts w:eastAsia="Calibri"/>
                          <w:szCs w:val="24"/>
                        </w:rPr>
                        <w:t xml:space="preserve">. </w:t>
                      </w:r>
                      <w:r>
                        <w:rPr>
                          <w:szCs w:val="24"/>
                        </w:rPr>
                        <w:t>jei atitinkamai ADRG priskiriamais aktyviojo gydymo atvejais tam tikra medicinos pagalbos priemonė, procedūra ar vaistinis preparatas nėra taikomi pakankamai dažnai</w:t>
                      </w:r>
                      <w:r>
                        <w:rPr>
                          <w:rFonts w:eastAsia="Calibri"/>
                          <w:szCs w:val="24"/>
                        </w:rPr>
                        <w:t xml:space="preserve"> (netenkinama 10.5.1 papunktyje nurodyta sąlyga), – įvertinus tokių atvejų skaičių ir jų pasiskirstymą tarp ASPĮ;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2a6e4098dd11e9ae2e9d61b1f977b3">
                    <w:r w:rsidRPr="00532B9F">
                      <w:rPr>
                        <w:rFonts w:ascii="Times New Roman" w:eastAsia="MS Mincho" w:hAnsi="Times New Roman"/>
                        <w:sz w:val="20"/>
                        <w:i/>
                        <w:iCs/>
                        <w:color w:val="0000FF" w:themeColor="hyperlink"/>
                        <w:u w:val="single"/>
                      </w:rPr>
                      <w:t>V-753</w:t>
                    </w:r>
                  </w:fldSimple>
                  <w:r>
                    <w:rPr>
                      <w:rFonts w:ascii="Times New Roman" w:eastAsia="MS Mincho" w:hAnsi="Times New Roman"/>
                      <w:sz w:val="20"/>
                      <w:i/>
                      <w:iCs/>
                    </w:rPr>
                    <w:t>,
2019-06-27,
paskelbta TAR 2019-06-28, i. k. 2019-10468        </w:t>
                  </w:r>
                </w:p>
                <w:p/>
              </w:sdtContent>
            </w:sdt>
            <w:sdt>
              <w:sdtPr>
                <w:alias w:val="10.6 pp."/>
                <w:tag w:val="part_11d08afb236441839bf171fcffefb099"/>
                <w:lock w:val="sdtLocked"/>
                <w:richText/>
              </w:sdtPr>
              <w:sdtContent>
                <w:p>
                  <w:pPr>
                    <w:spacing w:line="259" w:lineRule="auto"/>
                    <w:ind w:firstLine="567"/>
                    <w:jc w:val="both"/>
                  </w:pPr>
                  <w:sdt>
                    <w:sdtPr>
                      <w:alias w:val="Numeris"/>
                      <w:tag w:val="nr_11d08afb236441839bf171fcffefb099"/>
                      <w:lock w:val="sdtLocked"/>
                      <w:richText/>
                    </w:sdtPr>
                    <w:sdtContent>
                      <w:r>
                        <w:rPr>
                          <w:rFonts w:eastAsia="Calibri"/>
                          <w:szCs w:val="24"/>
                        </w:rPr>
                        <w:t>10.6</w:t>
                      </w:r>
                    </w:sdtContent>
                  </w:sdt>
                  <w:r>
                    <w:rPr>
                      <w:rFonts w:eastAsia="Calibri"/>
                      <w:szCs w:val="24"/>
                    </w:rPr>
                    <w:t>. Tarptautiniai sąnaudų grupių kainų koeficientai koreguojami pagal NGPKI pateiktus duomenis apie vidutines giminingų diagnozių grupėms tenkančias sąnaudas, eliminuojant atitinkamoms giminingų diagnozių grupėms priskiriamų transplantacijos (persodinimo) paslaugų sąnaudas ir visoms gretimų giminingų diagnozių grupės „Negalima grupuoti“ sąnaudų grupėms priskiriamas sąnaudas, taip pat – vidutines giminingų diagnozių grupės „Kochlearinis implantas“ sąnaudų grupei „Protezai ir implantai“ priskiriamas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2a6e4098dd11e9ae2e9d61b1f977b3">
                    <w:r w:rsidRPr="00532B9F">
                      <w:rPr>
                        <w:rFonts w:ascii="Times New Roman" w:eastAsia="MS Mincho" w:hAnsi="Times New Roman"/>
                        <w:sz w:val="20"/>
                        <w:i/>
                        <w:iCs/>
                        <w:color w:val="0000FF" w:themeColor="hyperlink"/>
                        <w:u w:val="single"/>
                      </w:rPr>
                      <w:t>V-753</w:t>
                    </w:r>
                  </w:fldSimple>
                  <w:r>
                    <w:rPr>
                      <w:rFonts w:ascii="Times New Roman" w:eastAsia="MS Mincho" w:hAnsi="Times New Roman"/>
                      <w:sz w:val="20"/>
                      <w:i/>
                      <w:iCs/>
                    </w:rPr>
                    <w:t>,
2019-06-27,
paskelbta TAR 2019-06-28, i. k. 2019-10468        </w:t>
                  </w:r>
                </w:p>
                <w:p/>
              </w:sdtContent>
            </w:sdt>
            <w:sdt>
              <w:sdtPr>
                <w:alias w:val="10.7 pp."/>
                <w:tag w:val="part_3257e96116db48b99bd863ede2cee51b"/>
                <w:lock w:val="sdtLocked"/>
                <w:richText/>
              </w:sdtPr>
              <w:sdtContent>
                <w:p>
                  <w:pPr>
                    <w:spacing w:line="259" w:lineRule="auto"/>
                    <w:ind w:firstLine="567"/>
                    <w:jc w:val="both"/>
                  </w:pPr>
                  <w:sdt>
                    <w:sdtPr>
                      <w:alias w:val="Numeris"/>
                      <w:tag w:val="nr_3257e96116db48b99bd863ede2cee51b"/>
                      <w:lock w:val="sdtLocked"/>
                      <w:richText/>
                    </w:sdtPr>
                    <w:sdtContent>
                      <w:r>
                        <w:rPr>
                          <w:rFonts w:eastAsia="Calibri"/>
                          <w:szCs w:val="24"/>
                        </w:rPr>
                        <w:t>10.7</w:t>
                      </w:r>
                    </w:sdtContent>
                  </w:sdt>
                  <w:r>
                    <w:rPr>
                      <w:rFonts w:eastAsia="Calibri"/>
                      <w:szCs w:val="24"/>
                    </w:rPr>
                    <w:t>. Kiti tarptautinių sąnaudų grupių kainų koeficientų tikslinimai gali būti atliekami pasikeitus aktyviojo stacionarinio gydymo paslaugų klasifikavimo pagal giminingų diagnozių grupes versijai ir atsižvelgiant į reikšmingus Lietuvos bei tarptautinės giminingų diagnozių grupių struktūrų skirtumus pagal jų sudėtingumo lygmenis;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2a6e4098dd11e9ae2e9d61b1f977b3">
                    <w:r w:rsidRPr="00532B9F">
                      <w:rPr>
                        <w:rFonts w:ascii="Times New Roman" w:eastAsia="MS Mincho" w:hAnsi="Times New Roman"/>
                        <w:sz w:val="20"/>
                        <w:i/>
                        <w:iCs/>
                        <w:color w:val="0000FF" w:themeColor="hyperlink"/>
                        <w:u w:val="single"/>
                      </w:rPr>
                      <w:t>V-753</w:t>
                    </w:r>
                  </w:fldSimple>
                  <w:r>
                    <w:rPr>
                      <w:rFonts w:ascii="Times New Roman" w:eastAsia="MS Mincho" w:hAnsi="Times New Roman"/>
                      <w:sz w:val="20"/>
                      <w:i/>
                      <w:iCs/>
                    </w:rPr>
                    <w:t>,
2019-06-27,
paskelbta TAR 2019-06-28, i. k. 2019-10468        </w:t>
                  </w:r>
                </w:p>
                <w:p/>
              </w:sdtContent>
            </w:sdt>
            <w:sdt>
              <w:sdtPr>
                <w:alias w:val="10.8 pp."/>
                <w:tag w:val="part_c198d594ebd247b1beb8a3ccbc17672a"/>
                <w:lock w:val="sdtLocked"/>
                <w:richText/>
              </w:sdtPr>
              <w:sdtContent>
                <w:p>
                  <w:pPr>
                    <w:ind w:firstLine="567"/>
                    <w:jc w:val="both"/>
                  </w:pPr>
                  <w:sdt>
                    <w:sdtPr>
                      <w:alias w:val="Numeris"/>
                      <w:tag w:val="nr_c198d594ebd247b1beb8a3ccbc17672a"/>
                      <w:lock w:val="sdtLocked"/>
                      <w:richText/>
                    </w:sdtPr>
                    <w:sdtContent>
                      <w:r>
                        <w:rPr>
                          <w:szCs w:val="24"/>
                          <w:lang w:eastAsia="lt-LT"/>
                        </w:rPr>
                        <w:t>10.8</w:t>
                      </w:r>
                    </w:sdtContent>
                  </w:sdt>
                  <w:r>
                    <w:rPr>
                      <w:szCs w:val="24"/>
                      <w:lang w:eastAsia="lt-LT"/>
                    </w:rPr>
                    <w:t>. M</w:t>
                  </w:r>
                  <w:r>
                    <w:rPr>
                      <w:color w:val="000000"/>
                      <w:szCs w:val="23"/>
                      <w:lang w:eastAsia="lt-LT"/>
                    </w:rPr>
                    <w:t xml:space="preserve">edicinos pagalbos priemonės, kuri yra įtraukta į Medicinos pagalbos priemonių, vaistų, procedūrų ir kraujo komponentų kainų, turinčių įtakos faktinei aktyviojo gydymo atvejo kainai, sąrašą, </w:t>
                  </w:r>
                  <w:r>
                    <w:rPr>
                      <w:szCs w:val="23"/>
                      <w:lang w:eastAsia="lt-LT"/>
                    </w:rPr>
                    <w:t xml:space="preserve">patvirtintą  Lietuvos Respublikos sveikatos apsaugos ministro 2011 m. gruodžio 23 d. įsakymu Nr. V-1118 „</w:t>
                  </w:r>
                  <w:r>
                    <w:rPr>
                      <w:color w:val="000000"/>
                      <w:szCs w:val="24"/>
                      <w:lang w:eastAsia="lt-LT"/>
                    </w:rPr>
                    <w:t>Dėl Giminingų diagnozių grupių sąrašo, Normatyvinės gydymo trukmės ir giminingų diagnozių grupėms priskiriamų kainų koeficientų sąrašo, bazinės aktyviojo gydymo atvejo kainos ir Medicinos pagalbos priemonių, vaistų, procedūrų ir kraujo komponentų kainų, turinčių įtakos faktinei aktyviojo gydymo atvejo kainai sąrašo tvirtinimo“</w:t>
                  </w:r>
                  <w:r>
                    <w:rPr>
                      <w:szCs w:val="23"/>
                      <w:lang w:eastAsia="lt-LT"/>
                    </w:rPr>
                    <w:t>, pradinė kaina yra apskaičiuojama</w:t>
                  </w:r>
                  <w:r>
                    <w:rPr>
                      <w:szCs w:val="24"/>
                      <w:lang w:eastAsia="lt-LT"/>
                    </w:rPr>
                    <w:t xml:space="preserve"> taikant tokių pačių medicinos pagalbos priemonių, ASPĮ įsigyjamų viešojo pirkimo būdu arba pagal komercinius pasiūlymus (jei tokia medicinos pagalbos priemonė dar nebuvo naudojama pacientams gydyti), kainų svertinį vidurkį. Jei pagal Metodikos 10.5.1 papunktį į aktyviojo gydymo kainos koeficientą yra įskaičiuota atitinkamos medicinos pagalbos priemonės kaina, tai jos kaina yra atimama iš apskaičiuotos medicinos pagalbos priemonės kainos.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527b0874411ed8df094f359a60216">
                    <w:r w:rsidRPr="00532B9F">
                      <w:rPr>
                        <w:rFonts w:ascii="Times New Roman" w:eastAsia="MS Mincho" w:hAnsi="Times New Roman"/>
                        <w:sz w:val="20"/>
                        <w:i/>
                        <w:iCs/>
                        <w:color w:val="0000FF" w:themeColor="hyperlink"/>
                        <w:u w:val="single"/>
                      </w:rPr>
                      <w:t>V-1977</w:t>
                    </w:r>
                  </w:fldSimple>
                  <w:r>
                    <w:rPr>
                      <w:rFonts w:ascii="Times New Roman" w:eastAsia="MS Mincho" w:hAnsi="Times New Roman"/>
                      <w:sz w:val="20"/>
                      <w:i/>
                      <w:iCs/>
                    </w:rPr>
                    <w:t>,
2022-12-29,
paskelbta TAR 2022-12-29, i. k. 2022-27226        </w:t>
                  </w:r>
                </w:p>
                <w:p/>
              </w:sdtContent>
            </w:sdt>
          </w:sdtContent>
        </w:sdt>
        <w:sdt>
          <w:sdtPr>
            <w:alias w:val="skyrius"/>
            <w:tag w:val="part_5852814bad9d496792255297b5c71e31"/>
            <w:lock w:val="sdtLocked"/>
            <w:richText/>
          </w:sdtPr>
          <w:sdtContent>
            <w:p>
              <w:pPr>
                <w:keepNext/>
                <w:jc w:val="center"/>
                <w:rPr>
                  <w:rFonts w:eastAsia="Calibri"/>
                  <w:b/>
                  <w:bCs/>
                  <w:kern w:val="32"/>
                  <w:szCs w:val="24"/>
                </w:rPr>
              </w:pPr>
              <w:sdt>
                <w:sdtPr>
                  <w:alias w:val="Numeris"/>
                  <w:tag w:val="nr_5852814bad9d496792255297b5c71e31"/>
                  <w:lock w:val="sdtLocked"/>
                  <w:richText/>
                </w:sdtPr>
                <w:sdtContent>
                  <w:r>
                    <w:rPr>
                      <w:rFonts w:eastAsia="Calibri"/>
                      <w:b/>
                      <w:bCs/>
                      <w:kern w:val="32"/>
                      <w:szCs w:val="24"/>
                    </w:rPr>
                    <w:t>VII</w:t>
                  </w:r>
                </w:sdtContent>
              </w:sdt>
              <w:r>
                <w:rPr>
                  <w:rFonts w:eastAsia="Calibri"/>
                  <w:b/>
                  <w:bCs/>
                  <w:kern w:val="32"/>
                  <w:szCs w:val="24"/>
                </w:rPr>
                <w:t xml:space="preserve"> </w:t>
              </w:r>
              <w:sdt>
                <w:sdtPr>
                  <w:alias w:val="Pavadinimas"/>
                  <w:tag w:val="title_5852814bad9d496792255297b5c71e31"/>
                  <w:lock w:val="sdtLocked"/>
                  <w:richText/>
                </w:sdtPr>
                <w:sdtContent>
                  <w:r>
                    <w:rPr>
                      <w:rFonts w:eastAsia="Calibri"/>
                      <w:b/>
                      <w:bCs/>
                      <w:kern w:val="32"/>
                      <w:szCs w:val="24"/>
                    </w:rPr>
                    <w:t xml:space="preserve">SKYRIUS </w:t>
                    <w:br/>
                    <w:t xml:space="preserve">KITŲ ASMENS SVEIKATOS PRIEŽIŪROS PASLAUGŲ BAZINIŲ KAINŲ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sdt>
              <w:sdtPr>
                <w:alias w:val="11 p."/>
                <w:tag w:val="part_4e3f67335a864086a977718b5294e97d"/>
                <w:lock w:val="sdtLocked"/>
                <w:richText/>
              </w:sdtPr>
              <w:sdtContent>
                <w:p>
                  <w:pPr>
                    <w:ind w:firstLine="567"/>
                    <w:jc w:val="both"/>
                    <w:rPr>
                      <w:szCs w:val="24"/>
                      <w:lang w:eastAsia="lt-LT"/>
                    </w:rPr>
                  </w:pPr>
                  <w:sdt>
                    <w:sdtPr>
                      <w:alias w:val="Numeris"/>
                      <w:tag w:val="nr_4e3f67335a864086a977718b5294e97d"/>
                      <w:lock w:val="sdtLocked"/>
                      <w:richText/>
                    </w:sdtPr>
                    <w:sdtContent>
                      <w:r>
                        <w:rPr>
                          <w:szCs w:val="24"/>
                          <w:lang w:eastAsia="lt-LT"/>
                        </w:rPr>
                        <w:t>11</w:t>
                      </w:r>
                    </w:sdtContent>
                  </w:sdt>
                  <w:r>
                    <w:rPr>
                      <w:szCs w:val="24"/>
                      <w:lang w:eastAsia="lt-LT"/>
                    </w:rPr>
                    <w:t>. Kitų (neįvardytų Metodikos IV–VI skyriuose) asmens sveikatos priežiūros paslaugų, kurių išlaidos apmokamos PSDF biudžeto lėšomis, bazinė kaina (</w:t>
                  </w:r>
                  <w:r>
                    <w:rPr>
                      <w:i/>
                      <w:szCs w:val="24"/>
                      <w:lang w:eastAsia="lt-LT"/>
                    </w:rPr>
                    <w:t>B</w:t>
                  </w:r>
                  <w:r>
                    <w:rPr>
                      <w:i/>
                      <w:szCs w:val="24"/>
                      <w:vertAlign w:val="subscript"/>
                      <w:lang w:eastAsia="lt-LT"/>
                    </w:rPr>
                    <w:t>k</w:t>
                  </w:r>
                  <w:r>
                    <w:rPr>
                      <w:szCs w:val="24"/>
                      <w:lang w:eastAsia="lt-LT"/>
                    </w:rPr>
                    <w:t>) apskaičiuojama taip:</w:t>
                  </w:r>
                </w:p>
                <w:p>
                  <w:pPr>
                    <w:ind w:firstLine="567"/>
                    <w:jc w:val="both"/>
                    <w:rPr>
                      <w:szCs w:val="24"/>
                      <w:lang w:eastAsia="lt-LT"/>
                    </w:rPr>
                  </w:pPr>
                  <w:r>
                    <w:rPr>
                      <w:position w:val="-28"/>
                      <w:szCs w:val="24"/>
                      <w:lang w:eastAsia="lt-LT"/>
                    </w:rPr>
                    <w:object w:dxaOrig="1380" w:dyaOrig="675">
                      <v:shape id="_x0000_i1026" type="#_x0000_t75" style="width:68.85pt;height:33.8pt" o:ole="">
                        <v:imagedata r:id="rId15" o:title=""/>
                      </v:shape>
                      <o:OLEObject Type="Embed" ProgID="Equation.3" ShapeID="_x0000_i1026" DrawAspect="Content" ObjectID="_0000000001" r:id="rId16"/>
                    </w:object>
                  </w:r>
                </w:p>
                <w:p>
                  <w:pPr>
                    <w:ind w:firstLine="567"/>
                    <w:jc w:val="both"/>
                    <w:rPr>
                      <w:szCs w:val="24"/>
                      <w:lang w:eastAsia="lt-LT"/>
                    </w:rPr>
                  </w:pPr>
                </w:p>
                <w:p>
                  <w:pPr>
                    <w:ind w:firstLine="567"/>
                    <w:jc w:val="both"/>
                    <w:rPr>
                      <w:szCs w:val="24"/>
                      <w:lang w:eastAsia="lt-LT"/>
                    </w:rPr>
                  </w:pPr>
                  <w:r>
                    <w:rPr>
                      <w:szCs w:val="24"/>
                      <w:lang w:eastAsia="lt-LT"/>
                    </w:rPr>
                    <w:t>kai:</w:t>
                  </w:r>
                </w:p>
                <w:p>
                  <w:pPr>
                    <w:ind w:firstLine="567"/>
                    <w:jc w:val="both"/>
                    <w:rPr>
                      <w:szCs w:val="24"/>
                      <w:lang w:eastAsia="lt-LT"/>
                    </w:rPr>
                  </w:pPr>
                  <w:r>
                    <w:rPr>
                      <w:i/>
                      <w:szCs w:val="24"/>
                      <w:lang w:eastAsia="lt-LT"/>
                    </w:rPr>
                    <w:t>B</w:t>
                  </w:r>
                  <w:r>
                    <w:rPr>
                      <w:i/>
                      <w:szCs w:val="24"/>
                      <w:vertAlign w:val="subscript"/>
                      <w:lang w:eastAsia="lt-LT"/>
                    </w:rPr>
                    <w:t>k</w:t>
                  </w:r>
                  <w:r>
                    <w:rPr>
                      <w:i/>
                      <w:szCs w:val="24"/>
                      <w:lang w:eastAsia="lt-LT"/>
                    </w:rPr>
                    <w:t xml:space="preserve"> </w:t>
                  </w:r>
                  <w:r>
                    <w:rPr>
                      <w:szCs w:val="24"/>
                      <w:lang w:eastAsia="lt-LT"/>
                    </w:rPr>
                    <w:t>– bazinė kaina,</w:t>
                  </w:r>
                </w:p>
                <w:p>
                  <w:pPr>
                    <w:ind w:firstLine="567"/>
                    <w:jc w:val="both"/>
                    <w:rPr>
                      <w:szCs w:val="24"/>
                      <w:lang w:eastAsia="lt-LT"/>
                    </w:rPr>
                  </w:pPr>
                  <w:r>
                    <w:rPr>
                      <w:i/>
                      <w:szCs w:val="24"/>
                      <w:lang w:eastAsia="lt-LT"/>
                    </w:rPr>
                    <w:t>E</w:t>
                  </w:r>
                  <w:r>
                    <w:rPr>
                      <w:i/>
                      <w:szCs w:val="24"/>
                      <w:vertAlign w:val="subscript"/>
                      <w:lang w:eastAsia="lt-LT"/>
                    </w:rPr>
                    <w:t>i</w:t>
                  </w:r>
                  <w:r>
                    <w:rPr>
                      <w:i/>
                      <w:szCs w:val="24"/>
                      <w:lang w:eastAsia="lt-LT"/>
                    </w:rPr>
                    <w:t xml:space="preserve"> </w:t>
                  </w:r>
                  <w:r>
                    <w:rPr>
                      <w:szCs w:val="24"/>
                      <w:lang w:eastAsia="lt-LT"/>
                    </w:rPr>
                    <w:t>– i-tosios ASPĮ atitinkamos paslaugos teikimo sąnaudos,</w:t>
                  </w:r>
                </w:p>
                <w:p>
                  <w:pPr>
                    <w:ind w:firstLine="567"/>
                    <w:jc w:val="both"/>
                    <w:rPr>
                      <w:szCs w:val="24"/>
                      <w:lang w:eastAsia="lt-LT"/>
                    </w:rPr>
                  </w:pPr>
                  <w:r>
                    <w:rPr>
                      <w:i/>
                      <w:szCs w:val="24"/>
                      <w:lang w:eastAsia="lt-LT"/>
                    </w:rPr>
                    <w:t xml:space="preserve">n </w:t>
                  </w:r>
                  <w:r>
                    <w:rPr>
                      <w:szCs w:val="24"/>
                      <w:lang w:eastAsia="lt-LT"/>
                    </w:rPr>
                    <w:t>– ASPĮ, teikiančių atitinkamas paslaugas, skaičius,</w:t>
                  </w:r>
                </w:p>
                <w:p>
                  <w:pPr>
                    <w:ind w:firstLine="567"/>
                    <w:jc w:val="both"/>
                    <w:rPr>
                      <w:szCs w:val="24"/>
                      <w:lang w:eastAsia="lt-LT"/>
                    </w:rPr>
                  </w:pPr>
                  <w:r>
                    <w:rPr>
                      <w:i/>
                      <w:szCs w:val="24"/>
                      <w:lang w:eastAsia="lt-LT"/>
                    </w:rPr>
                    <w:t>i</w:t>
                  </w:r>
                  <w:r>
                    <w:rPr>
                      <w:szCs w:val="24"/>
                      <w:lang w:eastAsia="lt-LT"/>
                    </w:rPr>
                    <w:t xml:space="preserve"> (i = 1, 2, 3, …, n) – ASPĮ, teikiančių atitinkamas paslaugas, indeksas;</w:t>
                  </w:r>
                </w:p>
                <w:sdt>
                  <w:sdtPr>
                    <w:alias w:val="11.1 pp."/>
                    <w:tag w:val="part_ce3da40749f24487b6a6e94b2be74c77"/>
                    <w:lock w:val="sdtLocked"/>
                    <w:richText/>
                  </w:sdtPr>
                  <w:sdtContent>
                    <w:p>
                      <w:pPr>
                        <w:tabs>
                          <w:tab w:val="left" w:pos="709"/>
                          <w:tab w:val="left" w:pos="851"/>
                          <w:tab w:val="left" w:pos="1418"/>
                        </w:tabs>
                        <w:ind w:firstLine="833"/>
                        <w:jc w:val="both"/>
                        <w:rPr>
                          <w:szCs w:val="24"/>
                        </w:rPr>
                      </w:pPr>
                      <w:sdt>
                        <w:sdtPr>
                          <w:alias w:val="Numeris"/>
                          <w:tag w:val="nr_ce3da40749f24487b6a6e94b2be74c77"/>
                          <w:lock w:val="sdtLocked"/>
                          <w:richText/>
                        </w:sdtPr>
                        <w:sdtContent>
                          <w:r>
                            <w:rPr>
                              <w:szCs w:val="24"/>
                            </w:rPr>
                            <w:t>11.1</w:t>
                          </w:r>
                        </w:sdtContent>
                      </w:sdt>
                      <w:r>
                        <w:rPr>
                          <w:szCs w:val="24"/>
                        </w:rPr>
                        <w:t>.</w:t>
                      </w:r>
                      <w:r>
                        <w:rPr>
                          <w:lang w:eastAsia="lt-LT"/>
                        </w:rPr>
                        <w:drawing>
                          <wp:inline distT="0" distB="0" distL="0" distR="0">
                            <wp:extent cx="199103" cy="22860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02324" cy="232298"/>
                                    </a:xfrm>
                                    <a:prstGeom prst="rect">
                                      <a:avLst/>
                                    </a:prstGeom>
                                  </pic:spPr>
                                </pic:pic>
                              </a:graphicData>
                            </a:graphic>
                          </wp:inline>
                        </w:drawing>
                      </w:r>
                      <w:r>
                        <w:rPr>
                          <w:szCs w:val="24"/>
                        </w:rPr>
                        <w:t xml:space="preserve"> </w:t>
                      </w:r>
                      <w:r>
                        <w:rPr>
                          <w:i/>
                          <w:szCs w:val="24"/>
                        </w:rPr>
                        <w:t xml:space="preserve"> </w:t>
                      </w:r>
                      <w:r>
                        <w:rPr>
                          <w:szCs w:val="24"/>
                        </w:rPr>
                        <w:t>apskaičiuojamas pagal formulę:</w:t>
                      </w:r>
                    </w:p>
                    <w:p>
                      <w:pPr>
                        <w:tabs>
                          <w:tab w:val="left" w:pos="709"/>
                          <w:tab w:val="left" w:pos="851"/>
                          <w:tab w:val="left" w:pos="1418"/>
                        </w:tabs>
                        <w:ind w:firstLine="833"/>
                        <w:jc w:val="both"/>
                        <w:rPr>
                          <w:szCs w:val="24"/>
                        </w:rPr>
                      </w:pPr>
                      <w:r>
                        <w:rPr>
                          <w:lang w:eastAsia="lt-LT"/>
                        </w:rPr>
                        <w:drawing>
                          <wp:inline distT="0" distB="0" distL="0" distR="0">
                            <wp:extent cx="4962525" cy="4000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62525" cy="400050"/>
                                    </a:xfrm>
                                    <a:prstGeom prst="rect">
                                      <a:avLst/>
                                    </a:prstGeom>
                                  </pic:spPr>
                                </pic:pic>
                              </a:graphicData>
                            </a:graphic>
                          </wp:inline>
                        </w:drawing>
                      </w:r>
                    </w:p>
                    <w:p>
                      <w:pPr>
                        <w:tabs>
                          <w:tab w:val="left" w:pos="709"/>
                          <w:tab w:val="left" w:pos="851"/>
                          <w:tab w:val="left" w:pos="1418"/>
                        </w:tabs>
                        <w:jc w:val="center"/>
                        <w:rPr>
                          <w:szCs w:val="24"/>
                        </w:rPr>
                      </w:pPr>
                      <w:r>
                        <w:rPr>
                          <w:szCs w:val="24"/>
                        </w:rPr>
                        <w:t>kai:</w:t>
                      </w:r>
                    </w:p>
                    <w:p>
                      <w:pPr>
                        <w:ind w:firstLine="851"/>
                        <w:jc w:val="both"/>
                        <w:rPr>
                          <w:szCs w:val="24"/>
                        </w:rPr>
                      </w:pPr>
                      <w:r>
                        <w:rPr>
                          <w:lang w:eastAsia="lt-LT"/>
                        </w:rPr>
                        <w:drawing>
                          <wp:inline distT="0" distB="0" distL="0" distR="0">
                            <wp:extent cx="263525" cy="302567"/>
                            <wp:effectExtent l="0" t="0" r="3175" b="2540"/>
                            <wp:docPr id="13" name="Paveikslėli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71799" cy="312067"/>
                                    </a:xfrm>
                                    <a:prstGeom prst="rect">
                                      <a:avLst/>
                                    </a:prstGeom>
                                  </pic:spPr>
                                </pic:pic>
                              </a:graphicData>
                            </a:graphic>
                          </wp:inline>
                        </w:drawing>
                      </w:r>
                      <w:r>
                        <w:rPr>
                          <w:szCs w:val="24"/>
                        </w:rPr>
                        <w:t xml:space="preserve"> – i-tosios ASPĮ atitinkamos paslaugos teikimo sąnaudos,</w:t>
                      </w:r>
                    </w:p>
                    <w:p>
                      <w:pPr>
                        <w:ind w:firstLine="851"/>
                        <w:jc w:val="both"/>
                        <w:rPr>
                          <w:szCs w:val="24"/>
                        </w:rPr>
                      </w:pPr>
                      <w:r>
                        <w:rPr>
                          <w:lang w:eastAsia="lt-LT"/>
                        </w:rPr>
                        <w:drawing>
                          <wp:inline distT="0" distB="0" distL="0" distR="0">
                            <wp:extent cx="274711" cy="281940"/>
                            <wp:effectExtent l="0" t="0" r="0" b="381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78168" cy="285488"/>
                                    </a:xfrm>
                                    <a:prstGeom prst="rect">
                                      <a:avLst/>
                                    </a:prstGeom>
                                  </pic:spPr>
                                </pic:pic>
                              </a:graphicData>
                            </a:graphic>
                          </wp:inline>
                        </w:drawing>
                      </w:r>
                      <w:r>
                        <w:rPr>
                          <w:szCs w:val="24"/>
                        </w:rPr>
                        <w:t xml:space="preserve"> – i-tosios ASPĮ personalo, tiesiogiai susijusio su atitinkamos paslaugos teikimu, vidutinės darbo užmokesčio sąnaudos, tenkančios vienam etatui. Jei šios sąnaudos yra mažesnės nei šalies ASP įstaigų darbuotojų vienam etatui tenkantis vidutinis darbo užmokestis, apskaičiuotas vadovaujantis Valstybinės ligonių kasos prie Sveikatos apsaugos ministerijos direktoriaus 2015 m. balandžio 28 d. įsakymo Nr. 1K-106 „Dėl duomenų apie asmens sveikatos priežiūros įstaigų darbuotojų skaičių ir jų vidutinį darbo užmokestį ataskaitų formų bei jų pildymo ir teikimo tvarkos aprašo patvirtinimo“ nustatyta tvarka (toliau – VLK duomenys), skaičiuojant bazines kainas naudojami VLK duomenys.</w:t>
                      </w:r>
                    </w:p>
                    <w:p>
                      <w:pPr>
                        <w:ind w:firstLine="720"/>
                        <w:jc w:val="both"/>
                        <w:rPr>
                          <w:szCs w:val="24"/>
                        </w:rPr>
                      </w:pPr>
                      <w:r>
                        <w:rPr>
                          <w:szCs w:val="24"/>
                        </w:rPr>
                        <w:t>Tais atvejais, kai pacientui paslauga teikiama namuose (gyvenvietėje, nepriklausančioje savivaldybei, kurioje yra paslaugą teikiančios ASPĮ buveinė) ir tuo tikslu pasinaudojama transporto priemone, į paslaugos teikimo sąnaudas įtraukiamos ir vidutinės (etato) vairuotojo darbo užmokesčio sąnaudos,</w:t>
                      </w:r>
                    </w:p>
                    <w:p>
                      <w:pPr>
                        <w:ind w:firstLine="835"/>
                        <w:jc w:val="both"/>
                        <w:rPr>
                          <w:szCs w:val="24"/>
                        </w:rPr>
                      </w:pPr>
                      <w:r>
                        <w:rPr>
                          <w:lang w:eastAsia="lt-LT"/>
                        </w:rPr>
                        <w:drawing>
                          <wp:inline distT="0" distB="0" distL="0" distR="0">
                            <wp:extent cx="160020" cy="184638"/>
                            <wp:effectExtent l="0" t="0" r="0" b="6350"/>
                            <wp:docPr id="15"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63014" cy="188092"/>
                                    </a:xfrm>
                                    <a:prstGeom prst="rect">
                                      <a:avLst/>
                                    </a:prstGeom>
                                  </pic:spPr>
                                </pic:pic>
                              </a:graphicData>
                            </a:graphic>
                          </wp:inline>
                        </w:drawing>
                      </w:r>
                      <w:r>
                        <w:t xml:space="preserve"> </w:t>
                      </w:r>
                      <w:r>
                        <w:rPr>
                          <w:szCs w:val="24"/>
                        </w:rPr>
                        <w:t>– atostoginių koeficientas,</w:t>
                      </w:r>
                    </w:p>
                    <w:p>
                      <w:pPr>
                        <w:ind w:firstLine="720"/>
                        <w:jc w:val="both"/>
                        <w:rPr>
                          <w:szCs w:val="24"/>
                        </w:rPr>
                      </w:pPr>
                      <w:r>
                        <w:rPr>
                          <w:lang w:eastAsia="lt-LT"/>
                        </w:rPr>
                        <w:drawing>
                          <wp:inline distT="0" distB="0" distL="0" distR="0">
                            <wp:extent cx="228600" cy="269421"/>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30183" cy="271286"/>
                                    </a:xfrm>
                                    <a:prstGeom prst="rect">
                                      <a:avLst/>
                                    </a:prstGeom>
                                  </pic:spPr>
                                </pic:pic>
                              </a:graphicData>
                            </a:graphic>
                          </wp:inline>
                        </w:drawing>
                      </w:r>
                      <w:r>
                        <w:rPr>
                          <w:szCs w:val="24"/>
                        </w:rPr>
                        <w:t xml:space="preserve"> – i-tosios ASPĮ draudėjo įmokos,</w:t>
                      </w:r>
                    </w:p>
                    <w:p>
                      <w:pPr>
                        <w:ind w:firstLine="720"/>
                        <w:jc w:val="both"/>
                        <w:rPr>
                          <w:szCs w:val="24"/>
                        </w:rPr>
                      </w:pPr>
                      <w:r>
                        <w:rPr>
                          <w:lang w:eastAsia="lt-LT"/>
                        </w:rPr>
                        <w:drawing>
                          <wp:inline distT="0" distB="0" distL="0" distR="0">
                            <wp:extent cx="220980" cy="302006"/>
                            <wp:effectExtent l="0" t="0" r="7620" b="3175"/>
                            <wp:docPr id="16" name="Paveikslėlis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23335" cy="305225"/>
                                    </a:xfrm>
                                    <a:prstGeom prst="rect">
                                      <a:avLst/>
                                    </a:prstGeom>
                                  </pic:spPr>
                                </pic:pic>
                              </a:graphicData>
                            </a:graphic>
                          </wp:inline>
                        </w:drawing>
                      </w:r>
                      <w:r>
                        <w:rPr>
                          <w:szCs w:val="24"/>
                        </w:rPr>
                        <w:t xml:space="preserve"> – i-tosios ASPĮ vidutinės vaistų, reagentų sąnaudos,</w:t>
                      </w:r>
                    </w:p>
                    <w:p>
                      <w:pPr>
                        <w:ind w:firstLine="720"/>
                        <w:jc w:val="both"/>
                        <w:rPr>
                          <w:szCs w:val="24"/>
                        </w:rPr>
                      </w:pPr>
                      <w:r>
                        <w:rPr>
                          <w:lang w:eastAsia="lt-LT"/>
                        </w:rPr>
                        <w:drawing>
                          <wp:inline distT="0" distB="0" distL="0" distR="0">
                            <wp:extent cx="290286" cy="304800"/>
                            <wp:effectExtent l="0" t="0" r="0"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93132" cy="307788"/>
                                    </a:xfrm>
                                    <a:prstGeom prst="rect">
                                      <a:avLst/>
                                    </a:prstGeom>
                                  </pic:spPr>
                                </pic:pic>
                              </a:graphicData>
                            </a:graphic>
                          </wp:inline>
                        </w:drawing>
                      </w:r>
                      <w:r>
                        <w:rPr>
                          <w:szCs w:val="24"/>
                        </w:rPr>
                        <w:t xml:space="preserve"> – i-tosios ASPĮ vidutinės tvarsliavos ir kitos vienkartinių priemonių sąnaudos,</w:t>
                      </w:r>
                    </w:p>
                    <w:p>
                      <w:pPr>
                        <w:ind w:firstLine="720"/>
                        <w:jc w:val="both"/>
                        <w:rPr>
                          <w:szCs w:val="24"/>
                        </w:rPr>
                      </w:pPr>
                      <w:r>
                        <w:rPr>
                          <w:lang w:eastAsia="lt-LT"/>
                        </w:rPr>
                        <w:drawing>
                          <wp:inline distT="0" distB="0" distL="0" distR="0">
                            <wp:extent cx="243840" cy="266007"/>
                            <wp:effectExtent l="0" t="0" r="3810" b="1270"/>
                            <wp:docPr id="12"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44842" cy="267100"/>
                                    </a:xfrm>
                                    <a:prstGeom prst="rect">
                                      <a:avLst/>
                                    </a:prstGeom>
                                  </pic:spPr>
                                </pic:pic>
                              </a:graphicData>
                            </a:graphic>
                          </wp:inline>
                        </w:drawing>
                      </w:r>
                      <w:r>
                        <w:rPr>
                          <w:szCs w:val="24"/>
                        </w:rPr>
                        <w:t xml:space="preserve"> – i-tosios ASPĮ vidutinės tyrimų ir procedūrų sąnaudos,</w:t>
                      </w:r>
                    </w:p>
                    <w:p>
                      <w:pPr>
                        <w:ind w:firstLine="720"/>
                        <w:jc w:val="both"/>
                        <w:rPr>
                          <w:szCs w:val="24"/>
                        </w:rPr>
                      </w:pPr>
                      <w:r>
                        <w:rPr>
                          <w:lang w:eastAsia="lt-LT"/>
                        </w:rPr>
                        <w:drawing>
                          <wp:inline distT="0" distB="0" distL="0" distR="0">
                            <wp:extent cx="205740" cy="281178"/>
                            <wp:effectExtent l="0" t="0" r="3810" b="508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08520" cy="284977"/>
                                    </a:xfrm>
                                    <a:prstGeom prst="rect">
                                      <a:avLst/>
                                    </a:prstGeom>
                                  </pic:spPr>
                                </pic:pic>
                              </a:graphicData>
                            </a:graphic>
                          </wp:inline>
                        </w:drawing>
                      </w:r>
                      <w:r>
                        <w:rPr>
                          <w:szCs w:val="24"/>
                        </w:rPr>
                        <w:t xml:space="preserve"> –</w:t>
                      </w:r>
                      <w:r>
                        <w:rPr>
                          <w:szCs w:val="24"/>
                          <w:vertAlign w:val="subscript"/>
                        </w:rPr>
                        <w:t xml:space="preserve"> </w:t>
                      </w:r>
                      <w:r>
                        <w:rPr>
                          <w:szCs w:val="24"/>
                        </w:rPr>
                        <w:t>i-tosios ASPĮ medicinos priemonių, naudojamų teikiant atitinkamas asmens sveikatos priežiūros paslaugas pacientų namuose, vidutinės nuomos sąnaudos,</w:t>
                      </w:r>
                    </w:p>
                    <w:p>
                      <w:pPr>
                        <w:ind w:firstLine="720"/>
                        <w:jc w:val="both"/>
                        <w:rPr>
                          <w:szCs w:val="24"/>
                        </w:rPr>
                      </w:pPr>
                      <w:r>
                        <w:rPr>
                          <w:lang w:eastAsia="lt-LT"/>
                        </w:rPr>
                        <w:drawing>
                          <wp:inline distT="0" distB="0" distL="0" distR="0">
                            <wp:extent cx="220980" cy="265176"/>
                            <wp:effectExtent l="0" t="0" r="7620" b="1905"/>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23715" cy="268458"/>
                                    </a:xfrm>
                                    <a:prstGeom prst="rect">
                                      <a:avLst/>
                                    </a:prstGeom>
                                  </pic:spPr>
                                </pic:pic>
                              </a:graphicData>
                            </a:graphic>
                          </wp:inline>
                        </w:drawing>
                      </w:r>
                      <w:r>
                        <w:rPr>
                          <w:szCs w:val="24"/>
                        </w:rPr>
                        <w:t xml:space="preserve"> – i-tosios ASPĮ vidutinės bendrosios ir administracinės bei ūkio sąnaudos pagal šios ASPĮ lygmenį,</w:t>
                      </w:r>
                    </w:p>
                    <w:p>
                      <w:pPr>
                        <w:tabs>
                          <w:tab w:val="num" w:pos="567"/>
                        </w:tabs>
                        <w:ind w:firstLine="709"/>
                        <w:jc w:val="both"/>
                        <w:rPr>
                          <w:szCs w:val="24"/>
                        </w:rPr>
                      </w:pPr>
                      <w:r>
                        <w:rPr>
                          <w:lang w:eastAsia="lt-LT"/>
                        </w:rPr>
                        <w:drawing>
                          <wp:inline distT="0" distB="0" distL="0" distR="0">
                            <wp:extent cx="152400" cy="178676"/>
                            <wp:effectExtent l="0" t="0" r="0" b="0"/>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54564" cy="181213"/>
                                    </a:xfrm>
                                    <a:prstGeom prst="rect">
                                      <a:avLst/>
                                    </a:prstGeom>
                                  </pic:spPr>
                                </pic:pic>
                              </a:graphicData>
                            </a:graphic>
                          </wp:inline>
                        </w:drawing>
                      </w:r>
                      <w:r>
                        <w:t xml:space="preserve"> </w:t>
                      </w:r>
                      <w:r>
                        <w:rPr>
                          <w:szCs w:val="24"/>
                        </w:rPr>
                        <w:t xml:space="preserve">– ASPĮ, ataskaitiniais metais suteikusios daugiausia atitinkamų paslaugų, ilgalaikio </w:t>
                      </w:r>
                    </w:p>
                    <w:p>
                      <w:pPr>
                        <w:tabs>
                          <w:tab w:val="num" w:pos="567"/>
                        </w:tabs>
                        <w:ind w:firstLine="709"/>
                        <w:jc w:val="both"/>
                        <w:rPr>
                          <w:szCs w:val="24"/>
                          <w:lang w:eastAsia="lt-LT"/>
                        </w:rPr>
                      </w:pPr>
                      <w:r>
                        <w:rPr>
                          <w:szCs w:val="24"/>
                        </w:rPr>
                        <w:t>materialiojo turto (medicinos priemonės (-ių)), tiesiogiai susijusio su šios paslaugos teikimu ir įsigyto ASPĮ lėšomis, taip pat ilgalaikio materialiojo turto (medicinos priemonės (-ių)), kurį ASPĮ valdo patikėjimo teise arba kuris yra įsigytas kitų finansavimo šaltinių lėšomis ir kurio įsigijimo vertė neviršija vertės, nurodytos brangios medicinos priemonės sąvokos apibrėžime, pateikiamame Brangių medicinos priemonių įsigijimo koordinavimo šalies mastu tvarkos apraše, patvirtintame Lietuvos Respublikos sveikatos apsaugos ministro 2012 m. spalio 22 d. įsakymu Nr. V-947 „Dėl Brangių medicinos priemonių įsigijimo koordinavimo šalies mastu tvarkos aprašo patvirtinimo“, nusidėvėjimo ir amortizacijos sąnaudos;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d36b0990211e58fd1fc0b9bba68a7">
                        <w:r w:rsidRPr="00532B9F">
                          <w:rPr>
                            <w:rFonts w:ascii="Times New Roman" w:eastAsia="MS Mincho" w:hAnsi="Times New Roman"/>
                            <w:sz w:val="20"/>
                            <w:i/>
                            <w:iCs/>
                            <w:color w:val="0000FF" w:themeColor="hyperlink"/>
                            <w:u w:val="single"/>
                          </w:rPr>
                          <w:t>V-1324</w:t>
                        </w:r>
                      </w:fldSimple>
                      <w:r>
                        <w:rPr>
                          <w:rFonts w:ascii="Times New Roman" w:eastAsia="MS Mincho" w:hAnsi="Times New Roman"/>
                          <w:sz w:val="20"/>
                          <w:i/>
                          <w:iCs/>
                        </w:rPr>
                        <w:t>,
2015-11-23,
paskelbta TAR 2015-12-02, i. k. 2015-19194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de903d8611e89ba7f73323f8faa4">
                        <w:r w:rsidRPr="00532B9F">
                          <w:rPr>
                            <w:rFonts w:ascii="Times New Roman" w:eastAsia="MS Mincho" w:hAnsi="Times New Roman"/>
                            <w:sz w:val="20"/>
                            <w:i/>
                            <w:iCs/>
                            <w:color w:val="0000FF" w:themeColor="hyperlink"/>
                            <w:u w:val="single"/>
                          </w:rPr>
                          <w:t>V-409</w:t>
                        </w:r>
                      </w:fldSimple>
                      <w:r>
                        <w:rPr>
                          <w:rFonts w:ascii="Times New Roman" w:eastAsia="MS Mincho" w:hAnsi="Times New Roman"/>
                          <w:sz w:val="20"/>
                          <w:i/>
                          <w:iCs/>
                        </w:rPr>
                        <w:t>,
2018-04-10,
paskelbta TAR 2018-04-12, i. k. 2018-05888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997a0676611e9917e8e4938a80ccb">
                        <w:r w:rsidRPr="00532B9F">
                          <w:rPr>
                            <w:rFonts w:ascii="Times New Roman" w:eastAsia="MS Mincho" w:hAnsi="Times New Roman"/>
                            <w:sz w:val="20"/>
                            <w:i/>
                            <w:iCs/>
                            <w:color w:val="0000FF" w:themeColor="hyperlink"/>
                            <w:u w:val="single"/>
                          </w:rPr>
                          <w:t>V-495</w:t>
                        </w:r>
                      </w:fldSimple>
                      <w:r>
                        <w:rPr>
                          <w:rFonts w:ascii="Times New Roman" w:eastAsia="MS Mincho" w:hAnsi="Times New Roman"/>
                          <w:sz w:val="20"/>
                          <w:i/>
                          <w:iCs/>
                        </w:rPr>
                        <w:t>,
2019-04-24,
paskelbta TAR 2019-04-26, i. k. 2019-06795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7f6800e1b11ebb74de75171d26d52">
                        <w:r w:rsidRPr="00532B9F">
                          <w:rPr>
                            <w:rFonts w:ascii="Times New Roman" w:eastAsia="MS Mincho" w:hAnsi="Times New Roman"/>
                            <w:sz w:val="20"/>
                            <w:i/>
                            <w:iCs/>
                            <w:color w:val="0000FF" w:themeColor="hyperlink"/>
                            <w:u w:val="single"/>
                          </w:rPr>
                          <w:t>V-2265</w:t>
                        </w:r>
                      </w:fldSimple>
                      <w:r>
                        <w:rPr>
                          <w:rFonts w:ascii="Times New Roman" w:eastAsia="MS Mincho" w:hAnsi="Times New Roman"/>
                          <w:sz w:val="20"/>
                          <w:i/>
                          <w:iCs/>
                        </w:rPr>
                        <w:t>,
2020-10-14,
paskelbta TAR 2020-10-14, i. k. 2020-21348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8135a0095d11ec9f09e7df20500045">
                        <w:r w:rsidRPr="00532B9F">
                          <w:rPr>
                            <w:rFonts w:ascii="Times New Roman" w:eastAsia="MS Mincho" w:hAnsi="Times New Roman"/>
                            <w:sz w:val="20"/>
                            <w:i/>
                            <w:iCs/>
                            <w:color w:val="0000FF" w:themeColor="hyperlink"/>
                            <w:u w:val="single"/>
                          </w:rPr>
                          <w:t>V-1958</w:t>
                        </w:r>
                      </w:fldSimple>
                      <w:r>
                        <w:rPr>
                          <w:rFonts w:ascii="Times New Roman" w:eastAsia="MS Mincho" w:hAnsi="Times New Roman"/>
                          <w:sz w:val="20"/>
                          <w:i/>
                          <w:iCs/>
                        </w:rPr>
                        <w:t>,
2021-08-30,
paskelbta TAR 2021-08-30, i. k. 2021-18235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b5a3f0f8fd11ec8fa7d02a65c371ad">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2022-07-01,
paskelbta TAR 2022-07-01, i. k. 2022-14341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474907a2211eea5a28c81c82193a8">
                        <w:r w:rsidRPr="00532B9F">
                          <w:rPr>
                            <w:rFonts w:ascii="Times New Roman" w:eastAsia="MS Mincho" w:hAnsi="Times New Roman"/>
                            <w:sz w:val="20"/>
                            <w:i/>
                            <w:iCs/>
                            <w:color w:val="0000FF" w:themeColor="hyperlink"/>
                            <w:u w:val="single"/>
                          </w:rPr>
                          <w:t>V-1141</w:t>
                        </w:r>
                      </w:fldSimple>
                      <w:r>
                        <w:rPr>
                          <w:rFonts w:ascii="Times New Roman" w:eastAsia="MS Mincho" w:hAnsi="Times New Roman"/>
                          <w:sz w:val="20"/>
                          <w:i/>
                          <w:iCs/>
                        </w:rPr>
                        <w:t>,
2023-11-03,
paskelbta TAR 2023-11-03, i. k. 2023-21494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2e9d50c5bd11eea5a28c81c82193a8">
                        <w:r w:rsidRPr="00532B9F">
                          <w:rPr>
                            <w:rFonts w:ascii="Times New Roman" w:eastAsia="MS Mincho" w:hAnsi="Times New Roman"/>
                            <w:sz w:val="20"/>
                            <w:i/>
                            <w:iCs/>
                            <w:color w:val="0000FF" w:themeColor="hyperlink"/>
                            <w:u w:val="single"/>
                          </w:rPr>
                          <w:t>V-159</w:t>
                        </w:r>
                      </w:fldSimple>
                      <w:r>
                        <w:rPr>
                          <w:rFonts w:ascii="Times New Roman" w:eastAsia="MS Mincho" w:hAnsi="Times New Roman"/>
                          <w:sz w:val="20"/>
                          <w:i/>
                          <w:iCs/>
                        </w:rPr>
                        <w:t>,
2024-02-06,
paskelbta TAR 2024-02-07, i. k. 2024-02245            </w:t>
                      </w:r>
                    </w:p>
                    <w:p/>
                  </w:sdtContent>
                </w:sdt>
                <w:sdt>
                  <w:sdtPr>
                    <w:alias w:val="11.2 pp."/>
                    <w:tag w:val="part_20237667dd964bbc87c13ed1d6e68d6a"/>
                    <w:lock w:val="sdtLocked"/>
                    <w:richText/>
                  </w:sdtPr>
                  <w:sdtContent>
                    <w:p>
                      <w:pPr>
                        <w:tabs>
                          <w:tab w:val="left" w:pos="709"/>
                        </w:tabs>
                        <w:ind w:firstLine="567"/>
                        <w:jc w:val="both"/>
                        <w:rPr>
                          <w:rFonts w:eastAsia="Calibri"/>
                          <w:sz w:val="22"/>
                          <w:szCs w:val="22"/>
                        </w:rPr>
                      </w:pPr>
                      <w:sdt>
                        <w:sdtPr>
                          <w:alias w:val="Numeris"/>
                          <w:tag w:val="nr_20237667dd964bbc87c13ed1d6e68d6a"/>
                          <w:lock w:val="sdtLocked"/>
                          <w:richText/>
                        </w:sdtPr>
                        <w:sdtContent>
                          <w:r>
                            <w:rPr>
                              <w:rFonts w:eastAsia="Calibri"/>
                              <w:szCs w:val="24"/>
                            </w:rPr>
                            <w:t>11.2</w:t>
                          </w:r>
                        </w:sdtContent>
                      </w:sdt>
                      <w:r>
                        <w:rPr>
                          <w:rFonts w:eastAsia="Calibri"/>
                          <w:szCs w:val="24"/>
                        </w:rPr>
                        <w:t>. i-tosios ASPĮ personalo, tiesiogiai susijusio su atitinkamos paslaugos teikimu, vidutinės (etato) darbo užmokesčio sąnaudos</w:t>
                      </w:r>
                      <m:oMath>
                        <m:r>
                          <w:rPr>
                            <w:rFonts w:ascii="Cambria Math" w:hAnsi="Cambria Math"/>
                          </w:rPr>
                          <m:t xml:space="preserve"> (</m:t>
                        </m:r>
                        <m:sSub>
                          <m:sSubPr>
                            <m:ctrlPr>
                              <w:rPr>
                                <w:rFonts w:ascii="Cambria Math" w:hAnsi="Cambria Math"/>
                                <w:i/>
                              </w:rPr>
                            </m:ctrlPr>
                          </m:sSubPr>
                          <m:e>
                            <m:r>
                              <w:rPr>
                                <w:rFonts w:ascii="Cambria Math" w:hAnsi="Cambria Math"/>
                              </w:rPr>
                              <m:t>I</m:t>
                            </m:r>
                          </m:e>
                          <m:sub>
                            <m:sSub>
                              <m:sSubPr>
                                <m:ctrlPr>
                                  <w:rPr>
                                    <w:rFonts w:ascii="Cambria Math" w:hAnsi="Cambria Math"/>
                                    <w:i/>
                                  </w:rPr>
                                </m:ctrlPr>
                              </m:sSubPr>
                              <m:e>
                                <m:r>
                                  <w:rPr>
                                    <w:rFonts w:ascii="Cambria Math" w:hAnsi="Cambria Math"/>
                                  </w:rPr>
                                  <m:t>du</m:t>
                                </m:r>
                              </m:e>
                              <m:sub>
                                <m:r>
                                  <w:rPr>
                                    <w:rFonts w:ascii="Cambria Math" w:hAnsi="Cambria Math"/>
                                  </w:rPr>
                                  <m:t>i</m:t>
                                </m:r>
                              </m:sub>
                            </m:sSub>
                          </m:sub>
                        </m:sSub>
                      </m:oMath>
                      <w:r>
                        <w:rPr>
                          <w:rFonts w:eastAsia="Calibri"/>
                          <w:sz w:val="22"/>
                          <w:szCs w:val="22"/>
                        </w:rPr>
                        <w:t>) apskaičiuojamos taip:</w:t>
                      </w:r>
                    </w:p>
                    <w:p>
                      <w:pPr>
                        <w:tabs>
                          <w:tab w:val="left" w:pos="993"/>
                          <w:tab w:val="left" w:pos="1134"/>
                        </w:tabs>
                        <w:ind w:firstLine="567"/>
                        <w:jc w:val="both"/>
                        <w:rPr>
                          <w:i/>
                          <w:szCs w:val="24"/>
                        </w:rPr>
                      </w:pPr>
                      <m:oMathPara>
                        <m:oMath>
                          <m:sSub>
                            <m:sSubPr>
                              <m:ctrlPr>
                                <w:rPr>
                                  <w:rFonts w:ascii="Cambria Math" w:hAnsi="Cambria Math"/>
                                  <w:i/>
                                </w:rPr>
                              </m:ctrlPr>
                            </m:sSubPr>
                            <m:e>
                              <m:r>
                                <w:rPr>
                                  <w:rFonts w:ascii="Cambria Math" w:hAnsi="Cambria Math"/>
                                </w:rPr>
                                <m:t>I</m:t>
                              </m:r>
                            </m:e>
                            <m:sub>
                              <m:sSub>
                                <m:sSubPr>
                                  <m:ctrlPr>
                                    <w:rPr>
                                      <w:rFonts w:ascii="Cambria Math" w:hAnsi="Cambria Math"/>
                                      <w:i/>
                                    </w:rPr>
                                  </m:ctrlPr>
                                </m:sSubPr>
                                <m:e>
                                  <m:r>
                                    <w:rPr>
                                      <w:rFonts w:ascii="Cambria Math" w:hAnsi="Cambria Math"/>
                                    </w:rPr>
                                    <m:t>du</m:t>
                                  </m:r>
                                </m:e>
                                <m:sub>
                                  <m:r>
                                    <w:rPr>
                                      <w:rFonts w:ascii="Cambria Math" w:hAnsi="Cambria Math"/>
                                    </w:rPr>
                                    <m:t>i</m:t>
                                  </m:r>
                                </m:sub>
                              </m:sSub>
                            </m:sub>
                          </m:sSub>
                          <m:r>
                            <w:rPr>
                              <w:rFonts w:ascii="Cambria Math" w:hAnsi="Cambria Math"/>
                            </w:rPr>
                            <m:t>=</m:t>
                          </m:r>
                          <m:sSub>
                            <m:sSubPr>
                              <m:ctrlPr>
                                <w:rPr>
                                  <w:rFonts w:ascii="Cambria Math" w:hAnsi="Cambria Math"/>
                                  <w:i/>
                                </w:rPr>
                              </m:ctrlPr>
                            </m:sSubPr>
                            <m:e>
                              <m:r>
                                <w:rPr>
                                  <w:rFonts w:ascii="Cambria Math" w:hAnsi="Cambria Math"/>
                                </w:rPr>
                                <m:t>D</m:t>
                              </m:r>
                            </m:e>
                            <m:sub>
                              <m:sSub>
                                <m:sSubPr>
                                  <m:ctrlPr>
                                    <w:rPr>
                                      <w:rFonts w:ascii="Cambria Math" w:hAnsi="Cambria Math"/>
                                      <w:i/>
                                    </w:rPr>
                                  </m:ctrlPr>
                                </m:sSubPr>
                                <m:e>
                                  <m:r>
                                    <w:rPr>
                                      <w:rFonts w:ascii="Cambria Math" w:hAnsi="Cambria Math"/>
                                    </w:rPr>
                                    <m:t>l</m:t>
                                  </m:r>
                                </m:e>
                                <m:sub>
                                  <m:r>
                                    <w:rPr>
                                      <w:rFonts w:ascii="Cambria Math" w:hAnsi="Cambria Math"/>
                                    </w:rPr>
                                    <m:t>i</m:t>
                                  </m:r>
                                </m:sub>
                              </m:sSub>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u</m:t>
                              </m:r>
                            </m:sub>
                          </m:sSub>
                          <m:r>
                            <w:rPr>
                              <w:rFonts w:ascii="Cambria Math" w:hAnsi="Cambria Math"/>
                            </w:rPr>
                            <m:t xml:space="preserve"> ,</m:t>
                          </m:r>
                        </m:oMath>
                      </m:oMathPara>
                    </w:p>
                    <w:p>
                      <w:pPr>
                        <w:ind w:left="851" w:firstLine="567"/>
                        <w:jc w:val="both"/>
                        <w:rPr>
                          <w:szCs w:val="24"/>
                        </w:rPr>
                      </w:pPr>
                      <w:r>
                        <w:rPr>
                          <w:szCs w:val="24"/>
                        </w:rPr>
                        <w:t>kai:</w:t>
                      </w:r>
                    </w:p>
                    <w:p>
                      <w:pPr>
                        <w:ind w:firstLine="567"/>
                        <w:jc w:val="both"/>
                        <w:rPr>
                          <w:szCs w:val="24"/>
                        </w:rPr>
                      </w:pPr>
                      <m:oMath>
                        <m:sSub>
                          <m:sSubPr>
                            <m:ctrlPr>
                              <w:rPr>
                                <w:rFonts w:ascii="Cambria Math" w:hAnsi="Cambria Math"/>
                                <w:i/>
                              </w:rPr>
                            </m:ctrlPr>
                          </m:sSubPr>
                          <m:e>
                            <m:r>
                              <w:rPr>
                                <w:rFonts w:ascii="Cambria Math" w:hAnsi="Cambria Math"/>
                              </w:rPr>
                              <m:t>I</m:t>
                            </m:r>
                          </m:e>
                          <m:sub>
                            <m:sSub>
                              <m:sSubPr>
                                <m:ctrlPr>
                                  <w:rPr>
                                    <w:rFonts w:ascii="Cambria Math" w:hAnsi="Cambria Math"/>
                                    <w:i/>
                                  </w:rPr>
                                </m:ctrlPr>
                              </m:sSubPr>
                              <m:e>
                                <m:r>
                                  <w:rPr>
                                    <w:rFonts w:ascii="Cambria Math" w:hAnsi="Cambria Math"/>
                                  </w:rPr>
                                  <m:t>du</m:t>
                                </m:r>
                              </m:e>
                              <m:sub>
                                <m:r>
                                  <w:rPr>
                                    <w:rFonts w:ascii="Cambria Math" w:hAnsi="Cambria Math"/>
                                  </w:rPr>
                                  <m:t>i</m:t>
                                </m:r>
                              </m:sub>
                            </m:sSub>
                          </m:sub>
                        </m:sSub>
                      </m:oMath>
                      <w:r>
                        <w:rPr>
                          <w:szCs w:val="24"/>
                        </w:rPr>
                        <w:t>– i-tosios ASPĮ personalo, tiesiogiai susijusio su atitinkamos paslaugos teikimu, vidutinės (etato) darbo užmokesčio sąnaudos,</w:t>
                      </w:r>
                    </w:p>
                    <w:p>
                      <w:pPr>
                        <w:ind w:firstLine="567"/>
                        <w:jc w:val="both"/>
                        <w:rPr>
                          <w:szCs w:val="24"/>
                        </w:rPr>
                      </w:pPr>
                      <w:r>
                        <w:rPr>
                          <w:szCs w:val="24"/>
                        </w:rPr>
                        <w:object w:dxaOrig="340" w:dyaOrig="380">
                          <v:shape id="_x0000_i1027" type="#_x0000_t75" style="width:17.55pt;height:19.4pt" o:ole="">
                            <v:imagedata r:id="rId29" o:title=""/>
                          </v:shape>
                          <o:OLEObject Type="Embed" ProgID="Equation.3" ShapeID="_x0000_i1027" DrawAspect="Content" ObjectID="_0000000001" r:id="rId30"/>
                        </w:object>
                        <w:t xml:space="preserve"> – nustatytos darbo laiko sąnaudos (val., min.) i-tosios ASPĮ atitinkamai asmens sveikatos priežiūros paslaugai suteikti,</w:t>
                      </w:r>
                    </w:p>
                    <w:p>
                      <w:pPr>
                        <w:ind w:firstLine="567"/>
                        <w:jc w:val="both"/>
                        <w:rPr>
                          <w:szCs w:val="24"/>
                          <w:lang w:eastAsia="lt-LT"/>
                        </w:rPr>
                      </w:pPr>
                      <m:oMath>
                        <m:sSub>
                          <m:sSubPr>
                            <m:ctrlPr>
                              <w:rPr>
                                <w:rFonts w:ascii="Cambria Math" w:hAnsi="Cambria Math"/>
                                <w:i/>
                              </w:rPr>
                            </m:ctrlPr>
                          </m:sSubPr>
                          <m:e>
                            <m:r>
                              <w:rPr>
                                <w:rFonts w:ascii="Cambria Math" w:hAnsi="Cambria Math"/>
                              </w:rPr>
                              <m:t>D</m:t>
                            </m:r>
                          </m:e>
                          <m:sub>
                            <m:r>
                              <w:rPr>
                                <w:rFonts w:ascii="Cambria Math" w:hAnsi="Cambria Math"/>
                              </w:rPr>
                              <m:t>u</m:t>
                            </m:r>
                          </m:sub>
                        </m:sSub>
                      </m:oMath>
                      <w:r>
                        <w:rPr>
                          <w:szCs w:val="24"/>
                        </w:rPr>
                        <w:t>– vidutinis šalies (valandinis) ataskaitinio laikotarpio atitinkamos ASPĮ personalo kategorijos, tiesiogiai susijusios su tam tikros paslaugos teikimu, darbo užmokestis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fd830a56411ea9515f752ff221ec9">
                        <w:r w:rsidRPr="00532B9F">
                          <w:rPr>
                            <w:rFonts w:ascii="Times New Roman" w:eastAsia="MS Mincho" w:hAnsi="Times New Roman"/>
                            <w:sz w:val="20"/>
                            <w:i/>
                            <w:iCs/>
                            <w:color w:val="0000FF" w:themeColor="hyperlink"/>
                            <w:u w:val="single"/>
                          </w:rPr>
                          <w:t>V-1354</w:t>
                        </w:r>
                      </w:fldSimple>
                      <w:r>
                        <w:rPr>
                          <w:rFonts w:ascii="Times New Roman" w:eastAsia="MS Mincho" w:hAnsi="Times New Roman"/>
                          <w:sz w:val="20"/>
                          <w:i/>
                          <w:iCs/>
                        </w:rPr>
                        <w:t>,
2020-06-02,
paskelbta TAR 2020-06-03, i. k. 2020-12045            </w:t>
                      </w:r>
                    </w:p>
                    <w:p/>
                  </w:sdtContent>
                </w:sdt>
                <w:sdt>
                  <w:sdtPr>
                    <w:alias w:val="11.3 pp."/>
                    <w:tag w:val="part_c9d9fef38cd84609b4a1b3c59e45decf"/>
                    <w:lock w:val="sdtLocked"/>
                    <w:richText/>
                  </w:sdtPr>
                  <w:sdtContent>
                    <w:p>
                      <w:pPr>
                        <w:ind w:firstLine="567"/>
                        <w:jc w:val="both"/>
                        <w:rPr>
                          <w:szCs w:val="24"/>
                          <w:lang w:eastAsia="lt-LT"/>
                        </w:rPr>
                      </w:pPr>
                      <w:sdt>
                        <w:sdtPr>
                          <w:alias w:val="Numeris"/>
                          <w:tag w:val="nr_c9d9fef38cd84609b4a1b3c59e45decf"/>
                          <w:lock w:val="sdtLocked"/>
                          <w:richText/>
                        </w:sdtPr>
                        <w:sdtContent>
                          <w:r>
                            <w:rPr>
                              <w:szCs w:val="24"/>
                              <w:lang w:eastAsia="lt-LT"/>
                            </w:rPr>
                            <w:t>11.3</w:t>
                          </w:r>
                        </w:sdtContent>
                      </w:sdt>
                      <w:r>
                        <w:rPr>
                          <w:szCs w:val="24"/>
                          <w:lang w:eastAsia="lt-LT"/>
                        </w:rPr>
                        <w:t>. i-tosios ASPĮ vidutinės tyrimų ir procedūrų sąnaudos (</w:t>
                      </w:r>
                      <w:r>
                        <w:rPr>
                          <w:position w:val="-14"/>
                          <w:szCs w:val="24"/>
                          <w:lang w:eastAsia="lt-LT"/>
                        </w:rPr>
                        <w:object w:dxaOrig="345" w:dyaOrig="375">
                          <v:shape id="_x0000_i1028" type="#_x0000_t75" style="width:17.55pt;height:19.4pt" o:ole="">
                            <v:imagedata r:id="rId31" o:title=""/>
                          </v:shape>
                          <o:OLEObject Type="Embed" ProgID="Equation.3" ShapeID="_x0000_i1028" DrawAspect="Content" ObjectID="_0000000001" r:id="rId32"/>
                        </w:object>
                      </w:r>
                      <w:r>
                        <w:rPr>
                          <w:szCs w:val="24"/>
                          <w:lang w:eastAsia="lt-LT"/>
                        </w:rPr>
                        <w:t>) priskiriamos proporcingai atliktų tyrimų ir procedūrų skaičiui atitinkamoms asmens sveikatos priežiūros paslaugoms;</w:t>
                      </w:r>
                    </w:p>
                  </w:sdtContent>
                </w:sdt>
                <w:sdt>
                  <w:sdtPr>
                    <w:alias w:val="11.4 pp."/>
                    <w:tag w:val="part_c1eb35578a604353a36a8ea80347bdfd"/>
                    <w:lock w:val="sdtLocked"/>
                    <w:richText/>
                  </w:sdtPr>
                  <w:sdtContent>
                    <w:p>
                      <w:pPr>
                        <w:ind w:firstLine="567"/>
                        <w:jc w:val="both"/>
                        <w:rPr>
                          <w:szCs w:val="24"/>
                          <w:lang w:eastAsia="lt-LT"/>
                        </w:rPr>
                      </w:pPr>
                      <w:sdt>
                        <w:sdtPr>
                          <w:alias w:val="Numeris"/>
                          <w:tag w:val="nr_c1eb35578a604353a36a8ea80347bdfd"/>
                          <w:lock w:val="sdtLocked"/>
                          <w:richText/>
                        </w:sdtPr>
                        <w:sdtContent>
                          <w:r>
                            <w:rPr>
                              <w:szCs w:val="24"/>
                            </w:rPr>
                            <w:t>11.4</w:t>
                          </w:r>
                        </w:sdtContent>
                      </w:sdt>
                      <w:r>
                        <w:rPr>
                          <w:szCs w:val="24"/>
                        </w:rPr>
                        <w:t>. i-tosios ASPĮ vidutinės vaistų, reagentų sąnaudos (</w:t>
                      </w:r>
                      <m:oMath>
                        <m:sSub>
                          <m:sSubPr>
                            <m:ctrlPr>
                              <w:rPr>
                                <w:rFonts w:ascii="Cambria Math" w:hAnsi="Cambria Math"/>
                                <w:i/>
                              </w:rPr>
                            </m:ctrlPr>
                          </m:sSubPr>
                          <m:e>
                            <m:r>
                              <w:rPr>
                                <w:rFonts w:ascii="Cambria Math" w:hAnsi="Cambria Math"/>
                              </w:rPr>
                              <m:t>I</m:t>
                            </m:r>
                          </m:e>
                          <m:sub>
                            <m:sSub>
                              <m:sSubPr>
                                <m:ctrlPr>
                                  <w:rPr>
                                    <w:rFonts w:ascii="Cambria Math" w:hAnsi="Cambria Math"/>
                                    <w:i/>
                                  </w:rPr>
                                </m:ctrlPr>
                              </m:sSubPr>
                              <m:e>
                                <m:r>
                                  <w:rPr>
                                    <w:rFonts w:ascii="Cambria Math" w:hAnsi="Cambria Math"/>
                                  </w:rPr>
                                  <m:t>vr</m:t>
                                </m:r>
                              </m:e>
                              <m:sub>
                                <m:r>
                                  <w:rPr>
                                    <w:rFonts w:ascii="Cambria Math" w:hAnsi="Cambria Math"/>
                                  </w:rPr>
                                  <m:t>i</m:t>
                                </m:r>
                              </m:sub>
                            </m:sSub>
                          </m:sub>
                        </m:sSub>
                      </m:oMath>
                      <w:r>
                        <w:rPr>
                          <w:szCs w:val="24"/>
                        </w:rPr>
                        <w:t>), tenkančios atitinkamai asmens sveikatos priežiūros paslaugai, apskaičiuojamos atsižvelgiant į faktinių atitinkamos asmens sveikatos priežiūros paslaugos sąnaudų dalį, tenkančią vaistams ir reagentams;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fd830a56411ea9515f752ff221ec9">
                        <w:r w:rsidRPr="00532B9F">
                          <w:rPr>
                            <w:rFonts w:ascii="Times New Roman" w:eastAsia="MS Mincho" w:hAnsi="Times New Roman"/>
                            <w:sz w:val="20"/>
                            <w:i/>
                            <w:iCs/>
                            <w:color w:val="0000FF" w:themeColor="hyperlink"/>
                            <w:u w:val="single"/>
                          </w:rPr>
                          <w:t>V-1354</w:t>
                        </w:r>
                      </w:fldSimple>
                      <w:r>
                        <w:rPr>
                          <w:rFonts w:ascii="Times New Roman" w:eastAsia="MS Mincho" w:hAnsi="Times New Roman"/>
                          <w:sz w:val="20"/>
                          <w:i/>
                          <w:iCs/>
                        </w:rPr>
                        <w:t>,
2020-06-02,
paskelbta TAR 2020-06-03, i. k. 2020-12045            </w:t>
                      </w:r>
                    </w:p>
                    <w:p/>
                  </w:sdtContent>
                </w:sdt>
                <w:sdt>
                  <w:sdtPr>
                    <w:alias w:val="11.5 pp."/>
                    <w:tag w:val="part_9e53c1a7bf834dad96df49a075cc7c73"/>
                    <w:lock w:val="sdtLocked"/>
                    <w:richText/>
                  </w:sdtPr>
                  <w:sdtContent>
                    <w:p>
                      <w:pPr>
                        <w:tabs>
                          <w:tab w:val="left" w:pos="567"/>
                          <w:tab w:val="left" w:pos="709"/>
                          <w:tab w:val="left" w:pos="993"/>
                          <w:tab w:val="left" w:pos="1134"/>
                        </w:tabs>
                        <w:ind w:firstLine="691"/>
                        <w:jc w:val="both"/>
                        <w:rPr>
                          <w:szCs w:val="24"/>
                        </w:rPr>
                      </w:pPr>
                      <w:sdt>
                        <w:sdtPr>
                          <w:alias w:val="Numeris"/>
                          <w:tag w:val="nr_9e53c1a7bf834dad96df49a075cc7c73"/>
                          <w:lock w:val="sdtLocked"/>
                          <w:richText/>
                        </w:sdtPr>
                        <w:sdtContent>
                          <w:r>
                            <w:rPr>
                              <w:szCs w:val="24"/>
                            </w:rPr>
                            <w:t>11.5</w:t>
                          </w:r>
                        </w:sdtContent>
                      </w:sdt>
                      <w:r>
                        <w:rPr>
                          <w:szCs w:val="24"/>
                        </w:rPr>
                        <w:t>. i-tosios ASPĮ vidutinės bendrosios ir administracinės bei ūkio sąnaudos (</w:t>
                      </w:r>
                      <m:oMath>
                        <m:sSub>
                          <m:sSubPr>
                            <m:ctrlPr>
                              <w:rPr>
                                <w:rFonts w:ascii="Cambria Math" w:hAnsi="Cambria Math"/>
                                <w:i/>
                              </w:rPr>
                            </m:ctrlPr>
                          </m:sSubPr>
                          <m:e>
                            <m:r>
                              <w:rPr>
                                <w:rFonts w:ascii="Cambria Math" w:hAnsi="Cambria Math"/>
                              </w:rPr>
                              <m:t>I</m:t>
                            </m:r>
                          </m:e>
                          <m:sub>
                            <m:sSub>
                              <m:sSubPr>
                                <m:ctrlPr>
                                  <w:rPr>
                                    <w:rFonts w:ascii="Cambria Math" w:hAnsi="Cambria Math"/>
                                    <w:i/>
                                  </w:rPr>
                                </m:ctrlPr>
                              </m:sSubPr>
                              <m:e>
                                <m:r>
                                  <w:rPr>
                                    <w:rFonts w:ascii="Cambria Math" w:hAnsi="Cambria Math"/>
                                  </w:rPr>
                                  <m:t>ba</m:t>
                                </m:r>
                              </m:e>
                              <m:sub>
                                <m:r>
                                  <w:rPr>
                                    <w:rFonts w:ascii="Cambria Math" w:hAnsi="Cambria Math"/>
                                  </w:rPr>
                                  <m:t>i</m:t>
                                </m:r>
                              </m:sub>
                            </m:sSub>
                          </m:sub>
                        </m:sSub>
                      </m:oMath>
                      <w:r>
                        <w:rPr>
                          <w:szCs w:val="24"/>
                        </w:rPr>
                        <w:t>), kurios negali viršyti vidutinių šalies ataskaitinio laikotarpio ASPĮ bendrųjų ir administracinių bei ūkio sąnaudų pagal ASPĮ lygmenis, apskaičiuojamos taip:</w:t>
                      </w:r>
                    </w:p>
                    <w:p>
                      <w:pPr>
                        <w:tabs>
                          <w:tab w:val="left" w:pos="993"/>
                          <w:tab w:val="left" w:pos="1134"/>
                        </w:tabs>
                        <w:ind w:firstLine="851"/>
                        <w:jc w:val="both"/>
                        <w:rPr>
                          <w:szCs w:val="24"/>
                        </w:rPr>
                      </w:pPr>
                    </w:p>
                    <w:p>
                      <w:pPr>
                        <w:ind w:left="426"/>
                        <w:jc w:val="center"/>
                        <w:rPr>
                          <w:szCs w:val="24"/>
                        </w:rPr>
                      </w:pPr>
                      <w:r>
                        <w:rPr>
                          <w:szCs w:val="24"/>
                          <w:lang w:eastAsia="lt-LT"/>
                        </w:rPr>
                        <w:drawing>
                          <wp:inline distT="0" distB="0" distL="0" distR="0">
                            <wp:extent cx="1781175" cy="304800"/>
                            <wp:effectExtent l="0" t="0" r="9525" b="0"/>
                            <wp:docPr id="958968811" name="Paveikslėlis 958968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781175" cy="304800"/>
                                    </a:xfrm>
                                    <a:prstGeom prst="rect">
                                      <a:avLst/>
                                    </a:prstGeom>
                                    <a:noFill/>
                                    <a:ln>
                                      <a:noFill/>
                                    </a:ln>
                                  </pic:spPr>
                                </pic:pic>
                              </a:graphicData>
                            </a:graphic>
                          </wp:inline>
                        </w:drawing>
                      </w:r>
                    </w:p>
                    <w:p>
                      <w:pPr>
                        <w:ind w:left="426"/>
                        <w:jc w:val="both"/>
                        <w:rPr>
                          <w:szCs w:val="24"/>
                        </w:rPr>
                      </w:pPr>
                    </w:p>
                    <w:p>
                      <w:pPr>
                        <w:ind w:left="426" w:firstLine="294"/>
                        <w:jc w:val="both"/>
                        <w:rPr>
                          <w:szCs w:val="24"/>
                        </w:rPr>
                      </w:pPr>
                      <w:r>
                        <w:rPr>
                          <w:szCs w:val="24"/>
                        </w:rPr>
                        <w:t>kai:</w:t>
                      </w:r>
                    </w:p>
                    <w:p>
                      <w:pPr>
                        <w:ind w:firstLine="709"/>
                        <w:jc w:val="both"/>
                        <w:rPr>
                          <w:szCs w:val="24"/>
                        </w:rPr>
                      </w:pPr>
                      <m:oMath>
                        <m:sSub>
                          <m:sSubPr>
                            <m:ctrlPr>
                              <w:rPr>
                                <w:rFonts w:ascii="Cambria Math" w:hAnsi="Cambria Math"/>
                                <w:i/>
                              </w:rPr>
                            </m:ctrlPr>
                          </m:sSubPr>
                          <m:e>
                            <m:r>
                              <w:rPr>
                                <w:rFonts w:ascii="Cambria Math" w:hAnsi="Cambria Math"/>
                              </w:rPr>
                              <m:t>I</m:t>
                            </m:r>
                          </m:e>
                          <m:sub>
                            <m:sSub>
                              <m:sSubPr>
                                <m:ctrlPr>
                                  <w:rPr>
                                    <w:rFonts w:ascii="Cambria Math" w:hAnsi="Cambria Math"/>
                                    <w:i/>
                                  </w:rPr>
                                </m:ctrlPr>
                              </m:sSubPr>
                              <m:e>
                                <m:r>
                                  <w:rPr>
                                    <w:rFonts w:ascii="Cambria Math" w:hAnsi="Cambria Math"/>
                                  </w:rPr>
                                  <m:t>ba</m:t>
                                </m:r>
                              </m:e>
                              <m:sub>
                                <m:r>
                                  <w:rPr>
                                    <w:rFonts w:ascii="Cambria Math" w:hAnsi="Cambria Math"/>
                                  </w:rPr>
                                  <m:t>i</m:t>
                                </m:r>
                              </m:sub>
                            </m:sSub>
                          </m:sub>
                        </m:sSub>
                      </m:oMath>
                      <w:r>
                        <w:rPr>
                          <w:szCs w:val="24"/>
                        </w:rPr>
                        <w:t>– i-tosios ASPĮ vidutinės bendrosios ir administracinės bei ūkio sąnaudos pagal ASPĮ lygmenis,</w:t>
                      </w:r>
                    </w:p>
                    <w:p>
                      <w:pPr>
                        <w:ind w:firstLine="709"/>
                        <w:jc w:val="both"/>
                        <w:rPr>
                          <w:szCs w:val="24"/>
                        </w:rPr>
                      </w:pPr>
                      <w:r>
                        <w:rPr>
                          <w:i/>
                          <w:szCs w:val="24"/>
                        </w:rPr>
                        <w:t>q</w:t>
                      </w:r>
                      <w:r>
                        <w:rPr>
                          <w:szCs w:val="24"/>
                        </w:rPr>
                        <w:t xml:space="preserve"> – bendrųjų ir administracinių bei ūkio sąnaudų koeficientas, apskaičiuojamas pagal šią formulę:</w:t>
                      </w:r>
                    </w:p>
                    <w:p>
                      <w:pPr>
                        <w:ind w:firstLine="709"/>
                        <w:jc w:val="both"/>
                        <w:rPr>
                          <w:szCs w:val="24"/>
                        </w:rPr>
                      </w:pPr>
                    </w:p>
                    <w:p>
                      <w:pPr>
                        <w:ind w:left="426"/>
                        <w:jc w:val="center"/>
                        <w:rPr>
                          <w:szCs w:val="24"/>
                        </w:rPr>
                      </w:pPr>
                      <w:r>
                        <w:rPr>
                          <w:szCs w:val="24"/>
                          <w:lang w:eastAsia="lt-LT"/>
                        </w:rPr>
                        <w:drawing>
                          <wp:inline distT="0" distB="0" distL="0" distR="0">
                            <wp:extent cx="1666875" cy="504825"/>
                            <wp:effectExtent l="0" t="0" r="9525" b="9525"/>
                            <wp:docPr id="433948540" name="Paveikslėlis 433948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666875" cy="504825"/>
                                    </a:xfrm>
                                    <a:prstGeom prst="rect">
                                      <a:avLst/>
                                    </a:prstGeom>
                                    <a:noFill/>
                                    <a:ln>
                                      <a:noFill/>
                                    </a:ln>
                                  </pic:spPr>
                                </pic:pic>
                              </a:graphicData>
                            </a:graphic>
                          </wp:inline>
                        </w:drawing>
                      </w:r>
                    </w:p>
                    <w:p>
                      <w:pPr>
                        <w:ind w:left="426"/>
                        <w:jc w:val="both"/>
                        <w:rPr>
                          <w:szCs w:val="24"/>
                        </w:rPr>
                      </w:pPr>
                    </w:p>
                    <w:p>
                      <w:pPr>
                        <w:ind w:firstLine="720"/>
                        <w:jc w:val="both"/>
                        <w:rPr>
                          <w:szCs w:val="24"/>
                        </w:rPr>
                      </w:pPr>
                      <w:r>
                        <w:rPr>
                          <w:szCs w:val="24"/>
                        </w:rPr>
                        <w:t>kai:</w:t>
                      </w:r>
                    </w:p>
                    <w:p>
                      <w:pPr>
                        <w:ind w:firstLine="720"/>
                        <w:jc w:val="both"/>
                        <w:rPr>
                          <w:szCs w:val="24"/>
                        </w:rPr>
                      </w:pPr>
                      <m:oMath>
                        <m:sSub>
                          <m:sSubPr>
                            <m:ctrlPr>
                              <w:rPr>
                                <w:rFonts w:ascii="Cambria Math" w:hAnsi="Cambria Math"/>
                                <w:i/>
                              </w:rPr>
                            </m:ctrlPr>
                          </m:sSubPr>
                          <m:e>
                            <m:r>
                              <w:rPr>
                                <w:rFonts w:ascii="Cambria Math" w:hAnsi="Cambria Math"/>
                              </w:rPr>
                              <m:t>V</m:t>
                            </m:r>
                          </m:e>
                          <m:sub>
                            <m:sSub>
                              <m:sSubPr>
                                <m:ctrlPr>
                                  <w:rPr>
                                    <w:rFonts w:ascii="Cambria Math" w:hAnsi="Cambria Math"/>
                                    <w:i/>
                                  </w:rPr>
                                </m:ctrlPr>
                              </m:sSubPr>
                              <m:e>
                                <m:r>
                                  <w:rPr>
                                    <w:rFonts w:ascii="Cambria Math" w:hAnsi="Cambria Math"/>
                                  </w:rPr>
                                  <m:t>ba</m:t>
                                </m:r>
                              </m:e>
                              <m:sub>
                                <m:r>
                                  <w:rPr>
                                    <w:rFonts w:ascii="Cambria Math" w:hAnsi="Cambria Math"/>
                                  </w:rPr>
                                  <m:t>i</m:t>
                                </m:r>
                              </m:sub>
                            </m:sSub>
                          </m:sub>
                        </m:sSub>
                      </m:oMath>
                      <w:r>
                        <w:rPr>
                          <w:szCs w:val="24"/>
                        </w:rPr>
                        <w:t xml:space="preserve">– i-tosios ASPĮ bendrosios ir administracinės bei ūkio sąnaudos pagal šios ASPĮ lygmenį, kurios apima pacientų transportavimo, maitinimo, komunalinių paslaugų, ryšių, darbuotojų kvalifikacijos kėlimo, einamojo remonto, mokesčių į biudžetą, ilgalaikio turto nusidėvėjimo sąnaudas (išskyrus medicinos priemonės, tiesiogiai susijusios su atitinkamos paslaugos teikimu, nusidėvėjimo sąnaudas) ir kitas sąnaudas (įskaitant informacinių technologijų (toliau – IT) specialistų darbo užmokesčio, įrangos remonto, IT sistemų palaikymo ir priežiūros, IT įrangos veikimui užtikrinti reikalingų medžiagų panaudojimo sąnaudas). </w:t>
                      </w:r>
                    </w:p>
                    <w:p>
                      <w:pPr>
                        <w:tabs>
                          <w:tab w:val="left" w:pos="709"/>
                          <w:tab w:val="left" w:pos="993"/>
                          <w:tab w:val="left" w:pos="1134"/>
                        </w:tabs>
                        <w:ind w:firstLine="709"/>
                        <w:jc w:val="both"/>
                      </w:pPr>
                      <w:r>
                        <w:rPr>
                          <w:szCs w:val="24"/>
                        </w:rPr>
                        <w:t>Tais atvejais, kai pacientui paslauga teikiama namuose (gyvenvietėje, nepriklausančioje savivaldybei, kurioje yra paslaugą teikiančios ASPĮ buveinė) ir tuo tikslu pasinaudojama transporto priemone, vidutinės bendrosios ūkio sąnaudos mažinamos vidutiniu vairuotojo darbo užmokesčio sąnaudų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fd830a56411ea9515f752ff221ec9">
                        <w:r w:rsidRPr="00532B9F">
                          <w:rPr>
                            <w:rFonts w:ascii="Times New Roman" w:eastAsia="MS Mincho" w:hAnsi="Times New Roman"/>
                            <w:sz w:val="20"/>
                            <w:i/>
                            <w:iCs/>
                            <w:color w:val="0000FF" w:themeColor="hyperlink"/>
                            <w:u w:val="single"/>
                          </w:rPr>
                          <w:t>V-1354</w:t>
                        </w:r>
                      </w:fldSimple>
                      <w:r>
                        <w:rPr>
                          <w:rFonts w:ascii="Times New Roman" w:eastAsia="MS Mincho" w:hAnsi="Times New Roman"/>
                          <w:sz w:val="20"/>
                          <w:i/>
                          <w:iCs/>
                        </w:rPr>
                        <w:t>,
2020-06-02,
paskelbta TAR 2020-06-03, i. k. 2020-12045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5bc70d97b11eb9f09e7df20500045">
                        <w:r w:rsidRPr="00532B9F">
                          <w:rPr>
                            <w:rFonts w:ascii="Times New Roman" w:eastAsia="MS Mincho" w:hAnsi="Times New Roman"/>
                            <w:sz w:val="20"/>
                            <w:i/>
                            <w:iCs/>
                            <w:color w:val="0000FF" w:themeColor="hyperlink"/>
                            <w:u w:val="single"/>
                          </w:rPr>
                          <w:t>V-1502</w:t>
                        </w:r>
                      </w:fldSimple>
                      <w:r>
                        <w:rPr>
                          <w:rFonts w:ascii="Times New Roman" w:eastAsia="MS Mincho" w:hAnsi="Times New Roman"/>
                          <w:sz w:val="20"/>
                          <w:i/>
                          <w:iCs/>
                        </w:rPr>
                        <w:t>,
2021-06-29,
paskelbta TAR 2021-06-30, i. k. 2021-14693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474907a2211eea5a28c81c82193a8">
                        <w:r w:rsidRPr="00532B9F">
                          <w:rPr>
                            <w:rFonts w:ascii="Times New Roman" w:eastAsia="MS Mincho" w:hAnsi="Times New Roman"/>
                            <w:sz w:val="20"/>
                            <w:i/>
                            <w:iCs/>
                            <w:color w:val="0000FF" w:themeColor="hyperlink"/>
                            <w:u w:val="single"/>
                          </w:rPr>
                          <w:t>V-1141</w:t>
                        </w:r>
                      </w:fldSimple>
                      <w:r>
                        <w:rPr>
                          <w:rFonts w:ascii="Times New Roman" w:eastAsia="MS Mincho" w:hAnsi="Times New Roman"/>
                          <w:sz w:val="20"/>
                          <w:i/>
                          <w:iCs/>
                        </w:rPr>
                        <w:t>,
2023-11-03,
paskelbta TAR 2023-11-03, i. k. 2023-21494            </w:t>
                      </w:r>
                    </w:p>
                    <w:p/>
                  </w:sdtContent>
                </w:sdt>
                <w:sdt>
                  <w:sdtPr>
                    <w:alias w:val="11.6 p."/>
                    <w:tag w:val="part_0d76c62c133e463d96ff20e6d2bfed23"/>
                    <w:lock w:val="sdtLocked"/>
                    <w:richText/>
                  </w:sdtPr>
                  <w:sdtContent>
                    <w:p>
                      <w:pPr>
                        <w:tabs>
                          <w:tab w:val="left" w:pos="709"/>
                          <w:tab w:val="left" w:pos="993"/>
                          <w:tab w:val="left" w:pos="1134"/>
                        </w:tabs>
                        <w:ind w:firstLine="567"/>
                        <w:jc w:val="both"/>
                      </w:pPr>
                      <w:sdt>
                        <w:sdtPr>
                          <w:alias w:val="Numeris"/>
                          <w:tag w:val="nr_0d76c62c133e463d96ff20e6d2bfed23"/>
                          <w:lock w:val="sdtLocked"/>
                          <w:richText/>
                        </w:sdtPr>
                        <w:sdtContent>
                          <w:r>
                            <w:rPr>
                              <w:rFonts w:eastAsia="Calibri"/>
                              <w:szCs w:val="24"/>
                            </w:rPr>
                            <w:t>11.6</w:t>
                          </w:r>
                        </w:sdtContent>
                      </w:sdt>
                      <w:r>
                        <w:rPr>
                          <w:rFonts w:eastAsia="Calibri"/>
                          <w:szCs w:val="24"/>
                        </w:rPr>
                        <w:t>.</w:t>
                      </w:r>
                      <w:r>
                        <w:rPr>
                          <w:rFonts w:eastAsia="Calibri"/>
                          <w:color w:val="FF0000"/>
                          <w:szCs w:val="24"/>
                        </w:rPr>
                        <w:t xml:space="preserve"> </w:t>
                      </w:r>
                      <w:r>
                        <w:rPr>
                          <w:rFonts w:eastAsia="Calibri"/>
                          <w:szCs w:val="24"/>
                        </w:rPr>
                        <w:t>i-tosios ASPĮ vidutinės medicinos priemonių, kurios naudojamos teikiant atitinkamas asmens sveikatos priežiūros paslaugas pacientų namuose, nuomos sąnaudos nustatomos nuomos sutarčių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d36b0990211e58fd1fc0b9bba68a7">
                        <w:r w:rsidRPr="00532B9F">
                          <w:rPr>
                            <w:rFonts w:ascii="Times New Roman" w:eastAsia="MS Mincho" w:hAnsi="Times New Roman"/>
                            <w:sz w:val="20"/>
                            <w:i/>
                            <w:iCs/>
                            <w:color w:val="0000FF" w:themeColor="hyperlink"/>
                            <w:u w:val="single"/>
                          </w:rPr>
                          <w:t>V-1324</w:t>
                        </w:r>
                      </w:fldSimple>
                      <w:r>
                        <w:rPr>
                          <w:rFonts w:ascii="Times New Roman" w:eastAsia="MS Mincho" w:hAnsi="Times New Roman"/>
                          <w:sz w:val="20"/>
                          <w:i/>
                          <w:iCs/>
                        </w:rPr>
                        <w:t>,
2015-11-23,
paskelbta TAR 2015-12-02, i. k. 2015-19194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7f6800e1b11ebb74de75171d26d52">
                        <w:r w:rsidRPr="00532B9F">
                          <w:rPr>
                            <w:rFonts w:ascii="Times New Roman" w:eastAsia="MS Mincho" w:hAnsi="Times New Roman"/>
                            <w:sz w:val="20"/>
                            <w:i/>
                            <w:iCs/>
                            <w:color w:val="0000FF" w:themeColor="hyperlink"/>
                            <w:u w:val="single"/>
                          </w:rPr>
                          <w:t>V-2265</w:t>
                        </w:r>
                      </w:fldSimple>
                      <w:r>
                        <w:rPr>
                          <w:rFonts w:ascii="Times New Roman" w:eastAsia="MS Mincho" w:hAnsi="Times New Roman"/>
                          <w:sz w:val="20"/>
                          <w:i/>
                          <w:iCs/>
                        </w:rPr>
                        <w:t>,
2020-10-14,
paskelbta TAR 2020-10-14, i. k. 2020-21348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474907a2211eea5a28c81c82193a8">
                        <w:r w:rsidRPr="00532B9F">
                          <w:rPr>
                            <w:rFonts w:ascii="Times New Roman" w:eastAsia="MS Mincho" w:hAnsi="Times New Roman"/>
                            <w:sz w:val="20"/>
                            <w:i/>
                            <w:iCs/>
                            <w:color w:val="0000FF" w:themeColor="hyperlink"/>
                            <w:u w:val="single"/>
                          </w:rPr>
                          <w:t>V-1141</w:t>
                        </w:r>
                      </w:fldSimple>
                      <w:r>
                        <w:rPr>
                          <w:rFonts w:ascii="Times New Roman" w:eastAsia="MS Mincho" w:hAnsi="Times New Roman"/>
                          <w:sz w:val="20"/>
                          <w:i/>
                          <w:iCs/>
                        </w:rPr>
                        <w:t>,
2023-11-03,
paskelbta TAR 2023-11-03, i. k. 2023-21494            </w:t>
                      </w:r>
                    </w:p>
                    <w:p/>
                  </w:sdtContent>
                </w:sdt>
                <w:sdt>
                  <w:sdtPr>
                    <w:alias w:val="11.7 pp."/>
                    <w:tag w:val="part_c2520351879f4d3ba80966bb28b8f144"/>
                    <w:lock w:val="sdtLocked"/>
                    <w:richText/>
                  </w:sdtPr>
                  <w:sdtContent>
                    <w:p>
                      <w:pPr>
                        <w:ind w:left="709"/>
                        <w:jc w:val="both"/>
                        <w:rPr>
                          <w:szCs w:val="24"/>
                        </w:rPr>
                      </w:pPr>
                      <w:sdt>
                        <w:sdtPr>
                          <w:alias w:val="Numeris"/>
                          <w:tag w:val="nr_c2520351879f4d3ba80966bb28b8f144"/>
                          <w:lock w:val="sdtLocked"/>
                          <w:richText/>
                        </w:sdtPr>
                        <w:sdtContent>
                          <w:r>
                            <w:rPr>
                              <w:szCs w:val="24"/>
                            </w:rPr>
                            <w:t>11.7</w:t>
                          </w:r>
                        </w:sdtContent>
                      </w:sdt>
                      <w:r>
                        <w:rPr>
                          <w:szCs w:val="24"/>
                        </w:rPr>
                        <w:t xml:space="preserve">. </w:t>
                      </w:r>
                      <m:oMath>
                        <m:sSub>
                          <m:sSubPr>
                            <m:ctrlPr>
                              <w:rPr>
                                <w:rFonts w:ascii="Cambria Math" w:hAnsi="Cambria Math"/>
                                <w:i/>
                              </w:rPr>
                            </m:ctrlPr>
                          </m:sSubPr>
                          <m:e>
                            <m:r>
                              <w:rPr>
                                <w:rFonts w:ascii="Cambria Math" w:hAnsi="Cambria Math"/>
                              </w:rPr>
                              <m:t>I</m:t>
                            </m:r>
                          </m:e>
                          <m:sub>
                            <m:r>
                              <w:rPr>
                                <w:rFonts w:ascii="Cambria Math" w:hAnsi="Cambria Math"/>
                              </w:rPr>
                              <m:t>ak</m:t>
                            </m:r>
                          </m:sub>
                        </m:sSub>
                      </m:oMath>
                      <w:r>
                        <w:rPr>
                          <w:szCs w:val="24"/>
                        </w:rPr>
                        <w:t xml:space="preserve">  – atostoginių koeficientas apskaičiuojamas taip: </w:t>
                      </w:r>
                    </w:p>
                    <w:p>
                      <w:pPr>
                        <w:ind w:left="426" w:firstLine="2160"/>
                        <w:jc w:val="both"/>
                        <w:rPr>
                          <w:szCs w:val="24"/>
                        </w:rPr>
                      </w:pPr>
                    </w:p>
                    <w:p>
                      <w:pPr>
                        <w:ind w:left="426"/>
                        <w:jc w:val="center"/>
                        <w:rPr>
                          <w:i/>
                          <w:szCs w:val="24"/>
                        </w:rPr>
                      </w:pPr>
                      <m:oMath>
                        <m:r>
                          <w:rPr>
                            <w:rFonts w:ascii="Cambria Math" w:hAnsi="Cambria Math"/>
                            <w:i/>
                          </w:rPr>
                          <w:object w:dxaOrig="1403" w:dyaOrig="600">
                            <v:shape id="_x0000_i1029" type="#_x0000_t75" style="width:69.5pt;height:30.05pt" o:ole="">
                              <v:imagedata r:id="rId97" o:title=""/>
                            </v:shape>
                            <o:OLEObject Type="Embed" ProgID="Word.Document.8" ShapeID="_x0000_i1029" DrawAspect="Content" ObjectID="_0000000001" r:id="rId98">
                              <o:FieldCodes>\s</o:FieldCodes>
                            </o:OLEObject>
                          </w:object>
                        </m:r>
                      </m:oMath>
                      <w:r>
                        <w:rPr>
                          <w:i/>
                          <w:szCs w:val="24"/>
                        </w:rPr>
                        <w:t>,</w:t>
                      </w:r>
                    </w:p>
                    <w:p>
                      <w:pPr>
                        <w:tabs>
                          <w:tab w:val="left" w:pos="709"/>
                          <w:tab w:val="left" w:pos="993"/>
                          <w:tab w:val="left" w:pos="1134"/>
                        </w:tabs>
                        <w:ind w:firstLine="744"/>
                        <w:jc w:val="both"/>
                        <w:rPr>
                          <w:szCs w:val="24"/>
                        </w:rPr>
                      </w:pPr>
                      <w:r>
                        <w:rPr>
                          <w:szCs w:val="24"/>
                        </w:rPr>
                        <w:t>kai:</w:t>
                      </w:r>
                    </w:p>
                    <w:p>
                      <w:pPr>
                        <w:tabs>
                          <w:tab w:val="left" w:pos="426"/>
                          <w:tab w:val="left" w:pos="993"/>
                          <w:tab w:val="left" w:pos="1134"/>
                        </w:tabs>
                        <w:ind w:firstLine="691"/>
                        <w:jc w:val="both"/>
                        <w:rPr>
                          <w:rFonts w:eastAsia="Calibri"/>
                          <w:szCs w:val="24"/>
                        </w:rPr>
                      </w:pPr>
                      <m:oMath>
                        <m:sSub>
                          <m:sSubPr>
                            <m:ctrlPr>
                              <w:rPr>
                                <w:rFonts w:ascii="Cambria Math" w:eastAsia="Calibri" w:hAnsi="Cambria Math"/>
                              </w:rPr>
                            </m:ctrlPr>
                          </m:sSubPr>
                          <m:e>
                            <m:r>
                              <w:rPr>
                                <w:rFonts w:ascii="Cambria Math" w:eastAsia="Calibri" w:hAnsi="Cambria Math"/>
                              </w:rPr>
                              <m:t>VDU</m:t>
                            </m:r>
                          </m:e>
                          <m:sub>
                            <m:r>
                              <w:rPr>
                                <w:rFonts w:ascii="Cambria Math" w:eastAsia="Calibri" w:hAnsi="Cambria Math"/>
                              </w:rPr>
                              <m:t>mp</m:t>
                            </m:r>
                          </m:sub>
                        </m:sSub>
                        <m:r>
                          <m:rPr>
                            <m:sty m:val="p"/>
                          </m:rPr>
                          <w:rPr>
                            <w:rFonts w:ascii="Cambria Math" w:eastAsia="Calibri" w:hAnsi="Cambria Math"/>
                          </w:rPr>
                          <m:t>-</m:t>
                        </m:r>
                        <m:r>
                          <m:rPr>
                            <m:sty m:val="p"/>
                          </m:rPr>
                          <w:rPr>
                            <w:rFonts w:ascii="Cambria Math" w:eastAsia="Calibri" w:hAnsi="Cambria Math"/>
                          </w:rPr>
                          <m:t xml:space="preserve"> </m:t>
                        </m:r>
                      </m:oMath>
                      <w:r>
                        <w:rPr>
                          <w:rFonts w:eastAsia="Calibri"/>
                          <w:szCs w:val="24"/>
                        </w:rPr>
                        <w:t>11 mėnesių vidutinis darbo užmokestis, tenkantis medicinos personalo etatui, pagal VLK duomenis,</w:t>
                      </w:r>
                    </w:p>
                    <w:p>
                      <w:pPr>
                        <w:ind w:firstLine="753"/>
                        <w:jc w:val="both"/>
                      </w:pPr>
                      <m:oMath>
                        <m:sSub>
                          <m:sSubPr>
                            <m:ctrlPr>
                              <w:rPr>
                                <w:rFonts w:ascii="Cambria Math" w:hAnsi="Cambria Math"/>
                                <w:i/>
                                <w:lang w:val="en-US"/>
                              </w:rPr>
                            </m:ctrlPr>
                          </m:sSubPr>
                          <m:e>
                            <m:r>
                              <w:rPr>
                                <w:rFonts w:ascii="Cambria Math" w:hAnsi="Cambria Math"/>
                                <w:lang w:val="en-US"/>
                              </w:rPr>
                              <m:t>VA</m:t>
                            </m:r>
                          </m:e>
                          <m:sub>
                            <m:sSub>
                              <m:sSubPr>
                                <m:ctrlPr>
                                  <w:rPr>
                                    <w:rFonts w:ascii="Cambria Math" w:hAnsi="Cambria Math"/>
                                    <w:i/>
                                    <w:lang w:val="en-US"/>
                                  </w:rPr>
                                </m:ctrlPr>
                              </m:sSubPr>
                              <m:e>
                                <m:r>
                                  <w:rPr>
                                    <w:rFonts w:ascii="Cambria Math" w:hAnsi="Cambria Math"/>
                                    <w:lang w:val="en-US"/>
                                  </w:rPr>
                                  <m:t>mp</m:t>
                                </m:r>
                              </m:e>
                              <m:sub>
                                <m:r>
                                  <w:rPr>
                                    <w:rFonts w:ascii="Cambria Math" w:hAnsi="Cambria Math"/>
                                    <w:lang w:val="en-US"/>
                                  </w:rPr>
                                  <m:t>m</m:t>
                                </m:r>
                                <m:r>
                                  <w:rPr>
                                    <w:rFonts w:ascii="Cambria Math" w:hAnsi="Cambria Math"/>
                                    <w:lang w:val="en-US"/>
                                  </w:rPr>
                                  <m:t>ė</m:t>
                                </m:r>
                                <m:r>
                                  <w:rPr>
                                    <w:rFonts w:ascii="Cambria Math" w:hAnsi="Cambria Math"/>
                                    <w:lang w:val="en-US"/>
                                  </w:rPr>
                                  <m:t>n</m:t>
                                </m:r>
                                <m:r>
                                  <w:rPr>
                                    <w:rFonts w:ascii="Cambria Math" w:hAnsi="Cambria Math"/>
                                    <w:lang w:val="en-US"/>
                                  </w:rPr>
                                  <m:t>.</m:t>
                                </m:r>
                              </m:sub>
                            </m:sSub>
                          </m:sub>
                        </m:sSub>
                        <m:r>
                          <w:rPr>
                            <w:rFonts w:ascii="Cambria Math" w:hAnsi="Cambria Math"/>
                            <w:lang w:val="en-US"/>
                          </w:rPr>
                          <m:t xml:space="preserve">- </m:t>
                        </m:r>
                      </m:oMath>
                      <w:r>
                        <w:rPr>
                          <w:szCs w:val="24"/>
                          <w:lang w:val="en-US"/>
                        </w:rPr>
                        <w:t>vidutinė 1 mėnesio medicinos personalo atostoginių suma pagal VLK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7f6800e1b11ebb74de75171d26d52">
                        <w:r w:rsidRPr="00532B9F">
                          <w:rPr>
                            <w:rFonts w:ascii="Times New Roman" w:eastAsia="MS Mincho" w:hAnsi="Times New Roman"/>
                            <w:sz w:val="20"/>
                            <w:i/>
                            <w:iCs/>
                            <w:color w:val="0000FF" w:themeColor="hyperlink"/>
                            <w:u w:val="single"/>
                          </w:rPr>
                          <w:t>V-2265</w:t>
                        </w:r>
                      </w:fldSimple>
                      <w:r>
                        <w:rPr>
                          <w:rFonts w:ascii="Times New Roman" w:eastAsia="MS Mincho" w:hAnsi="Times New Roman"/>
                          <w:sz w:val="20"/>
                          <w:i/>
                          <w:iCs/>
                        </w:rPr>
                        <w:t>,
2020-10-14,
paskelbta TAR 2020-10-14, i. k. 2020-21348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8135a0095d11ec9f09e7df20500045">
                        <w:r w:rsidRPr="00532B9F">
                          <w:rPr>
                            <w:rFonts w:ascii="Times New Roman" w:eastAsia="MS Mincho" w:hAnsi="Times New Roman"/>
                            <w:sz w:val="20"/>
                            <w:i/>
                            <w:iCs/>
                            <w:color w:val="0000FF" w:themeColor="hyperlink"/>
                            <w:u w:val="single"/>
                          </w:rPr>
                          <w:t>V-1958</w:t>
                        </w:r>
                      </w:fldSimple>
                      <w:r>
                        <w:rPr>
                          <w:rFonts w:ascii="Times New Roman" w:eastAsia="MS Mincho" w:hAnsi="Times New Roman"/>
                          <w:sz w:val="20"/>
                          <w:i/>
                          <w:iCs/>
                        </w:rPr>
                        <w:t>,
2021-08-30,
paskelbta TAR 2021-08-30, i. k. 2021-18235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b5a3f0f8fd11ec8fa7d02a65c371ad">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2022-07-01,
paskelbta TAR 2022-07-01, i. k. 2022-14341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6ebb00e6d11ee9f7ec2ffce8b47bc">
                        <w:r w:rsidRPr="00532B9F">
                          <w:rPr>
                            <w:rFonts w:ascii="Times New Roman" w:eastAsia="MS Mincho" w:hAnsi="Times New Roman"/>
                            <w:sz w:val="20"/>
                            <w:i/>
                            <w:iCs/>
                            <w:color w:val="0000FF" w:themeColor="hyperlink"/>
                            <w:u w:val="single"/>
                          </w:rPr>
                          <w:t>V-702</w:t>
                        </w:r>
                      </w:fldSimple>
                      <w:r>
                        <w:rPr>
                          <w:rFonts w:ascii="Times New Roman" w:eastAsia="MS Mincho" w:hAnsi="Times New Roman"/>
                          <w:sz w:val="20"/>
                          <w:i/>
                          <w:iCs/>
                        </w:rPr>
                        <w:t>,
2023-06-19,
paskelbta TAR 2023-06-19, i. k. 2023-12151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4e9cb01af211eeb233e8b04dc9bb3d">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2023-07-05,
paskelbta TAR 2023-07-05, i. k. 2023-13914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474907a2211eea5a28c81c82193a8">
                        <w:r w:rsidRPr="00532B9F">
                          <w:rPr>
                            <w:rFonts w:ascii="Times New Roman" w:eastAsia="MS Mincho" w:hAnsi="Times New Roman"/>
                            <w:sz w:val="20"/>
                            <w:i/>
                            <w:iCs/>
                            <w:color w:val="0000FF" w:themeColor="hyperlink"/>
                            <w:u w:val="single"/>
                          </w:rPr>
                          <w:t>V-1141</w:t>
                        </w:r>
                      </w:fldSimple>
                      <w:r>
                        <w:rPr>
                          <w:rFonts w:ascii="Times New Roman" w:eastAsia="MS Mincho" w:hAnsi="Times New Roman"/>
                          <w:sz w:val="20"/>
                          <w:i/>
                          <w:iCs/>
                        </w:rPr>
                        <w:t>,
2023-11-03,
paskelbta TAR 2023-11-03, i. k. 2023-21494            </w:t>
                      </w:r>
                    </w:p>
                    <w:p/>
                  </w:sdtContent>
                </w:sdt>
              </w:sdtContent>
            </w:sdt>
            <w:sdt>
              <w:sdtPr>
                <w:alias w:val="12 p."/>
                <w:tag w:val="part_3cda09edcc444a86aa050cc155024522"/>
                <w:lock w:val="sdtLocked"/>
                <w:richText/>
              </w:sdtPr>
              <w:sdtContent>
                <w:p>
                  <w:pPr>
                    <w:ind w:firstLine="567"/>
                    <w:jc w:val="both"/>
                  </w:pPr>
                  <w:sdt>
                    <w:sdtPr>
                      <w:alias w:val="Numeris"/>
                      <w:tag w:val="nr_3cda09edcc444a86aa050cc155024522"/>
                      <w:lock w:val="sdtLocked"/>
                      <w:richText/>
                    </w:sdtPr>
                    <w:sdtContent>
                      <w:r>
                        <w:rPr>
                          <w:szCs w:val="24"/>
                        </w:rPr>
                        <w:t>12</w:t>
                      </w:r>
                    </w:sdtContent>
                  </w:sdt>
                  <w:r>
                    <w:rPr>
                      <w:szCs w:val="24"/>
                    </w:rPr>
                    <w:t xml:space="preserve">. Pagal VII skyriuje numatytas nuostatas apskaičiavus asmens sveikatos priežiūros paslaugų bazines kainas, šios paslaugos gali būti grupuojamos į atitinkamas grupes. Vienai grupei gali būti priskiriamos tik tos paslaugos, kurioms taikomi reikalavimai yra nustatyti tame pačiame sveikatos apsaugos ministro įsakymu patvirtintame paslaugų teikimo reikalavimų apraše. Atsižvelgiant į panašias paslaugų teikimo sąnaudas, nustatoma kiekvienai paslaugų grupei taikoma atitinkama bazinė kaina.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de903d8611e89ba7f73323f8faa4">
                    <w:r w:rsidRPr="00532B9F">
                      <w:rPr>
                        <w:rFonts w:ascii="Times New Roman" w:eastAsia="MS Mincho" w:hAnsi="Times New Roman"/>
                        <w:sz w:val="20"/>
                        <w:i/>
                        <w:iCs/>
                        <w:color w:val="0000FF" w:themeColor="hyperlink"/>
                        <w:u w:val="single"/>
                      </w:rPr>
                      <w:t>V-409</w:t>
                    </w:r>
                  </w:fldSimple>
                  <w:r>
                    <w:rPr>
                      <w:rFonts w:ascii="Times New Roman" w:eastAsia="MS Mincho" w:hAnsi="Times New Roman"/>
                      <w:sz w:val="20"/>
                      <w:i/>
                      <w:iCs/>
                    </w:rPr>
                    <w:t>,
2018-04-10,
paskelbta TAR 2018-04-12, i. k. 2018-05888        </w:t>
                  </w:r>
                </w:p>
                <w:p/>
              </w:sdtContent>
            </w:sdt>
            <w:sdt>
              <w:sdtPr>
                <w:alias w:val="13 p."/>
                <w:tag w:val="part_adc9c9a94a1a4471a9c4d04739e67e8c"/>
                <w:lock w:val="sdtLocked"/>
                <w:richText/>
              </w:sdtPr>
              <w:sdtContent>
                <w:p>
                  <w:pPr>
                    <w:ind w:left="142" w:firstLine="578"/>
                    <w:jc w:val="both"/>
                    <w:rPr>
                      <w:szCs w:val="24"/>
                      <w:lang w:eastAsia="lt-LT"/>
                    </w:rPr>
                  </w:pPr>
                  <w:sdt>
                    <w:sdtPr>
                      <w:alias w:val="Numeris"/>
                      <w:tag w:val="nr_adc9c9a94a1a4471a9c4d04739e67e8c"/>
                      <w:lock w:val="sdtLocked"/>
                      <w:richText/>
                    </w:sdtPr>
                    <w:sdtContent>
                      <w:r>
                        <w:rPr>
                          <w:szCs w:val="24"/>
                        </w:rPr>
                        <w:t>13</w:t>
                      </w:r>
                    </w:sdtContent>
                  </w:sdt>
                  <w:r>
                    <w:rPr>
                      <w:szCs w:val="24"/>
                    </w:rPr>
                    <w:t xml:space="preserve">.  Jei asmens sveikatos priežiūros paslaugos pagal turinį, teikimo būdą ir (ar) sąnaudas yra analogiškos kitoms asmens sveikatos priežiūros paslaugoms, kurių bazinės kainos nustatytos galiojančiais teisės aktais ir sveikatos apsaugos ministro nustatyta tvarka yra leidžiama jas indeksuoti pagal Valstybės duomenų agentūros skelbiamus vartotojų kainų indeksus, šių paslaugų bazinės kainos gali būti nustatomos arba keičiamos prilyginant jas galiojančioms analogiškų ASP paslaugų bazinėms kainoms. Gydytojo specialisto konsultacijos, kuri nepriskiriama jokiam konsultacijų lygiui, bazinė kaina gali būti prilyginta kainai, kuri apskaičiuojama taikant svertinį antrinio ir (ar) tretinio lygių konsultacijų bazinių kainų, patvirtintų galiojančiais teisės aktais, vidurkį.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2543e0e0ee11e388bee944977d73d2">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2014-05-16,
paskelbta TAR 2014-05-22, i. k. 2014-05621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fd830a56411ea9515f752ff221ec9">
                    <w:r w:rsidRPr="00532B9F">
                      <w:rPr>
                        <w:rFonts w:ascii="Times New Roman" w:eastAsia="MS Mincho" w:hAnsi="Times New Roman"/>
                        <w:sz w:val="20"/>
                        <w:i/>
                        <w:iCs/>
                        <w:color w:val="0000FF" w:themeColor="hyperlink"/>
                        <w:u w:val="single"/>
                      </w:rPr>
                      <w:t>V-1354</w:t>
                    </w:r>
                  </w:fldSimple>
                  <w:r>
                    <w:rPr>
                      <w:rFonts w:ascii="Times New Roman" w:eastAsia="MS Mincho" w:hAnsi="Times New Roman"/>
                      <w:sz w:val="20"/>
                      <w:i/>
                      <w:iCs/>
                    </w:rPr>
                    <w:t>,
2020-06-02,
paskelbta TAR 2020-06-03, i. k. 2020-12045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474907a2211eea5a28c81c82193a8">
                    <w:r w:rsidRPr="00532B9F">
                      <w:rPr>
                        <w:rFonts w:ascii="Times New Roman" w:eastAsia="MS Mincho" w:hAnsi="Times New Roman"/>
                        <w:sz w:val="20"/>
                        <w:i/>
                        <w:iCs/>
                        <w:color w:val="0000FF" w:themeColor="hyperlink"/>
                        <w:u w:val="single"/>
                      </w:rPr>
                      <w:t>V-1141</w:t>
                    </w:r>
                  </w:fldSimple>
                  <w:r>
                    <w:rPr>
                      <w:rFonts w:ascii="Times New Roman" w:eastAsia="MS Mincho" w:hAnsi="Times New Roman"/>
                      <w:sz w:val="20"/>
                      <w:i/>
                      <w:iCs/>
                    </w:rPr>
                    <w:t>,
2023-11-03,
paskelbta TAR 2023-11-03, i. k. 2023-21494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de903d8611e89ba7f73323f8faa4">
                    <w:r w:rsidRPr="00532B9F">
                      <w:rPr>
                        <w:rFonts w:ascii="Times New Roman" w:eastAsia="MS Mincho" w:hAnsi="Times New Roman"/>
                        <w:sz w:val="20"/>
                        <w:i/>
                        <w:iCs/>
                        <w:color w:val="0000FF" w:themeColor="hyperlink"/>
                        <w:u w:val="single"/>
                      </w:rPr>
                      <w:t>V-409</w:t>
                    </w:r>
                  </w:fldSimple>
                  <w:r>
                    <w:rPr>
                      <w:rFonts w:ascii="Times New Roman" w:eastAsia="MS Mincho" w:hAnsi="Times New Roman"/>
                      <w:sz w:val="20"/>
                      <w:i/>
                      <w:iCs/>
                    </w:rPr>
                    <w:t>,
2018-04-10,
paskelbta TAR 2018-04-12, i. k. 2018-05888        </w:t>
                  </w:r>
                </w:p>
                <w:p/>
              </w:sdtContent>
            </w:sdt>
          </w:sdtContent>
        </w:sdt>
        <w:sdt>
          <w:sdtPr>
            <w:alias w:val="skyrius"/>
            <w:tag w:val="part_92c5e9a6ed334de7ac9e4a0dc78aaf34"/>
            <w:lock w:val="sdtLocked"/>
            <w:richText/>
          </w:sdtPr>
          <w:sdtContent>
            <w:p>
              <w:pPr>
                <w:keepNext/>
                <w:jc w:val="center"/>
              </w:pPr>
              <w:sdt>
                <w:sdtPr>
                  <w:alias w:val="Numeris"/>
                  <w:tag w:val="nr_92c5e9a6ed334de7ac9e4a0dc78aaf34"/>
                  <w:lock w:val="sdtLocked"/>
                  <w:richText/>
                </w:sdtPr>
                <w:sdtContent>
                  <w:r>
                    <w:rPr>
                      <w:rFonts w:eastAsia="Calibri"/>
                      <w:b/>
                      <w:bCs/>
                      <w:kern w:val="32"/>
                      <w:szCs w:val="24"/>
                    </w:rPr>
                    <w:t>VIII</w:t>
                  </w:r>
                </w:sdtContent>
              </w:sdt>
              <w:r>
                <w:rPr>
                  <w:rFonts w:eastAsia="Calibri"/>
                  <w:b/>
                  <w:bCs/>
                  <w:kern w:val="32"/>
                  <w:szCs w:val="24"/>
                </w:rPr>
                <w:t xml:space="preserve"> </w:t>
              </w:r>
              <w:sdt>
                <w:sdtPr>
                  <w:alias w:val="Pavadinimas"/>
                  <w:tag w:val="title_92c5e9a6ed334de7ac9e4a0dc78aaf34"/>
                  <w:lock w:val="sdtLocked"/>
                  <w:richText/>
                </w:sdtPr>
                <w:sdtContent>
                  <w:r>
                    <w:rPr>
                      <w:rFonts w:eastAsia="Calibri"/>
                      <w:b/>
                      <w:bCs/>
                      <w:kern w:val="32"/>
                      <w:szCs w:val="24"/>
                    </w:rPr>
                    <w:t xml:space="preserve">SKYRIUS </w:t>
                    <w:br/>
                    <w:t xml:space="preserve">DUOMENŲ ASMENS SVEIKATOS PRIEŽIŪROS PASLAUGŲ BAZINĖMS KAINOMS APSKAIČIUOTI TEIKIMO TVARKA </w:t>
                  </w:r>
                </w:sdtContent>
              </w:sdt>
            </w:p>
            <w:p>
              <w:pPr>
                <w:keepNext/>
                <w:jc w:val="center"/>
                <w:rPr>
                  <w:rFonts w:eastAsia="Calibri"/>
                  <w:b/>
                  <w:bCs/>
                  <w:kern w:val="32"/>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sdt>
              <w:sdtPr>
                <w:alias w:val="14 p."/>
                <w:tag w:val="part_828966c43a944f298087cd7b1e76d098"/>
                <w:lock w:val="sdtLocked"/>
                <w:richText/>
              </w:sdtPr>
              <w:sdtContent>
                <w:p>
                  <w:pPr>
                    <w:tabs>
                      <w:tab w:val="left" w:pos="993"/>
                      <w:tab w:val="left" w:pos="1134"/>
                    </w:tabs>
                    <w:ind w:firstLine="567"/>
                    <w:jc w:val="both"/>
                  </w:pPr>
                  <w:sdt>
                    <w:sdtPr>
                      <w:alias w:val="Numeris"/>
                      <w:tag w:val="nr_828966c43a944f298087cd7b1e76d098"/>
                      <w:lock w:val="sdtLocked"/>
                      <w:richText/>
                    </w:sdtPr>
                    <w:sdtContent>
                      <w:r>
                        <w:rPr>
                          <w:szCs w:val="24"/>
                        </w:rPr>
                        <w:t>14</w:t>
                      </w:r>
                    </w:sdtContent>
                  </w:sdt>
                  <w:r>
                    <w:rPr>
                      <w:szCs w:val="24"/>
                    </w:rPr>
                    <w:t>. Į asmens sveikatos priežiūros paslaugos bazinę kainą gali būti įtraukiamos (-a) vidutinės (-ė) tyrimo ir (ar) procedūros kainos (-a), apskaičiuotos (-a) pagal šią paslaugą teikiančių ASPĮ nustatytas tokio tyrimo ir (ar) procedūros kainas (-ą), jei jos (ji) nėra patvirtintos (-a) galiojančių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29de70d07d11e8bea9885f77677ec1">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2018-10-15,
paskelbta TAR 2018-10-15, i. k. 2018-16218        </w:t>
                  </w:r>
                </w:p>
                <w:p/>
              </w:sdtContent>
            </w:sdt>
            <w:sdt>
              <w:sdtPr>
                <w:alias w:val="15 p."/>
                <w:tag w:val="part_c1c0f22922b54d4aae3c5a00bfadbae6"/>
                <w:lock w:val="sdtLocked"/>
                <w:richText/>
              </w:sdtPr>
              <w:sdtContent>
                <w:p>
                  <w:pPr>
                    <w:ind w:left="142" w:firstLine="578"/>
                    <w:jc w:val="both"/>
                    <w:rPr>
                      <w:szCs w:val="24"/>
                    </w:rPr>
                  </w:pPr>
                  <w:sdt>
                    <w:sdtPr>
                      <w:alias w:val="Numeris"/>
                      <w:tag w:val="nr_c1c0f22922b54d4aae3c5a00bfadbae6"/>
                      <w:lock w:val="sdtLocked"/>
                      <w:richText/>
                    </w:sdtPr>
                    <w:sdtContent>
                      <w:r>
                        <w:rPr>
                          <w:szCs w:val="24"/>
                        </w:rPr>
                        <w:t>15</w:t>
                      </w:r>
                    </w:sdtContent>
                  </w:sdt>
                  <w:r>
                    <w:rPr>
                      <w:szCs w:val="24"/>
                    </w:rPr>
                    <w:t>. Apskaičiuodama Metodikos IV ir VII skyriuose nurodytų asmens sveikatos priežiūros paslaugų bazines kainas, VLK atlieka išankstinę ASPĮ, teikiančių ne mažiau kaip 50 proc. bendro tų paslaugų, kurių bazinės kainos nustatomos, skaičiaus (valstybės ir savivaldybių asmens ir visuomenės sveikatos priežiūros biudžetinių ir viešųjų įstaigų mastu), atranką ir jos pagrindu pagal tikslinės atrankos metodą nustato ne daugiau kaip 10-ties ASPĮ, teikiančių daugiausia šių paslaugų, imtį. Bazinės kainos skaičiuojamos pagal šiai imčiai priskiriamų ASPĮ duomenis. Reikiamus duomenis šios ASPĮ teikia užpildydamos VLK joms siunčiamas duomenų užklausų, kuriose detaliai nurodomas prašomų pateikti duomenų pobūdis, jų pateikimo terminai ir ataskaitiniai laikotarpiai, formas.</w:t>
                  </w:r>
                </w:p>
                <w:p>
                  <w:pPr>
                    <w:tabs>
                      <w:tab w:val="left" w:pos="142"/>
                      <w:tab w:val="left" w:pos="1134"/>
                      <w:tab w:val="left" w:pos="1418"/>
                    </w:tabs>
                    <w:ind w:left="142" w:firstLine="567"/>
                    <w:jc w:val="both"/>
                    <w:rPr>
                      <w:szCs w:val="24"/>
                      <w:lang w:eastAsia="lt-LT"/>
                    </w:rPr>
                  </w:pPr>
                  <w:r>
                    <w:rPr>
                      <w:szCs w:val="24"/>
                    </w:rPr>
                    <w:t>Asmens sveikatos priežiūros paslaugų, kurios anksčiau nebuvo teikiamos, bazinėms kainoms apskaičiuoti ASPĮ, planuojančios teikti šias paslaugas, duomenis apie numatomas jų teikimo sąnaudas pateikia VLK, o nustatant atitinkamų asmens sveikatos priežiūros paslaugų skaičių, kuris numatomas suteikti per metus naudojant ilgalaikį materialųjį turtą (j-tąją medicinos priemonę), jis yra prilyginamas gerąją pasaulinę praktiką atitinkančiam asmens sveikatos priežiūros paslaugų, teikiamų naudojant tam tikrą medicinos priemonę, skaičiui arba ekspertų nustatytam maksimaliai galimam suteikti, naudojant atitinkamą medicinos priemonę, asmens sveikatos priežiūros paslaugų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de903d8611e89ba7f73323f8faa4">
                    <w:r w:rsidRPr="00532B9F">
                      <w:rPr>
                        <w:rFonts w:ascii="Times New Roman" w:eastAsia="MS Mincho" w:hAnsi="Times New Roman"/>
                        <w:sz w:val="20"/>
                        <w:i/>
                        <w:iCs/>
                        <w:color w:val="0000FF" w:themeColor="hyperlink"/>
                        <w:u w:val="single"/>
                      </w:rPr>
                      <w:t>V-409</w:t>
                    </w:r>
                  </w:fldSimple>
                  <w:r>
                    <w:rPr>
                      <w:rFonts w:ascii="Times New Roman" w:eastAsia="MS Mincho" w:hAnsi="Times New Roman"/>
                      <w:sz w:val="20"/>
                      <w:i/>
                      <w:iCs/>
                    </w:rPr>
                    <w:t>,
2018-04-10,
paskelbta TAR 2018-04-12, i. k. 2018-05888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fd830a56411ea9515f752ff221ec9">
                    <w:r w:rsidRPr="00532B9F">
                      <w:rPr>
                        <w:rFonts w:ascii="Times New Roman" w:eastAsia="MS Mincho" w:hAnsi="Times New Roman"/>
                        <w:sz w:val="20"/>
                        <w:i/>
                        <w:iCs/>
                        <w:color w:val="0000FF" w:themeColor="hyperlink"/>
                        <w:u w:val="single"/>
                      </w:rPr>
                      <w:t>V-1354</w:t>
                    </w:r>
                  </w:fldSimple>
                  <w:r>
                    <w:rPr>
                      <w:rFonts w:ascii="Times New Roman" w:eastAsia="MS Mincho" w:hAnsi="Times New Roman"/>
                      <w:sz w:val="20"/>
                      <w:i/>
                      <w:iCs/>
                    </w:rPr>
                    <w:t>,
2020-06-02,
paskelbta TAR 2020-06-03, i. k. 2020-12045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7f6800e1b11ebb74de75171d26d52">
                    <w:r w:rsidRPr="00532B9F">
                      <w:rPr>
                        <w:rFonts w:ascii="Times New Roman" w:eastAsia="MS Mincho" w:hAnsi="Times New Roman"/>
                        <w:sz w:val="20"/>
                        <w:i/>
                        <w:iCs/>
                        <w:color w:val="0000FF" w:themeColor="hyperlink"/>
                        <w:u w:val="single"/>
                      </w:rPr>
                      <w:t>V-2265</w:t>
                    </w:r>
                  </w:fldSimple>
                  <w:r>
                    <w:rPr>
                      <w:rFonts w:ascii="Times New Roman" w:eastAsia="MS Mincho" w:hAnsi="Times New Roman"/>
                      <w:sz w:val="20"/>
                      <w:i/>
                      <w:iCs/>
                    </w:rPr>
                    <w:t>,
2020-10-14,
paskelbta TAR 2020-10-14, i. k. 2020-21348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474907a2211eea5a28c81c82193a8">
                    <w:r w:rsidRPr="00532B9F">
                      <w:rPr>
                        <w:rFonts w:ascii="Times New Roman" w:eastAsia="MS Mincho" w:hAnsi="Times New Roman"/>
                        <w:sz w:val="20"/>
                        <w:i/>
                        <w:iCs/>
                        <w:color w:val="0000FF" w:themeColor="hyperlink"/>
                        <w:u w:val="single"/>
                      </w:rPr>
                      <w:t>V-1141</w:t>
                    </w:r>
                  </w:fldSimple>
                  <w:r>
                    <w:rPr>
                      <w:rFonts w:ascii="Times New Roman" w:eastAsia="MS Mincho" w:hAnsi="Times New Roman"/>
                      <w:sz w:val="20"/>
                      <w:i/>
                      <w:iCs/>
                    </w:rPr>
                    <w:t>,
2023-11-03,
paskelbta TAR 2023-11-03, i. k. 2023-21494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2543e0e0ee11e388bee944977d73d2">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2014-05-16,
paskelbta TAR 2014-05-22, i. k. 2014-05621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de903d8611e89ba7f73323f8faa4">
                    <w:r w:rsidRPr="00532B9F">
                      <w:rPr>
                        <w:rFonts w:ascii="Times New Roman" w:eastAsia="MS Mincho" w:hAnsi="Times New Roman"/>
                        <w:sz w:val="20"/>
                        <w:i/>
                        <w:iCs/>
                        <w:color w:val="0000FF" w:themeColor="hyperlink"/>
                        <w:u w:val="single"/>
                      </w:rPr>
                      <w:t>V-409</w:t>
                    </w:r>
                  </w:fldSimple>
                  <w:r>
                    <w:rPr>
                      <w:rFonts w:ascii="Times New Roman" w:eastAsia="MS Mincho" w:hAnsi="Times New Roman"/>
                      <w:sz w:val="20"/>
                      <w:i/>
                      <w:iCs/>
                    </w:rPr>
                    <w:t>,
2018-04-10,
paskelbta TAR 2018-04-12, i. k. 2018-05888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29de70d07d11e8bea9885f77677ec1">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2018-10-15,
paskelbta TAR 2018-10-15, i. k. 2018-16218        </w:t>
                  </w:r>
                </w:p>
                <w:p/>
              </w:sdtContent>
            </w:sdt>
            <w:sdt>
              <w:sdtPr>
                <w:alias w:val="16 p."/>
                <w:tag w:val="part_3c25780cf2fb4008a0b3d98ac6e1c5ee"/>
                <w:lock w:val="sdtLocked"/>
                <w:richText/>
              </w:sdtPr>
              <w:sdtContent>
                <w:p>
                  <w:pPr>
                    <w:tabs>
                      <w:tab w:val="left" w:pos="0"/>
                      <w:tab w:val="left" w:pos="1134"/>
                      <w:tab w:val="left" w:pos="1418"/>
                    </w:tabs>
                    <w:ind w:firstLine="567"/>
                    <w:jc w:val="both"/>
                    <w:rPr>
                      <w:szCs w:val="24"/>
                      <w:lang w:eastAsia="lt-LT"/>
                    </w:rPr>
                  </w:pPr>
                  <w:sdt>
                    <w:sdtPr>
                      <w:alias w:val="Numeris"/>
                      <w:tag w:val="nr_3c25780cf2fb4008a0b3d98ac6e1c5ee"/>
                      <w:lock w:val="sdtLocked"/>
                      <w:richText/>
                    </w:sdtPr>
                    <w:sdtContent>
                      <w:r>
                        <w:rPr>
                          <w:szCs w:val="24"/>
                        </w:rPr>
                        <w:t>16</w:t>
                      </w:r>
                    </w:sdtContent>
                  </w:sdt>
                  <w:r>
                    <w:rPr>
                      <w:szCs w:val="24"/>
                    </w:rPr>
                    <w:t xml:space="preserve">. Visos valstybės ir savivaldybių aktyviojo gydymo paslaugas teikiančios ASPĮ teikia VLK ataskaitinio laikotarpio (praėjusių metų) savo veiklos sąnaudų duomenis, vadovaudamosi Lietuvos Respublikos sveikatos apsaugos ministro 2011 m. rugpjūčio 12 d. įsakymu Nr. V-786 „Dėl Aktyviojo gydymo paslaugų teikimo sąnaudų, apmokamų Privalomojo sveikatos draudimo fondo biudžeto lėšomis, priskyrimo sąnaudų grupėms pagal giminingų diagnozių grupių metodą tvarkos aprašo patvirtinimo“. VLK, apdorojusi gautus duomenis, pagal juos apskaičiuoja aktyviojo gydymo atvejų kainų koeficientų reikšmes.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fd830a56411ea9515f752ff221ec9">
                    <w:r w:rsidRPr="00532B9F">
                      <w:rPr>
                        <w:rFonts w:ascii="Times New Roman" w:eastAsia="MS Mincho" w:hAnsi="Times New Roman"/>
                        <w:sz w:val="20"/>
                        <w:i/>
                        <w:iCs/>
                        <w:color w:val="0000FF" w:themeColor="hyperlink"/>
                        <w:u w:val="single"/>
                      </w:rPr>
                      <w:t>V-1354</w:t>
                    </w:r>
                  </w:fldSimple>
                  <w:r>
                    <w:rPr>
                      <w:rFonts w:ascii="Times New Roman" w:eastAsia="MS Mincho" w:hAnsi="Times New Roman"/>
                      <w:sz w:val="20"/>
                      <w:i/>
                      <w:iCs/>
                    </w:rPr>
                    <w:t>,
2020-06-02,
paskelbta TAR 2020-06-03, i. k. 2020-12045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2543e0e0ee11e388bee944977d73d2">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2014-05-16,
paskelbta TAR 2014-05-22, i. k. 2014-05621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de903d8611e89ba7f73323f8faa4">
                    <w:r w:rsidRPr="00532B9F">
                      <w:rPr>
                        <w:rFonts w:ascii="Times New Roman" w:eastAsia="MS Mincho" w:hAnsi="Times New Roman"/>
                        <w:sz w:val="20"/>
                        <w:i/>
                        <w:iCs/>
                        <w:color w:val="0000FF" w:themeColor="hyperlink"/>
                        <w:u w:val="single"/>
                      </w:rPr>
                      <w:t>V-409</w:t>
                    </w:r>
                  </w:fldSimple>
                  <w:r>
                    <w:rPr>
                      <w:rFonts w:ascii="Times New Roman" w:eastAsia="MS Mincho" w:hAnsi="Times New Roman"/>
                      <w:sz w:val="20"/>
                      <w:i/>
                      <w:iCs/>
                    </w:rPr>
                    <w:t>,
2018-04-10,
paskelbta TAR 2018-04-12, i. k. 2018-05888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29de70d07d11e8bea9885f77677ec1">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2018-10-15,
paskelbta TAR 2018-10-15, i. k. 2018-16218        </w:t>
                  </w:r>
                </w:p>
                <w:p/>
              </w:sdtContent>
            </w:sdt>
          </w:sdtContent>
        </w:sdt>
        <w:sdt>
          <w:sdtPr>
            <w:alias w:val="pabaiga"/>
            <w:tag w:val="part_1180067942724bcd89407dced7c428c8"/>
            <w:lock w:val="sdtLocked"/>
            <w:richText/>
          </w:sdtPr>
          <w:sdtContent>
            <w:p>
              <w:pPr>
                <w:jc w:val="center"/>
                <w:rPr>
                  <w:szCs w:val="24"/>
                  <w:lang w:eastAsia="lt-LT"/>
                </w:rPr>
              </w:pPr>
              <w:r>
                <w:rPr>
                  <w:szCs w:val="24"/>
                  <w:lang w:eastAsia="lt-LT"/>
                </w:rPr>
                <w:t>_________________</w:t>
              </w:r>
            </w:p>
          </w:sdtContent>
        </w:sdt>
      </w:sdtContent>
    </w:sdt>
    <w:sdt>
      <w:sdtPr>
        <w:alias w:val="1 pr."/>
        <w:tag w:val="part_f76a4aa2875d46d4b5d8f12061098289"/>
        <w:lock w:val="sdtLocked"/>
        <w:richText/>
      </w:sdtPr>
      <w:sdtContent>
        <w:p>
          <w:pPr>
            <w:ind w:left="4535"/>
            <w:sectPr>
              <w:pgSz w:w="11907" w:h="16840" w:code="9"/>
              <w:pgMar w:top="1134" w:right="1134" w:bottom="1134" w:left="1701" w:header="567" w:footer="284" w:gutter="0"/>
              <w:pgNumType w:start="1"/>
              <w:cols w:space="1296"/>
              <w:titlePg/>
              <w:docGrid w:linePitch="360"/>
            </w:sectPr>
          </w:pPr>
        </w:p>
        <w:p>
          <w:pPr>
            <w:ind w:left="4535"/>
            <w:rPr>
              <w:szCs w:val="24"/>
              <w:lang w:eastAsia="lt-LT"/>
            </w:rPr>
          </w:pPr>
          <w:r>
            <w:rPr>
              <w:szCs w:val="24"/>
              <w:lang w:eastAsia="lt-LT"/>
            </w:rPr>
            <w:t xml:space="preserve">Asmens sveikatos priežiūros paslaugų, kurių išlaidos apmokamos Privalomojo sveikatos draudimo fondo biudžeto lėšomis, bazinių kainų nustatymo metodikos </w:t>
          </w:r>
        </w:p>
        <w:p>
          <w:pPr>
            <w:ind w:left="4535"/>
            <w:rPr>
              <w:szCs w:val="24"/>
              <w:lang w:eastAsia="lt-LT"/>
            </w:rPr>
          </w:pPr>
          <w:sdt>
            <w:sdtPr>
              <w:alias w:val="Numeris"/>
              <w:tag w:val="nr_f76a4aa2875d46d4b5d8f12061098289"/>
              <w:lock w:val="sdtLocked"/>
              <w:richText/>
            </w:sdtPr>
            <w:sdtContent>
              <w:r>
                <w:rPr>
                  <w:szCs w:val="24"/>
                  <w:lang w:eastAsia="lt-LT"/>
                </w:rPr>
                <w:t>1</w:t>
              </w:r>
            </w:sdtContent>
          </w:sdt>
          <w:r>
            <w:rPr>
              <w:szCs w:val="24"/>
              <w:lang w:eastAsia="lt-LT"/>
            </w:rPr>
            <w:t xml:space="preserve"> priedas</w:t>
          </w:r>
        </w:p>
        <w:p>
          <w:pPr>
            <w:jc w:val="center"/>
            <w:rPr>
              <w:szCs w:val="24"/>
              <w:lang w:eastAsia="lt-LT"/>
            </w:rPr>
          </w:pPr>
        </w:p>
        <w:p>
          <w:pPr>
            <w:jc w:val="center"/>
            <w:rPr>
              <w:b/>
              <w:szCs w:val="24"/>
              <w:lang w:eastAsia="lt-LT"/>
            </w:rPr>
          </w:pPr>
          <w:sdt>
            <w:sdtPr>
              <w:alias w:val="Pavadinimas"/>
              <w:tag w:val="title_f76a4aa2875d46d4b5d8f12061098289"/>
              <w:lock w:val="sdtLocked"/>
              <w:richText/>
            </w:sdtPr>
            <w:sdtContent>
              <w:r>
                <w:rPr>
                  <w:b/>
                  <w:szCs w:val="24"/>
                  <w:lang w:eastAsia="lt-LT"/>
                </w:rPr>
                <w:t>AKTYVIOJO GYDYMO ATVEJŲ IR LOVADIENIŲ SKAIČIAUS BEI SVERTINIO AKTYVIOJO GYDYMO ATVEJŲ IR LOVADIENIŲ SKAIČIAUS APSKAIČIAVIMO TVARKA</w:t>
              </w:r>
            </w:sdtContent>
          </w:sdt>
        </w:p>
        <w:p>
          <w:pPr>
            <w:jc w:val="center"/>
            <w:rPr>
              <w:b/>
              <w:szCs w:val="24"/>
              <w:lang w:eastAsia="lt-LT"/>
            </w:rPr>
          </w:pPr>
        </w:p>
        <w:sdt>
          <w:sdtPr>
            <w:alias w:val="skyrius"/>
            <w:tag w:val="part_3e2c8c88a19b43ebb3abec3f0749babb"/>
            <w:lock w:val="sdtLocked"/>
            <w:richText/>
          </w:sdtPr>
          <w:sdtContent>
            <w:p>
              <w:pPr>
                <w:jc w:val="center"/>
                <w:rPr>
                  <w:b/>
                  <w:szCs w:val="24"/>
                  <w:lang w:eastAsia="lt-LT"/>
                </w:rPr>
              </w:pPr>
              <w:sdt>
                <w:sdtPr>
                  <w:alias w:val="Numeris"/>
                  <w:tag w:val="nr_3e2c8c88a19b43ebb3abec3f0749babb"/>
                  <w:lock w:val="sdtLocked"/>
                  <w:richText/>
                </w:sdtPr>
                <w:sdtContent>
                  <w:r>
                    <w:rPr>
                      <w:b/>
                      <w:szCs w:val="24"/>
                      <w:lang w:eastAsia="lt-LT"/>
                    </w:rPr>
                    <w:t>I</w:t>
                  </w:r>
                </w:sdtContent>
              </w:sdt>
              <w:r>
                <w:rPr>
                  <w:b/>
                  <w:szCs w:val="24"/>
                  <w:lang w:eastAsia="lt-LT"/>
                </w:rPr>
                <w:t xml:space="preserve"> </w:t>
              </w:r>
              <w:sdt>
                <w:sdtPr>
                  <w:alias w:val="Pavadinimas"/>
                  <w:tag w:val="title_3e2c8c88a19b43ebb3abec3f0749babb"/>
                  <w:lock w:val="sdtLocked"/>
                  <w:richText/>
                </w:sdtPr>
                <w:sdtContent>
                  <w:r>
                    <w:rPr>
                      <w:b/>
                      <w:szCs w:val="24"/>
                      <w:lang w:eastAsia="lt-LT"/>
                    </w:rPr>
                    <w:t xml:space="preserve">SKYRIUS </w:t>
                    <w:br/>
                    <w:t xml:space="preserve">AKTYVIOJO GYDYMO ATVEJŲ IR LOVADIENIŲ SKAIČIAUS APSKAIČIAVIMO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sdt>
              <w:sdtPr>
                <w:alias w:val="1 pr. 1 p."/>
                <w:tag w:val="part_0db467bf7e55400d98c29b070d58c1b0"/>
                <w:lock w:val="sdtLocked"/>
                <w:richText/>
              </w:sdtPr>
              <w:sdtContent>
                <w:p>
                  <w:pPr>
                    <w:tabs>
                      <w:tab w:val="left" w:pos="851"/>
                      <w:tab w:val="left" w:pos="1134"/>
                    </w:tabs>
                    <w:ind w:firstLine="567"/>
                    <w:jc w:val="both"/>
                    <w:rPr>
                      <w:szCs w:val="24"/>
                    </w:rPr>
                  </w:pPr>
                  <w:sdt>
                    <w:sdtPr>
                      <w:alias w:val="Numeris"/>
                      <w:tag w:val="nr_0db467bf7e55400d98c29b070d58c1b0"/>
                      <w:lock w:val="sdtLocked"/>
                      <w:richText/>
                    </w:sdtPr>
                    <w:sdtContent>
                      <w:r>
                        <w:rPr>
                          <w:szCs w:val="24"/>
                        </w:rPr>
                        <w:t>1</w:t>
                      </w:r>
                    </w:sdtContent>
                  </w:sdt>
                  <w:r>
                    <w:rPr>
                      <w:szCs w:val="24"/>
                    </w:rPr>
                    <w:t>. Aktyviojo gydymo atvejų ir lovadienių, priskiriamų atitinkamai giminingų diagnozių grupei, skaičius apskaičiuojamas sudedant:</w:t>
                  </w:r>
                </w:p>
                <w:sdt>
                  <w:sdtPr>
                    <w:alias w:val="1 pr. 1 p. a pp."/>
                    <w:tag w:val="part_db35269a01bc4d64a0ed877bd9f4f483"/>
                    <w:lock w:val="sdtLocked"/>
                    <w:richText/>
                  </w:sdtPr>
                  <w:sdtContent>
                    <w:p>
                      <w:pPr>
                        <w:tabs>
                          <w:tab w:val="left" w:pos="851"/>
                          <w:tab w:val="left" w:pos="1134"/>
                        </w:tabs>
                        <w:ind w:firstLine="567"/>
                        <w:jc w:val="both"/>
                        <w:rPr>
                          <w:szCs w:val="24"/>
                        </w:rPr>
                      </w:pPr>
                      <w:sdt>
                        <w:sdtPr>
                          <w:alias w:val="Numeris"/>
                          <w:tag w:val="nr_db35269a01bc4d64a0ed877bd9f4f483"/>
                          <w:lock w:val="sdtLocked"/>
                          <w:richText/>
                        </w:sdtPr>
                        <w:sdtContent>
                          <w:r>
                            <w:rPr>
                              <w:szCs w:val="24"/>
                            </w:rPr>
                            <w:t>a</w:t>
                          </w:r>
                        </w:sdtContent>
                      </w:sdt>
                      <w:r>
                        <w:rPr>
                          <w:szCs w:val="24"/>
                        </w:rPr>
                        <w:t xml:space="preserve">) dienos aktyviojo gydymo atvejų, kai aktyviojo gydymo atvejui priskiriamas požymis „dienos paslauga“ arba kai pacientas atvyksta į gydymo įstaigą ir išvyksta iš jos tą pačią dieną, skaičių; </w:t>
                      </w:r>
                    </w:p>
                  </w:sdtContent>
                </w:sdt>
                <w:sdt>
                  <w:sdtPr>
                    <w:alias w:val="1 pr. 1 p. b pp."/>
                    <w:tag w:val="part_a74b7332093b4df19269fc0e68938ccc"/>
                    <w:lock w:val="sdtLocked"/>
                    <w:richText/>
                  </w:sdtPr>
                  <w:sdtContent>
                    <w:p>
                      <w:pPr>
                        <w:tabs>
                          <w:tab w:val="left" w:pos="851"/>
                          <w:tab w:val="left" w:pos="1134"/>
                        </w:tabs>
                        <w:ind w:firstLine="567"/>
                        <w:jc w:val="both"/>
                        <w:rPr>
                          <w:szCs w:val="24"/>
                        </w:rPr>
                      </w:pPr>
                      <w:sdt>
                        <w:sdtPr>
                          <w:alias w:val="Numeris"/>
                          <w:tag w:val="nr_a74b7332093b4df19269fc0e68938ccc"/>
                          <w:lock w:val="sdtLocked"/>
                          <w:richText/>
                        </w:sdtPr>
                        <w:sdtContent>
                          <w:r>
                            <w:rPr>
                              <w:szCs w:val="24"/>
                            </w:rPr>
                            <w:t>b</w:t>
                          </w:r>
                        </w:sdtContent>
                      </w:sdt>
                      <w:r>
                        <w:rPr>
                          <w:szCs w:val="24"/>
                        </w:rPr>
                        <w:t>) paros aktyviojo gydymo atvejų, kai pacientas vieną dieną atvyksta į gydymo įstaigą, o kitą dieną (antrąją dieną po atvykimo) iš jos išvyksta, skaičių;</w:t>
                      </w:r>
                    </w:p>
                  </w:sdtContent>
                </w:sdt>
                <w:sdt>
                  <w:sdtPr>
                    <w:alias w:val="1 pr. 1 p. c pp."/>
                    <w:tag w:val="part_0bca876af2fd4ccca1680f1119ef4152"/>
                    <w:lock w:val="sdtLocked"/>
                    <w:richText/>
                  </w:sdtPr>
                  <w:sdtContent>
                    <w:p>
                      <w:pPr>
                        <w:tabs>
                          <w:tab w:val="left" w:pos="851"/>
                          <w:tab w:val="left" w:pos="1134"/>
                          <w:tab w:val="left" w:pos="1276"/>
                        </w:tabs>
                        <w:ind w:firstLine="567"/>
                        <w:jc w:val="both"/>
                        <w:rPr>
                          <w:szCs w:val="24"/>
                        </w:rPr>
                      </w:pPr>
                      <w:sdt>
                        <w:sdtPr>
                          <w:alias w:val="Numeris"/>
                          <w:tag w:val="nr_0bca876af2fd4ccca1680f1119ef4152"/>
                          <w:lock w:val="sdtLocked"/>
                          <w:richText/>
                        </w:sdtPr>
                        <w:sdtContent>
                          <w:r>
                            <w:rPr>
                              <w:szCs w:val="24"/>
                            </w:rPr>
                            <w:t>c</w:t>
                          </w:r>
                        </w:sdtContent>
                      </w:sdt>
                      <w:r>
                        <w:rPr>
                          <w:szCs w:val="24"/>
                        </w:rPr>
                        <w:t>) lovadienių, kai gydymo trukmė trumpesnė nei minimali gydymo trukmė ir ilgesnė nei 1 lovadienis, skaičių;</w:t>
                      </w:r>
                    </w:p>
                  </w:sdtContent>
                </w:sdt>
                <w:sdt>
                  <w:sdtPr>
                    <w:alias w:val="1 pr. 1 p. d pp."/>
                    <w:tag w:val="part_d4c91d8895654d2ab5bde5eb6acb632c"/>
                    <w:lock w:val="sdtLocked"/>
                    <w:richText/>
                  </w:sdtPr>
                  <w:sdtContent>
                    <w:p>
                      <w:pPr>
                        <w:tabs>
                          <w:tab w:val="left" w:pos="851"/>
                          <w:tab w:val="left" w:pos="1134"/>
                        </w:tabs>
                        <w:ind w:firstLine="567"/>
                        <w:jc w:val="both"/>
                        <w:rPr>
                          <w:szCs w:val="24"/>
                        </w:rPr>
                      </w:pPr>
                      <w:sdt>
                        <w:sdtPr>
                          <w:alias w:val="Numeris"/>
                          <w:tag w:val="nr_d4c91d8895654d2ab5bde5eb6acb632c"/>
                          <w:lock w:val="sdtLocked"/>
                          <w:richText/>
                        </w:sdtPr>
                        <w:sdtContent>
                          <w:r>
                            <w:rPr>
                              <w:szCs w:val="24"/>
                            </w:rPr>
                            <w:t>d</w:t>
                          </w:r>
                        </w:sdtContent>
                      </w:sdt>
                      <w:r>
                        <w:rPr>
                          <w:szCs w:val="24"/>
                        </w:rPr>
                        <w:t>) vidutinės trukmės aktyviojo gydymo atvejų, kai gydymo trukmė ilgesnė nei minimali gydymo trukmė arba lygi jai ir trumpesnė nei maksimali gydymo trukmė arba lygi jai, skaičių;</w:t>
                      </w:r>
                    </w:p>
                  </w:sdtContent>
                </w:sdt>
                <w:sdt>
                  <w:sdtPr>
                    <w:alias w:val="1 pr. 1 p. e pp."/>
                    <w:tag w:val="part_712ccc960a4e4c4d9bb11b9f8c49b3a6"/>
                    <w:lock w:val="sdtLocked"/>
                    <w:richText/>
                  </w:sdtPr>
                  <w:sdtContent>
                    <w:p>
                      <w:pPr>
                        <w:tabs>
                          <w:tab w:val="left" w:pos="851"/>
                          <w:tab w:val="left" w:pos="1134"/>
                        </w:tabs>
                        <w:ind w:firstLine="567"/>
                        <w:jc w:val="both"/>
                        <w:rPr>
                          <w:szCs w:val="24"/>
                        </w:rPr>
                      </w:pPr>
                      <w:sdt>
                        <w:sdtPr>
                          <w:alias w:val="Numeris"/>
                          <w:tag w:val="nr_712ccc960a4e4c4d9bb11b9f8c49b3a6"/>
                          <w:lock w:val="sdtLocked"/>
                          <w:richText/>
                        </w:sdtPr>
                        <w:sdtContent>
                          <w:r>
                            <w:rPr>
                              <w:szCs w:val="24"/>
                            </w:rPr>
                            <w:t>e</w:t>
                          </w:r>
                        </w:sdtContent>
                      </w:sdt>
                      <w:r>
                        <w:rPr>
                          <w:szCs w:val="24"/>
                        </w:rPr>
                        <w:t>) lovadienių, kai gydymo trukmė ilgesnė už maksimalią gydymo trukmę, skaičių.</w:t>
                      </w:r>
                    </w:p>
                    <w:p>
                      <w:pPr>
                        <w:tabs>
                          <w:tab w:val="left" w:pos="851"/>
                          <w:tab w:val="left" w:pos="1134"/>
                        </w:tabs>
                        <w:ind w:firstLine="567"/>
                        <w:jc w:val="both"/>
                        <w:rPr>
                          <w:szCs w:val="24"/>
                        </w:rPr>
                      </w:pPr>
                    </w:p>
                    <w:p>
                      <w:pPr>
                        <w:tabs>
                          <w:tab w:val="left" w:pos="851"/>
                          <w:tab w:val="left" w:pos="1134"/>
                        </w:tabs>
                        <w:ind w:firstLine="567"/>
                        <w:jc w:val="both"/>
                        <w:rPr>
                          <w:i/>
                          <w:szCs w:val="24"/>
                        </w:rPr>
                      </w:pPr>
                      <w:r>
                        <w:rPr>
                          <w:i/>
                          <w:position w:val="-28"/>
                          <w:szCs w:val="24"/>
                        </w:rPr>
                        <w:object w:dxaOrig="7125" w:dyaOrig="540">
                          <v:shape id="_x0000_i1030" type="#_x0000_t75" style="width:356.85pt;height:26.9pt" o:ole="">
                            <v:imagedata r:id="rId35" o:title=""/>
                          </v:shape>
                          <o:OLEObject Type="Embed" ProgID="Equation.3" ShapeID="_x0000_i1030" DrawAspect="Content" ObjectID="_0000000001" r:id="rId36"/>
                        </w:object>
                      </w:r>
                      <w:r>
                        <w:rPr>
                          <w:i/>
                          <w:szCs w:val="24"/>
                        </w:rPr>
                        <w:t>,</w:t>
                      </w:r>
                    </w:p>
                    <w:p>
                      <w:pPr>
                        <w:tabs>
                          <w:tab w:val="left" w:pos="851"/>
                          <w:tab w:val="left" w:pos="1134"/>
                        </w:tabs>
                        <w:ind w:firstLine="567"/>
                        <w:jc w:val="both"/>
                        <w:rPr>
                          <w:i/>
                          <w:szCs w:val="24"/>
                        </w:rPr>
                      </w:pPr>
                    </w:p>
                    <w:p>
                      <w:pPr>
                        <w:tabs>
                          <w:tab w:val="left" w:pos="851"/>
                          <w:tab w:val="left" w:pos="1134"/>
                        </w:tabs>
                        <w:ind w:firstLine="567"/>
                        <w:jc w:val="both"/>
                        <w:rPr>
                          <w:szCs w:val="24"/>
                        </w:rPr>
                      </w:pPr>
                    </w:p>
                    <w:p>
                      <w:pPr>
                        <w:tabs>
                          <w:tab w:val="left" w:pos="993"/>
                        </w:tabs>
                        <w:ind w:firstLine="567"/>
                        <w:jc w:val="both"/>
                        <w:rPr>
                          <w:szCs w:val="24"/>
                          <w:lang w:eastAsia="lt-LT"/>
                        </w:rPr>
                      </w:pPr>
                      <w:r>
                        <w:rPr>
                          <w:szCs w:val="24"/>
                          <w:lang w:eastAsia="lt-LT"/>
                        </w:rPr>
                        <w:t>kai:</w:t>
                      </w:r>
                    </w:p>
                    <w:p>
                      <w:pPr>
                        <w:tabs>
                          <w:tab w:val="left" w:pos="993"/>
                        </w:tabs>
                        <w:ind w:firstLine="567"/>
                        <w:jc w:val="both"/>
                        <w:rPr>
                          <w:szCs w:val="24"/>
                          <w:lang w:eastAsia="lt-LT"/>
                        </w:rPr>
                      </w:pPr>
                      <w:r>
                        <w:rPr>
                          <w:i/>
                          <w:szCs w:val="24"/>
                          <w:lang w:eastAsia="lt-LT"/>
                        </w:rPr>
                        <w:t>ALSK</w:t>
                      </w:r>
                      <w:r>
                        <w:rPr>
                          <w:szCs w:val="24"/>
                          <w:lang w:eastAsia="lt-LT"/>
                        </w:rPr>
                        <w:t xml:space="preserve"> – aktyviojo gydymo atvejų ir lovadienių skaičius,</w:t>
                      </w:r>
                    </w:p>
                    <w:p>
                      <w:pPr>
                        <w:ind w:firstLine="567"/>
                        <w:jc w:val="both"/>
                        <w:rPr>
                          <w:szCs w:val="24"/>
                          <w:lang w:eastAsia="lt-LT"/>
                        </w:rPr>
                      </w:pPr>
                      <w:r>
                        <w:rPr>
                          <w:i/>
                          <w:szCs w:val="24"/>
                          <w:lang w:eastAsia="lt-LT"/>
                        </w:rPr>
                        <w:t>ASK</w:t>
                      </w:r>
                      <w:r>
                        <w:rPr>
                          <w:szCs w:val="24"/>
                          <w:lang w:eastAsia="lt-LT"/>
                        </w:rPr>
                        <w:t xml:space="preserve"> – vidutinės trukmės aktyviojo gydymo atvejų skaičius,</w:t>
                      </w:r>
                    </w:p>
                    <w:p>
                      <w:pPr>
                        <w:ind w:firstLine="567"/>
                        <w:jc w:val="both"/>
                        <w:rPr>
                          <w:szCs w:val="24"/>
                          <w:lang w:eastAsia="lt-LT"/>
                        </w:rPr>
                      </w:pPr>
                      <w:r>
                        <w:rPr>
                          <w:i/>
                          <w:szCs w:val="24"/>
                          <w:lang w:eastAsia="lt-LT"/>
                        </w:rPr>
                        <w:t xml:space="preserve">DRG – </w:t>
                      </w:r>
                      <w:r>
                        <w:rPr>
                          <w:szCs w:val="24"/>
                          <w:lang w:eastAsia="lt-LT"/>
                        </w:rPr>
                        <w:t>giminingų diagnozių grupė,</w:t>
                      </w:r>
                    </w:p>
                    <w:p>
                      <w:pPr>
                        <w:ind w:firstLine="567"/>
                        <w:jc w:val="both"/>
                        <w:rPr>
                          <w:szCs w:val="24"/>
                          <w:lang w:eastAsia="lt-LT"/>
                        </w:rPr>
                      </w:pPr>
                      <w:r>
                        <w:rPr>
                          <w:i/>
                          <w:szCs w:val="24"/>
                          <w:lang w:eastAsia="lt-LT"/>
                        </w:rPr>
                        <w:t>DSK</w:t>
                      </w:r>
                      <w:r>
                        <w:rPr>
                          <w:szCs w:val="24"/>
                          <w:lang w:eastAsia="lt-LT"/>
                        </w:rPr>
                        <w:t xml:space="preserve"> – dienos aktyviojo gydymo atvejų skaičius,</w:t>
                      </w:r>
                    </w:p>
                    <w:p>
                      <w:pPr>
                        <w:ind w:firstLine="567"/>
                        <w:jc w:val="both"/>
                        <w:rPr>
                          <w:szCs w:val="24"/>
                          <w:lang w:eastAsia="lt-LT"/>
                        </w:rPr>
                      </w:pPr>
                      <w:r>
                        <w:rPr>
                          <w:i/>
                          <w:szCs w:val="24"/>
                          <w:lang w:eastAsia="lt-LT"/>
                        </w:rPr>
                        <w:t>LSKMAX</w:t>
                      </w:r>
                      <w:r>
                        <w:rPr>
                          <w:szCs w:val="24"/>
                          <w:lang w:eastAsia="lt-LT"/>
                        </w:rPr>
                        <w:t xml:space="preserve"> – lovadienių, kai gydymo trukmė ilgesnė nei maksimali gydymo trukmė, skaičius,</w:t>
                      </w:r>
                    </w:p>
                    <w:p>
                      <w:pPr>
                        <w:ind w:firstLine="567"/>
                        <w:jc w:val="both"/>
                        <w:rPr>
                          <w:szCs w:val="24"/>
                          <w:lang w:eastAsia="lt-LT"/>
                        </w:rPr>
                      </w:pPr>
                      <w:r>
                        <w:rPr>
                          <w:i/>
                          <w:szCs w:val="24"/>
                          <w:lang w:eastAsia="lt-LT"/>
                        </w:rPr>
                        <w:t>LSKMIN</w:t>
                      </w:r>
                      <w:r>
                        <w:rPr>
                          <w:szCs w:val="24"/>
                          <w:lang w:eastAsia="lt-LT"/>
                        </w:rPr>
                        <w:t xml:space="preserve"> – lovadienių, kai gydymo trukmė trumpesnė nei minimali gydymo trukmė ir ilgesnė nei 1 lovadienis, skaičius,</w:t>
                      </w:r>
                    </w:p>
                    <w:p>
                      <w:pPr>
                        <w:ind w:firstLine="567"/>
                        <w:jc w:val="both"/>
                        <w:rPr>
                          <w:szCs w:val="24"/>
                          <w:lang w:eastAsia="lt-LT"/>
                        </w:rPr>
                      </w:pPr>
                      <w:r>
                        <w:rPr>
                          <w:i/>
                          <w:szCs w:val="24"/>
                          <w:lang w:eastAsia="lt-LT"/>
                        </w:rPr>
                        <w:t>PSK</w:t>
                      </w:r>
                      <w:r>
                        <w:rPr>
                          <w:szCs w:val="24"/>
                          <w:lang w:eastAsia="lt-LT"/>
                        </w:rPr>
                        <w:t xml:space="preserve"> – paros aktyviojo gydymo atvejų skaičius;</w:t>
                      </w:r>
                    </w:p>
                  </w:sdtContent>
                </w:sdt>
                <w:sdt>
                  <w:sdtPr>
                    <w:alias w:val="1 pr. 1.1 pp."/>
                    <w:tag w:val="part_c6ef73a0a4484673a00277901a2da8a1"/>
                    <w:lock w:val="sdtLocked"/>
                    <w:richText/>
                  </w:sdtPr>
                  <w:sdtContent>
                    <w:p>
                      <w:pPr>
                        <w:tabs>
                          <w:tab w:val="left" w:pos="993"/>
                        </w:tabs>
                        <w:ind w:firstLine="567"/>
                        <w:jc w:val="both"/>
                        <w:rPr>
                          <w:szCs w:val="24"/>
                        </w:rPr>
                      </w:pPr>
                      <w:sdt>
                        <w:sdtPr>
                          <w:alias w:val="Numeris"/>
                          <w:tag w:val="nr_c6ef73a0a4484673a00277901a2da8a1"/>
                          <w:lock w:val="sdtLocked"/>
                          <w:richText/>
                        </w:sdtPr>
                        <w:sdtContent>
                          <w:r>
                            <w:rPr>
                              <w:szCs w:val="24"/>
                            </w:rPr>
                            <w:t>1.1</w:t>
                          </w:r>
                        </w:sdtContent>
                      </w:sdt>
                      <w:r>
                        <w:rPr>
                          <w:szCs w:val="24"/>
                        </w:rPr>
                        <w:t>. dienos aktyviojo gydymo atvejų, kai giminingų diagnozių grupei priskiriamas požymis „dienos paslauga“ arba gydymo atvejo pabaigos data sutampa su gydymo atvejo pradžios data, skaičius apskaičiuojamas taip:</w:t>
                      </w:r>
                    </w:p>
                    <w:p>
                      <w:pPr>
                        <w:ind w:firstLine="567"/>
                        <w:jc w:val="both"/>
                        <w:rPr>
                          <w:szCs w:val="24"/>
                          <w:lang w:eastAsia="lt-LT"/>
                        </w:rPr>
                      </w:pPr>
                      <w:r>
                        <w:rPr>
                          <w:position w:val="-28"/>
                          <w:szCs w:val="24"/>
                          <w:lang w:eastAsia="lt-LT"/>
                        </w:rPr>
                        <w:object w:dxaOrig="1935" w:dyaOrig="540">
                          <v:shape id="_x0000_i1031" type="#_x0000_t75" style="width:95.8pt;height:26.9pt" o:ole="">
                            <v:imagedata r:id="rId37" o:title=""/>
                          </v:shape>
                          <o:OLEObject Type="Embed" ProgID="Equation.3" ShapeID="_x0000_i1031" DrawAspect="Content" ObjectID="_0000000001" r:id="rId38"/>
                        </w:object>
                      </w:r>
                      <w:r>
                        <w:rPr>
                          <w:szCs w:val="24"/>
                          <w:lang w:eastAsia="lt-LT"/>
                        </w:rPr>
                        <w:t>,</w:t>
                      </w:r>
                    </w:p>
                    <w:p>
                      <w:pPr>
                        <w:ind w:firstLine="567"/>
                        <w:jc w:val="both"/>
                        <w:rPr>
                          <w:szCs w:val="24"/>
                          <w:lang w:eastAsia="lt-LT"/>
                        </w:rPr>
                      </w:pPr>
                    </w:p>
                    <w:p>
                      <w:pPr>
                        <w:tabs>
                          <w:tab w:val="left" w:pos="993"/>
                        </w:tabs>
                        <w:ind w:firstLine="567"/>
                        <w:jc w:val="both"/>
                        <w:rPr>
                          <w:szCs w:val="24"/>
                          <w:lang w:eastAsia="lt-LT"/>
                        </w:rPr>
                      </w:pPr>
                      <w:r>
                        <w:rPr>
                          <w:szCs w:val="24"/>
                          <w:lang w:eastAsia="lt-LT"/>
                        </w:rPr>
                        <w:t>kai:</w:t>
                      </w:r>
                    </w:p>
                    <w:p>
                      <w:pPr>
                        <w:tabs>
                          <w:tab w:val="left" w:pos="993"/>
                        </w:tabs>
                        <w:ind w:firstLine="567"/>
                        <w:jc w:val="both"/>
                        <w:rPr>
                          <w:szCs w:val="24"/>
                          <w:lang w:eastAsia="lt-LT"/>
                        </w:rPr>
                      </w:pPr>
                      <w:r>
                        <w:rPr>
                          <w:i/>
                          <w:szCs w:val="24"/>
                          <w:lang w:eastAsia="lt-LT"/>
                        </w:rPr>
                        <w:t>DSK</w:t>
                      </w:r>
                      <w:r>
                        <w:rPr>
                          <w:szCs w:val="24"/>
                          <w:lang w:eastAsia="lt-LT"/>
                        </w:rPr>
                        <w:t xml:space="preserve"> – dienos aktyviojo gydymo atvejų skaičius,</w:t>
                      </w:r>
                    </w:p>
                    <w:p>
                      <w:pPr>
                        <w:ind w:firstLine="567"/>
                        <w:jc w:val="both"/>
                        <w:rPr>
                          <w:szCs w:val="24"/>
                          <w:lang w:eastAsia="lt-LT"/>
                        </w:rPr>
                      </w:pPr>
                      <w:r>
                        <w:rPr>
                          <w:i/>
                          <w:szCs w:val="24"/>
                          <w:lang w:eastAsia="lt-LT"/>
                        </w:rPr>
                        <w:t xml:space="preserve">A </w:t>
                      </w:r>
                      <w:r>
                        <w:rPr>
                          <w:szCs w:val="24"/>
                          <w:lang w:eastAsia="lt-LT"/>
                        </w:rPr>
                        <w:t>– aktyviojo gydymo atvejis,</w:t>
                      </w:r>
                    </w:p>
                    <w:p>
                      <w:pPr>
                        <w:ind w:firstLine="567"/>
                        <w:jc w:val="both"/>
                        <w:rPr>
                          <w:szCs w:val="24"/>
                          <w:lang w:eastAsia="lt-LT"/>
                        </w:rPr>
                      </w:pPr>
                      <w:r>
                        <w:rPr>
                          <w:i/>
                          <w:szCs w:val="24"/>
                          <w:lang w:eastAsia="lt-LT"/>
                        </w:rPr>
                        <w:t xml:space="preserve">DRG – </w:t>
                      </w:r>
                      <w:r>
                        <w:rPr>
                          <w:szCs w:val="24"/>
                          <w:lang w:eastAsia="lt-LT"/>
                        </w:rPr>
                        <w:t>giminingų diagnozių grupė;</w:t>
                      </w:r>
                    </w:p>
                    <w:p>
                      <w:pPr>
                        <w:ind w:firstLine="567"/>
                        <w:jc w:val="both"/>
                        <w:rPr>
                          <w:i/>
                          <w:szCs w:val="24"/>
                          <w:lang w:eastAsia="lt-LT"/>
                        </w:rPr>
                      </w:pPr>
                    </w:p>
                  </w:sdtContent>
                </w:sdt>
                <w:sdt>
                  <w:sdtPr>
                    <w:alias w:val="1 pr. 1.2 pp."/>
                    <w:tag w:val="part_50683848bbbd496eb6003a43594165ed"/>
                    <w:lock w:val="sdtLocked"/>
                    <w:richText/>
                  </w:sdtPr>
                  <w:sdtContent>
                    <w:p>
                      <w:pPr>
                        <w:tabs>
                          <w:tab w:val="left" w:pos="993"/>
                        </w:tabs>
                        <w:ind w:firstLine="567"/>
                        <w:jc w:val="both"/>
                        <w:rPr>
                          <w:szCs w:val="24"/>
                        </w:rPr>
                      </w:pPr>
                      <w:sdt>
                        <w:sdtPr>
                          <w:alias w:val="Numeris"/>
                          <w:tag w:val="nr_50683848bbbd496eb6003a43594165ed"/>
                          <w:lock w:val="sdtLocked"/>
                          <w:richText/>
                        </w:sdtPr>
                        <w:sdtContent>
                          <w:r>
                            <w:rPr>
                              <w:szCs w:val="24"/>
                            </w:rPr>
                            <w:t>1.2</w:t>
                          </w:r>
                        </w:sdtContent>
                      </w:sdt>
                      <w:r>
                        <w:rPr>
                          <w:szCs w:val="24"/>
                        </w:rPr>
                        <w:t>. paros aktyviojo gydymo atvejų, kai giminingų diagnozių grupei nepriskiriamas požymis „dienos paslauga“ arba aktyviojo gydymo atvejo pabaigos data nesutampa su aktyviojo gydymo atvejo pradžios data, skaičius apskaičiuojamas taip:</w:t>
                      </w:r>
                    </w:p>
                    <w:p>
                      <w:pPr>
                        <w:ind w:firstLine="567"/>
                        <w:jc w:val="both"/>
                        <w:rPr>
                          <w:szCs w:val="24"/>
                          <w:lang w:eastAsia="lt-LT"/>
                        </w:rPr>
                      </w:pPr>
                      <w:r>
                        <w:rPr>
                          <w:position w:val="-28"/>
                          <w:szCs w:val="24"/>
                          <w:lang w:eastAsia="lt-LT"/>
                        </w:rPr>
                        <w:object w:dxaOrig="1920" w:dyaOrig="540">
                          <v:shape id="_x0000_i1032" type="#_x0000_t75" style="width:95.15pt;height:26.9pt" o:ole="">
                            <v:imagedata r:id="rId39" o:title=""/>
                          </v:shape>
                          <o:OLEObject Type="Embed" ProgID="Equation.3" ShapeID="_x0000_i1032" DrawAspect="Content" ObjectID="_0000000001" r:id="rId40"/>
                        </w:object>
                      </w:r>
                      <w:r>
                        <w:rPr>
                          <w:szCs w:val="24"/>
                          <w:lang w:eastAsia="lt-LT"/>
                        </w:rPr>
                        <w:t>,</w:t>
                      </w:r>
                    </w:p>
                    <w:p>
                      <w:pPr>
                        <w:ind w:firstLine="567"/>
                        <w:jc w:val="both"/>
                        <w:rPr>
                          <w:szCs w:val="24"/>
                          <w:lang w:eastAsia="lt-LT"/>
                        </w:rPr>
                      </w:pPr>
                    </w:p>
                    <w:p>
                      <w:pPr>
                        <w:tabs>
                          <w:tab w:val="left" w:pos="993"/>
                        </w:tabs>
                        <w:ind w:firstLine="567"/>
                        <w:jc w:val="both"/>
                        <w:rPr>
                          <w:szCs w:val="24"/>
                          <w:lang w:eastAsia="lt-LT"/>
                        </w:rPr>
                      </w:pPr>
                      <w:r>
                        <w:rPr>
                          <w:szCs w:val="24"/>
                          <w:lang w:eastAsia="lt-LT"/>
                        </w:rPr>
                        <w:t>kai:</w:t>
                      </w:r>
                    </w:p>
                    <w:p>
                      <w:pPr>
                        <w:tabs>
                          <w:tab w:val="left" w:pos="993"/>
                        </w:tabs>
                        <w:ind w:firstLine="567"/>
                        <w:jc w:val="both"/>
                        <w:rPr>
                          <w:szCs w:val="24"/>
                          <w:lang w:eastAsia="lt-LT"/>
                        </w:rPr>
                      </w:pPr>
                      <w:r>
                        <w:rPr>
                          <w:i/>
                          <w:szCs w:val="24"/>
                          <w:lang w:eastAsia="lt-LT"/>
                        </w:rPr>
                        <w:t>PSK</w:t>
                      </w:r>
                      <w:r>
                        <w:rPr>
                          <w:caps/>
                          <w:szCs w:val="24"/>
                          <w:lang w:eastAsia="lt-LT"/>
                        </w:rPr>
                        <w:t xml:space="preserve"> – </w:t>
                      </w:r>
                      <w:r>
                        <w:rPr>
                          <w:szCs w:val="24"/>
                          <w:lang w:eastAsia="lt-LT"/>
                        </w:rPr>
                        <w:t>paros aktyviojo gydymo atvejų skaičius,</w:t>
                      </w:r>
                    </w:p>
                    <w:p>
                      <w:pPr>
                        <w:ind w:firstLine="567"/>
                        <w:jc w:val="both"/>
                        <w:rPr>
                          <w:szCs w:val="24"/>
                          <w:lang w:eastAsia="lt-LT"/>
                        </w:rPr>
                      </w:pPr>
                      <w:r>
                        <w:rPr>
                          <w:i/>
                          <w:szCs w:val="24"/>
                          <w:lang w:eastAsia="lt-LT"/>
                        </w:rPr>
                        <w:t xml:space="preserve">A – </w:t>
                      </w:r>
                      <w:r>
                        <w:rPr>
                          <w:szCs w:val="24"/>
                          <w:lang w:eastAsia="lt-LT"/>
                        </w:rPr>
                        <w:t>aktyviojo gydymo atvejis,</w:t>
                      </w:r>
                    </w:p>
                    <w:p>
                      <w:pPr>
                        <w:ind w:firstLine="567"/>
                        <w:jc w:val="both"/>
                        <w:rPr>
                          <w:szCs w:val="24"/>
                          <w:lang w:eastAsia="lt-LT"/>
                        </w:rPr>
                      </w:pPr>
                      <w:r>
                        <w:rPr>
                          <w:i/>
                          <w:szCs w:val="24"/>
                          <w:lang w:eastAsia="lt-LT"/>
                        </w:rPr>
                        <w:t xml:space="preserve">DRG – </w:t>
                      </w:r>
                      <w:r>
                        <w:rPr>
                          <w:szCs w:val="24"/>
                          <w:lang w:eastAsia="lt-LT"/>
                        </w:rPr>
                        <w:t>giminingų diagnozių grupė;</w:t>
                      </w:r>
                    </w:p>
                    <w:p>
                      <w:pPr>
                        <w:ind w:firstLine="567"/>
                        <w:jc w:val="both"/>
                        <w:rPr>
                          <w:i/>
                          <w:szCs w:val="24"/>
                          <w:lang w:eastAsia="lt-LT"/>
                        </w:rPr>
                      </w:pPr>
                    </w:p>
                  </w:sdtContent>
                </w:sdt>
                <w:sdt>
                  <w:sdtPr>
                    <w:alias w:val="1 pr. 1.3 pp."/>
                    <w:tag w:val="part_6fd056d879824d6aad79ba781f2e4e02"/>
                    <w:lock w:val="sdtLocked"/>
                    <w:richText/>
                  </w:sdtPr>
                  <w:sdtContent>
                    <w:p>
                      <w:pPr>
                        <w:tabs>
                          <w:tab w:val="left" w:pos="993"/>
                        </w:tabs>
                        <w:ind w:firstLine="567"/>
                        <w:jc w:val="both"/>
                        <w:rPr>
                          <w:szCs w:val="24"/>
                        </w:rPr>
                      </w:pPr>
                      <w:sdt>
                        <w:sdtPr>
                          <w:alias w:val="Numeris"/>
                          <w:tag w:val="nr_6fd056d879824d6aad79ba781f2e4e02"/>
                          <w:lock w:val="sdtLocked"/>
                          <w:richText/>
                        </w:sdtPr>
                        <w:sdtContent>
                          <w:r>
                            <w:rPr>
                              <w:szCs w:val="24"/>
                            </w:rPr>
                            <w:t>1.3</w:t>
                          </w:r>
                        </w:sdtContent>
                      </w:sdt>
                      <w:r>
                        <w:rPr>
                          <w:szCs w:val="24"/>
                        </w:rPr>
                        <w:t>. lovadienių, kai gydymo trukmė trumpesnė už minimalią gydymo trukmę ir ilgesnė už 1 lovadienį ir giminingų diagnozių grupei nepriskiriamas požymis „dienos paslauga“ arba aktyviojo gydymo atvejo pabaigos data nesutampa su aktyviojo gydymo atvejo pradžios data, skaičius apskaičiuojamas taip:</w:t>
                      </w:r>
                    </w:p>
                    <w:p>
                      <w:pPr>
                        <w:ind w:firstLine="567"/>
                        <w:jc w:val="both"/>
                        <w:rPr>
                          <w:szCs w:val="24"/>
                          <w:lang w:eastAsia="lt-LT"/>
                        </w:rPr>
                      </w:pPr>
                      <w:r>
                        <w:rPr>
                          <w:position w:val="-28"/>
                          <w:szCs w:val="24"/>
                          <w:lang w:eastAsia="lt-LT"/>
                        </w:rPr>
                        <w:object w:dxaOrig="2955" w:dyaOrig="540">
                          <v:shape id="_x0000_i1033" type="#_x0000_t75" style="width:147.75pt;height:26.9pt" o:ole="">
                            <v:imagedata r:id="rId41" o:title=""/>
                          </v:shape>
                          <o:OLEObject Type="Embed" ProgID="Equation.3" ShapeID="_x0000_i1033" DrawAspect="Content" ObjectID="_0000000001" r:id="rId42"/>
                        </w:object>
                      </w:r>
                      <w:r>
                        <w:rPr>
                          <w:szCs w:val="24"/>
                          <w:lang w:eastAsia="lt-LT"/>
                        </w:rPr>
                        <w:t>,</w:t>
                      </w:r>
                    </w:p>
                    <w:p>
                      <w:pPr>
                        <w:ind w:firstLine="567"/>
                        <w:jc w:val="both"/>
                        <w:rPr>
                          <w:szCs w:val="24"/>
                          <w:lang w:eastAsia="lt-LT"/>
                        </w:rPr>
                      </w:pPr>
                    </w:p>
                    <w:p>
                      <w:pPr>
                        <w:ind w:firstLine="567"/>
                        <w:jc w:val="both"/>
                        <w:rPr>
                          <w:szCs w:val="24"/>
                          <w:lang w:eastAsia="lt-LT"/>
                        </w:rPr>
                      </w:pPr>
                      <w:r>
                        <w:rPr>
                          <w:szCs w:val="24"/>
                          <w:lang w:eastAsia="lt-LT"/>
                        </w:rPr>
                        <w:t>kai:</w:t>
                      </w:r>
                    </w:p>
                    <w:p>
                      <w:pPr>
                        <w:ind w:firstLine="567"/>
                        <w:jc w:val="both"/>
                        <w:rPr>
                          <w:szCs w:val="24"/>
                          <w:lang w:eastAsia="lt-LT"/>
                        </w:rPr>
                      </w:pPr>
                      <w:r>
                        <w:rPr>
                          <w:i/>
                          <w:szCs w:val="24"/>
                          <w:lang w:eastAsia="lt-LT"/>
                        </w:rPr>
                        <w:t>LSKMIN</w:t>
                      </w:r>
                      <w:r>
                        <w:rPr>
                          <w:szCs w:val="24"/>
                          <w:lang w:eastAsia="lt-LT"/>
                        </w:rPr>
                        <w:t xml:space="preserve"> – lovadienių, kai gydymo trukmė trumpesnė nei minimali gydymo trukmė ir ilgesnė nei 1 lovadienis, skaičius,</w:t>
                      </w:r>
                    </w:p>
                    <w:p>
                      <w:pPr>
                        <w:ind w:firstLine="567"/>
                        <w:jc w:val="both"/>
                        <w:rPr>
                          <w:szCs w:val="24"/>
                          <w:lang w:eastAsia="lt-LT"/>
                        </w:rPr>
                      </w:pPr>
                      <w:r>
                        <w:rPr>
                          <w:i/>
                          <w:szCs w:val="24"/>
                          <w:lang w:eastAsia="lt-LT"/>
                        </w:rPr>
                        <w:t xml:space="preserve">A – </w:t>
                      </w:r>
                      <w:r>
                        <w:rPr>
                          <w:szCs w:val="24"/>
                          <w:lang w:eastAsia="lt-LT"/>
                        </w:rPr>
                        <w:t>aktyviojo gydymo atvejis,</w:t>
                      </w:r>
                    </w:p>
                    <w:p>
                      <w:pPr>
                        <w:ind w:firstLine="567"/>
                        <w:jc w:val="both"/>
                        <w:rPr>
                          <w:szCs w:val="24"/>
                          <w:lang w:eastAsia="lt-LT"/>
                        </w:rPr>
                      </w:pPr>
                      <w:r>
                        <w:rPr>
                          <w:i/>
                          <w:szCs w:val="24"/>
                          <w:lang w:eastAsia="lt-LT"/>
                        </w:rPr>
                        <w:t xml:space="preserve">DRG – </w:t>
                      </w:r>
                      <w:r>
                        <w:rPr>
                          <w:szCs w:val="24"/>
                          <w:lang w:eastAsia="lt-LT"/>
                        </w:rPr>
                        <w:t>giminingų diagnozių grupė,</w:t>
                      </w:r>
                    </w:p>
                    <w:p>
                      <w:pPr>
                        <w:ind w:firstLine="567"/>
                        <w:jc w:val="both"/>
                        <w:rPr>
                          <w:szCs w:val="24"/>
                          <w:lang w:eastAsia="lt-LT"/>
                        </w:rPr>
                      </w:pPr>
                      <w:r>
                        <w:rPr>
                          <w:i/>
                          <w:szCs w:val="24"/>
                          <w:lang w:eastAsia="lt-LT"/>
                        </w:rPr>
                        <w:t xml:space="preserve">T </w:t>
                      </w:r>
                      <w:r>
                        <w:rPr>
                          <w:szCs w:val="24"/>
                          <w:lang w:eastAsia="lt-LT"/>
                        </w:rPr>
                        <w:t>– faktinė gydymo trukmė (lovadieniais);</w:t>
                      </w:r>
                    </w:p>
                  </w:sdtContent>
                </w:sdt>
                <w:sdt>
                  <w:sdtPr>
                    <w:alias w:val="1 pr. 1.4 pp."/>
                    <w:tag w:val="part_4355d2b08d2349e293a2bbeb5fb4a036"/>
                    <w:lock w:val="sdtLocked"/>
                    <w:richText/>
                  </w:sdtPr>
                  <w:sdtContent>
                    <w:p>
                      <w:pPr>
                        <w:tabs>
                          <w:tab w:val="left" w:pos="993"/>
                        </w:tabs>
                        <w:ind w:firstLine="567"/>
                        <w:jc w:val="both"/>
                        <w:rPr>
                          <w:szCs w:val="24"/>
                        </w:rPr>
                      </w:pPr>
                      <w:sdt>
                        <w:sdtPr>
                          <w:alias w:val="Numeris"/>
                          <w:tag w:val="nr_4355d2b08d2349e293a2bbeb5fb4a036"/>
                          <w:lock w:val="sdtLocked"/>
                          <w:richText/>
                        </w:sdtPr>
                        <w:sdtContent>
                          <w:r>
                            <w:rPr>
                              <w:szCs w:val="24"/>
                            </w:rPr>
                            <w:t>1.4</w:t>
                          </w:r>
                        </w:sdtContent>
                      </w:sdt>
                      <w:r>
                        <w:rPr>
                          <w:szCs w:val="24"/>
                        </w:rPr>
                        <w:t>. vidutinės trukmės aktyviojo gydymo atvejų, kai giminingų diagnozių grupei nepriskiriamas požymis „dienos paslauga“ arba aktyviojo gydymo atvejo pabaigos data nesutampa su aktyviojo gydymo atvejo pradžios data, skaičius apskaičiuojamas taip:</w:t>
                      </w:r>
                    </w:p>
                    <w:p>
                      <w:pPr>
                        <w:ind w:firstLine="567"/>
                        <w:jc w:val="both"/>
                        <w:rPr>
                          <w:szCs w:val="24"/>
                          <w:lang w:eastAsia="lt-LT"/>
                        </w:rPr>
                      </w:pPr>
                      <w:r>
                        <w:rPr>
                          <w:position w:val="-28"/>
                          <w:szCs w:val="24"/>
                          <w:lang w:eastAsia="lt-LT"/>
                        </w:rPr>
                        <w:object w:dxaOrig="1920" w:dyaOrig="540">
                          <v:shape id="_x0000_i1034" type="#_x0000_t75" style="width:95.15pt;height:26.9pt" o:ole="">
                            <v:imagedata r:id="rId43" o:title=""/>
                          </v:shape>
                          <o:OLEObject Type="Embed" ProgID="Equation.3" ShapeID="_x0000_i1034" DrawAspect="Content" ObjectID="_0000000001" r:id="rId44"/>
                        </w:object>
                      </w:r>
                      <w:r>
                        <w:rPr>
                          <w:szCs w:val="24"/>
                          <w:lang w:eastAsia="lt-LT"/>
                        </w:rPr>
                        <w:t>,</w:t>
                      </w:r>
                    </w:p>
                    <w:p>
                      <w:pPr>
                        <w:ind w:firstLine="567"/>
                        <w:jc w:val="both"/>
                        <w:rPr>
                          <w:szCs w:val="24"/>
                          <w:lang w:eastAsia="lt-LT"/>
                        </w:rPr>
                      </w:pPr>
                    </w:p>
                    <w:p>
                      <w:pPr>
                        <w:tabs>
                          <w:tab w:val="left" w:pos="993"/>
                        </w:tabs>
                        <w:ind w:firstLine="567"/>
                        <w:jc w:val="both"/>
                        <w:rPr>
                          <w:szCs w:val="24"/>
                          <w:lang w:eastAsia="lt-LT"/>
                        </w:rPr>
                      </w:pPr>
                      <w:r>
                        <w:rPr>
                          <w:szCs w:val="24"/>
                          <w:lang w:eastAsia="lt-LT"/>
                        </w:rPr>
                        <w:t>kai:</w:t>
                      </w:r>
                    </w:p>
                    <w:p>
                      <w:pPr>
                        <w:ind w:firstLine="567"/>
                        <w:jc w:val="both"/>
                        <w:rPr>
                          <w:szCs w:val="24"/>
                          <w:lang w:eastAsia="lt-LT"/>
                        </w:rPr>
                      </w:pPr>
                      <w:r>
                        <w:rPr>
                          <w:i/>
                          <w:szCs w:val="24"/>
                          <w:lang w:eastAsia="lt-LT"/>
                        </w:rPr>
                        <w:t>ASK</w:t>
                      </w:r>
                      <w:r>
                        <w:rPr>
                          <w:szCs w:val="24"/>
                          <w:lang w:eastAsia="lt-LT"/>
                        </w:rPr>
                        <w:t xml:space="preserve"> – vidutinės trukmės gydymo atvejų skaičius, </w:t>
                      </w:r>
                    </w:p>
                    <w:p>
                      <w:pPr>
                        <w:ind w:firstLine="567"/>
                        <w:jc w:val="both"/>
                        <w:rPr>
                          <w:szCs w:val="24"/>
                          <w:lang w:eastAsia="lt-LT"/>
                        </w:rPr>
                      </w:pPr>
                      <w:r>
                        <w:rPr>
                          <w:i/>
                          <w:szCs w:val="24"/>
                          <w:lang w:eastAsia="lt-LT"/>
                        </w:rPr>
                        <w:t xml:space="preserve">A – </w:t>
                      </w:r>
                      <w:r>
                        <w:rPr>
                          <w:szCs w:val="24"/>
                          <w:lang w:eastAsia="lt-LT"/>
                        </w:rPr>
                        <w:t>aktyviojo gydymo atvejis,</w:t>
                      </w:r>
                    </w:p>
                    <w:p>
                      <w:pPr>
                        <w:ind w:firstLine="567"/>
                        <w:jc w:val="both"/>
                        <w:rPr>
                          <w:i/>
                          <w:szCs w:val="24"/>
                          <w:lang w:eastAsia="lt-LT"/>
                        </w:rPr>
                      </w:pPr>
                      <w:r>
                        <w:rPr>
                          <w:i/>
                          <w:szCs w:val="24"/>
                          <w:lang w:eastAsia="lt-LT"/>
                        </w:rPr>
                        <w:t xml:space="preserve">DRG – </w:t>
                      </w:r>
                      <w:r>
                        <w:rPr>
                          <w:szCs w:val="24"/>
                          <w:lang w:eastAsia="lt-LT"/>
                        </w:rPr>
                        <w:t>giminingų diagnozių grupė;</w:t>
                      </w:r>
                    </w:p>
                  </w:sdtContent>
                </w:sdt>
                <w:sdt>
                  <w:sdtPr>
                    <w:alias w:val="1 pr. 1.5 pp."/>
                    <w:tag w:val="part_a7f1caee3af542a6b207e9bfe35e3b82"/>
                    <w:lock w:val="sdtLocked"/>
                    <w:richText/>
                  </w:sdtPr>
                  <w:sdtContent>
                    <w:p>
                      <w:pPr>
                        <w:tabs>
                          <w:tab w:val="left" w:pos="993"/>
                        </w:tabs>
                        <w:ind w:firstLine="567"/>
                        <w:jc w:val="both"/>
                        <w:rPr>
                          <w:szCs w:val="24"/>
                        </w:rPr>
                      </w:pPr>
                      <w:sdt>
                        <w:sdtPr>
                          <w:alias w:val="Numeris"/>
                          <w:tag w:val="nr_a7f1caee3af542a6b207e9bfe35e3b82"/>
                          <w:lock w:val="sdtLocked"/>
                          <w:richText/>
                        </w:sdtPr>
                        <w:sdtContent>
                          <w:r>
                            <w:rPr>
                              <w:szCs w:val="24"/>
                            </w:rPr>
                            <w:t>1.5</w:t>
                          </w:r>
                        </w:sdtContent>
                      </w:sdt>
                      <w:r>
                        <w:rPr>
                          <w:szCs w:val="24"/>
                        </w:rPr>
                        <w:t>. lovadienių, kai gydymo trukmė ilgesnė nei maksimali gydymo trukmė ir giminingų diagnozių grupei nepriskiriamas požymis „dienos paslauga“, skaičius apskaičiuojamas taip:</w:t>
                      </w:r>
                    </w:p>
                    <w:p>
                      <w:pPr>
                        <w:ind w:firstLine="567"/>
                        <w:jc w:val="both"/>
                        <w:rPr>
                          <w:szCs w:val="24"/>
                          <w:lang w:eastAsia="lt-LT"/>
                        </w:rPr>
                      </w:pPr>
                      <w:r>
                        <w:rPr>
                          <w:position w:val="-28"/>
                          <w:szCs w:val="24"/>
                          <w:lang w:eastAsia="lt-LT"/>
                        </w:rPr>
                        <w:object w:dxaOrig="4065" w:dyaOrig="540">
                          <v:shape id="_x0000_i1035" type="#_x0000_t75" style="width:203.5pt;height:26.9pt" o:ole="">
                            <v:imagedata r:id="rId45" o:title=""/>
                          </v:shape>
                          <o:OLEObject Type="Embed" ProgID="Equation.3" ShapeID="_x0000_i1035" DrawAspect="Content" ObjectID="_0000000001" r:id="rId46"/>
                        </w:object>
                      </w:r>
                      <w:r>
                        <w:rPr>
                          <w:szCs w:val="24"/>
                          <w:lang w:eastAsia="lt-LT"/>
                        </w:rPr>
                        <w:t>,</w:t>
                      </w:r>
                    </w:p>
                    <w:p>
                      <w:pPr>
                        <w:ind w:firstLine="567"/>
                        <w:jc w:val="both"/>
                        <w:rPr>
                          <w:szCs w:val="24"/>
                          <w:lang w:eastAsia="lt-LT"/>
                        </w:rPr>
                      </w:pPr>
                    </w:p>
                    <w:p>
                      <w:pPr>
                        <w:tabs>
                          <w:tab w:val="left" w:pos="993"/>
                        </w:tabs>
                        <w:ind w:firstLine="567"/>
                        <w:jc w:val="both"/>
                        <w:rPr>
                          <w:szCs w:val="24"/>
                          <w:lang w:eastAsia="lt-LT"/>
                        </w:rPr>
                      </w:pPr>
                      <w:r>
                        <w:rPr>
                          <w:szCs w:val="24"/>
                          <w:lang w:eastAsia="lt-LT"/>
                        </w:rPr>
                        <w:t>kai:</w:t>
                      </w:r>
                    </w:p>
                    <w:p>
                      <w:pPr>
                        <w:tabs>
                          <w:tab w:val="left" w:pos="993"/>
                        </w:tabs>
                        <w:ind w:firstLine="567"/>
                        <w:jc w:val="both"/>
                        <w:rPr>
                          <w:szCs w:val="24"/>
                          <w:lang w:eastAsia="lt-LT"/>
                        </w:rPr>
                      </w:pPr>
                      <w:r>
                        <w:rPr>
                          <w:i/>
                          <w:szCs w:val="24"/>
                          <w:lang w:eastAsia="lt-LT"/>
                        </w:rPr>
                        <w:t>LSKMAX</w:t>
                      </w:r>
                      <w:r>
                        <w:rPr>
                          <w:szCs w:val="24"/>
                          <w:lang w:eastAsia="lt-LT"/>
                        </w:rPr>
                        <w:t xml:space="preserve"> – lovadienių, kai gydymo trukmė ilgesnė nei maksimali gydymo trukmė, skaičius,</w:t>
                      </w:r>
                    </w:p>
                    <w:p>
                      <w:pPr>
                        <w:ind w:firstLine="567"/>
                        <w:jc w:val="both"/>
                        <w:rPr>
                          <w:szCs w:val="24"/>
                          <w:lang w:eastAsia="lt-LT"/>
                        </w:rPr>
                      </w:pPr>
                      <w:r>
                        <w:rPr>
                          <w:i/>
                          <w:szCs w:val="24"/>
                          <w:lang w:eastAsia="lt-LT"/>
                        </w:rPr>
                        <w:t xml:space="preserve">A – </w:t>
                      </w:r>
                      <w:r>
                        <w:rPr>
                          <w:szCs w:val="24"/>
                          <w:lang w:eastAsia="lt-LT"/>
                        </w:rPr>
                        <w:t>aktyviojo gydymo atvejis,</w:t>
                      </w:r>
                    </w:p>
                    <w:p>
                      <w:pPr>
                        <w:ind w:firstLine="567"/>
                        <w:jc w:val="both"/>
                        <w:rPr>
                          <w:szCs w:val="24"/>
                          <w:lang w:eastAsia="lt-LT"/>
                        </w:rPr>
                      </w:pPr>
                      <w:r>
                        <w:rPr>
                          <w:i/>
                          <w:szCs w:val="24"/>
                          <w:lang w:eastAsia="lt-LT"/>
                        </w:rPr>
                        <w:t xml:space="preserve">DRG – </w:t>
                      </w:r>
                      <w:r>
                        <w:rPr>
                          <w:szCs w:val="24"/>
                          <w:lang w:eastAsia="lt-LT"/>
                        </w:rPr>
                        <w:t>giminingų diagnozių grupė,</w:t>
                      </w:r>
                    </w:p>
                    <w:p>
                      <w:pPr>
                        <w:ind w:firstLine="567"/>
                        <w:jc w:val="both"/>
                        <w:rPr>
                          <w:szCs w:val="24"/>
                          <w:lang w:eastAsia="lt-LT"/>
                        </w:rPr>
                      </w:pPr>
                      <w:r>
                        <w:rPr>
                          <w:i/>
                          <w:szCs w:val="24"/>
                          <w:lang w:eastAsia="lt-LT"/>
                        </w:rPr>
                        <w:t xml:space="preserve">T </w:t>
                      </w:r>
                      <w:r>
                        <w:rPr>
                          <w:szCs w:val="24"/>
                          <w:lang w:eastAsia="lt-LT"/>
                        </w:rPr>
                        <w:t>– faktinė gydymo trukmė (lovadieniais),</w:t>
                      </w:r>
                    </w:p>
                    <w:p>
                      <w:pPr>
                        <w:ind w:firstLine="567"/>
                        <w:jc w:val="both"/>
                        <w:rPr>
                          <w:szCs w:val="24"/>
                          <w:lang w:eastAsia="lt-LT"/>
                        </w:rPr>
                      </w:pPr>
                      <w:r>
                        <w:rPr>
                          <w:i/>
                          <w:szCs w:val="24"/>
                          <w:lang w:eastAsia="lt-LT"/>
                        </w:rPr>
                        <w:t>TMAX</w:t>
                      </w:r>
                      <w:r>
                        <w:rPr>
                          <w:szCs w:val="24"/>
                          <w:lang w:eastAsia="lt-LT"/>
                        </w:rPr>
                        <w:t xml:space="preserve"> – maksimali gydymo trukmė (lovadieniais).</w:t>
                      </w:r>
                    </w:p>
                    <w:p>
                      <w:pPr>
                        <w:ind w:firstLine="567"/>
                        <w:jc w:val="both"/>
                        <w:rPr>
                          <w:szCs w:val="24"/>
                          <w:lang w:eastAsia="lt-LT"/>
                        </w:rPr>
                      </w:pPr>
                    </w:p>
                  </w:sdtContent>
                </w:sdt>
              </w:sdtContent>
            </w:sdt>
          </w:sdtContent>
        </w:sdt>
        <w:sdt>
          <w:sdtPr>
            <w:alias w:val="skyrius"/>
            <w:tag w:val="part_6132d868e378407da556864f8bb7e5da"/>
            <w:lock w:val="sdtLocked"/>
            <w:richText/>
          </w:sdtPr>
          <w:sdtContent>
            <w:p>
              <w:pPr>
                <w:jc w:val="center"/>
                <w:rPr>
                  <w:b/>
                  <w:szCs w:val="24"/>
                  <w:lang w:eastAsia="lt-LT"/>
                </w:rPr>
              </w:pPr>
              <w:sdt>
                <w:sdtPr>
                  <w:alias w:val="Numeris"/>
                  <w:tag w:val="nr_6132d868e378407da556864f8bb7e5da"/>
                  <w:lock w:val="sdtLocked"/>
                  <w:richText/>
                </w:sdtPr>
                <w:sdtContent>
                  <w:r>
                    <w:rPr>
                      <w:b/>
                      <w:szCs w:val="24"/>
                      <w:lang w:eastAsia="lt-LT"/>
                    </w:rPr>
                    <w:t>II</w:t>
                  </w:r>
                </w:sdtContent>
              </w:sdt>
              <w:r>
                <w:rPr>
                  <w:b/>
                  <w:szCs w:val="24"/>
                  <w:lang w:eastAsia="lt-LT"/>
                </w:rPr>
                <w:t xml:space="preserve"> </w:t>
              </w:r>
              <w:sdt>
                <w:sdtPr>
                  <w:alias w:val="Pavadinimas"/>
                  <w:tag w:val="title_6132d868e378407da556864f8bb7e5da"/>
                  <w:lock w:val="sdtLocked"/>
                  <w:richText/>
                </w:sdtPr>
                <w:sdtContent>
                  <w:r>
                    <w:rPr>
                      <w:b/>
                      <w:szCs w:val="24"/>
                      <w:lang w:eastAsia="lt-LT"/>
                    </w:rPr>
                    <w:t xml:space="preserve">SKYRIUS </w:t>
                    <w:br/>
                    <w:t xml:space="preserve">SVERTINIO AKTYVIOJO GYDYMO ATVEJŲ IR LOVADIENIŲ SKAIČIAUS APSKAIČIAVIMO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sdt>
              <w:sdtPr>
                <w:alias w:val="1 pr. 2 p."/>
                <w:tag w:val="part_cf3a7be8d9bd4ee4970a16da1a3eb926"/>
                <w:lock w:val="sdtLocked"/>
                <w:richText/>
              </w:sdtPr>
              <w:sdtContent>
                <w:p>
                  <w:pPr>
                    <w:ind w:firstLine="567"/>
                    <w:jc w:val="both"/>
                    <w:rPr>
                      <w:szCs w:val="24"/>
                    </w:rPr>
                  </w:pPr>
                  <w:sdt>
                    <w:sdtPr>
                      <w:alias w:val="Numeris"/>
                      <w:tag w:val="nr_cf3a7be8d9bd4ee4970a16da1a3eb926"/>
                      <w:lock w:val="sdtLocked"/>
                      <w:richText/>
                    </w:sdtPr>
                    <w:sdtContent>
                      <w:r>
                        <w:rPr>
                          <w:szCs w:val="24"/>
                        </w:rPr>
                        <w:t>2</w:t>
                      </w:r>
                    </w:sdtContent>
                  </w:sdt>
                  <w:r>
                    <w:rPr>
                      <w:szCs w:val="24"/>
                    </w:rPr>
                    <w:t>. Svertinis aktyviojo gydymo atvejų ir lovadienių, priskiriamų atitinkamai giminingų diagnozių grupei, skaičius apskaičiuojamas taip:</w:t>
                  </w:r>
                </w:p>
                <w:p>
                  <w:pPr>
                    <w:ind w:firstLine="709"/>
                    <w:jc w:val="both"/>
                    <w:rPr>
                      <w:sz w:val="16"/>
                      <w:szCs w:val="24"/>
                    </w:rPr>
                  </w:pPr>
                </w:p>
                <w:p>
                  <w:pPr>
                    <w:tabs>
                      <w:tab w:val="left" w:pos="851"/>
                      <w:tab w:val="left" w:pos="1134"/>
                    </w:tabs>
                    <w:ind w:left="-567" w:right="-285"/>
                    <w:jc w:val="both"/>
                    <w:rPr>
                      <w:i/>
                      <w:sz w:val="22"/>
                      <w:szCs w:val="24"/>
                      <w:lang w:val="en-US"/>
                    </w:rPr>
                  </w:pPr>
                  <m:oMathPara>
                    <m:oMath>
                      <m:r>
                        <w:rPr>
                          <w:rFonts w:ascii="Cambria Math" w:hAnsi="Cambria Math" w:cstheme="minorHAnsi"/>
                          <w:sz w:val="16"/>
                        </w:rPr>
                        <m:t>SALSK</m:t>
                      </m:r>
                      <m:r>
                        <w:rPr>
                          <w:rFonts w:ascii="Cambria Math" w:hAnsi="Cambria Math" w:cstheme="minorHAnsi"/>
                          <w:sz w:val="16"/>
                          <w:lang w:val="en-US"/>
                        </w:rPr>
                        <m:t>=</m:t>
                      </m:r>
                      <m:nary>
                        <m:naryPr>
                          <m:chr m:val="∑"/>
                          <m:limLoc m:val="undOvr"/>
                          <m:supHide m:val="1"/>
                          <m:ctrlPr>
                            <w:rPr>
                              <w:rFonts w:ascii="Cambria Math" w:hAnsi="Cambria Math" w:cstheme="minorHAnsi"/>
                              <w:i/>
                              <w:sz w:val="16"/>
                              <w:lang w:val="en-US"/>
                            </w:rPr>
                          </m:ctrlPr>
                        </m:naryPr>
                        <m:sub>
                          <m:r>
                            <w:rPr>
                              <w:rFonts w:ascii="Cambria Math" w:hAnsi="Cambria Math" w:cstheme="minorHAnsi"/>
                              <w:sz w:val="16"/>
                              <w:lang w:val="en-US"/>
                            </w:rPr>
                            <m:t>DRG</m:t>
                          </m:r>
                        </m:sub>
                        <m:sup/>
                        <m:e>
                          <m:r>
                            <w:rPr>
                              <w:rFonts w:ascii="Cambria Math" w:hAnsi="Cambria Math" w:cstheme="minorHAnsi"/>
                              <w:sz w:val="16"/>
                              <w:lang w:val="en-US"/>
                            </w:rPr>
                            <m:t>(</m:t>
                          </m:r>
                          <m:sSub>
                            <m:sSubPr>
                              <m:ctrlPr>
                                <w:rPr>
                                  <w:rFonts w:ascii="Cambria Math" w:hAnsi="Cambria Math" w:cstheme="minorHAnsi"/>
                                  <w:i/>
                                  <w:sz w:val="16"/>
                                  <w:lang w:val="en-US"/>
                                </w:rPr>
                              </m:ctrlPr>
                            </m:sSubPr>
                            <m:e>
                              <m:r>
                                <w:rPr>
                                  <w:rFonts w:ascii="Cambria Math" w:hAnsi="Cambria Math" w:cstheme="minorHAnsi"/>
                                  <w:sz w:val="16"/>
                                  <w:lang w:val="en-US"/>
                                </w:rPr>
                                <m:t>DK</m:t>
                              </m:r>
                            </m:e>
                            <m:sub>
                              <m:r>
                                <w:rPr>
                                  <w:rFonts w:ascii="Cambria Math" w:hAnsi="Cambria Math" w:cstheme="minorHAnsi"/>
                                  <w:sz w:val="16"/>
                                  <w:lang w:val="en-US"/>
                                </w:rPr>
                                <m:t>DRG</m:t>
                              </m:r>
                            </m:sub>
                          </m:sSub>
                          <m:r>
                            <w:rPr>
                              <w:rFonts w:ascii="Cambria Math" w:hAnsi="Cambria Math" w:cstheme="minorHAnsi"/>
                              <w:sz w:val="16"/>
                              <w:lang w:val="en-US"/>
                            </w:rPr>
                            <m:t>×</m:t>
                          </m:r>
                          <m:sSub>
                            <m:sSubPr>
                              <m:ctrlPr>
                                <w:rPr>
                                  <w:rFonts w:ascii="Cambria Math" w:hAnsi="Cambria Math" w:cstheme="minorHAnsi"/>
                                  <w:i/>
                                  <w:sz w:val="16"/>
                                  <w:lang w:val="en-US"/>
                                </w:rPr>
                              </m:ctrlPr>
                            </m:sSubPr>
                            <m:e>
                              <m:r>
                                <w:rPr>
                                  <w:rFonts w:ascii="Cambria Math" w:hAnsi="Cambria Math" w:cstheme="minorHAnsi"/>
                                  <w:sz w:val="16"/>
                                  <w:lang w:val="en-US"/>
                                </w:rPr>
                                <m:t>DSK</m:t>
                              </m:r>
                            </m:e>
                            <m:sub>
                              <m:r>
                                <w:rPr>
                                  <w:rFonts w:ascii="Cambria Math" w:hAnsi="Cambria Math" w:cstheme="minorHAnsi"/>
                                  <w:sz w:val="16"/>
                                  <w:lang w:val="en-US"/>
                                </w:rPr>
                                <m:t>DRG</m:t>
                              </m:r>
                            </m:sub>
                          </m:sSub>
                          <m:r>
                            <w:rPr>
                              <w:rFonts w:ascii="Cambria Math" w:hAnsi="Cambria Math" w:cstheme="minorHAnsi"/>
                              <w:sz w:val="16"/>
                              <w:lang w:val="en-US"/>
                            </w:rPr>
                            <m:t>+</m:t>
                          </m:r>
                          <m:sSub>
                            <m:sSubPr>
                              <m:ctrlPr>
                                <w:rPr>
                                  <w:rFonts w:ascii="Cambria Math" w:hAnsi="Cambria Math" w:cstheme="minorHAnsi"/>
                                  <w:i/>
                                  <w:sz w:val="16"/>
                                  <w:lang w:val="en-US"/>
                                </w:rPr>
                              </m:ctrlPr>
                            </m:sSubPr>
                            <m:e>
                              <m:r>
                                <w:rPr>
                                  <w:rFonts w:ascii="Cambria Math" w:hAnsi="Cambria Math" w:cstheme="minorHAnsi"/>
                                  <w:sz w:val="16"/>
                                  <w:lang w:val="en-US"/>
                                </w:rPr>
                                <m:t>PK</m:t>
                              </m:r>
                            </m:e>
                            <m:sub>
                              <m:r>
                                <w:rPr>
                                  <w:rFonts w:ascii="Cambria Math" w:hAnsi="Cambria Math" w:cstheme="minorHAnsi"/>
                                  <w:sz w:val="16"/>
                                  <w:lang w:val="en-US"/>
                                </w:rPr>
                                <m:t>DRG</m:t>
                              </m:r>
                            </m:sub>
                          </m:sSub>
                          <m:r>
                            <w:rPr>
                              <w:rFonts w:ascii="Cambria Math" w:hAnsi="Cambria Math" w:cstheme="minorHAnsi"/>
                              <w:sz w:val="16"/>
                              <w:lang w:val="en-US"/>
                            </w:rPr>
                            <m:t>×</m:t>
                          </m:r>
                          <m:sSub>
                            <m:sSubPr>
                              <m:ctrlPr>
                                <w:rPr>
                                  <w:rFonts w:ascii="Cambria Math" w:hAnsi="Cambria Math" w:cstheme="minorHAnsi"/>
                                  <w:i/>
                                  <w:sz w:val="16"/>
                                  <w:lang w:val="en-US"/>
                                </w:rPr>
                              </m:ctrlPr>
                            </m:sSubPr>
                            <m:e>
                              <m:r>
                                <w:rPr>
                                  <w:rFonts w:ascii="Cambria Math" w:hAnsi="Cambria Math" w:cstheme="minorHAnsi"/>
                                  <w:sz w:val="16"/>
                                  <w:lang w:val="en-US"/>
                                </w:rPr>
                                <m:t>PSK</m:t>
                              </m:r>
                            </m:e>
                            <m:sub>
                              <m:r>
                                <w:rPr>
                                  <w:rFonts w:ascii="Cambria Math" w:hAnsi="Cambria Math" w:cstheme="minorHAnsi"/>
                                  <w:sz w:val="16"/>
                                  <w:lang w:val="en-US"/>
                                </w:rPr>
                                <m:t>DRG</m:t>
                              </m:r>
                            </m:sub>
                          </m:sSub>
                          <m:r>
                            <w:rPr>
                              <w:rFonts w:ascii="Cambria Math" w:hAnsi="Cambria Math" w:cstheme="minorHAnsi"/>
                              <w:sz w:val="16"/>
                              <w:lang w:val="en-US"/>
                            </w:rPr>
                            <m:t>+</m:t>
                          </m:r>
                          <m:sSub>
                            <m:sSubPr>
                              <m:ctrlPr>
                                <w:rPr>
                                  <w:rFonts w:ascii="Cambria Math" w:hAnsi="Cambria Math" w:cstheme="minorHAnsi"/>
                                  <w:i/>
                                  <w:sz w:val="16"/>
                                  <w:lang w:val="en-US"/>
                                </w:rPr>
                              </m:ctrlPr>
                            </m:sSubPr>
                            <m:e>
                              <m:r>
                                <w:rPr>
                                  <w:rFonts w:ascii="Cambria Math" w:hAnsi="Cambria Math" w:cstheme="minorHAnsi"/>
                                  <w:sz w:val="16"/>
                                  <w:lang w:val="en-US"/>
                                </w:rPr>
                                <m:t>LKMIN</m:t>
                              </m:r>
                            </m:e>
                            <m:sub>
                              <m:r>
                                <w:rPr>
                                  <w:rFonts w:ascii="Cambria Math" w:hAnsi="Cambria Math" w:cstheme="minorHAnsi"/>
                                  <w:sz w:val="16"/>
                                  <w:lang w:val="en-US"/>
                                </w:rPr>
                                <m:t>DRG</m:t>
                              </m:r>
                            </m:sub>
                          </m:sSub>
                          <m:r>
                            <w:rPr>
                              <w:rFonts w:ascii="Cambria Math" w:hAnsi="Cambria Math" w:cstheme="minorHAnsi"/>
                              <w:sz w:val="16"/>
                              <w:lang w:val="en-US"/>
                            </w:rPr>
                            <m:t>×</m:t>
                          </m:r>
                          <m:sSub>
                            <m:sSubPr>
                              <m:ctrlPr>
                                <w:rPr>
                                  <w:rFonts w:ascii="Cambria Math" w:hAnsi="Cambria Math" w:cstheme="minorHAnsi"/>
                                  <w:i/>
                                  <w:sz w:val="16"/>
                                  <w:lang w:val="en-US"/>
                                </w:rPr>
                              </m:ctrlPr>
                            </m:sSubPr>
                            <m:e>
                              <m:r>
                                <w:rPr>
                                  <w:rFonts w:ascii="Cambria Math" w:hAnsi="Cambria Math" w:cstheme="minorHAnsi"/>
                                  <w:sz w:val="16"/>
                                  <w:lang w:val="en-US"/>
                                </w:rPr>
                                <m:t>LSKMIN</m:t>
                              </m:r>
                            </m:e>
                            <m:sub>
                              <m:r>
                                <w:rPr>
                                  <w:rFonts w:ascii="Cambria Math" w:hAnsi="Cambria Math" w:cstheme="minorHAnsi"/>
                                  <w:sz w:val="16"/>
                                  <w:lang w:val="en-US"/>
                                </w:rPr>
                                <m:t>DRG</m:t>
                              </m:r>
                            </m:sub>
                          </m:sSub>
                          <m:sSub>
                            <m:sSubPr>
                              <m:ctrlPr>
                                <w:rPr>
                                  <w:rFonts w:ascii="Cambria Math" w:hAnsi="Cambria Math" w:cstheme="minorHAnsi"/>
                                  <w:i/>
                                  <w:sz w:val="16"/>
                                  <w:lang w:val="en-US"/>
                                </w:rPr>
                              </m:ctrlPr>
                            </m:sSubPr>
                            <m:e>
                              <m:r>
                                <w:rPr>
                                  <w:rFonts w:ascii="Cambria Math" w:hAnsi="Cambria Math" w:cstheme="minorHAnsi"/>
                                  <w:sz w:val="16"/>
                                  <w:lang w:val="en-US"/>
                                </w:rPr>
                                <m:t>+</m:t>
                              </m:r>
                              <m:r>
                                <w:rPr>
                                  <w:rFonts w:ascii="Cambria Math" w:hAnsi="Cambria Math" w:cstheme="minorHAnsi"/>
                                  <w:sz w:val="16"/>
                                  <w:lang w:val="en-US"/>
                                </w:rPr>
                                <m:t>AK</m:t>
                              </m:r>
                            </m:e>
                            <m:sub>
                              <m:r>
                                <w:rPr>
                                  <w:rFonts w:ascii="Cambria Math" w:hAnsi="Cambria Math" w:cstheme="minorHAnsi"/>
                                  <w:sz w:val="16"/>
                                  <w:lang w:val="en-US"/>
                                </w:rPr>
                                <m:t>DRG</m:t>
                              </m:r>
                            </m:sub>
                          </m:sSub>
                          <m:r>
                            <w:rPr>
                              <w:rFonts w:ascii="Cambria Math" w:hAnsi="Cambria Math" w:cstheme="minorHAnsi"/>
                              <w:sz w:val="16"/>
                              <w:lang w:val="en-US"/>
                            </w:rPr>
                            <m:t>×</m:t>
                          </m:r>
                          <m:sSub>
                            <m:sSubPr>
                              <m:ctrlPr>
                                <w:rPr>
                                  <w:rFonts w:ascii="Cambria Math" w:hAnsi="Cambria Math" w:cstheme="minorHAnsi"/>
                                  <w:i/>
                                  <w:sz w:val="16"/>
                                  <w:lang w:val="en-US"/>
                                </w:rPr>
                              </m:ctrlPr>
                            </m:sSubPr>
                            <m:e>
                              <m:r>
                                <w:rPr>
                                  <w:rFonts w:ascii="Cambria Math" w:hAnsi="Cambria Math" w:cstheme="minorHAnsi"/>
                                  <w:sz w:val="16"/>
                                  <w:lang w:val="en-US"/>
                                </w:rPr>
                                <m:t>ASK</m:t>
                              </m:r>
                            </m:e>
                            <m:sub>
                              <m:r>
                                <w:rPr>
                                  <w:rFonts w:ascii="Cambria Math" w:hAnsi="Cambria Math" w:cstheme="minorHAnsi"/>
                                  <w:sz w:val="16"/>
                                  <w:lang w:val="en-US"/>
                                </w:rPr>
                                <m:t>DRG</m:t>
                              </m:r>
                            </m:sub>
                          </m:sSub>
                          <m:r>
                            <w:rPr>
                              <w:rFonts w:ascii="Cambria Math" w:hAnsi="Cambria Math" w:cstheme="minorHAnsi"/>
                              <w:sz w:val="16"/>
                              <w:lang w:val="en-US"/>
                            </w:rPr>
                            <m:t>+</m:t>
                          </m:r>
                          <m:sSub>
                            <m:sSubPr>
                              <m:ctrlPr>
                                <w:rPr>
                                  <w:rFonts w:ascii="Cambria Math" w:hAnsi="Cambria Math" w:cstheme="minorHAnsi"/>
                                  <w:i/>
                                  <w:sz w:val="16"/>
                                  <w:lang w:val="en-US"/>
                                </w:rPr>
                              </m:ctrlPr>
                            </m:sSubPr>
                            <m:e>
                              <m:r>
                                <w:rPr>
                                  <w:rFonts w:ascii="Cambria Math" w:hAnsi="Cambria Math" w:cstheme="minorHAnsi"/>
                                  <w:sz w:val="16"/>
                                  <w:lang w:val="en-US"/>
                                </w:rPr>
                                <m:t>LKM</m:t>
                              </m:r>
                              <m:r>
                                <w:rPr>
                                  <w:rFonts w:ascii="Cambria Math" w:hAnsi="Cambria Math" w:cstheme="minorHAnsi"/>
                                  <w:sz w:val="16"/>
                                  <w:lang w:val="en-US"/>
                                </w:rPr>
                                <m:t>AX</m:t>
                              </m:r>
                            </m:e>
                            <m:sub>
                              <m:r>
                                <w:rPr>
                                  <w:rFonts w:ascii="Cambria Math" w:hAnsi="Cambria Math" w:cstheme="minorHAnsi"/>
                                  <w:sz w:val="16"/>
                                  <w:lang w:val="en-US"/>
                                </w:rPr>
                                <m:t>DRG</m:t>
                              </m:r>
                            </m:sub>
                          </m:sSub>
                          <m:r>
                            <w:rPr>
                              <w:rFonts w:ascii="Cambria Math" w:hAnsi="Cambria Math" w:cstheme="minorHAnsi"/>
                              <w:sz w:val="16"/>
                              <w:lang w:val="en-US"/>
                            </w:rPr>
                            <m:t>×</m:t>
                          </m:r>
                          <m:sSub>
                            <m:sSubPr>
                              <m:ctrlPr>
                                <w:rPr>
                                  <w:rFonts w:ascii="Cambria Math" w:hAnsi="Cambria Math" w:cstheme="minorHAnsi"/>
                                  <w:i/>
                                  <w:sz w:val="16"/>
                                  <w:lang w:val="en-US"/>
                                </w:rPr>
                              </m:ctrlPr>
                            </m:sSubPr>
                            <m:e>
                              <m:r>
                                <w:rPr>
                                  <w:rFonts w:ascii="Cambria Math" w:hAnsi="Cambria Math" w:cstheme="minorHAnsi"/>
                                  <w:sz w:val="16"/>
                                  <w:lang w:val="en-US"/>
                                </w:rPr>
                                <m:t>LSKMAX</m:t>
                              </m:r>
                            </m:e>
                            <m:sub>
                              <m:r>
                                <w:rPr>
                                  <w:rFonts w:ascii="Cambria Math" w:hAnsi="Cambria Math" w:cstheme="minorHAnsi"/>
                                  <w:sz w:val="16"/>
                                  <w:lang w:val="en-US"/>
                                </w:rPr>
                                <m:t>DRG</m:t>
                              </m:r>
                            </m:sub>
                          </m:sSub>
                          <m:r>
                            <w:rPr>
                              <w:rFonts w:ascii="Cambria Math" w:hAnsi="Cambria Math" w:cstheme="minorHAnsi"/>
                              <w:sz w:val="16"/>
                              <w:lang w:val="en-US"/>
                            </w:rPr>
                            <m:t>)</m:t>
                          </m:r>
                        </m:e>
                      </m:nary>
                      <m:r>
                        <w:rPr>
                          <w:rFonts w:ascii="Cambria Math" w:hAnsi="Cambria Math" w:cstheme="minorHAnsi"/>
                          <w:sz w:val="16"/>
                          <w:lang w:val="en-US"/>
                        </w:rPr>
                        <m:t>,</m:t>
                      </m:r>
                    </m:oMath>
                  </m:oMathPara>
                </w:p>
                <w:p>
                  <w:pPr>
                    <w:ind w:firstLine="680"/>
                    <w:jc w:val="both"/>
                    <w:rPr>
                      <w:szCs w:val="24"/>
                    </w:rPr>
                  </w:pPr>
                </w:p>
                <w:p>
                  <w:pPr>
                    <w:ind w:firstLine="680"/>
                    <w:jc w:val="both"/>
                    <w:rPr>
                      <w:szCs w:val="24"/>
                    </w:rPr>
                  </w:pPr>
                  <w:r>
                    <w:rPr>
                      <w:szCs w:val="24"/>
                    </w:rPr>
                    <w:t>kai:</w:t>
                  </w:r>
                </w:p>
                <w:p>
                  <w:pPr>
                    <w:tabs>
                      <w:tab w:val="left" w:pos="993"/>
                    </w:tabs>
                    <w:ind w:firstLine="709"/>
                    <w:jc w:val="both"/>
                    <w:rPr>
                      <w:szCs w:val="24"/>
                    </w:rPr>
                  </w:pPr>
                  <w:r>
                    <w:rPr>
                      <w:i/>
                      <w:szCs w:val="24"/>
                    </w:rPr>
                    <w:t xml:space="preserve">SALSK – </w:t>
                  </w:r>
                  <w:r>
                    <w:rPr>
                      <w:szCs w:val="24"/>
                    </w:rPr>
                    <w:t>svertinis aktyviojo gydymo atvejų ir lovadienių skaičius,</w:t>
                  </w:r>
                </w:p>
                <w:p>
                  <w:pPr>
                    <w:ind w:firstLine="709"/>
                    <w:jc w:val="both"/>
                    <w:rPr>
                      <w:szCs w:val="24"/>
                    </w:rPr>
                  </w:pPr>
                  <w:r>
                    <w:rPr>
                      <w:i/>
                      <w:szCs w:val="24"/>
                    </w:rPr>
                    <w:t xml:space="preserve">AK </w:t>
                  </w:r>
                  <w:r>
                    <w:rPr>
                      <w:szCs w:val="24"/>
                    </w:rPr>
                    <w:t xml:space="preserve">– vidutinės trukmės aktyviojo gydymo atvejo kainos koeficientas, </w:t>
                  </w:r>
                </w:p>
                <w:p>
                  <w:pPr>
                    <w:ind w:firstLine="709"/>
                    <w:jc w:val="both"/>
                    <w:rPr>
                      <w:szCs w:val="24"/>
                    </w:rPr>
                  </w:pPr>
                  <w:r>
                    <w:rPr>
                      <w:i/>
                      <w:szCs w:val="24"/>
                    </w:rPr>
                    <w:t>ASK</w:t>
                  </w:r>
                  <w:r>
                    <w:rPr>
                      <w:szCs w:val="24"/>
                    </w:rPr>
                    <w:t xml:space="preserve"> – vidutinės trukmės aktyviojo gydymo atvejų skaičius,</w:t>
                  </w:r>
                </w:p>
                <w:p>
                  <w:pPr>
                    <w:ind w:firstLine="709"/>
                    <w:jc w:val="both"/>
                    <w:rPr>
                      <w:szCs w:val="24"/>
                    </w:rPr>
                  </w:pPr>
                  <w:r>
                    <w:rPr>
                      <w:i/>
                      <w:szCs w:val="24"/>
                    </w:rPr>
                    <w:t xml:space="preserve">DK </w:t>
                  </w:r>
                  <w:r>
                    <w:rPr>
                      <w:szCs w:val="24"/>
                    </w:rPr>
                    <w:t>– dienos aktyviojo gydymo kainos koeficientas,</w:t>
                  </w:r>
                </w:p>
                <w:p>
                  <w:pPr>
                    <w:ind w:firstLine="709"/>
                    <w:jc w:val="both"/>
                    <w:rPr>
                      <w:szCs w:val="24"/>
                    </w:rPr>
                  </w:pPr>
                  <w:r>
                    <w:rPr>
                      <w:i/>
                      <w:szCs w:val="24"/>
                    </w:rPr>
                    <w:t>DRG</w:t>
                  </w:r>
                  <w:r>
                    <w:rPr>
                      <w:szCs w:val="24"/>
                    </w:rPr>
                    <w:t xml:space="preserve"> – giminingų diagnozių grupė,</w:t>
                  </w:r>
                </w:p>
                <w:p>
                  <w:pPr>
                    <w:ind w:firstLine="709"/>
                    <w:jc w:val="both"/>
                    <w:rPr>
                      <w:szCs w:val="24"/>
                    </w:rPr>
                  </w:pPr>
                  <w:r>
                    <w:rPr>
                      <w:i/>
                      <w:szCs w:val="24"/>
                    </w:rPr>
                    <w:t>DSK</w:t>
                  </w:r>
                  <w:r>
                    <w:rPr>
                      <w:szCs w:val="24"/>
                    </w:rPr>
                    <w:t xml:space="preserve"> – dienos aktyviojo gydymo atvejų skaičius,</w:t>
                  </w:r>
                </w:p>
                <w:p>
                  <w:pPr>
                    <w:ind w:firstLine="709"/>
                    <w:jc w:val="both"/>
                    <w:rPr>
                      <w:szCs w:val="24"/>
                    </w:rPr>
                  </w:pPr>
                  <w:r>
                    <w:rPr>
                      <w:i/>
                      <w:szCs w:val="24"/>
                    </w:rPr>
                    <w:t>LKMAX</w:t>
                  </w:r>
                  <w:r>
                    <w:rPr>
                      <w:szCs w:val="24"/>
                    </w:rPr>
                    <w:t xml:space="preserve"> – lovadienio kainos koeficientas, kai gydymo trukmė ilgesnė nei maksimali gydymo trukmė,</w:t>
                  </w:r>
                </w:p>
                <w:p>
                  <w:pPr>
                    <w:ind w:firstLine="709"/>
                    <w:jc w:val="both"/>
                    <w:rPr>
                      <w:szCs w:val="24"/>
                    </w:rPr>
                  </w:pPr>
                  <w:r>
                    <w:rPr>
                      <w:i/>
                      <w:szCs w:val="24"/>
                    </w:rPr>
                    <w:t>LKMIN</w:t>
                  </w:r>
                  <w:r>
                    <w:rPr>
                      <w:szCs w:val="24"/>
                    </w:rPr>
                    <w:t xml:space="preserve"> – lovadienio kainos koeficientas, kai gydymo trukmė trumpesnė nei minimali gydymo trukmė,</w:t>
                  </w:r>
                </w:p>
                <w:p>
                  <w:pPr>
                    <w:ind w:firstLine="709"/>
                    <w:jc w:val="both"/>
                    <w:rPr>
                      <w:szCs w:val="24"/>
                    </w:rPr>
                  </w:pPr>
                  <w:r>
                    <w:rPr>
                      <w:i/>
                      <w:szCs w:val="24"/>
                    </w:rPr>
                    <w:t>LSKMAX</w:t>
                  </w:r>
                  <w:r>
                    <w:rPr>
                      <w:szCs w:val="24"/>
                    </w:rPr>
                    <w:t xml:space="preserve"> – lovadienių, kai gydymo trukmė ilgesnė nei maksimali gydymo trukmė, skaičius,</w:t>
                  </w:r>
                </w:p>
                <w:p>
                  <w:pPr>
                    <w:ind w:firstLine="709"/>
                    <w:jc w:val="both"/>
                    <w:rPr>
                      <w:szCs w:val="24"/>
                    </w:rPr>
                  </w:pPr>
                  <w:r>
                    <w:rPr>
                      <w:i/>
                      <w:szCs w:val="24"/>
                    </w:rPr>
                    <w:t>LSKMIN</w:t>
                  </w:r>
                  <w:r>
                    <w:rPr>
                      <w:szCs w:val="24"/>
                    </w:rPr>
                    <w:t xml:space="preserve"> – lovadienių, kai gydymo trukmė trumpesnė nei minimali gydymo trukmė ir ilgesnė nei 1 lovadienis, skaičius,</w:t>
                  </w:r>
                </w:p>
                <w:p>
                  <w:pPr>
                    <w:ind w:firstLine="709"/>
                    <w:jc w:val="both"/>
                    <w:rPr>
                      <w:szCs w:val="24"/>
                    </w:rPr>
                  </w:pPr>
                  <w:r>
                    <w:rPr>
                      <w:i/>
                      <w:szCs w:val="24"/>
                    </w:rPr>
                    <w:t xml:space="preserve">PK </w:t>
                  </w:r>
                  <w:r>
                    <w:rPr>
                      <w:szCs w:val="24"/>
                    </w:rPr>
                    <w:t>– paros aktyviojo gydymo kainos koeficientas,</w:t>
                  </w:r>
                </w:p>
                <w:p>
                  <w:pPr>
                    <w:tabs>
                      <w:tab w:val="left" w:pos="993"/>
                    </w:tabs>
                    <w:ind w:firstLine="709"/>
                    <w:jc w:val="both"/>
                    <w:rPr>
                      <w:szCs w:val="24"/>
                      <w:lang w:eastAsia="lt-LT"/>
                    </w:rPr>
                  </w:pPr>
                  <w:r>
                    <w:rPr>
                      <w:i/>
                      <w:szCs w:val="24"/>
                    </w:rPr>
                    <w:t>PSK</w:t>
                  </w:r>
                  <w:r>
                    <w:rPr>
                      <w:szCs w:val="24"/>
                    </w:rPr>
                    <w:t xml:space="preserve"> – paros aktyviojo gydymo atvejų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de903d8611e89ba7f73323f8faa4">
                    <w:r w:rsidRPr="00532B9F">
                      <w:rPr>
                        <w:rFonts w:ascii="Times New Roman" w:eastAsia="MS Mincho" w:hAnsi="Times New Roman"/>
                        <w:sz w:val="20"/>
                        <w:i/>
                        <w:iCs/>
                        <w:color w:val="0000FF" w:themeColor="hyperlink"/>
                        <w:u w:val="single"/>
                      </w:rPr>
                      <w:t>V-409</w:t>
                    </w:r>
                  </w:fldSimple>
                  <w:r>
                    <w:rPr>
                      <w:rFonts w:ascii="Times New Roman" w:eastAsia="MS Mincho" w:hAnsi="Times New Roman"/>
                      <w:sz w:val="20"/>
                      <w:i/>
                      <w:iCs/>
                    </w:rPr>
                    <w:t>,
2018-04-10,
paskelbta TAR 2018-04-12, i. k. 2018-05888            </w:t>
                  </w:r>
                </w:p>
                <w:p/>
              </w:sdtContent>
            </w:sdt>
          </w:sdtContent>
        </w:sdt>
        <w:sdt>
          <w:sdtPr>
            <w:alias w:val="skyrius"/>
            <w:tag w:val="part_14756bc0933040db95f125069a7abdb9"/>
            <w:lock w:val="sdtLocked"/>
            <w:richText/>
          </w:sdtPr>
          <w:sdtContent>
            <w:p>
              <w:pPr>
                <w:jc w:val="center"/>
                <w:rPr>
                  <w:szCs w:val="24"/>
                  <w:lang w:eastAsia="lt-LT"/>
                </w:rPr>
              </w:pPr>
              <w:sdt>
                <w:sdtPr>
                  <w:alias w:val="Numeris"/>
                  <w:tag w:val="nr_14756bc0933040db95f125069a7abdb9"/>
                  <w:lock w:val="sdtLocked"/>
                  <w:richText/>
                </w:sdtPr>
                <w:sdtContent>
                  <w:r>
                    <w:rPr>
                      <w:b/>
                      <w:szCs w:val="24"/>
                      <w:lang w:eastAsia="lt-LT"/>
                    </w:rPr>
                    <w:t>III</w:t>
                  </w:r>
                </w:sdtContent>
              </w:sdt>
              <w:r>
                <w:rPr>
                  <w:b/>
                  <w:szCs w:val="24"/>
                  <w:lang w:eastAsia="lt-LT"/>
                </w:rPr>
                <w:t xml:space="preserve"> </w:t>
              </w:r>
              <w:sdt>
                <w:sdtPr>
                  <w:alias w:val="Pavadinimas"/>
                  <w:tag w:val="title_14756bc0933040db95f125069a7abdb9"/>
                  <w:lock w:val="sdtLocked"/>
                  <w:richText/>
                </w:sdtPr>
                <w:sdtContent>
                  <w:r>
                    <w:rPr>
                      <w:b/>
                      <w:szCs w:val="24"/>
                      <w:lang w:eastAsia="lt-LT"/>
                    </w:rPr>
                    <w:t xml:space="preserve">SKYRIUS </w:t>
                    <w:br/>
                    <w:t xml:space="preserve">AKTYVIOJO GYDYMO ATVEJŲ IR LOVADIENIŲ SKAIČIAUS BEI SVERTINIO AKTYVIOJO GYDYMO ATVEJŲ IR LOVADIENIŲ SKAIČIAUS APSKAIČIAVIMO PAVYZDYS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b9fc0d18711e68d79c2033f194657">
                <w:r w:rsidRPr="00532B9F">
                  <w:rPr>
                    <w:rFonts w:ascii="Times New Roman" w:eastAsia="MS Mincho" w:hAnsi="Times New Roman"/>
                    <w:sz w:val="20"/>
                    <w:i/>
                    <w:iCs/>
                    <w:color w:val="0000FF" w:themeColor="hyperlink"/>
                    <w:u w:val="single"/>
                  </w:rPr>
                  <w:t>V-1530</w:t>
                </w:r>
              </w:fldSimple>
              <w:r>
                <w:rPr>
                  <w:rFonts w:ascii="Times New Roman" w:eastAsia="MS Mincho" w:hAnsi="Times New Roman"/>
                  <w:sz w:val="20"/>
                  <w:i/>
                  <w:iCs/>
                </w:rPr>
                <w:t>,
2016-12-30,
paskelbta TAR 2017-01-03, i. k. 2017-00395        </w:t>
              </w:r>
            </w:p>
            <w:p/>
            <w:sdt>
              <w:sdtPr>
                <w:alias w:val="1 pr. 3 p."/>
                <w:tag w:val="part_bd10085dfeb14702ac618d09975c7191"/>
                <w:lock w:val="sdtLocked"/>
                <w:richText/>
              </w:sdtPr>
              <w:sdtContent>
                <w:p>
                  <w:pPr>
                    <w:tabs>
                      <w:tab w:val="left" w:pos="851"/>
                      <w:tab w:val="left" w:pos="993"/>
                      <w:tab w:val="left" w:pos="1134"/>
                      <w:tab w:val="left" w:pos="1418"/>
                    </w:tabs>
                    <w:ind w:firstLine="567"/>
                    <w:jc w:val="both"/>
                    <w:rPr>
                      <w:szCs w:val="24"/>
                    </w:rPr>
                  </w:pPr>
                  <w:sdt>
                    <w:sdtPr>
                      <w:alias w:val="Numeris"/>
                      <w:tag w:val="nr_bd10085dfeb14702ac618d09975c7191"/>
                      <w:lock w:val="sdtLocked"/>
                      <w:richText/>
                    </w:sdtPr>
                    <w:sdtContent>
                      <w:r>
                        <w:rPr>
                          <w:szCs w:val="24"/>
                        </w:rPr>
                        <w:t>3</w:t>
                      </w:r>
                    </w:sdtContent>
                  </w:sdt>
                  <w:r>
                    <w:rPr>
                      <w:szCs w:val="24"/>
                    </w:rPr>
                    <w:t>. B42B giminingų diagnozių grupei (DRG) priskiriamų aktyviojo gydymo atvejų ir lovadienių skaičius (</w:t>
                  </w:r>
                  <w:r>
                    <w:rPr>
                      <w:i/>
                      <w:szCs w:val="24"/>
                    </w:rPr>
                    <w:t>ALSK</w:t>
                  </w:r>
                  <w:r>
                    <w:rPr>
                      <w:szCs w:val="24"/>
                    </w:rPr>
                    <w:t>)</w:t>
                  </w:r>
                  <w:r>
                    <w:rPr>
                      <w:i/>
                      <w:szCs w:val="24"/>
                    </w:rPr>
                    <w:t xml:space="preserve"> </w:t>
                  </w:r>
                  <w:r>
                    <w:rPr>
                      <w:szCs w:val="24"/>
                    </w:rPr>
                    <w:t>bei svertinis šiai giminingų diagnozių grupei priskiriamų aktyviojo gydymo atvejų ir lovadienių skaičius (</w:t>
                  </w:r>
                  <w:r>
                    <w:rPr>
                      <w:i/>
                      <w:szCs w:val="24"/>
                    </w:rPr>
                    <w:t>SALSK</w:t>
                  </w:r>
                  <w:r>
                    <w:rPr>
                      <w:szCs w:val="24"/>
                    </w:rPr>
                    <w:t xml:space="preserve">) apskaičiuojamas pagal toliau pateikiamos lentelės duomenis: </w:t>
                  </w:r>
                </w:p>
                <w:p>
                  <w:pPr>
                    <w:tabs>
                      <w:tab w:val="left" w:pos="851"/>
                      <w:tab w:val="left" w:pos="993"/>
                      <w:tab w:val="left" w:pos="1134"/>
                      <w:tab w:val="left" w:pos="1418"/>
                    </w:tabs>
                    <w:ind w:firstLine="567"/>
                    <w:jc w:val="both"/>
                    <w:rPr>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77"/>
                    <w:gridCol w:w="756"/>
                    <w:gridCol w:w="756"/>
                    <w:gridCol w:w="756"/>
                    <w:gridCol w:w="950"/>
                    <w:gridCol w:w="1003"/>
                    <w:gridCol w:w="670"/>
                    <w:gridCol w:w="643"/>
                    <w:gridCol w:w="643"/>
                    <w:gridCol w:w="1070"/>
                    <w:gridCol w:w="1123"/>
                  </w:tblGrid>
                  <w:tr>
                    <w:trPr>
                      <w:cantSplit/>
                      <w:trHeight w:val="23"/>
                    </w:trPr>
                    <w:tc>
                      <w:tcPr>
                        <w:tcW w:w="799" w:type="dxa"/>
                      </w:tcPr>
                      <w:p>
                        <w:pPr>
                          <w:jc w:val="center"/>
                          <w:rPr>
                            <w:szCs w:val="24"/>
                            <w:lang w:eastAsia="lt-LT"/>
                          </w:rPr>
                        </w:pPr>
                        <w:r>
                          <w:rPr>
                            <w:szCs w:val="24"/>
                            <w:lang w:eastAsia="lt-LT"/>
                          </w:rPr>
                          <w:t>DRG kodas</w:t>
                        </w:r>
                      </w:p>
                    </w:tc>
                    <w:tc>
                      <w:tcPr>
                        <w:tcW w:w="4265" w:type="dxa"/>
                        <w:gridSpan w:val="5"/>
                      </w:tcPr>
                      <w:p>
                        <w:pPr>
                          <w:jc w:val="center"/>
                          <w:rPr>
                            <w:szCs w:val="24"/>
                            <w:lang w:eastAsia="lt-LT"/>
                          </w:rPr>
                        </w:pPr>
                        <w:r>
                          <w:rPr>
                            <w:szCs w:val="24"/>
                            <w:lang w:eastAsia="lt-LT"/>
                          </w:rPr>
                          <w:t>Kainų koeficientai</w:t>
                        </w:r>
                      </w:p>
                    </w:tc>
                    <w:tc>
                      <w:tcPr>
                        <w:tcW w:w="4224" w:type="dxa"/>
                        <w:gridSpan w:val="5"/>
                      </w:tcPr>
                      <w:p>
                        <w:pPr>
                          <w:jc w:val="center"/>
                          <w:rPr>
                            <w:szCs w:val="24"/>
                            <w:lang w:eastAsia="lt-LT"/>
                          </w:rPr>
                        </w:pPr>
                        <w:r>
                          <w:rPr>
                            <w:szCs w:val="24"/>
                            <w:lang w:eastAsia="lt-LT"/>
                          </w:rPr>
                          <w:t>Aktyviojo gydymo atvejų ir lovadienių skaičius</w:t>
                        </w:r>
                      </w:p>
                    </w:tc>
                  </w:tr>
                  <w:tr>
                    <w:trPr>
                      <w:cantSplit/>
                      <w:trHeight w:val="23"/>
                    </w:trPr>
                    <w:tc>
                      <w:tcPr>
                        <w:tcW w:w="799" w:type="dxa"/>
                        <w:vMerge w:val="restart"/>
                      </w:tcPr>
                      <w:p>
                        <w:pPr>
                          <w:rPr>
                            <w:szCs w:val="24"/>
                            <w:lang w:eastAsia="lt-LT"/>
                          </w:rPr>
                        </w:pPr>
                        <w:r>
                          <w:rPr>
                            <w:szCs w:val="24"/>
                            <w:lang w:eastAsia="lt-LT"/>
                          </w:rPr>
                          <w:t>B42B</w:t>
                        </w:r>
                      </w:p>
                    </w:tc>
                    <w:tc>
                      <w:tcPr>
                        <w:tcW w:w="774" w:type="dxa"/>
                      </w:tcPr>
                      <w:p>
                        <w:pPr>
                          <w:rPr>
                            <w:i/>
                            <w:szCs w:val="24"/>
                            <w:lang w:eastAsia="lt-LT"/>
                          </w:rPr>
                        </w:pPr>
                        <w:r>
                          <w:rPr>
                            <w:i/>
                            <w:szCs w:val="24"/>
                            <w:lang w:eastAsia="lt-LT"/>
                          </w:rPr>
                          <w:t>DK</w:t>
                        </w:r>
                      </w:p>
                    </w:tc>
                    <w:tc>
                      <w:tcPr>
                        <w:tcW w:w="769" w:type="dxa"/>
                      </w:tcPr>
                      <w:p>
                        <w:pPr>
                          <w:rPr>
                            <w:i/>
                            <w:szCs w:val="24"/>
                            <w:lang w:eastAsia="lt-LT"/>
                          </w:rPr>
                        </w:pPr>
                        <w:r>
                          <w:rPr>
                            <w:i/>
                            <w:szCs w:val="24"/>
                            <w:lang w:eastAsia="lt-LT"/>
                          </w:rPr>
                          <w:t>PK</w:t>
                        </w:r>
                      </w:p>
                    </w:tc>
                    <w:tc>
                      <w:tcPr>
                        <w:tcW w:w="769" w:type="dxa"/>
                      </w:tcPr>
                      <w:p>
                        <w:pPr>
                          <w:rPr>
                            <w:i/>
                            <w:szCs w:val="24"/>
                            <w:lang w:eastAsia="lt-LT"/>
                          </w:rPr>
                        </w:pPr>
                        <w:r>
                          <w:rPr>
                            <w:i/>
                            <w:szCs w:val="24"/>
                            <w:lang w:eastAsia="lt-LT"/>
                          </w:rPr>
                          <w:t>AK</w:t>
                        </w:r>
                      </w:p>
                    </w:tc>
                    <w:tc>
                      <w:tcPr>
                        <w:tcW w:w="950" w:type="dxa"/>
                      </w:tcPr>
                      <w:p>
                        <w:pPr>
                          <w:rPr>
                            <w:i/>
                            <w:szCs w:val="24"/>
                            <w:lang w:eastAsia="lt-LT"/>
                          </w:rPr>
                        </w:pPr>
                        <w:r>
                          <w:rPr>
                            <w:i/>
                            <w:szCs w:val="24"/>
                            <w:lang w:eastAsia="lt-LT"/>
                          </w:rPr>
                          <w:t>LKMIN</w:t>
                        </w:r>
                      </w:p>
                    </w:tc>
                    <w:tc>
                      <w:tcPr>
                        <w:tcW w:w="1003" w:type="dxa"/>
                      </w:tcPr>
                      <w:p>
                        <w:pPr>
                          <w:rPr>
                            <w:i/>
                            <w:szCs w:val="24"/>
                            <w:lang w:eastAsia="lt-LT"/>
                          </w:rPr>
                        </w:pPr>
                        <w:r>
                          <w:rPr>
                            <w:i/>
                            <w:szCs w:val="24"/>
                            <w:lang w:eastAsia="lt-LT"/>
                          </w:rPr>
                          <w:t>LKMAX</w:t>
                        </w:r>
                      </w:p>
                    </w:tc>
                    <w:tc>
                      <w:tcPr>
                        <w:tcW w:w="693" w:type="dxa"/>
                      </w:tcPr>
                      <w:p>
                        <w:pPr>
                          <w:rPr>
                            <w:i/>
                            <w:szCs w:val="24"/>
                            <w:lang w:eastAsia="lt-LT"/>
                          </w:rPr>
                        </w:pPr>
                        <w:r>
                          <w:rPr>
                            <w:i/>
                            <w:szCs w:val="24"/>
                            <w:lang w:eastAsia="lt-LT"/>
                          </w:rPr>
                          <w:t>DSK</w:t>
                        </w:r>
                      </w:p>
                    </w:tc>
                    <w:tc>
                      <w:tcPr>
                        <w:tcW w:w="669" w:type="dxa"/>
                      </w:tcPr>
                      <w:p>
                        <w:pPr>
                          <w:rPr>
                            <w:i/>
                            <w:szCs w:val="24"/>
                            <w:lang w:eastAsia="lt-LT"/>
                          </w:rPr>
                        </w:pPr>
                        <w:r>
                          <w:rPr>
                            <w:i/>
                            <w:szCs w:val="24"/>
                            <w:lang w:eastAsia="lt-LT"/>
                          </w:rPr>
                          <w:t>PSK</w:t>
                        </w:r>
                      </w:p>
                    </w:tc>
                    <w:tc>
                      <w:tcPr>
                        <w:tcW w:w="669" w:type="dxa"/>
                      </w:tcPr>
                      <w:p>
                        <w:pPr>
                          <w:rPr>
                            <w:i/>
                            <w:szCs w:val="24"/>
                            <w:lang w:eastAsia="lt-LT"/>
                          </w:rPr>
                        </w:pPr>
                        <w:r>
                          <w:rPr>
                            <w:i/>
                            <w:szCs w:val="24"/>
                            <w:lang w:eastAsia="lt-LT"/>
                          </w:rPr>
                          <w:t>ASK</w:t>
                        </w:r>
                      </w:p>
                    </w:tc>
                    <w:tc>
                      <w:tcPr>
                        <w:tcW w:w="1070" w:type="dxa"/>
                      </w:tcPr>
                      <w:p>
                        <w:pPr>
                          <w:rPr>
                            <w:i/>
                            <w:szCs w:val="24"/>
                            <w:lang w:eastAsia="lt-LT"/>
                          </w:rPr>
                        </w:pPr>
                        <w:r>
                          <w:rPr>
                            <w:i/>
                            <w:szCs w:val="24"/>
                            <w:lang w:eastAsia="lt-LT"/>
                          </w:rPr>
                          <w:t>LSKMIN</w:t>
                        </w:r>
                      </w:p>
                    </w:tc>
                    <w:tc>
                      <w:tcPr>
                        <w:tcW w:w="1123" w:type="dxa"/>
                      </w:tcPr>
                      <w:p>
                        <w:pPr>
                          <w:rPr>
                            <w:i/>
                            <w:szCs w:val="24"/>
                            <w:lang w:eastAsia="lt-LT"/>
                          </w:rPr>
                        </w:pPr>
                        <w:r>
                          <w:rPr>
                            <w:i/>
                            <w:szCs w:val="24"/>
                            <w:lang w:eastAsia="lt-LT"/>
                          </w:rPr>
                          <w:t>LSKMAX</w:t>
                        </w:r>
                      </w:p>
                    </w:tc>
                  </w:tr>
                  <w:tr>
                    <w:trPr>
                      <w:cantSplit/>
                      <w:trHeight w:val="23"/>
                    </w:trPr>
                    <w:tc>
                      <w:tcPr>
                        <w:tcW w:w="799" w:type="dxa"/>
                        <w:vMerge/>
                      </w:tcPr>
                      <w:p>
                        <w:pPr>
                          <w:rPr>
                            <w:szCs w:val="24"/>
                            <w:lang w:eastAsia="lt-LT"/>
                          </w:rPr>
                        </w:pPr>
                      </w:p>
                    </w:tc>
                    <w:tc>
                      <w:tcPr>
                        <w:tcW w:w="774" w:type="dxa"/>
                      </w:tcPr>
                      <w:p>
                        <w:pPr>
                          <w:rPr>
                            <w:szCs w:val="24"/>
                            <w:lang w:eastAsia="lt-LT"/>
                          </w:rPr>
                        </w:pPr>
                        <w:r>
                          <w:rPr>
                            <w:szCs w:val="24"/>
                            <w:lang w:eastAsia="lt-LT"/>
                          </w:rPr>
                          <w:t>0,969</w:t>
                        </w:r>
                      </w:p>
                    </w:tc>
                    <w:tc>
                      <w:tcPr>
                        <w:tcW w:w="769" w:type="dxa"/>
                      </w:tcPr>
                      <w:p>
                        <w:pPr>
                          <w:rPr>
                            <w:szCs w:val="24"/>
                            <w:lang w:eastAsia="lt-LT"/>
                          </w:rPr>
                        </w:pPr>
                        <w:r>
                          <w:rPr>
                            <w:szCs w:val="24"/>
                            <w:lang w:eastAsia="lt-LT"/>
                          </w:rPr>
                          <w:t>1,824</w:t>
                        </w:r>
                      </w:p>
                    </w:tc>
                    <w:tc>
                      <w:tcPr>
                        <w:tcW w:w="769" w:type="dxa"/>
                      </w:tcPr>
                      <w:p>
                        <w:pPr>
                          <w:rPr>
                            <w:szCs w:val="24"/>
                            <w:lang w:eastAsia="lt-LT"/>
                          </w:rPr>
                        </w:pPr>
                        <w:r>
                          <w:rPr>
                            <w:szCs w:val="24"/>
                            <w:lang w:eastAsia="lt-LT"/>
                          </w:rPr>
                          <w:t>1,709</w:t>
                        </w:r>
                      </w:p>
                    </w:tc>
                    <w:tc>
                      <w:tcPr>
                        <w:tcW w:w="950" w:type="dxa"/>
                      </w:tcPr>
                      <w:p>
                        <w:pPr>
                          <w:rPr>
                            <w:szCs w:val="24"/>
                            <w:lang w:eastAsia="lt-LT"/>
                          </w:rPr>
                        </w:pPr>
                        <w:r>
                          <w:rPr>
                            <w:szCs w:val="24"/>
                            <w:lang w:eastAsia="lt-LT"/>
                          </w:rPr>
                          <w:t>5,242</w:t>
                        </w:r>
                      </w:p>
                    </w:tc>
                    <w:tc>
                      <w:tcPr>
                        <w:tcW w:w="1003" w:type="dxa"/>
                      </w:tcPr>
                      <w:p>
                        <w:pPr>
                          <w:rPr>
                            <w:szCs w:val="24"/>
                            <w:lang w:eastAsia="lt-LT"/>
                          </w:rPr>
                        </w:pPr>
                        <w:r>
                          <w:rPr>
                            <w:szCs w:val="24"/>
                            <w:lang w:eastAsia="lt-LT"/>
                          </w:rPr>
                          <w:t>0,677</w:t>
                        </w:r>
                      </w:p>
                    </w:tc>
                    <w:tc>
                      <w:tcPr>
                        <w:tcW w:w="693" w:type="dxa"/>
                      </w:tcPr>
                      <w:p>
                        <w:pPr>
                          <w:rPr>
                            <w:szCs w:val="24"/>
                            <w:lang w:eastAsia="lt-LT"/>
                          </w:rPr>
                        </w:pPr>
                        <w:r>
                          <w:rPr>
                            <w:szCs w:val="24"/>
                            <w:lang w:eastAsia="lt-LT"/>
                          </w:rPr>
                          <w:t>2</w:t>
                        </w:r>
                      </w:p>
                    </w:tc>
                    <w:tc>
                      <w:tcPr>
                        <w:tcW w:w="669" w:type="dxa"/>
                      </w:tcPr>
                      <w:p>
                        <w:pPr>
                          <w:rPr>
                            <w:szCs w:val="24"/>
                            <w:lang w:eastAsia="lt-LT"/>
                          </w:rPr>
                        </w:pPr>
                        <w:r>
                          <w:rPr>
                            <w:szCs w:val="24"/>
                            <w:lang w:eastAsia="lt-LT"/>
                          </w:rPr>
                          <w:t>16</w:t>
                        </w:r>
                      </w:p>
                    </w:tc>
                    <w:tc>
                      <w:tcPr>
                        <w:tcW w:w="669" w:type="dxa"/>
                      </w:tcPr>
                      <w:p>
                        <w:pPr>
                          <w:rPr>
                            <w:szCs w:val="24"/>
                            <w:lang w:eastAsia="lt-LT"/>
                          </w:rPr>
                        </w:pPr>
                        <w:r>
                          <w:rPr>
                            <w:szCs w:val="24"/>
                            <w:lang w:eastAsia="lt-LT"/>
                          </w:rPr>
                          <w:t>10</w:t>
                        </w:r>
                      </w:p>
                    </w:tc>
                    <w:tc>
                      <w:tcPr>
                        <w:tcW w:w="1070" w:type="dxa"/>
                      </w:tcPr>
                      <w:p>
                        <w:pPr>
                          <w:rPr>
                            <w:szCs w:val="24"/>
                            <w:lang w:eastAsia="lt-LT"/>
                          </w:rPr>
                        </w:pPr>
                        <w:r>
                          <w:rPr>
                            <w:szCs w:val="24"/>
                            <w:lang w:eastAsia="lt-LT"/>
                          </w:rPr>
                          <w:t>25</w:t>
                        </w:r>
                      </w:p>
                    </w:tc>
                    <w:tc>
                      <w:tcPr>
                        <w:tcW w:w="1123" w:type="dxa"/>
                      </w:tcPr>
                      <w:p>
                        <w:pPr>
                          <w:rPr>
                            <w:szCs w:val="24"/>
                            <w:lang w:eastAsia="lt-LT"/>
                          </w:rPr>
                        </w:pPr>
                        <w:r>
                          <w:rPr>
                            <w:szCs w:val="24"/>
                            <w:lang w:eastAsia="lt-LT"/>
                          </w:rPr>
                          <w:t>21</w:t>
                        </w:r>
                      </w:p>
                    </w:tc>
                  </w:tr>
                </w:tbl>
                <w:p>
                  <w:pPr>
                    <w:tabs>
                      <w:tab w:val="left" w:pos="851"/>
                      <w:tab w:val="left" w:pos="1134"/>
                    </w:tabs>
                    <w:ind w:firstLine="567"/>
                    <w:jc w:val="both"/>
                    <w:rPr>
                      <w:szCs w:val="24"/>
                      <w:lang w:val="en-US"/>
                    </w:rPr>
                  </w:pPr>
                </w:p>
                <w:sdt>
                  <w:sdtPr>
                    <w:alias w:val="1 pr. 3.1 pp."/>
                    <w:tag w:val="part_04b3814364b44491a09ff1f4418979e3"/>
                    <w:lock w:val="sdtLocked"/>
                    <w:richText/>
                  </w:sdtPr>
                  <w:sdtContent>
                    <w:p>
                      <w:pPr>
                        <w:tabs>
                          <w:tab w:val="left" w:pos="851"/>
                          <w:tab w:val="left" w:pos="1134"/>
                        </w:tabs>
                        <w:ind w:firstLine="567"/>
                        <w:jc w:val="both"/>
                        <w:rPr>
                          <w:szCs w:val="24"/>
                          <w:lang w:val="en-US"/>
                        </w:rPr>
                      </w:pPr>
                      <w:sdt>
                        <w:sdtPr>
                          <w:alias w:val="Numeris"/>
                          <w:tag w:val="nr_04b3814364b44491a09ff1f4418979e3"/>
                          <w:lock w:val="sdtLocked"/>
                          <w:richText/>
                        </w:sdtPr>
                        <w:sdtContent>
                          <w:r>
                            <w:rPr>
                              <w:szCs w:val="24"/>
                              <w:lang w:val="en-US"/>
                            </w:rPr>
                            <w:t>3.1</w:t>
                          </w:r>
                        </w:sdtContent>
                      </w:sdt>
                      <w:r>
                        <w:rPr>
                          <w:szCs w:val="24"/>
                          <w:lang w:val="en-US"/>
                        </w:rPr>
                        <w:t>. B42B giminingų diagnozių grupės aktyviojo gydymo atvejų ir lovadienių skaičius (</w:t>
                      </w:r>
                      <w:r>
                        <w:rPr>
                          <w:i/>
                          <w:szCs w:val="24"/>
                          <w:lang w:val="en-US"/>
                        </w:rPr>
                        <w:t>ALSK</w:t>
                      </w:r>
                      <w:r>
                        <w:rPr>
                          <w:szCs w:val="24"/>
                          <w:lang w:val="en-US"/>
                        </w:rPr>
                        <w:t>) apskaičiuojamas sudedant Metodikos 1 priedo 3 punkto lentelėje nurodytus aktyviojo gydymo atvejus ir lovadienius:</w:t>
                      </w:r>
                    </w:p>
                    <w:p>
                      <w:pPr>
                        <w:tabs>
                          <w:tab w:val="left" w:pos="851"/>
                          <w:tab w:val="left" w:pos="1134"/>
                        </w:tabs>
                        <w:ind w:firstLine="567"/>
                        <w:jc w:val="both"/>
                        <w:rPr>
                          <w:szCs w:val="24"/>
                          <w:lang w:val="en-US"/>
                        </w:rPr>
                      </w:pPr>
                    </w:p>
                    <w:p>
                      <w:pPr>
                        <w:tabs>
                          <w:tab w:val="left" w:pos="851"/>
                          <w:tab w:val="left" w:pos="1134"/>
                        </w:tabs>
                        <w:ind w:firstLine="567"/>
                        <w:rPr>
                          <w:i/>
                          <w:szCs w:val="24"/>
                          <w:lang w:val="en-US"/>
                        </w:rPr>
                      </w:pPr>
                      <w:r>
                        <w:rPr>
                          <w:i/>
                          <w:szCs w:val="24"/>
                          <w:lang w:val="en-US"/>
                        </w:rPr>
                        <w:t>ALSK</w:t>
                      </w:r>
                      <w:r>
                        <w:rPr>
                          <w:szCs w:val="24"/>
                          <w:vertAlign w:val="subscript"/>
                          <w:lang w:val="en-US"/>
                        </w:rPr>
                        <w:t xml:space="preserve">B42B </w:t>
                      </w:r>
                      <w:r>
                        <w:rPr>
                          <w:i/>
                          <w:szCs w:val="24"/>
                          <w:lang w:val="en-US"/>
                        </w:rPr>
                        <w:t>= DSK</w:t>
                      </w:r>
                      <w:r>
                        <w:rPr>
                          <w:szCs w:val="24"/>
                          <w:vertAlign w:val="subscript"/>
                          <w:lang w:val="en-US"/>
                        </w:rPr>
                        <w:t>B42B</w:t>
                      </w:r>
                      <w:r>
                        <w:rPr>
                          <w:i/>
                          <w:szCs w:val="24"/>
                          <w:lang w:val="en-US"/>
                        </w:rPr>
                        <w:t>+PSK</w:t>
                      </w:r>
                      <w:r>
                        <w:rPr>
                          <w:szCs w:val="24"/>
                          <w:vertAlign w:val="subscript"/>
                          <w:lang w:val="en-US"/>
                        </w:rPr>
                        <w:t>B42B</w:t>
                      </w:r>
                      <w:r>
                        <w:rPr>
                          <w:i/>
                          <w:szCs w:val="24"/>
                          <w:lang w:val="en-US"/>
                        </w:rPr>
                        <w:t>+ASK</w:t>
                      </w:r>
                      <w:r>
                        <w:rPr>
                          <w:szCs w:val="24"/>
                          <w:vertAlign w:val="subscript"/>
                          <w:lang w:val="en-US"/>
                        </w:rPr>
                        <w:t>B42B</w:t>
                      </w:r>
                      <w:r>
                        <w:rPr>
                          <w:i/>
                          <w:szCs w:val="24"/>
                          <w:lang w:val="en-US"/>
                        </w:rPr>
                        <w:t>+LSKMIN</w:t>
                      </w:r>
                      <w:r>
                        <w:rPr>
                          <w:szCs w:val="24"/>
                          <w:vertAlign w:val="subscript"/>
                          <w:lang w:val="en-US"/>
                        </w:rPr>
                        <w:t>B42B</w:t>
                      </w:r>
                      <w:r>
                        <w:rPr>
                          <w:i/>
                          <w:szCs w:val="24"/>
                          <w:lang w:val="en-US"/>
                        </w:rPr>
                        <w:t>+LSKMAX</w:t>
                      </w:r>
                      <w:r>
                        <w:rPr>
                          <w:szCs w:val="24"/>
                          <w:vertAlign w:val="subscript"/>
                          <w:lang w:val="en-US"/>
                        </w:rPr>
                        <w:t>B42B</w:t>
                      </w:r>
                      <w:r>
                        <w:rPr>
                          <w:i/>
                          <w:szCs w:val="24"/>
                          <w:lang w:val="en-US"/>
                        </w:rPr>
                        <w:t xml:space="preserve"> = 2+16+10+25+21 = 74</w:t>
                      </w:r>
                    </w:p>
                    <w:p>
                      <w:pPr>
                        <w:tabs>
                          <w:tab w:val="left" w:pos="851"/>
                          <w:tab w:val="left" w:pos="1134"/>
                        </w:tabs>
                        <w:ind w:firstLine="567"/>
                        <w:jc w:val="both"/>
                        <w:rPr>
                          <w:szCs w:val="24"/>
                        </w:rPr>
                      </w:pPr>
                    </w:p>
                  </w:sdtContent>
                </w:sdt>
                <w:sdt>
                  <w:sdtPr>
                    <w:alias w:val="1 pr. 3.2 pp."/>
                    <w:tag w:val="part_942a6c42925c4ebfbfee31bcbc0dac2e"/>
                    <w:lock w:val="sdtLocked"/>
                    <w:richText/>
                  </w:sdtPr>
                  <w:sdtContent>
                    <w:p>
                      <w:pPr>
                        <w:tabs>
                          <w:tab w:val="left" w:pos="851"/>
                          <w:tab w:val="left" w:pos="1134"/>
                        </w:tabs>
                        <w:ind w:firstLine="567"/>
                        <w:jc w:val="both"/>
                        <w:rPr>
                          <w:szCs w:val="24"/>
                        </w:rPr>
                      </w:pPr>
                      <w:sdt>
                        <w:sdtPr>
                          <w:alias w:val="Numeris"/>
                          <w:tag w:val="nr_942a6c42925c4ebfbfee31bcbc0dac2e"/>
                          <w:lock w:val="sdtLocked"/>
                          <w:richText/>
                        </w:sdtPr>
                        <w:sdtContent>
                          <w:r>
                            <w:rPr>
                              <w:szCs w:val="24"/>
                            </w:rPr>
                            <w:t>3.2</w:t>
                          </w:r>
                        </w:sdtContent>
                      </w:sdt>
                      <w:r>
                        <w:rPr>
                          <w:szCs w:val="24"/>
                        </w:rPr>
                        <w:t>. B42B giminingų diagnozių grupės svertinio aktyviojo gydymo atvejų ir lovadienių skaičius (</w:t>
                      </w:r>
                      <w:r>
                        <w:rPr>
                          <w:i/>
                          <w:szCs w:val="24"/>
                        </w:rPr>
                        <w:t>SALSK</w:t>
                      </w:r>
                      <w:r>
                        <w:rPr>
                          <w:szCs w:val="24"/>
                        </w:rPr>
                        <w:t xml:space="preserve">) apskaičiuojamas sudedant Metodikos 1 priedo 3 punkto lentelėje nurodytų aktyviojo gydymo atvejų ir lovadienių bei gydymo atvejų trukmę atitinkančių kainų koeficientų sandaugas: </w:t>
                      </w:r>
                    </w:p>
                    <w:p>
                      <w:pPr>
                        <w:tabs>
                          <w:tab w:val="left" w:pos="851"/>
                          <w:tab w:val="left" w:pos="1134"/>
                        </w:tabs>
                        <w:ind w:firstLine="567"/>
                        <w:jc w:val="both"/>
                        <w:rPr>
                          <w:szCs w:val="24"/>
                        </w:rPr>
                      </w:pPr>
                    </w:p>
                    <w:p>
                      <w:pPr>
                        <w:tabs>
                          <w:tab w:val="left" w:pos="851"/>
                          <w:tab w:val="left" w:pos="1134"/>
                        </w:tabs>
                        <w:ind w:firstLine="567"/>
                        <w:rPr>
                          <w:szCs w:val="24"/>
                        </w:rPr>
                      </w:pPr>
                      <w:r>
                        <w:rPr>
                          <w:i/>
                          <w:szCs w:val="24"/>
                        </w:rPr>
                        <w:t>SALSK = DK</w:t>
                      </w:r>
                      <w:r>
                        <w:rPr>
                          <w:szCs w:val="24"/>
                          <w:vertAlign w:val="subscript"/>
                        </w:rPr>
                        <w:t>B42B</w:t>
                      </w:r>
                      <w:r>
                        <w:rPr>
                          <w:szCs w:val="24"/>
                        </w:rPr>
                        <w:t>x</w:t>
                      </w:r>
                      <w:r>
                        <w:rPr>
                          <w:i/>
                          <w:szCs w:val="24"/>
                        </w:rPr>
                        <w:t>DSK</w:t>
                      </w:r>
                      <w:r>
                        <w:rPr>
                          <w:szCs w:val="24"/>
                          <w:vertAlign w:val="subscript"/>
                        </w:rPr>
                        <w:t>B42B</w:t>
                      </w:r>
                      <w:r>
                        <w:rPr>
                          <w:i/>
                          <w:szCs w:val="24"/>
                        </w:rPr>
                        <w:t>+PK</w:t>
                      </w:r>
                      <w:r>
                        <w:rPr>
                          <w:szCs w:val="24"/>
                          <w:vertAlign w:val="subscript"/>
                        </w:rPr>
                        <w:t>B42B</w:t>
                      </w:r>
                      <w:r>
                        <w:rPr>
                          <w:szCs w:val="24"/>
                        </w:rPr>
                        <w:t>x</w:t>
                      </w:r>
                      <w:r>
                        <w:rPr>
                          <w:i/>
                          <w:szCs w:val="24"/>
                        </w:rPr>
                        <w:t>PSK</w:t>
                      </w:r>
                      <w:r>
                        <w:rPr>
                          <w:szCs w:val="24"/>
                          <w:vertAlign w:val="subscript"/>
                        </w:rPr>
                        <w:t>B42B</w:t>
                      </w:r>
                      <w:r>
                        <w:rPr>
                          <w:i/>
                          <w:szCs w:val="24"/>
                        </w:rPr>
                        <w:t>+AK</w:t>
                      </w:r>
                      <w:r>
                        <w:rPr>
                          <w:szCs w:val="24"/>
                          <w:vertAlign w:val="subscript"/>
                        </w:rPr>
                        <w:t>B42B</w:t>
                      </w:r>
                      <w:r>
                        <w:rPr>
                          <w:szCs w:val="24"/>
                        </w:rPr>
                        <w:t>x</w:t>
                      </w:r>
                      <w:r>
                        <w:rPr>
                          <w:i/>
                          <w:szCs w:val="24"/>
                        </w:rPr>
                        <w:t>ASK</w:t>
                      </w:r>
                      <w:r>
                        <w:rPr>
                          <w:szCs w:val="24"/>
                          <w:vertAlign w:val="subscript"/>
                        </w:rPr>
                        <w:t>B42B</w:t>
                      </w:r>
                      <w:r>
                        <w:rPr>
                          <w:i/>
                          <w:szCs w:val="24"/>
                        </w:rPr>
                        <w:t>+LKMIN</w:t>
                      </w:r>
                      <w:r>
                        <w:rPr>
                          <w:szCs w:val="24"/>
                          <w:vertAlign w:val="subscript"/>
                        </w:rPr>
                        <w:t>B42B</w:t>
                      </w:r>
                      <w:r>
                        <w:rPr>
                          <w:szCs w:val="24"/>
                        </w:rPr>
                        <w:t>x</w:t>
                      </w:r>
                      <w:r>
                        <w:rPr>
                          <w:i/>
                          <w:szCs w:val="24"/>
                        </w:rPr>
                        <w:t>LSKMIN</w:t>
                      </w:r>
                      <w:r>
                        <w:rPr>
                          <w:szCs w:val="24"/>
                          <w:vertAlign w:val="subscript"/>
                        </w:rPr>
                        <w:t>B42B</w:t>
                      </w:r>
                      <w:r>
                        <w:rPr>
                          <w:i/>
                          <w:szCs w:val="24"/>
                        </w:rPr>
                        <w:t>+ LKMAX</w:t>
                      </w:r>
                      <w:r>
                        <w:rPr>
                          <w:szCs w:val="24"/>
                          <w:vertAlign w:val="subscript"/>
                        </w:rPr>
                        <w:t>B42B</w:t>
                      </w:r>
                      <w:r>
                        <w:rPr>
                          <w:szCs w:val="24"/>
                        </w:rPr>
                        <w:t>x</w:t>
                      </w:r>
                      <w:r>
                        <w:rPr>
                          <w:i/>
                          <w:szCs w:val="24"/>
                        </w:rPr>
                        <w:t>LSKMAX</w:t>
                      </w:r>
                      <w:r>
                        <w:rPr>
                          <w:szCs w:val="24"/>
                          <w:vertAlign w:val="subscript"/>
                        </w:rPr>
                        <w:t xml:space="preserve">B42B </w:t>
                      </w:r>
                      <w:r>
                        <w:rPr>
                          <w:szCs w:val="24"/>
                        </w:rPr>
                        <w:t>= 0,969x2+1,824x16+1,709x10+5,242x25+0,677x21 = 193.</w:t>
                      </w:r>
                    </w:p>
                    <w:p>
                      <w:pPr>
                        <w:ind w:firstLine="567"/>
                        <w:jc w:val="both"/>
                        <w:rPr>
                          <w:szCs w:val="24"/>
                          <w:lang w:eastAsia="lt-LT"/>
                        </w:rPr>
                      </w:pPr>
                    </w:p>
                  </w:sdtContent>
                </w:sdt>
              </w:sdtContent>
            </w:sdt>
          </w:sdtContent>
        </w:sdt>
        <w:sdt>
          <w:sdtPr>
            <w:alias w:val="pabaiga"/>
            <w:tag w:val="part_e6ad159a503c43d894247a150950a76a"/>
            <w:lock w:val="sdtLocked"/>
            <w:richText/>
          </w:sdtPr>
          <w:sdtContent>
            <w:p>
              <w:pPr>
                <w:jc w:val="center"/>
                <w:rPr>
                  <w:szCs w:val="24"/>
                  <w:lang w:eastAsia="lt-LT"/>
                </w:rPr>
              </w:pPr>
              <w:r>
                <w:rPr>
                  <w:szCs w:val="24"/>
                  <w:lang w:eastAsia="lt-LT"/>
                </w:rPr>
                <w:t>_________________</w:t>
              </w:r>
            </w:p>
          </w:sdtContent>
        </w:sdt>
      </w:sdtContent>
    </w:sdt>
    <w:sdt>
      <w:sdtPr>
        <w:alias w:val="2 pr."/>
        <w:tag w:val="part_4d6e55d48ac345d8b3a7f4fb8702a92d"/>
        <w:lock w:val="sdtLocked"/>
        <w:richText/>
      </w:sdtPr>
      <w:sdtContent>
        <w:p>
          <w:pPr>
            <w:ind w:left="4535"/>
            <w:sectPr>
              <w:pgSz w:w="11907" w:h="16840" w:code="9"/>
              <w:pgMar w:top="1134" w:right="1134" w:bottom="1134" w:left="1701" w:header="567" w:footer="284" w:gutter="0"/>
              <w:pgNumType w:start="1"/>
              <w:cols w:space="1296"/>
              <w:titlePg/>
              <w:docGrid w:linePitch="360"/>
            </w:sectPr>
          </w:pPr>
        </w:p>
        <w:p>
          <w:pPr>
            <w:ind w:left="4535"/>
            <w:rPr>
              <w:szCs w:val="24"/>
              <w:lang w:eastAsia="lt-LT"/>
            </w:rPr>
          </w:pPr>
          <w:r>
            <w:rPr>
              <w:szCs w:val="24"/>
              <w:lang w:eastAsia="lt-LT"/>
            </w:rPr>
            <w:t xml:space="preserve">Asmens sveikatos priežiūros paslaugų, kurių išlaidos apmokamos Privalomojo sveikatos draudimo fondo biudžeto lėšomis, bazinių kainų nustatymo metodikos </w:t>
          </w:r>
        </w:p>
        <w:p>
          <w:pPr>
            <w:ind w:left="4535"/>
            <w:rPr>
              <w:szCs w:val="24"/>
              <w:lang w:eastAsia="lt-LT"/>
            </w:rPr>
          </w:pPr>
          <w:sdt>
            <w:sdtPr>
              <w:alias w:val="Numeris"/>
              <w:tag w:val="nr_4d6e55d48ac345d8b3a7f4fb8702a92d"/>
              <w:lock w:val="sdtLocked"/>
              <w:richText/>
            </w:sdtPr>
            <w:sdtContent>
              <w:r>
                <w:rPr>
                  <w:szCs w:val="24"/>
                  <w:lang w:eastAsia="lt-LT"/>
                </w:rPr>
                <w:t>2</w:t>
              </w:r>
            </w:sdtContent>
          </w:sdt>
          <w:r>
            <w:rPr>
              <w:szCs w:val="24"/>
              <w:lang w:eastAsia="lt-LT"/>
            </w:rPr>
            <w:t xml:space="preserve"> priedas</w:t>
          </w:r>
        </w:p>
        <w:p>
          <w:pPr>
            <w:jc w:val="center"/>
            <w:rPr>
              <w:szCs w:val="24"/>
              <w:lang w:eastAsia="lt-LT"/>
            </w:rPr>
          </w:pPr>
        </w:p>
        <w:p>
          <w:pPr>
            <w:jc w:val="center"/>
            <w:rPr>
              <w:b/>
              <w:szCs w:val="24"/>
              <w:lang w:eastAsia="lt-LT"/>
            </w:rPr>
          </w:pPr>
          <w:sdt>
            <w:sdtPr>
              <w:alias w:val="Pavadinimas"/>
              <w:tag w:val="title_4d6e55d48ac345d8b3a7f4fb8702a92d"/>
              <w:lock w:val="sdtLocked"/>
              <w:richText/>
            </w:sdtPr>
            <w:sdtContent>
              <w:r>
                <w:rPr>
                  <w:b/>
                  <w:szCs w:val="24"/>
                  <w:lang w:eastAsia="lt-LT"/>
                </w:rPr>
                <w:t>NORMATYVINĖS AKTYVIOJO GYDYMO TRUKMĖS APSKAIČIAVIMO TVARKA</w:t>
              </w:r>
            </w:sdtContent>
          </w:sdt>
        </w:p>
        <w:p>
          <w:pPr>
            <w:ind w:firstLine="567"/>
            <w:jc w:val="both"/>
            <w:rPr>
              <w:b/>
              <w:szCs w:val="24"/>
              <w:lang w:eastAsia="lt-LT"/>
            </w:rPr>
          </w:pPr>
        </w:p>
        <w:sdt>
          <w:sdtPr>
            <w:alias w:val="2 pr. 1 p."/>
            <w:tag w:val="part_63fd844cc04b47ddbc88c895e4a4cf09"/>
            <w:lock w:val="sdtLocked"/>
            <w:richText/>
          </w:sdtPr>
          <w:sdtContent>
            <w:p>
              <w:pPr>
                <w:tabs>
                  <w:tab w:val="left" w:pos="0"/>
                  <w:tab w:val="left" w:pos="851"/>
                  <w:tab w:val="left" w:pos="993"/>
                </w:tabs>
                <w:ind w:firstLine="567"/>
                <w:jc w:val="both"/>
                <w:rPr>
                  <w:szCs w:val="24"/>
                </w:rPr>
              </w:pPr>
              <w:sdt>
                <w:sdtPr>
                  <w:alias w:val="Numeris"/>
                  <w:tag w:val="nr_63fd844cc04b47ddbc88c895e4a4cf09"/>
                  <w:lock w:val="sdtLocked"/>
                  <w:richText/>
                </w:sdtPr>
                <w:sdtContent>
                  <w:r>
                    <w:rPr>
                      <w:szCs w:val="24"/>
                    </w:rPr>
                    <w:t>1</w:t>
                  </w:r>
                </w:sdtContent>
              </w:sdt>
              <w:r>
                <w:rPr>
                  <w:szCs w:val="24"/>
                </w:rPr>
                <w:t>. Vidutinė aktyviojo gydymo trukmė lovadieniais apskaičiuojama taip (rezultatą apvalinant iki artimiausio sveikojo skaičiaus):</w:t>
              </w:r>
            </w:p>
            <w:sdt>
              <w:sdtPr>
                <w:alias w:val="2 pr. 1.1 pp."/>
                <w:tag w:val="part_75c0f59c060948869afb51f8480c57f0"/>
                <w:lock w:val="sdtLocked"/>
                <w:richText/>
              </w:sdtPr>
              <w:sdtContent>
                <w:p>
                  <w:pPr>
                    <w:tabs>
                      <w:tab w:val="left" w:pos="1134"/>
                    </w:tabs>
                    <w:ind w:left="709" w:hanging="142"/>
                    <w:rPr>
                      <w:rFonts w:eastAsia="Calibri"/>
                      <w:szCs w:val="24"/>
                    </w:rPr>
                  </w:pPr>
                  <w:sdt>
                    <w:sdtPr>
                      <w:alias w:val="Numeris"/>
                      <w:tag w:val="nr_75c0f59c060948869afb51f8480c57f0"/>
                      <w:lock w:val="sdtLocked"/>
                      <w:richText/>
                    </w:sdtPr>
                    <w:sdtContent>
                      <w:r>
                        <w:rPr>
                          <w:rFonts w:eastAsia="Calibri"/>
                          <w:szCs w:val="24"/>
                        </w:rPr>
                        <w:t>1.1</w:t>
                      </w:r>
                    </w:sdtContent>
                  </w:sdt>
                  <w:r>
                    <w:rPr>
                      <w:rFonts w:eastAsia="Calibri"/>
                      <w:szCs w:val="24"/>
                    </w:rPr>
                    <w:t>. kiekvieno aktyviojo gydymo atvejo trukmė turi tenkinti šią sąlygą:</w:t>
                  </w:r>
                </w:p>
                <w:p>
                  <w:pPr>
                    <w:tabs>
                      <w:tab w:val="left" w:pos="1134"/>
                    </w:tabs>
                    <w:ind w:left="709" w:hanging="142"/>
                    <w:rPr>
                      <w:rFonts w:eastAsia="Calibri"/>
                      <w:szCs w:val="24"/>
                    </w:rPr>
                  </w:pPr>
                  <w:r>
                    <w:rPr>
                      <w:rFonts w:eastAsia="Calibri"/>
                      <w:szCs w:val="24"/>
                    </w:rPr>
                    <w:object w:dxaOrig="2340" w:dyaOrig="420">
                      <v:shape id="_x0000_i1036" type="#_x0000_t75" style="width:117.1pt;height:21.9pt" o:ole="">
                        <v:imagedata r:id="rId47" o:title=""/>
                      </v:shape>
                      <o:OLEObject Type="Embed" ProgID="Equation.3" ShapeID="_x0000_i1036" DrawAspect="Content" ObjectID="_0000000001" r:id="rId48"/>
                    </w:object>
                    <w:t xml:space="preserve"> ir </w:t>
                    <w:object w:dxaOrig="2380" w:dyaOrig="420">
                      <v:shape id="_x0000_i1037" type="#_x0000_t75" style="width:120.2pt;height:21.9pt" o:ole="">
                        <v:imagedata r:id="rId49" o:title=""/>
                      </v:shape>
                      <o:OLEObject Type="Embed" ProgID="Equation.3" ShapeID="_x0000_i1037" DrawAspect="Content" ObjectID="_0000000001" r:id="rId50"/>
                    </w:object>
                    <w:t>,</w:t>
                  </w:r>
                </w:p>
                <w:p>
                  <w:pPr>
                    <w:tabs>
                      <w:tab w:val="left" w:pos="1134"/>
                    </w:tabs>
                    <w:ind w:left="709" w:hanging="142"/>
                    <w:jc w:val="both"/>
                    <w:rPr>
                      <w:rFonts w:eastAsia="Calibri"/>
                      <w:szCs w:val="24"/>
                    </w:rPr>
                  </w:pPr>
                  <w:r>
                    <w:rPr>
                      <w:rFonts w:eastAsia="Calibri"/>
                      <w:szCs w:val="24"/>
                    </w:rPr>
                    <w:t>kai:</w:t>
                  </w:r>
                </w:p>
                <w:p>
                  <w:pPr>
                    <w:tabs>
                      <w:tab w:val="left" w:pos="993"/>
                      <w:tab w:val="left" w:pos="1134"/>
                    </w:tabs>
                    <w:ind w:left="709" w:hanging="142"/>
                    <w:rPr>
                      <w:rFonts w:eastAsia="Calibri"/>
                      <w:szCs w:val="24"/>
                    </w:rPr>
                  </w:pPr>
                  <w:r>
                    <w:rPr>
                      <w:rFonts w:eastAsia="Calibri"/>
                      <w:i/>
                      <w:szCs w:val="24"/>
                    </w:rPr>
                    <w:t xml:space="preserve">T </w:t>
                  </w:r>
                  <w:r>
                    <w:rPr>
                      <w:rFonts w:eastAsia="Calibri"/>
                      <w:szCs w:val="24"/>
                    </w:rPr>
                    <w:t>– faktinė gydymo trukmė (lovadieniais),</w:t>
                  </w:r>
                </w:p>
                <w:p>
                  <w:pPr>
                    <w:tabs>
                      <w:tab w:val="left" w:pos="993"/>
                      <w:tab w:val="left" w:pos="1134"/>
                    </w:tabs>
                    <w:ind w:left="709" w:hanging="142"/>
                    <w:rPr>
                      <w:rFonts w:eastAsia="Calibri"/>
                      <w:szCs w:val="24"/>
                    </w:rPr>
                  </w:pPr>
                  <w:r>
                    <w:rPr>
                      <w:rFonts w:eastAsia="Calibri"/>
                      <w:i/>
                      <w:szCs w:val="24"/>
                    </w:rPr>
                    <w:t xml:space="preserve">A </w:t>
                  </w:r>
                  <w:r>
                    <w:rPr>
                      <w:rFonts w:eastAsia="Calibri"/>
                      <w:szCs w:val="24"/>
                    </w:rPr>
                    <w:t>– aktyviojo gydymo atvejis,</w:t>
                  </w:r>
                </w:p>
                <w:p>
                  <w:pPr>
                    <w:tabs>
                      <w:tab w:val="left" w:pos="993"/>
                      <w:tab w:val="left" w:pos="1134"/>
                    </w:tabs>
                    <w:ind w:left="709" w:hanging="142"/>
                    <w:rPr>
                      <w:rFonts w:eastAsia="Calibri"/>
                      <w:szCs w:val="24"/>
                    </w:rPr>
                  </w:pPr>
                  <w:r>
                    <w:rPr>
                      <w:rFonts w:eastAsia="Calibri"/>
                      <w:i/>
                      <w:szCs w:val="24"/>
                    </w:rPr>
                    <w:t>DRG</w:t>
                  </w:r>
                  <w:r>
                    <w:rPr>
                      <w:rFonts w:eastAsia="Calibri"/>
                      <w:szCs w:val="24"/>
                    </w:rPr>
                    <w:t xml:space="preserve"> – giminingų diagnozių grupė,</w:t>
                  </w:r>
                </w:p>
                <w:p>
                  <w:pPr>
                    <w:tabs>
                      <w:tab w:val="left" w:pos="993"/>
                      <w:tab w:val="left" w:pos="1134"/>
                    </w:tabs>
                    <w:ind w:firstLine="709"/>
                    <w:jc w:val="both"/>
                    <w:rPr>
                      <w:szCs w:val="24"/>
                      <w:lang w:eastAsia="lt-LT"/>
                    </w:rPr>
                  </w:pPr>
                  <w:r>
                    <w:rPr>
                      <w:rFonts w:eastAsia="Calibri"/>
                      <w:szCs w:val="24"/>
                    </w:rPr>
                    <w:object w:dxaOrig="320" w:dyaOrig="380">
                      <v:shape id="_x0000_i1038" type="#_x0000_t75" style="width:16.3pt;height:19.4pt" o:ole="">
                        <v:imagedata r:id="rId51" o:title=""/>
                      </v:shape>
                      <o:OLEObject Type="Embed" ProgID="Equation.3" ShapeID="_x0000_i1038" DrawAspect="Content" ObjectID="_0000000001" r:id="rId52"/>
                    </w:object>
                    <w:t xml:space="preserve"> – geometrinis vidurkis, </w:t>
                    <w:object w:dxaOrig="320" w:dyaOrig="380">
                      <v:shape id="_x0000_i1039" type="#_x0000_t75" style="width:16.3pt;height:19.4pt" o:ole="">
                        <v:imagedata r:id="rId53" o:title=""/>
                      </v:shape>
                      <o:OLEObject Type="Embed" ProgID="Equation.3" ShapeID="_x0000_i1039" DrawAspect="Content" ObjectID="_0000000001" r:id="rId54"/>
                    </w:object>
                    <w:t xml:space="preserve">– geometrinis standartinis nuokrypis, </w:t>
                  </w:r>
                  <w:r>
                    <w:rPr>
                      <w:rFonts w:eastAsia="Calibri"/>
                      <w:i/>
                      <w:szCs w:val="24"/>
                    </w:rPr>
                    <w:t xml:space="preserve">e </w:t>
                  </w:r>
                  <w:r>
                    <w:rPr>
                      <w:rFonts w:eastAsia="Calibri"/>
                      <w:szCs w:val="24"/>
                    </w:rPr>
                    <w:t>– matematinė konstanta, kuri yra natūrinio logaritmo pagrindas (apytiksliai 2,718281828);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de903d8611e89ba7f73323f8faa4">
                    <w:r w:rsidRPr="00532B9F">
                      <w:rPr>
                        <w:rFonts w:ascii="Times New Roman" w:eastAsia="MS Mincho" w:hAnsi="Times New Roman"/>
                        <w:sz w:val="20"/>
                        <w:i/>
                        <w:iCs/>
                        <w:color w:val="0000FF" w:themeColor="hyperlink"/>
                        <w:u w:val="single"/>
                      </w:rPr>
                      <w:t>V-409</w:t>
                    </w:r>
                  </w:fldSimple>
                  <w:r>
                    <w:rPr>
                      <w:rFonts w:ascii="Times New Roman" w:eastAsia="MS Mincho" w:hAnsi="Times New Roman"/>
                      <w:sz w:val="20"/>
                      <w:i/>
                      <w:iCs/>
                    </w:rPr>
                    <w:t>,
2018-04-10,
paskelbta TAR 2018-04-12, i. k. 2018-05888            </w:t>
                  </w:r>
                </w:p>
                <w:p/>
              </w:sdtContent>
            </w:sdt>
            <w:sdt>
              <w:sdtPr>
                <w:alias w:val="2 pr. 1.2 pp."/>
                <w:tag w:val="part_2df30e04d8594aa5b15a77c8c0d0baaf"/>
                <w:lock w:val="sdtLocked"/>
                <w:richText/>
              </w:sdtPr>
              <w:sdtContent>
                <w:p>
                  <w:pPr>
                    <w:tabs>
                      <w:tab w:val="left" w:pos="0"/>
                      <w:tab w:val="left" w:pos="851"/>
                      <w:tab w:val="left" w:pos="993"/>
                    </w:tabs>
                    <w:ind w:firstLine="567"/>
                    <w:jc w:val="both"/>
                    <w:rPr>
                      <w:szCs w:val="24"/>
                    </w:rPr>
                  </w:pPr>
                  <w:sdt>
                    <w:sdtPr>
                      <w:alias w:val="Numeris"/>
                      <w:tag w:val="nr_2df30e04d8594aa5b15a77c8c0d0baaf"/>
                      <w:lock w:val="sdtLocked"/>
                      <w:richText/>
                    </w:sdtPr>
                    <w:sdtContent>
                      <w:r>
                        <w:rPr>
                          <w:szCs w:val="24"/>
                        </w:rPr>
                        <w:t>1.2</w:t>
                      </w:r>
                    </w:sdtContent>
                  </w:sdt>
                  <w:r>
                    <w:rPr>
                      <w:szCs w:val="24"/>
                    </w:rPr>
                    <w:t>. jei aktyviojo gydymo atvejo pabaigos data nesutampa su aktyviojo gydymo atvejo pradžios data ir tenkinama šio priedo 1.1 punkte nustatyta sąlyga:</w:t>
                  </w:r>
                </w:p>
                <w:p>
                  <w:pPr>
                    <w:tabs>
                      <w:tab w:val="left" w:pos="0"/>
                      <w:tab w:val="left" w:pos="851"/>
                      <w:tab w:val="left" w:pos="993"/>
                    </w:tabs>
                    <w:ind w:firstLine="567"/>
                    <w:jc w:val="both"/>
                    <w:rPr>
                      <w:szCs w:val="24"/>
                    </w:rPr>
                  </w:pPr>
                </w:p>
              </w:sdtContent>
            </w:sdt>
          </w:sdtContent>
        </w:sdt>
        <w:sdt>
          <w:sdtPr>
            <w:alias w:val="skirsnis"/>
            <w:tag w:val="part_72de0458076843bd931c1c445447da90"/>
            <w:lock w:val="sdtLocked"/>
            <w:richText/>
          </w:sdtPr>
          <w:sdtContent>
            <w:p>
              <w:pPr>
                <w:tabs>
                  <w:tab w:val="left" w:pos="0"/>
                  <w:tab w:val="left" w:pos="851"/>
                  <w:tab w:val="left" w:pos="993"/>
                </w:tabs>
                <w:jc w:val="center"/>
              </w:pPr>
              <w:sdt>
                <w:sdtPr>
                  <w:alias w:val="Pavadinimas"/>
                  <w:tag w:val="title_72de0458076843bd931c1c445447da90"/>
                  <w:lock w:val="sdtLocked"/>
                  <w:richText/>
                </w:sdtPr>
                <w:sdtContent>
                  <w:r>
                    <w:rPr>
                      <w:i/>
                      <w:szCs w:val="24"/>
                    </w:rPr>
                    <w:t>TVID</w:t>
                  </w:r>
                  <w:r>
                    <w:rPr>
                      <w:i/>
                      <w:szCs w:val="24"/>
                      <w:vertAlign w:val="subscript"/>
                    </w:rPr>
                    <w:t>DRG</w:t>
                  </w:r>
                  <w:r>
                    <w:rPr>
                      <w:szCs w:val="24"/>
                    </w:rPr>
                    <w:t xml:space="preserve"> =</w:t>
                  </w:r>
                  <w:r>
                    <w:rPr>
                      <w:position w:val="-28"/>
                      <w:szCs w:val="24"/>
                      <w:lang w:val="en-US"/>
                    </w:rPr>
                    <w:object w:dxaOrig="465" w:dyaOrig="540">
                      <v:shape id="_x0000_i1040" type="#_x0000_t75" style="width:23.15pt;height:26.9pt" o:ole="">
                        <v:imagedata r:id="rId55" o:title=""/>
                      </v:shape>
                      <o:OLEObject Type="Embed" ProgID="Equation.3" ShapeID="_x0000_i1040" DrawAspect="Content" ObjectID="_0000000001" r:id="rId56"/>
                    </w:object>
                  </w:r>
                  <w:r>
                    <w:rPr>
                      <w:i/>
                      <w:szCs w:val="24"/>
                    </w:rPr>
                    <w:t>T</w:t>
                  </w:r>
                  <w:r>
                    <w:rPr>
                      <w:i/>
                      <w:szCs w:val="24"/>
                      <w:vertAlign w:val="subscript"/>
                    </w:rPr>
                    <w:t>DRG /</w:t>
                  </w:r>
                  <w:r>
                    <w:rPr>
                      <w:position w:val="-28"/>
                      <w:szCs w:val="24"/>
                      <w:lang w:val="en-US"/>
                    </w:rPr>
                    <w:object w:dxaOrig="465" w:dyaOrig="540">
                      <v:shape id="_x0000_i1041" type="#_x0000_t75" style="width:23.15pt;height:26.9pt" o:ole="">
                        <v:imagedata r:id="rId57" o:title=""/>
                      </v:shape>
                      <o:OLEObject Type="Embed" ProgID="Equation.3" ShapeID="_x0000_i1041" DrawAspect="Content" ObjectID="_0000000001" r:id="rId58"/>
                    </w:object>
                  </w:r>
                  <w:r>
                    <w:rPr>
                      <w:szCs w:val="24"/>
                    </w:rPr>
                    <w:t>1</w:t>
                  </w:r>
                  <w:r>
                    <w:rPr>
                      <w:i/>
                      <w:szCs w:val="24"/>
                      <w:vertAlign w:val="subscript"/>
                    </w:rPr>
                    <w:t>DRG</w:t>
                  </w:r>
                  <w:r>
                    <w:rPr>
                      <w:szCs w:val="24"/>
                    </w:rPr>
                    <w:t>,</w:t>
                  </w:r>
                </w:sdtContent>
              </w:sdt>
            </w:p>
            <w:p>
              <w:pPr>
                <w:tabs>
                  <w:tab w:val="left" w:pos="0"/>
                  <w:tab w:val="left" w:pos="851"/>
                  <w:tab w:val="left" w:pos="993"/>
                </w:tabs>
                <w:jc w:val="center"/>
                <w:rPr>
                  <w:szCs w:val="24"/>
                </w:rPr>
              </w:pPr>
            </w:p>
            <w:p>
              <w:pPr>
                <w:tabs>
                  <w:tab w:val="left" w:pos="993"/>
                </w:tabs>
                <w:ind w:firstLine="567"/>
                <w:jc w:val="both"/>
                <w:rPr>
                  <w:szCs w:val="24"/>
                  <w:lang w:eastAsia="lt-LT"/>
                </w:rPr>
              </w:pPr>
              <w:r>
                <w:rPr>
                  <w:szCs w:val="24"/>
                  <w:lang w:eastAsia="lt-LT"/>
                </w:rPr>
                <w:t>kai:</w:t>
              </w:r>
            </w:p>
            <w:p>
              <w:pPr>
                <w:tabs>
                  <w:tab w:val="left" w:pos="993"/>
                </w:tabs>
                <w:ind w:firstLine="567"/>
                <w:jc w:val="both"/>
                <w:rPr>
                  <w:szCs w:val="24"/>
                  <w:lang w:eastAsia="lt-LT"/>
                </w:rPr>
              </w:pPr>
              <w:r>
                <w:rPr>
                  <w:i/>
                  <w:szCs w:val="24"/>
                  <w:lang w:eastAsia="lt-LT"/>
                </w:rPr>
                <w:t xml:space="preserve">TVID </w:t>
              </w:r>
              <w:r>
                <w:rPr>
                  <w:szCs w:val="24"/>
                  <w:lang w:eastAsia="lt-LT"/>
                </w:rPr>
                <w:t>– vidutinė gydymo trukmė (lovadieniais),</w:t>
              </w:r>
            </w:p>
            <w:p>
              <w:pPr>
                <w:ind w:firstLine="567"/>
                <w:jc w:val="both"/>
                <w:rPr>
                  <w:szCs w:val="24"/>
                  <w:lang w:eastAsia="lt-LT"/>
                </w:rPr>
              </w:pPr>
              <w:r>
                <w:rPr>
                  <w:i/>
                  <w:szCs w:val="24"/>
                  <w:lang w:eastAsia="lt-LT"/>
                </w:rPr>
                <w:t xml:space="preserve">A </w:t>
              </w:r>
              <w:r>
                <w:rPr>
                  <w:szCs w:val="24"/>
                  <w:lang w:eastAsia="lt-LT"/>
                </w:rPr>
                <w:t>– aktyviojo gydymo atvejis,</w:t>
              </w:r>
            </w:p>
            <w:p>
              <w:pPr>
                <w:ind w:firstLine="567"/>
                <w:jc w:val="both"/>
                <w:rPr>
                  <w:szCs w:val="24"/>
                  <w:lang w:eastAsia="lt-LT"/>
                </w:rPr>
              </w:pPr>
              <w:r>
                <w:rPr>
                  <w:i/>
                  <w:szCs w:val="24"/>
                  <w:lang w:eastAsia="lt-LT"/>
                </w:rPr>
                <w:t>DRG</w:t>
              </w:r>
              <w:r>
                <w:rPr>
                  <w:szCs w:val="24"/>
                  <w:lang w:eastAsia="lt-LT"/>
                </w:rPr>
                <w:t xml:space="preserve"> – giminingų diagnozių grupė,</w:t>
              </w:r>
            </w:p>
            <w:p>
              <w:pPr>
                <w:ind w:firstLine="567"/>
                <w:jc w:val="both"/>
                <w:rPr>
                  <w:szCs w:val="24"/>
                  <w:lang w:eastAsia="lt-LT"/>
                </w:rPr>
              </w:pPr>
              <w:r>
                <w:rPr>
                  <w:i/>
                  <w:szCs w:val="24"/>
                  <w:lang w:eastAsia="lt-LT"/>
                </w:rPr>
                <w:t xml:space="preserve">T </w:t>
              </w:r>
              <w:r>
                <w:rPr>
                  <w:szCs w:val="24"/>
                  <w:lang w:eastAsia="lt-LT"/>
                </w:rPr>
                <w:t>– faktinė gydymo trukmė (lovadieniais);</w:t>
              </w:r>
            </w:p>
            <w:sdt>
              <w:sdtPr>
                <w:alias w:val="2 pr. 1.3 pp."/>
                <w:tag w:val="part_24b7c2a435f14a19bb8a6983056a6716"/>
                <w:lock w:val="sdtLocked"/>
                <w:richText/>
              </w:sdtPr>
              <w:sdtContent>
                <w:p>
                  <w:pPr>
                    <w:tabs>
                      <w:tab w:val="left" w:pos="0"/>
                      <w:tab w:val="left" w:pos="851"/>
                      <w:tab w:val="left" w:pos="993"/>
                    </w:tabs>
                    <w:ind w:firstLine="567"/>
                    <w:jc w:val="both"/>
                    <w:rPr>
                      <w:szCs w:val="24"/>
                    </w:rPr>
                  </w:pPr>
                  <w:sdt>
                    <w:sdtPr>
                      <w:alias w:val="Numeris"/>
                      <w:tag w:val="nr_24b7c2a435f14a19bb8a6983056a6716"/>
                      <w:lock w:val="sdtLocked"/>
                      <w:richText/>
                    </w:sdtPr>
                    <w:sdtContent>
                      <w:r>
                        <w:rPr>
                          <w:szCs w:val="24"/>
                        </w:rPr>
                        <w:t>1.3</w:t>
                      </w:r>
                    </w:sdtContent>
                  </w:sdt>
                  <w:r>
                    <w:rPr>
                      <w:szCs w:val="24"/>
                    </w:rPr>
                    <w:t>. jei giminingų diagnozių grupei priskiriamas požymis „dienos paslauga“:</w:t>
                  </w:r>
                </w:p>
                <w:p>
                  <w:pPr>
                    <w:tabs>
                      <w:tab w:val="left" w:pos="0"/>
                      <w:tab w:val="left" w:pos="851"/>
                      <w:tab w:val="left" w:pos="993"/>
                    </w:tabs>
                    <w:ind w:firstLine="567"/>
                    <w:jc w:val="both"/>
                    <w:rPr>
                      <w:szCs w:val="24"/>
                    </w:rPr>
                  </w:pPr>
                </w:p>
              </w:sdtContent>
            </w:sdt>
          </w:sdtContent>
        </w:sdt>
        <w:sdt>
          <w:sdtPr>
            <w:alias w:val="skirsnis"/>
            <w:tag w:val="part_f84f46871f0d427391b11e1d3371ba09"/>
            <w:lock w:val="sdtLocked"/>
            <w:richText/>
          </w:sdtPr>
          <w:sdtContent>
            <w:p>
              <w:pPr>
                <w:tabs>
                  <w:tab w:val="left" w:pos="0"/>
                  <w:tab w:val="left" w:pos="851"/>
                  <w:tab w:val="left" w:pos="993"/>
                </w:tabs>
                <w:jc w:val="center"/>
              </w:pPr>
              <w:sdt>
                <w:sdtPr>
                  <w:alias w:val="Pavadinimas"/>
                  <w:tag w:val="title_f84f46871f0d427391b11e1d3371ba09"/>
                  <w:lock w:val="sdtLocked"/>
                  <w:richText/>
                </w:sdtPr>
                <w:sdtContent>
                  <w:r>
                    <w:rPr>
                      <w:i/>
                      <w:szCs w:val="24"/>
                    </w:rPr>
                    <w:t>TVID</w:t>
                  </w:r>
                  <w:r>
                    <w:rPr>
                      <w:i/>
                      <w:szCs w:val="24"/>
                      <w:vertAlign w:val="subscript"/>
                    </w:rPr>
                    <w:t>DRG</w:t>
                  </w:r>
                  <w:r>
                    <w:rPr>
                      <w:szCs w:val="24"/>
                    </w:rPr>
                    <w:t xml:space="preserve"> = 1,</w:t>
                  </w:r>
                </w:sdtContent>
              </w:sdt>
            </w:p>
            <w:p>
              <w:pPr>
                <w:tabs>
                  <w:tab w:val="left" w:pos="0"/>
                  <w:tab w:val="left" w:pos="851"/>
                  <w:tab w:val="left" w:pos="993"/>
                </w:tabs>
                <w:jc w:val="center"/>
                <w:rPr>
                  <w:szCs w:val="24"/>
                </w:rPr>
              </w:pPr>
            </w:p>
            <w:p>
              <w:pPr>
                <w:tabs>
                  <w:tab w:val="left" w:pos="993"/>
                </w:tabs>
                <w:ind w:firstLine="567"/>
                <w:jc w:val="both"/>
                <w:rPr>
                  <w:szCs w:val="24"/>
                  <w:lang w:eastAsia="lt-LT"/>
                </w:rPr>
              </w:pPr>
              <w:r>
                <w:rPr>
                  <w:szCs w:val="24"/>
                  <w:lang w:eastAsia="lt-LT"/>
                </w:rPr>
                <w:t>kai:</w:t>
              </w:r>
            </w:p>
            <w:p>
              <w:pPr>
                <w:ind w:firstLine="567"/>
                <w:jc w:val="both"/>
                <w:rPr>
                  <w:szCs w:val="24"/>
                  <w:lang w:eastAsia="lt-LT"/>
                </w:rPr>
              </w:pPr>
              <w:r>
                <w:rPr>
                  <w:i/>
                  <w:szCs w:val="24"/>
                  <w:lang w:eastAsia="lt-LT"/>
                </w:rPr>
                <w:t xml:space="preserve">TVID </w:t>
              </w:r>
              <w:r>
                <w:rPr>
                  <w:szCs w:val="24"/>
                  <w:lang w:eastAsia="lt-LT"/>
                </w:rPr>
                <w:t>– vidutinė gydymo trukmė (lovadieniais),</w:t>
              </w:r>
            </w:p>
            <w:p>
              <w:pPr>
                <w:ind w:firstLine="567"/>
                <w:jc w:val="both"/>
                <w:rPr>
                  <w:i/>
                  <w:szCs w:val="24"/>
                  <w:lang w:eastAsia="lt-LT"/>
                </w:rPr>
              </w:pPr>
              <w:r>
                <w:rPr>
                  <w:i/>
                  <w:szCs w:val="24"/>
                  <w:lang w:eastAsia="lt-LT"/>
                </w:rPr>
                <w:t xml:space="preserve">DRG – </w:t>
              </w:r>
              <w:r>
                <w:rPr>
                  <w:szCs w:val="24"/>
                  <w:lang w:eastAsia="lt-LT"/>
                </w:rPr>
                <w:t>giminingų diagnozių grupė.</w:t>
              </w:r>
            </w:p>
            <w:p>
              <w:pPr>
                <w:ind w:firstLine="567"/>
                <w:jc w:val="both"/>
                <w:rPr>
                  <w:szCs w:val="24"/>
                  <w:lang w:eastAsia="lt-LT"/>
                </w:rPr>
              </w:pPr>
            </w:p>
            <w:sdt>
              <w:sdtPr>
                <w:alias w:val="2 pr. 2 p."/>
                <w:tag w:val="part_e3c9391ec42148b8b3b55272275ad877"/>
                <w:lock w:val="sdtLocked"/>
                <w:richText/>
              </w:sdtPr>
              <w:sdtContent>
                <w:p>
                  <w:pPr>
                    <w:tabs>
                      <w:tab w:val="left" w:pos="0"/>
                      <w:tab w:val="left" w:pos="851"/>
                      <w:tab w:val="left" w:pos="993"/>
                    </w:tabs>
                    <w:ind w:firstLine="567"/>
                    <w:jc w:val="both"/>
                    <w:rPr>
                      <w:szCs w:val="24"/>
                    </w:rPr>
                  </w:pPr>
                  <w:sdt>
                    <w:sdtPr>
                      <w:alias w:val="Numeris"/>
                      <w:tag w:val="nr_e3c9391ec42148b8b3b55272275ad877"/>
                      <w:lock w:val="sdtLocked"/>
                      <w:richText/>
                    </w:sdtPr>
                    <w:sdtContent>
                      <w:r>
                        <w:rPr>
                          <w:szCs w:val="24"/>
                        </w:rPr>
                        <w:t>2</w:t>
                      </w:r>
                    </w:sdtContent>
                  </w:sdt>
                  <w:r>
                    <w:rPr>
                      <w:szCs w:val="24"/>
                    </w:rPr>
                    <w:t>. Minimali gydymo trukmė lovadieniais apskaičiuojama taip (rezultatą apvalinant iki artimiausio didžiausio sveikojo skaičiaus):</w:t>
                  </w:r>
                </w:p>
                <w:sdt>
                  <w:sdtPr>
                    <w:alias w:val="2 pr. 2.1 pp."/>
                    <w:tag w:val="part_a21620daf99241b2be923f0964cf9dfb"/>
                    <w:lock w:val="sdtLocked"/>
                    <w:richText/>
                  </w:sdtPr>
                  <w:sdtContent>
                    <w:p>
                      <w:pPr>
                        <w:tabs>
                          <w:tab w:val="left" w:pos="0"/>
                          <w:tab w:val="left" w:pos="851"/>
                        </w:tabs>
                        <w:ind w:firstLine="567"/>
                        <w:jc w:val="both"/>
                        <w:rPr>
                          <w:szCs w:val="24"/>
                        </w:rPr>
                      </w:pPr>
                      <w:sdt>
                        <w:sdtPr>
                          <w:alias w:val="Numeris"/>
                          <w:tag w:val="nr_a21620daf99241b2be923f0964cf9dfb"/>
                          <w:lock w:val="sdtLocked"/>
                          <w:richText/>
                        </w:sdtPr>
                        <w:sdtContent>
                          <w:r>
                            <w:rPr>
                              <w:szCs w:val="24"/>
                            </w:rPr>
                            <w:t>2.1</w:t>
                          </w:r>
                        </w:sdtContent>
                      </w:sdt>
                      <w:r>
                        <w:rPr>
                          <w:szCs w:val="24"/>
                        </w:rPr>
                        <w:t>. visais atvejais, išskyrus šio priedo 2.2 punkte nurodytą atvejį:</w:t>
                      </w:r>
                    </w:p>
                    <w:p>
                      <w:pPr>
                        <w:tabs>
                          <w:tab w:val="left" w:pos="0"/>
                          <w:tab w:val="left" w:pos="851"/>
                        </w:tabs>
                        <w:ind w:firstLine="567"/>
                        <w:jc w:val="both"/>
                        <w:rPr>
                          <w:szCs w:val="24"/>
                        </w:rPr>
                      </w:pPr>
                    </w:p>
                  </w:sdtContent>
                </w:sdt>
              </w:sdtContent>
            </w:sdt>
          </w:sdtContent>
        </w:sdt>
        <w:sdt>
          <w:sdtPr>
            <w:alias w:val="skirsnis"/>
            <w:tag w:val="part_61c5e63057e9408280aabd405f549ea8"/>
            <w:lock w:val="sdtLocked"/>
            <w:richText/>
          </w:sdtPr>
          <w:sdtContent>
            <w:p>
              <w:pPr>
                <w:tabs>
                  <w:tab w:val="left" w:pos="0"/>
                  <w:tab w:val="left" w:pos="851"/>
                </w:tabs>
                <w:jc w:val="center"/>
              </w:pPr>
              <w:sdt>
                <w:sdtPr>
                  <w:alias w:val="Pavadinimas"/>
                  <w:tag w:val="title_61c5e63057e9408280aabd405f549ea8"/>
                  <w:lock w:val="sdtLocked"/>
                  <w:richText/>
                </w:sdtPr>
                <w:sdtContent>
                  <w:r>
                    <w:rPr>
                      <w:i/>
                      <w:szCs w:val="24"/>
                    </w:rPr>
                    <w:t>TMIN</w:t>
                  </w:r>
                  <w:r>
                    <w:rPr>
                      <w:i/>
                      <w:szCs w:val="24"/>
                      <w:vertAlign w:val="subscript"/>
                    </w:rPr>
                    <w:t xml:space="preserve">DRG </w:t>
                  </w:r>
                  <w:r>
                    <w:rPr>
                      <w:szCs w:val="24"/>
                    </w:rPr>
                    <w:t xml:space="preserve">= </w:t>
                  </w:r>
                  <w:r>
                    <w:rPr>
                      <w:i/>
                      <w:szCs w:val="24"/>
                    </w:rPr>
                    <w:t>TVID</w:t>
                  </w:r>
                  <w:r>
                    <w:rPr>
                      <w:i/>
                      <w:szCs w:val="24"/>
                      <w:vertAlign w:val="subscript"/>
                    </w:rPr>
                    <w:t xml:space="preserve">DRG / </w:t>
                  </w:r>
                  <w:r>
                    <w:rPr>
                      <w:szCs w:val="24"/>
                    </w:rPr>
                    <w:t>3,</w:t>
                  </w:r>
                </w:sdtContent>
              </w:sdt>
            </w:p>
            <w:p>
              <w:pPr>
                <w:tabs>
                  <w:tab w:val="left" w:pos="0"/>
                  <w:tab w:val="left" w:pos="851"/>
                </w:tabs>
                <w:jc w:val="center"/>
                <w:rPr>
                  <w:szCs w:val="24"/>
                </w:rPr>
              </w:pPr>
            </w:p>
            <w:p>
              <w:pPr>
                <w:tabs>
                  <w:tab w:val="left" w:pos="993"/>
                </w:tabs>
                <w:ind w:firstLine="567"/>
                <w:jc w:val="both"/>
                <w:rPr>
                  <w:szCs w:val="24"/>
                  <w:lang w:eastAsia="lt-LT"/>
                </w:rPr>
              </w:pPr>
              <w:r>
                <w:rPr>
                  <w:szCs w:val="24"/>
                  <w:lang w:eastAsia="lt-LT"/>
                </w:rPr>
                <w:t>kai:</w:t>
              </w:r>
            </w:p>
            <w:p>
              <w:pPr>
                <w:tabs>
                  <w:tab w:val="left" w:pos="993"/>
                </w:tabs>
                <w:ind w:firstLine="567"/>
                <w:jc w:val="both"/>
                <w:rPr>
                  <w:szCs w:val="24"/>
                  <w:lang w:eastAsia="lt-LT"/>
                </w:rPr>
              </w:pPr>
              <w:r>
                <w:rPr>
                  <w:i/>
                  <w:szCs w:val="24"/>
                  <w:lang w:eastAsia="lt-LT"/>
                </w:rPr>
                <w:t xml:space="preserve">TMIN </w:t>
              </w:r>
              <w:r>
                <w:rPr>
                  <w:szCs w:val="24"/>
                  <w:lang w:eastAsia="lt-LT"/>
                </w:rPr>
                <w:t>– minimali gydymo trukmė lovadieniais,</w:t>
              </w:r>
            </w:p>
            <w:p>
              <w:pPr>
                <w:ind w:firstLine="567"/>
                <w:jc w:val="both"/>
                <w:rPr>
                  <w:szCs w:val="24"/>
                  <w:lang w:eastAsia="lt-LT"/>
                </w:rPr>
              </w:pPr>
              <w:r>
                <w:rPr>
                  <w:i/>
                  <w:szCs w:val="24"/>
                  <w:lang w:eastAsia="lt-LT"/>
                </w:rPr>
                <w:t>DRG</w:t>
              </w:r>
              <w:r>
                <w:rPr>
                  <w:szCs w:val="24"/>
                  <w:lang w:eastAsia="lt-LT"/>
                </w:rPr>
                <w:t xml:space="preserve"> – giminingų diagnozių grupė,</w:t>
              </w:r>
            </w:p>
            <w:p>
              <w:pPr>
                <w:ind w:firstLine="567"/>
                <w:jc w:val="both"/>
                <w:rPr>
                  <w:szCs w:val="24"/>
                  <w:lang w:eastAsia="lt-LT"/>
                </w:rPr>
              </w:pPr>
              <w:r>
                <w:rPr>
                  <w:i/>
                  <w:szCs w:val="24"/>
                  <w:lang w:eastAsia="lt-LT"/>
                </w:rPr>
                <w:t xml:space="preserve">TVID </w:t>
              </w:r>
              <w:r>
                <w:rPr>
                  <w:szCs w:val="24"/>
                  <w:lang w:eastAsia="lt-LT"/>
                </w:rPr>
                <w:t>– vidutinė gydymo trukmė (lovadieniais);</w:t>
              </w:r>
            </w:p>
            <w:sdt>
              <w:sdtPr>
                <w:alias w:val="2 pr. 2.2 pp."/>
                <w:tag w:val="part_cb00187510814d82b28dd4abbf0cb5d1"/>
                <w:lock w:val="sdtLocked"/>
                <w:richText/>
              </w:sdtPr>
              <w:sdtContent>
                <w:p>
                  <w:pPr>
                    <w:tabs>
                      <w:tab w:val="left" w:pos="0"/>
                      <w:tab w:val="left" w:pos="851"/>
                    </w:tabs>
                    <w:ind w:firstLine="567"/>
                    <w:jc w:val="both"/>
                    <w:rPr>
                      <w:szCs w:val="24"/>
                    </w:rPr>
                  </w:pPr>
                  <w:sdt>
                    <w:sdtPr>
                      <w:alias w:val="Numeris"/>
                      <w:tag w:val="nr_cb00187510814d82b28dd4abbf0cb5d1"/>
                      <w:lock w:val="sdtLocked"/>
                      <w:richText/>
                    </w:sdtPr>
                    <w:sdtContent>
                      <w:r>
                        <w:rPr>
                          <w:szCs w:val="24"/>
                        </w:rPr>
                        <w:t>2.2</w:t>
                      </w:r>
                    </w:sdtContent>
                  </w:sdt>
                  <w:r>
                    <w:rPr>
                      <w:szCs w:val="24"/>
                    </w:rPr>
                    <w:t>. jei vidutinė gydymo trukmė, padalyta iš 3, yra mažesnė nei 1:</w:t>
                  </w:r>
                </w:p>
                <w:p>
                  <w:pPr>
                    <w:tabs>
                      <w:tab w:val="left" w:pos="0"/>
                      <w:tab w:val="left" w:pos="851"/>
                    </w:tabs>
                    <w:ind w:firstLine="567"/>
                    <w:jc w:val="both"/>
                    <w:rPr>
                      <w:szCs w:val="24"/>
                    </w:rPr>
                  </w:pPr>
                </w:p>
              </w:sdtContent>
            </w:sdt>
          </w:sdtContent>
        </w:sdt>
        <w:sdt>
          <w:sdtPr>
            <w:alias w:val="skirsnis"/>
            <w:tag w:val="part_ac1755731cf942d5ae9251bebf8df66b"/>
            <w:lock w:val="sdtLocked"/>
            <w:richText/>
          </w:sdtPr>
          <w:sdtContent>
            <w:p>
              <w:pPr>
                <w:tabs>
                  <w:tab w:val="left" w:pos="0"/>
                  <w:tab w:val="left" w:pos="851"/>
                </w:tabs>
                <w:jc w:val="center"/>
              </w:pPr>
              <w:sdt>
                <w:sdtPr>
                  <w:alias w:val="Pavadinimas"/>
                  <w:tag w:val="title_ac1755731cf942d5ae9251bebf8df66b"/>
                  <w:lock w:val="sdtLocked"/>
                  <w:richText/>
                </w:sdtPr>
                <w:sdtContent>
                  <w:r>
                    <w:rPr>
                      <w:i/>
                      <w:szCs w:val="24"/>
                    </w:rPr>
                    <w:t>TMIN</w:t>
                  </w:r>
                  <w:r>
                    <w:rPr>
                      <w:i/>
                      <w:szCs w:val="24"/>
                      <w:vertAlign w:val="subscript"/>
                    </w:rPr>
                    <w:t xml:space="preserve">DRG </w:t>
                  </w:r>
                  <w:r>
                    <w:rPr>
                      <w:szCs w:val="24"/>
                    </w:rPr>
                    <w:t>= 1,</w:t>
                  </w:r>
                </w:sdtContent>
              </w:sdt>
            </w:p>
            <w:p>
              <w:pPr>
                <w:tabs>
                  <w:tab w:val="left" w:pos="0"/>
                  <w:tab w:val="left" w:pos="851"/>
                </w:tabs>
                <w:jc w:val="center"/>
                <w:rPr>
                  <w:szCs w:val="24"/>
                </w:rPr>
              </w:pPr>
            </w:p>
            <w:p>
              <w:pPr>
                <w:ind w:firstLine="567"/>
                <w:jc w:val="both"/>
                <w:rPr>
                  <w:szCs w:val="24"/>
                  <w:lang w:eastAsia="lt-LT"/>
                </w:rPr>
              </w:pPr>
              <w:r>
                <w:rPr>
                  <w:szCs w:val="24"/>
                  <w:lang w:eastAsia="lt-LT"/>
                </w:rPr>
                <w:t>kai:</w:t>
              </w:r>
            </w:p>
            <w:p>
              <w:pPr>
                <w:ind w:firstLine="567"/>
                <w:jc w:val="both"/>
                <w:rPr>
                  <w:szCs w:val="24"/>
                  <w:lang w:eastAsia="lt-LT"/>
                </w:rPr>
              </w:pPr>
              <w:r>
                <w:rPr>
                  <w:i/>
                  <w:szCs w:val="24"/>
                  <w:lang w:eastAsia="lt-LT"/>
                </w:rPr>
                <w:t xml:space="preserve">TMIN </w:t>
              </w:r>
              <w:r>
                <w:rPr>
                  <w:szCs w:val="24"/>
                  <w:lang w:eastAsia="lt-LT"/>
                </w:rPr>
                <w:t>– minimali gydymo trukmė lovadieniais,</w:t>
              </w:r>
            </w:p>
            <w:p>
              <w:pPr>
                <w:ind w:firstLine="567"/>
                <w:jc w:val="both"/>
                <w:rPr>
                  <w:szCs w:val="24"/>
                  <w:lang w:eastAsia="lt-LT"/>
                </w:rPr>
              </w:pPr>
              <w:r>
                <w:rPr>
                  <w:i/>
                  <w:szCs w:val="24"/>
                  <w:lang w:eastAsia="lt-LT"/>
                </w:rPr>
                <w:t>DRG</w:t>
              </w:r>
              <w:r>
                <w:rPr>
                  <w:szCs w:val="24"/>
                  <w:lang w:eastAsia="lt-LT"/>
                </w:rPr>
                <w:t xml:space="preserve"> – giminingų diagnozių grupė.</w:t>
              </w:r>
            </w:p>
            <w:p>
              <w:pPr>
                <w:tabs>
                  <w:tab w:val="left" w:pos="0"/>
                  <w:tab w:val="left" w:pos="851"/>
                </w:tabs>
                <w:ind w:firstLine="567"/>
                <w:jc w:val="both"/>
                <w:rPr>
                  <w:szCs w:val="24"/>
                </w:rPr>
              </w:pPr>
            </w:p>
            <w:sdt>
              <w:sdtPr>
                <w:alias w:val="2 pr. 3 p."/>
                <w:tag w:val="part_eb4f5c00d8d14f768ef514aef6eaf238"/>
                <w:lock w:val="sdtLocked"/>
                <w:richText/>
              </w:sdtPr>
              <w:sdtContent>
                <w:p>
                  <w:pPr>
                    <w:tabs>
                      <w:tab w:val="left" w:pos="0"/>
                      <w:tab w:val="left" w:pos="851"/>
                      <w:tab w:val="left" w:pos="993"/>
                      <w:tab w:val="left" w:pos="1134"/>
                    </w:tabs>
                    <w:ind w:firstLine="567"/>
                    <w:jc w:val="both"/>
                    <w:rPr>
                      <w:szCs w:val="24"/>
                    </w:rPr>
                  </w:pPr>
                  <w:sdt>
                    <w:sdtPr>
                      <w:alias w:val="Numeris"/>
                      <w:tag w:val="nr_eb4f5c00d8d14f768ef514aef6eaf238"/>
                      <w:lock w:val="sdtLocked"/>
                      <w:richText/>
                    </w:sdtPr>
                    <w:sdtContent>
                      <w:r>
                        <w:rPr>
                          <w:szCs w:val="24"/>
                        </w:rPr>
                        <w:t>3</w:t>
                      </w:r>
                    </w:sdtContent>
                  </w:sdt>
                  <w:r>
                    <w:rPr>
                      <w:szCs w:val="24"/>
                    </w:rPr>
                    <w:t>. Maksimali gydymo trukmė lovadieniais apskaičiuojama taip (rezultatą apvalinant iki artimiausio mažiausio sveikojo skaičiaus):</w:t>
                  </w:r>
                </w:p>
                <w:p>
                  <w:pPr>
                    <w:tabs>
                      <w:tab w:val="left" w:pos="0"/>
                      <w:tab w:val="left" w:pos="851"/>
                      <w:tab w:val="left" w:pos="993"/>
                    </w:tabs>
                    <w:ind w:firstLine="567"/>
                    <w:jc w:val="both"/>
                    <w:rPr>
                      <w:szCs w:val="24"/>
                    </w:rPr>
                  </w:pPr>
                </w:p>
                <w:p>
                  <w:pPr>
                    <w:tabs>
                      <w:tab w:val="left" w:pos="0"/>
                      <w:tab w:val="left" w:pos="851"/>
                      <w:tab w:val="left" w:pos="993"/>
                    </w:tabs>
                    <w:jc w:val="center"/>
                    <w:rPr>
                      <w:szCs w:val="24"/>
                    </w:rPr>
                  </w:pPr>
                  <w:r>
                    <w:rPr>
                      <w:position w:val="-12"/>
                      <w:szCs w:val="24"/>
                    </w:rPr>
                    <w:object w:dxaOrig="2325" w:dyaOrig="360">
                      <v:shape id="_x0000_i1042" type="#_x0000_t75" style="width:116.45pt;height:18.8pt" o:ole="">
                        <v:imagedata r:id="rId59" o:title=""/>
                      </v:shape>
                      <o:OLEObject Type="Embed" ProgID="Equation.3" ShapeID="_x0000_i1042" DrawAspect="Content" ObjectID="_0000000001" r:id="rId60"/>
                    </w:object>
                  </w:r>
                  <w:r>
                    <w:rPr>
                      <w:szCs w:val="24"/>
                    </w:rPr>
                    <w:t>,</w:t>
                  </w:r>
                </w:p>
                <w:p>
                  <w:pPr>
                    <w:tabs>
                      <w:tab w:val="left" w:pos="0"/>
                      <w:tab w:val="left" w:pos="851"/>
                      <w:tab w:val="left" w:pos="993"/>
                    </w:tabs>
                    <w:jc w:val="center"/>
                    <w:rPr>
                      <w:szCs w:val="24"/>
                    </w:rPr>
                  </w:pPr>
                </w:p>
                <w:p>
                  <w:pPr>
                    <w:ind w:firstLine="567"/>
                    <w:jc w:val="both"/>
                    <w:rPr>
                      <w:szCs w:val="24"/>
                      <w:lang w:eastAsia="lt-LT"/>
                    </w:rPr>
                  </w:pPr>
                  <w:r>
                    <w:rPr>
                      <w:szCs w:val="24"/>
                      <w:lang w:eastAsia="lt-LT"/>
                    </w:rPr>
                    <w:t>kai:</w:t>
                  </w:r>
                </w:p>
                <w:p>
                  <w:pPr>
                    <w:tabs>
                      <w:tab w:val="left" w:pos="993"/>
                    </w:tabs>
                    <w:ind w:firstLine="567"/>
                    <w:jc w:val="both"/>
                    <w:rPr>
                      <w:szCs w:val="24"/>
                      <w:lang w:eastAsia="lt-LT"/>
                    </w:rPr>
                  </w:pPr>
                  <w:r>
                    <w:rPr>
                      <w:i/>
                      <w:szCs w:val="24"/>
                      <w:lang w:eastAsia="lt-LT"/>
                    </w:rPr>
                    <w:t>TMAX</w:t>
                  </w:r>
                  <w:r>
                    <w:rPr>
                      <w:szCs w:val="24"/>
                      <w:lang w:eastAsia="lt-LT"/>
                    </w:rPr>
                    <w:t xml:space="preserve"> – maksimali gydymo trukmė lovadieniais,</w:t>
                  </w:r>
                </w:p>
                <w:p>
                  <w:pPr>
                    <w:ind w:firstLine="567"/>
                    <w:jc w:val="both"/>
                    <w:rPr>
                      <w:szCs w:val="24"/>
                      <w:lang w:eastAsia="lt-LT"/>
                    </w:rPr>
                  </w:pPr>
                  <w:r>
                    <w:rPr>
                      <w:i/>
                      <w:szCs w:val="24"/>
                      <w:lang w:eastAsia="lt-LT"/>
                    </w:rPr>
                    <w:t xml:space="preserve">DRG – </w:t>
                  </w:r>
                  <w:r>
                    <w:rPr>
                      <w:szCs w:val="24"/>
                      <w:lang w:eastAsia="lt-LT"/>
                    </w:rPr>
                    <w:t>giminingų diagnozių grupė,</w:t>
                  </w:r>
                </w:p>
                <w:p>
                  <w:pPr>
                    <w:ind w:firstLine="567"/>
                    <w:jc w:val="both"/>
                    <w:rPr>
                      <w:szCs w:val="24"/>
                      <w:lang w:eastAsia="lt-LT"/>
                    </w:rPr>
                  </w:pPr>
                  <w:r>
                    <w:rPr>
                      <w:i/>
                      <w:szCs w:val="24"/>
                      <w:lang w:eastAsia="lt-LT"/>
                    </w:rPr>
                    <w:t xml:space="preserve">TVID </w:t>
                  </w:r>
                  <w:r>
                    <w:rPr>
                      <w:szCs w:val="24"/>
                      <w:lang w:eastAsia="lt-LT"/>
                    </w:rPr>
                    <w:t>– vidutinė gydymo trukmė (lovadieniais).</w:t>
                  </w:r>
                </w:p>
                <w:p>
                  <w:pPr>
                    <w:ind w:firstLine="567"/>
                    <w:jc w:val="both"/>
                    <w:rPr>
                      <w:szCs w:val="24"/>
                      <w:lang w:eastAsia="lt-LT"/>
                    </w:rPr>
                  </w:pPr>
                </w:p>
              </w:sdtContent>
            </w:sdt>
          </w:sdtContent>
        </w:sdt>
        <w:sdt>
          <w:sdtPr>
            <w:alias w:val="pabaiga"/>
            <w:tag w:val="part_54aa0c2f92c54b6cb9463a3177ac1dde"/>
            <w:lock w:val="sdtLocked"/>
            <w:richText/>
          </w:sdtPr>
          <w:sdtContent>
            <w:p>
              <w:pPr>
                <w:jc w:val="center"/>
                <w:rPr>
                  <w:szCs w:val="24"/>
                  <w:lang w:eastAsia="lt-LT"/>
                </w:rPr>
              </w:pPr>
              <w:r>
                <w:rPr>
                  <w:szCs w:val="24"/>
                  <w:lang w:eastAsia="lt-LT"/>
                </w:rPr>
                <w:t>_________________</w:t>
              </w:r>
            </w:p>
          </w:sdtContent>
        </w:sdt>
      </w:sdtContent>
    </w:sdt>
    <w:sdt>
      <w:sdtPr>
        <w:alias w:val="3 pr."/>
        <w:tag w:val="part_4e8f35dffc5d43e094c9c94b27d8fee8"/>
        <w:lock w:val="sdtLocked"/>
        <w:richText/>
      </w:sdtPr>
      <w:sdtContent>
        <w:p>
          <w:pPr>
            <w:ind w:left="4535"/>
            <w:sectPr>
              <w:pgSz w:w="11907" w:h="16840" w:code="9"/>
              <w:pgMar w:top="1134" w:right="1134" w:bottom="1134" w:left="1701" w:header="567" w:footer="284" w:gutter="0"/>
              <w:pgNumType w:start="1"/>
              <w:cols w:space="1296"/>
              <w:titlePg/>
              <w:docGrid w:linePitch="360"/>
            </w:sectPr>
          </w:pPr>
        </w:p>
        <w:p>
          <w:pPr>
            <w:ind w:left="4535"/>
            <w:rPr>
              <w:szCs w:val="24"/>
              <w:lang w:eastAsia="lt-LT"/>
            </w:rPr>
          </w:pPr>
          <w:r>
            <w:rPr>
              <w:szCs w:val="24"/>
              <w:lang w:eastAsia="lt-LT"/>
            </w:rPr>
            <w:t>Asmens sveikatos priežiūros paslaugų, kurių išlaidos apmokamos Privalomojo sveikatos draudimo fondo biudžeto lėšomis, bazinių kainų nustatymo metodikos</w:t>
          </w:r>
        </w:p>
        <w:p>
          <w:pPr>
            <w:ind w:left="4535"/>
            <w:rPr>
              <w:szCs w:val="24"/>
              <w:lang w:eastAsia="lt-LT"/>
            </w:rPr>
          </w:pPr>
          <w:sdt>
            <w:sdtPr>
              <w:alias w:val="Numeris"/>
              <w:tag w:val="nr_4e8f35dffc5d43e094c9c94b27d8fee8"/>
              <w:lock w:val="sdtLocked"/>
              <w:richText/>
            </w:sdtPr>
            <w:sdtContent>
              <w:r>
                <w:rPr>
                  <w:szCs w:val="24"/>
                  <w:lang w:eastAsia="lt-LT"/>
                </w:rPr>
                <w:t>3</w:t>
              </w:r>
            </w:sdtContent>
          </w:sdt>
          <w:r>
            <w:rPr>
              <w:szCs w:val="24"/>
              <w:lang w:eastAsia="lt-LT"/>
            </w:rPr>
            <w:t xml:space="preserve"> priedas</w:t>
          </w:r>
        </w:p>
        <w:p>
          <w:pPr>
            <w:jc w:val="center"/>
            <w:rPr>
              <w:szCs w:val="24"/>
              <w:lang w:eastAsia="lt-LT"/>
            </w:rPr>
          </w:pPr>
        </w:p>
        <w:p>
          <w:pPr>
            <w:keepNext/>
            <w:jc w:val="center"/>
            <w:rPr>
              <w:b/>
              <w:bCs/>
              <w:kern w:val="32"/>
              <w:szCs w:val="24"/>
              <w:lang w:eastAsia="lt-LT"/>
            </w:rPr>
          </w:pPr>
          <w:sdt>
            <w:sdtPr>
              <w:alias w:val="Pavadinimas"/>
              <w:tag w:val="title_4e8f35dffc5d43e094c9c94b27d8fee8"/>
              <w:lock w:val="sdtLocked"/>
              <w:richText/>
            </w:sdtPr>
            <w:sdtContent>
              <w:r>
                <w:rPr>
                  <w:b/>
                  <w:bCs/>
                  <w:kern w:val="32"/>
                  <w:szCs w:val="24"/>
                  <w:lang w:eastAsia="lt-LT"/>
                </w:rPr>
                <w:t xml:space="preserve">AKTYVIOJO GYDYMO ATVEJO KAINOS KOEFICIENTŲ </w:t>
              </w:r>
              <w:r>
                <w:rPr>
                  <w:b/>
                  <w:szCs w:val="24"/>
                  <w:lang w:eastAsia="lt-LT"/>
                </w:rPr>
                <w:t>APSKAIČIAVIMO TVARKA</w:t>
              </w:r>
            </w:sdtContent>
          </w:sdt>
        </w:p>
        <w:p>
          <w:pPr>
            <w:keepNext/>
            <w:ind w:firstLine="567"/>
            <w:jc w:val="both"/>
            <w:rPr>
              <w:szCs w:val="24"/>
              <w:lang w:eastAsia="lt-LT"/>
            </w:rPr>
          </w:pPr>
        </w:p>
        <w:sdt>
          <w:sdtPr>
            <w:alias w:val="3 pr. 1 p."/>
            <w:tag w:val="part_56d091bd61164e4caa280f22397d644a"/>
            <w:lock w:val="sdtLocked"/>
            <w:richText/>
          </w:sdtPr>
          <w:sdtContent>
            <w:p>
              <w:pPr>
                <w:widowControl w:val="0"/>
                <w:ind w:firstLine="567"/>
                <w:jc w:val="both"/>
                <w:rPr>
                  <w:szCs w:val="24"/>
                </w:rPr>
              </w:pPr>
              <w:sdt>
                <w:sdtPr>
                  <w:alias w:val="Numeris"/>
                  <w:tag w:val="nr_56d091bd61164e4caa280f22397d644a"/>
                  <w:lock w:val="sdtLocked"/>
                  <w:richText/>
                </w:sdtPr>
                <w:sdtContent>
                  <w:r>
                    <w:rPr>
                      <w:szCs w:val="24"/>
                      <w:lang w:eastAsia="lt-LT"/>
                    </w:rPr>
                    <w:t>1</w:t>
                  </w:r>
                </w:sdtContent>
              </w:sdt>
              <w:r>
                <w:rPr>
                  <w:szCs w:val="24"/>
                  <w:lang w:eastAsia="lt-LT"/>
                </w:rPr>
                <w:t>. Skaičiuojant aktyviojo gydymo atvejo kainos koeficientus, iš aktyviojo gydymo paslaugas teikiančių ASPĮ veiklos sąnaudų eliminuojamos ataskaitinio laikotarpio centralizuotai apmokamų vaistinių preparatų ir medicinos pagalbos priemonių, kuriomis aprūpinamos šios ASPĮ, sąnaudos, lėšos darbo užmokesčiui padidinti (ir su jomis susijusios išlaidos, pvz., padidėjusiems darbuotojų atostoginiams mokėti), skirtos pagal Lietuvos Respublikos žmonių užkrečiamųjų ligų profilaktikos ir kontrolės įstatymo 32</w:t>
              </w:r>
              <w:r>
                <w:rPr>
                  <w:szCs w:val="24"/>
                  <w:vertAlign w:val="superscript"/>
                  <w:lang w:eastAsia="lt-LT"/>
                </w:rPr>
                <w:t>1</w:t>
              </w:r>
              <w:r>
                <w:rPr>
                  <w:szCs w:val="24"/>
                  <w:lang w:eastAsia="lt-LT"/>
                </w:rPr>
                <w:t> straipsnio 1 dalies arba Asmens sveikatos priežiūros įstaigų išlaidų darbo užmokesčiui didinti dėl COVID-19 ligos (koronaviruso infekcijos) kompensavimo valstybės biudžeto lėšomis, esant paskelbtai valstybės lygio ekstremaliajai situacijai dėl COVID-19 plitimo grėsmės,</w:t>
              </w:r>
              <w:r>
                <w:rPr>
                  <w:sz w:val="26"/>
                  <w:szCs w:val="26"/>
                  <w:lang w:eastAsia="lt-LT"/>
                </w:rPr>
                <w:t xml:space="preserve"> </w:t>
              </w:r>
              <w:r>
                <w:rPr>
                  <w:szCs w:val="24"/>
                  <w:lang w:eastAsia="lt-LT"/>
                </w:rPr>
                <w:t>tvarkos aprašo, patvirtinto Lietuvos Respublikos sveikatos apsaugos ministro 2020 m. spalio 29 d. įsakymu Nr. V-2426 „</w:t>
              </w:r>
              <w:r>
                <w:rPr>
                  <w:color w:val="000000"/>
                  <w:szCs w:val="24"/>
                  <w:lang w:eastAsia="lt-LT"/>
                </w:rPr>
                <w:t>Dėl asmens sveikatos priežiūros įstaigų išlaidų darbo užmokesčiui didinti dėl Covid-19 ligos (koronaviruso infekcijos) kompensavimo valstybės biudžeto lėšomis, esant paskelbtai valstybės lygio ekstremaliajai situacijai dėl Covid-19 plitimo grėsmės, tvarkos aprašo patvirtinimo</w:t>
              </w:r>
              <w:r>
                <w:rPr>
                  <w:szCs w:val="24"/>
                  <w:lang w:eastAsia="lt-LT"/>
                </w:rPr>
                <w:t>“, nuostatas, ir nustatomos bendrosios vidutinės aktyviojo gydymo atvejo ar lovadienio sąnaudos, apimančios visas sąnaudų grupes, ir vidutinės aktyviojo gydymo atvejo ar lovadienio sąnaudos pagal kiekvieną sąnaudų grupę, patvirtintą Lietuvos Respublikos sveikatos apsaugos ministro 2011 m. rugpjūčio 12 d. įsakymu Nr. V-786 „Dėl Aktyviojo gydymo asmens sveikatos priežiūros paslaugų teikimo sąnaudų, apmokamų Privalomojo sveikatos draudimo fondo biudžeto lėšomis, priskyrimo sąnaudų grupėms pagal giminingų diagnozių grupių metodą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108480c4ba11ec8d9390588bf2de65">
                <w:r w:rsidRPr="00532B9F">
                  <w:rPr>
                    <w:rFonts w:ascii="Times New Roman" w:eastAsia="MS Mincho" w:hAnsi="Times New Roman"/>
                    <w:sz w:val="20"/>
                    <w:i/>
                    <w:iCs/>
                    <w:color w:val="0000FF" w:themeColor="hyperlink"/>
                    <w:u w:val="single"/>
                  </w:rPr>
                  <w:t>V-816</w:t>
                </w:r>
              </w:fldSimple>
              <w:r>
                <w:rPr>
                  <w:rFonts w:ascii="Times New Roman" w:eastAsia="MS Mincho" w:hAnsi="Times New Roman"/>
                  <w:sz w:val="20"/>
                  <w:i/>
                  <w:iCs/>
                </w:rPr>
                <w:t>,
2022-04-25,
paskelbta TAR 2022-04-25, i. k. 2022-08400            </w:t>
              </w:r>
            </w:p>
            <w:sdt>
              <w:sdtPr>
                <w:alias w:val="1.1 pp."/>
                <w:tag w:val="part_4cbb746767da4e5ca03d1dae14a64ee0"/>
                <w:lock w:val="sdtLocked"/>
                <w:richText/>
              </w:sdtPr>
              <w:sdtContent>
                <w:p>
                  <w:pPr>
                    <w:widowControl w:val="0"/>
                    <w:ind w:firstLine="567"/>
                    <w:jc w:val="both"/>
                    <w:rPr>
                      <w:szCs w:val="24"/>
                    </w:rPr>
                  </w:pPr>
                  <w:sdt>
                    <w:sdtPr>
                      <w:alias w:val="Numeris"/>
                      <w:tag w:val="nr_4cbb746767da4e5ca03d1dae14a64ee0"/>
                      <w:lock w:val="sdtLocked"/>
                      <w:richText/>
                    </w:sdtPr>
                    <w:sdtContent>
                      <w:r>
                        <w:rPr>
                          <w:szCs w:val="24"/>
                        </w:rPr>
                        <w:t>1.1</w:t>
                      </w:r>
                    </w:sdtContent>
                  </w:sdt>
                  <w:r>
                    <w:rPr>
                      <w:szCs w:val="24"/>
                    </w:rPr>
                    <w:t>. vidutinės aktyviojo gydymo atvejo ar lovadienio sąnaudos pagal kiekvieną sąnaudų grupę apskaičiuojamos dalijant atitinkamai sąnaudų grupei priskirtas sąnaudas iš aktyviojo gydymo atvejų ir lovadienių skaičiaus:</w:t>
                  </w:r>
                </w:p>
                <w:p>
                  <w:pPr>
                    <w:tabs>
                      <w:tab w:val="left" w:pos="851"/>
                    </w:tabs>
                    <w:ind w:firstLine="567"/>
                    <w:jc w:val="both"/>
                    <w:rPr>
                      <w:szCs w:val="24"/>
                    </w:rPr>
                  </w:pPr>
                </w:p>
                <w:p>
                  <w:pPr>
                    <w:tabs>
                      <w:tab w:val="left" w:pos="851"/>
                    </w:tabs>
                    <w:ind w:firstLine="567"/>
                    <w:jc w:val="center"/>
                    <w:rPr>
                      <w:szCs w:val="24"/>
                    </w:rPr>
                  </w:pPr>
                  <w:r>
                    <w:rPr>
                      <w:position w:val="-24"/>
                      <w:szCs w:val="24"/>
                      <w:lang w:eastAsia="lt-LT"/>
                    </w:rPr>
                    <w:drawing>
                      <wp:inline distT="0" distB="0" distL="0" distR="0">
                        <wp:extent cx="1295400" cy="390525"/>
                        <wp:effectExtent l="0" t="0" r="0" b="952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295400" cy="390525"/>
                                </a:xfrm>
                                <a:prstGeom prst="rect">
                                  <a:avLst/>
                                </a:prstGeom>
                                <a:noFill/>
                                <a:ln>
                                  <a:noFill/>
                                </a:ln>
                              </pic:spPr>
                            </pic:pic>
                          </a:graphicData>
                        </a:graphic>
                      </wp:inline>
                    </w:drawing>
                  </w:r>
                  <w:r>
                    <w:rPr>
                      <w:szCs w:val="24"/>
                    </w:rPr>
                    <w:t>,</w:t>
                  </w:r>
                </w:p>
                <w:p>
                  <w:pPr>
                    <w:tabs>
                      <w:tab w:val="left" w:pos="993"/>
                    </w:tabs>
                    <w:ind w:firstLine="567"/>
                    <w:jc w:val="both"/>
                    <w:rPr>
                      <w:szCs w:val="24"/>
                    </w:rPr>
                  </w:pPr>
                </w:p>
                <w:p>
                  <w:pPr>
                    <w:tabs>
                      <w:tab w:val="left" w:pos="1134"/>
                    </w:tabs>
                    <w:ind w:left="709" w:hanging="142"/>
                    <w:jc w:val="both"/>
                    <w:rPr>
                      <w:rFonts w:ascii="Calibri" w:eastAsia="Calibri" w:hAnsi="Calibri"/>
                      <w:sz w:val="22"/>
                      <w:szCs w:val="22"/>
                    </w:rPr>
                  </w:pPr>
                  <w:r>
                    <w:rPr>
                      <w:rFonts w:eastAsia="Calibri"/>
                      <w:szCs w:val="24"/>
                    </w:rPr>
                    <w:t>kai:</w:t>
                  </w:r>
                </w:p>
                <w:p>
                  <w:pPr>
                    <w:tabs>
                      <w:tab w:val="left" w:pos="993"/>
                    </w:tabs>
                    <w:ind w:firstLine="567"/>
                    <w:jc w:val="both"/>
                    <w:rPr>
                      <w:szCs w:val="24"/>
                    </w:rPr>
                  </w:pPr>
                  <w:r>
                    <w:rPr>
                      <w:i/>
                      <w:szCs w:val="24"/>
                    </w:rPr>
                    <w:t>AKAVID</w:t>
                  </w:r>
                  <w:r>
                    <w:rPr>
                      <w:szCs w:val="24"/>
                    </w:rPr>
                    <w:t xml:space="preserve"> – vidutinės aktyviojo gydymo atvejo ar lovadienio sąnaudos,</w:t>
                  </w:r>
                </w:p>
                <w:p>
                  <w:pPr>
                    <w:ind w:firstLine="567"/>
                    <w:jc w:val="both"/>
                    <w:rPr>
                      <w:szCs w:val="24"/>
                    </w:rPr>
                  </w:pPr>
                  <w:r>
                    <w:rPr>
                      <w:i/>
                      <w:szCs w:val="24"/>
                    </w:rPr>
                    <w:t>ALSK</w:t>
                  </w:r>
                  <w:r>
                    <w:rPr>
                      <w:szCs w:val="24"/>
                    </w:rPr>
                    <w:t xml:space="preserve"> – aktyviojo gydymo atvejų ir lovadienių skaičius,</w:t>
                  </w:r>
                </w:p>
                <w:p>
                  <w:pPr>
                    <w:ind w:firstLine="567"/>
                    <w:jc w:val="both"/>
                    <w:rPr>
                      <w:szCs w:val="24"/>
                    </w:rPr>
                  </w:pPr>
                  <w:r>
                    <w:rPr>
                      <w:i/>
                      <w:szCs w:val="24"/>
                    </w:rPr>
                    <w:t xml:space="preserve">SĄ </w:t>
                  </w:r>
                  <w:r>
                    <w:rPr>
                      <w:szCs w:val="24"/>
                    </w:rPr>
                    <w:t>– aktyviojo gydymo paslaugas teikiančių ASPĮ veiklos sąnaudos,</w:t>
                  </w:r>
                </w:p>
                <w:p>
                  <w:pPr>
                    <w:ind w:firstLine="567"/>
                    <w:jc w:val="both"/>
                    <w:rPr>
                      <w:szCs w:val="24"/>
                    </w:rPr>
                  </w:pPr>
                  <w:r>
                    <w:rPr>
                      <w:i/>
                      <w:szCs w:val="24"/>
                    </w:rPr>
                    <w:t xml:space="preserve">SG – </w:t>
                  </w:r>
                  <w:r>
                    <w:rPr>
                      <w:szCs w:val="24"/>
                    </w:rPr>
                    <w:t>sąnaudų grupė;</w:t>
                  </w:r>
                </w:p>
              </w:sdtContent>
            </w:sdt>
            <w:sdt>
              <w:sdtPr>
                <w:alias w:val="1.2 pp."/>
                <w:tag w:val="part_3e96f2765532454891c97b4278859f2a"/>
                <w:lock w:val="sdtLocked"/>
                <w:richText/>
              </w:sdtPr>
              <w:sdtContent>
                <w:p>
                  <w:pPr>
                    <w:widowControl w:val="0"/>
                    <w:ind w:firstLine="567"/>
                    <w:jc w:val="both"/>
                    <w:rPr>
                      <w:szCs w:val="24"/>
                    </w:rPr>
                  </w:pPr>
                  <w:sdt>
                    <w:sdtPr>
                      <w:alias w:val="Numeris"/>
                      <w:tag w:val="nr_3e96f2765532454891c97b4278859f2a"/>
                      <w:lock w:val="sdtLocked"/>
                      <w:richText/>
                    </w:sdtPr>
                    <w:sdtContent>
                      <w:r>
                        <w:rPr>
                          <w:szCs w:val="24"/>
                        </w:rPr>
                        <w:t>1.2</w:t>
                      </w:r>
                    </w:sdtContent>
                  </w:sdt>
                  <w:r>
                    <w:rPr>
                      <w:szCs w:val="24"/>
                    </w:rPr>
                    <w:t>. bendrosios vidutinės aktyviojo gydymo atvejo ir lovadienio sąnaudos, apimančios visas sąnaudų grupes, apskaičiuojamos visų sąnaudų grupių sąnaudas dalijant iš aktyviojo gydymo atvejų ir lovadienių skaičiaus:</w:t>
                  </w:r>
                </w:p>
                <w:p>
                  <w:pPr>
                    <w:ind w:firstLine="567"/>
                    <w:jc w:val="both"/>
                    <w:rPr>
                      <w:szCs w:val="24"/>
                    </w:rPr>
                  </w:pPr>
                </w:p>
                <w:p>
                  <w:pPr>
                    <w:tabs>
                      <w:tab w:val="left" w:pos="851"/>
                    </w:tabs>
                    <w:ind w:firstLine="567"/>
                    <w:jc w:val="center"/>
                    <w:rPr>
                      <w:szCs w:val="24"/>
                    </w:rPr>
                  </w:pPr>
                  <w:r>
                    <w:rPr>
                      <w:position w:val="-24"/>
                      <w:szCs w:val="24"/>
                      <w:lang w:eastAsia="lt-LT"/>
                    </w:rPr>
                    <w:drawing>
                      <wp:inline distT="0" distB="0" distL="0" distR="0">
                        <wp:extent cx="1438275" cy="428625"/>
                        <wp:effectExtent l="0" t="0" r="9525" b="9525"/>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438275" cy="428625"/>
                                </a:xfrm>
                                <a:prstGeom prst="rect">
                                  <a:avLst/>
                                </a:prstGeom>
                                <a:noFill/>
                                <a:ln>
                                  <a:noFill/>
                                </a:ln>
                              </pic:spPr>
                            </pic:pic>
                          </a:graphicData>
                        </a:graphic>
                      </wp:inline>
                    </w:drawing>
                  </w:r>
                  <w:r>
                    <w:rPr>
                      <w:szCs w:val="24"/>
                    </w:rPr>
                    <w:t>,</w:t>
                  </w:r>
                </w:p>
                <w:p>
                  <w:pPr>
                    <w:ind w:firstLine="567"/>
                    <w:jc w:val="both"/>
                    <w:rPr>
                      <w:szCs w:val="24"/>
                    </w:rPr>
                  </w:pPr>
                </w:p>
                <w:p>
                  <w:pPr>
                    <w:tabs>
                      <w:tab w:val="left" w:pos="1134"/>
                    </w:tabs>
                    <w:ind w:left="709" w:hanging="142"/>
                    <w:jc w:val="both"/>
                    <w:rPr>
                      <w:rFonts w:ascii="Calibri" w:eastAsia="Calibri" w:hAnsi="Calibri"/>
                      <w:sz w:val="22"/>
                      <w:szCs w:val="22"/>
                    </w:rPr>
                  </w:pPr>
                  <w:r>
                    <w:rPr>
                      <w:rFonts w:eastAsia="Calibri"/>
                      <w:szCs w:val="24"/>
                    </w:rPr>
                    <w:t>kai:</w:t>
                  </w:r>
                </w:p>
                <w:p>
                  <w:pPr>
                    <w:tabs>
                      <w:tab w:val="left" w:pos="993"/>
                    </w:tabs>
                    <w:ind w:firstLine="567"/>
                    <w:jc w:val="both"/>
                    <w:rPr>
                      <w:szCs w:val="24"/>
                    </w:rPr>
                  </w:pPr>
                  <w:r>
                    <w:rPr>
                      <w:i/>
                      <w:szCs w:val="24"/>
                    </w:rPr>
                    <w:t>AKAVID</w:t>
                  </w:r>
                  <w:r>
                    <w:rPr>
                      <w:szCs w:val="24"/>
                    </w:rPr>
                    <w:t xml:space="preserve"> – vidutinės aktyviojo gydymo atvejo ar lovadienio sąnaudos,</w:t>
                  </w:r>
                </w:p>
                <w:p>
                  <w:pPr>
                    <w:ind w:firstLine="567"/>
                    <w:jc w:val="both"/>
                    <w:rPr>
                      <w:szCs w:val="24"/>
                    </w:rPr>
                  </w:pPr>
                  <w:r>
                    <w:rPr>
                      <w:i/>
                      <w:szCs w:val="24"/>
                    </w:rPr>
                    <w:t>ALSK</w:t>
                  </w:r>
                  <w:r>
                    <w:rPr>
                      <w:szCs w:val="24"/>
                    </w:rPr>
                    <w:t xml:space="preserve"> – aktyviojo gydymo atvejų ir lovadienių skaičius,</w:t>
                  </w:r>
                </w:p>
                <w:p>
                  <w:pPr>
                    <w:ind w:firstLine="567"/>
                    <w:jc w:val="both"/>
                    <w:rPr>
                      <w:szCs w:val="24"/>
                    </w:rPr>
                  </w:pPr>
                  <w:r>
                    <w:rPr>
                      <w:i/>
                      <w:szCs w:val="24"/>
                    </w:rPr>
                    <w:t xml:space="preserve">SĄ </w:t>
                  </w:r>
                  <w:r>
                    <w:rPr>
                      <w:szCs w:val="24"/>
                    </w:rPr>
                    <w:t>– aktyviojo gydymo paslaugas teikiančių ASPĮ veiklos sąnaudos,</w:t>
                  </w:r>
                </w:p>
                <w:p>
                  <w:pPr>
                    <w:ind w:firstLine="567"/>
                    <w:jc w:val="both"/>
                    <w:rPr>
                      <w:szCs w:val="24"/>
                      <w:lang w:eastAsia="lt-LT"/>
                    </w:rPr>
                  </w:pPr>
                  <w:r>
                    <w:rPr>
                      <w:i/>
                      <w:szCs w:val="24"/>
                    </w:rPr>
                    <w:t xml:space="preserve">SG – </w:t>
                  </w:r>
                  <w:r>
                    <w:rPr>
                      <w:szCs w:val="24"/>
                    </w:rPr>
                    <w:t>sąnaudų grupė.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de903d8611e89ba7f73323f8faa4">
                <w:r w:rsidRPr="00532B9F">
                  <w:rPr>
                    <w:rFonts w:ascii="Times New Roman" w:eastAsia="MS Mincho" w:hAnsi="Times New Roman"/>
                    <w:sz w:val="20"/>
                    <w:i/>
                    <w:iCs/>
                    <w:color w:val="0000FF" w:themeColor="hyperlink"/>
                    <w:u w:val="single"/>
                  </w:rPr>
                  <w:t>V-409</w:t>
                </w:r>
              </w:fldSimple>
              <w:r>
                <w:rPr>
                  <w:rFonts w:ascii="Times New Roman" w:eastAsia="MS Mincho" w:hAnsi="Times New Roman"/>
                  <w:sz w:val="20"/>
                  <w:i/>
                  <w:iCs/>
                </w:rPr>
                <w:t>,
2018-04-10,
paskelbta TAR 2018-04-12, i. k. 2018-05888            </w:t>
              </w:r>
            </w:p>
            <w:p/>
          </w:sdtContent>
        </w:sdt>
        <w:sdt>
          <w:sdtPr>
            <w:alias w:val="3 pr. 2 p."/>
            <w:tag w:val="part_810477f3b62d4e2da923210b2e9cb79a"/>
            <w:lock w:val="sdtLocked"/>
            <w:richText/>
          </w:sdtPr>
          <w:sdtContent>
            <w:p>
              <w:pPr>
                <w:tabs>
                  <w:tab w:val="left" w:pos="0"/>
                  <w:tab w:val="left" w:pos="993"/>
                </w:tabs>
                <w:ind w:firstLine="567"/>
                <w:jc w:val="both"/>
                <w:rPr>
                  <w:szCs w:val="24"/>
                  <w:lang w:eastAsia="lt-LT"/>
                </w:rPr>
              </w:pPr>
              <w:sdt>
                <w:sdtPr>
                  <w:alias w:val="Numeris"/>
                  <w:tag w:val="nr_810477f3b62d4e2da923210b2e9cb79a"/>
                  <w:lock w:val="sdtLocked"/>
                  <w:richText/>
                </w:sdtPr>
                <w:sdtContent>
                  <w:r>
                    <w:rPr>
                      <w:szCs w:val="24"/>
                      <w:lang w:eastAsia="lt-LT"/>
                    </w:rPr>
                    <w:t>2</w:t>
                  </w:r>
                </w:sdtContent>
              </w:sdt>
              <w:r>
                <w:rPr>
                  <w:szCs w:val="24"/>
                  <w:lang w:eastAsia="lt-LT"/>
                </w:rPr>
                <w:t>. Aktyviojo gydymo atvejo kainos koeficientai parodo konkretaus atvejo sudėtingumą, atsižvelgiant į jam tenkančias sąnaudas pagal kiekvieną sąnaudų grupę ir gydymo trukmę. Atitinkamai giminingų diagnozių grupei priskiriamo aktyviojo gydymo atvejo kainai gali būti taikomi šie koeficientai, apskaičiuojami pagal kiekvieną sąnaudų grupę ir gydymo trukmę:</w:t>
              </w:r>
            </w:p>
            <w:sdt>
              <w:sdtPr>
                <w:alias w:val="3 pr. 2.1 pp."/>
                <w:tag w:val="part_e1edbd9981084a79819633bc5ef19f02"/>
                <w:lock w:val="sdtLocked"/>
                <w:richText/>
              </w:sdtPr>
              <w:sdtContent>
                <w:p>
                  <w:pPr>
                    <w:tabs>
                      <w:tab w:val="left" w:pos="851"/>
                    </w:tabs>
                    <w:ind w:firstLine="567"/>
                    <w:jc w:val="both"/>
                    <w:rPr>
                      <w:szCs w:val="24"/>
                      <w:lang w:eastAsia="lt-LT"/>
                    </w:rPr>
                  </w:pPr>
                  <w:sdt>
                    <w:sdtPr>
                      <w:alias w:val="Numeris"/>
                      <w:tag w:val="nr_e1edbd9981084a79819633bc5ef19f02"/>
                      <w:lock w:val="sdtLocked"/>
                      <w:richText/>
                    </w:sdtPr>
                    <w:sdtContent>
                      <w:r>
                        <w:rPr>
                          <w:szCs w:val="24"/>
                          <w:lang w:eastAsia="lt-LT"/>
                        </w:rPr>
                        <w:t>2.1</w:t>
                      </w:r>
                    </w:sdtContent>
                  </w:sdt>
                  <w:r>
                    <w:rPr>
                      <w:szCs w:val="24"/>
                      <w:lang w:eastAsia="lt-LT"/>
                    </w:rPr>
                    <w:t>. dienos gydymo kainos koeficientas,</w:t>
                  </w:r>
                </w:p>
              </w:sdtContent>
            </w:sdt>
            <w:sdt>
              <w:sdtPr>
                <w:alias w:val="3 pr. 2.2 pp."/>
                <w:tag w:val="part_174bbbd708ff455db65bc249271d6fcd"/>
                <w:lock w:val="sdtLocked"/>
                <w:richText/>
              </w:sdtPr>
              <w:sdtContent>
                <w:p>
                  <w:pPr>
                    <w:tabs>
                      <w:tab w:val="left" w:pos="851"/>
                    </w:tabs>
                    <w:ind w:firstLine="567"/>
                    <w:jc w:val="both"/>
                    <w:rPr>
                      <w:szCs w:val="24"/>
                      <w:lang w:eastAsia="lt-LT"/>
                    </w:rPr>
                  </w:pPr>
                  <w:sdt>
                    <w:sdtPr>
                      <w:alias w:val="Numeris"/>
                      <w:tag w:val="nr_174bbbd708ff455db65bc249271d6fcd"/>
                      <w:lock w:val="sdtLocked"/>
                      <w:richText/>
                    </w:sdtPr>
                    <w:sdtContent>
                      <w:r>
                        <w:rPr>
                          <w:szCs w:val="24"/>
                          <w:lang w:eastAsia="lt-LT"/>
                        </w:rPr>
                        <w:t>2.2</w:t>
                      </w:r>
                    </w:sdtContent>
                  </w:sdt>
                  <w:r>
                    <w:rPr>
                      <w:szCs w:val="24"/>
                      <w:lang w:eastAsia="lt-LT"/>
                    </w:rPr>
                    <w:t>. paros gydymo kainos koeficientas,</w:t>
                  </w:r>
                </w:p>
              </w:sdtContent>
            </w:sdt>
            <w:sdt>
              <w:sdtPr>
                <w:alias w:val="3 pr. 2.3 pp."/>
                <w:tag w:val="part_5a493da8f70f44709d0a3fb61d0e4b0b"/>
                <w:lock w:val="sdtLocked"/>
                <w:richText/>
              </w:sdtPr>
              <w:sdtContent>
                <w:p>
                  <w:pPr>
                    <w:tabs>
                      <w:tab w:val="left" w:pos="851"/>
                    </w:tabs>
                    <w:ind w:firstLine="567"/>
                    <w:jc w:val="both"/>
                    <w:rPr>
                      <w:szCs w:val="24"/>
                      <w:lang w:eastAsia="lt-LT"/>
                    </w:rPr>
                  </w:pPr>
                  <w:sdt>
                    <w:sdtPr>
                      <w:alias w:val="Numeris"/>
                      <w:tag w:val="nr_5a493da8f70f44709d0a3fb61d0e4b0b"/>
                      <w:lock w:val="sdtLocked"/>
                      <w:richText/>
                    </w:sdtPr>
                    <w:sdtContent>
                      <w:r>
                        <w:rPr>
                          <w:szCs w:val="24"/>
                          <w:lang w:eastAsia="lt-LT"/>
                        </w:rPr>
                        <w:t>2.3</w:t>
                      </w:r>
                    </w:sdtContent>
                  </w:sdt>
                  <w:r>
                    <w:rPr>
                      <w:szCs w:val="24"/>
                      <w:lang w:eastAsia="lt-LT"/>
                    </w:rPr>
                    <w:t>. vidutinės trukmės gydymo kainos koeficientas, kai gydymo trukmė ilgesnė nei minimali gydymo trukmė arba lygi jai ir trumpesnė nei maksimali gydymo trukmė arba lygi jai,</w:t>
                  </w:r>
                </w:p>
              </w:sdtContent>
            </w:sdt>
            <w:sdt>
              <w:sdtPr>
                <w:alias w:val="3 pr. 2.4 pp."/>
                <w:tag w:val="part_491e89d064c0442da07360300e2e3ba7"/>
                <w:lock w:val="sdtLocked"/>
                <w:richText/>
              </w:sdtPr>
              <w:sdtContent>
                <w:p>
                  <w:pPr>
                    <w:tabs>
                      <w:tab w:val="left" w:pos="851"/>
                    </w:tabs>
                    <w:ind w:firstLine="567"/>
                    <w:jc w:val="both"/>
                    <w:rPr>
                      <w:szCs w:val="24"/>
                      <w:lang w:eastAsia="lt-LT"/>
                    </w:rPr>
                  </w:pPr>
                  <w:sdt>
                    <w:sdtPr>
                      <w:alias w:val="Numeris"/>
                      <w:tag w:val="nr_491e89d064c0442da07360300e2e3ba7"/>
                      <w:lock w:val="sdtLocked"/>
                      <w:richText/>
                    </w:sdtPr>
                    <w:sdtContent>
                      <w:r>
                        <w:rPr>
                          <w:szCs w:val="24"/>
                          <w:lang w:eastAsia="lt-LT"/>
                        </w:rPr>
                        <w:t>2.4</w:t>
                      </w:r>
                    </w:sdtContent>
                  </w:sdt>
                  <w:r>
                    <w:rPr>
                      <w:szCs w:val="24"/>
                      <w:lang w:eastAsia="lt-LT"/>
                    </w:rPr>
                    <w:t>. lovadienio kainos koeficientas, kai gydymo trukmė yra trumpesnė už minimalią gydymo trukmę,</w:t>
                  </w:r>
                </w:p>
              </w:sdtContent>
            </w:sdt>
            <w:sdt>
              <w:sdtPr>
                <w:alias w:val="3 pr. 2.5 pp."/>
                <w:tag w:val="part_db9dab4b012049b8a1babd05e4fceb51"/>
                <w:lock w:val="sdtLocked"/>
                <w:richText/>
              </w:sdtPr>
              <w:sdtContent>
                <w:p>
                  <w:pPr>
                    <w:tabs>
                      <w:tab w:val="left" w:pos="851"/>
                    </w:tabs>
                    <w:ind w:firstLine="567"/>
                    <w:jc w:val="both"/>
                    <w:rPr>
                      <w:szCs w:val="24"/>
                      <w:lang w:eastAsia="lt-LT"/>
                    </w:rPr>
                  </w:pPr>
                  <w:sdt>
                    <w:sdtPr>
                      <w:alias w:val="Numeris"/>
                      <w:tag w:val="nr_db9dab4b012049b8a1babd05e4fceb51"/>
                      <w:lock w:val="sdtLocked"/>
                      <w:richText/>
                    </w:sdtPr>
                    <w:sdtContent>
                      <w:r>
                        <w:rPr>
                          <w:szCs w:val="24"/>
                          <w:lang w:eastAsia="lt-LT"/>
                        </w:rPr>
                        <w:t>2.5</w:t>
                      </w:r>
                    </w:sdtContent>
                  </w:sdt>
                  <w:r>
                    <w:rPr>
                      <w:szCs w:val="24"/>
                      <w:lang w:eastAsia="lt-LT"/>
                    </w:rPr>
                    <w:t>. lovadienio kainos koeficientas, kai gydymo trukmė yra ilgesnė nei maksimali gydymo trukmė.</w:t>
                  </w:r>
                </w:p>
              </w:sdtContent>
            </w:sdt>
          </w:sdtContent>
        </w:sdt>
        <w:sdt>
          <w:sdtPr>
            <w:alias w:val="3 pr. 3 p."/>
            <w:tag w:val="part_3008ade6d0e844aea062be5d166b92c8"/>
            <w:lock w:val="sdtLocked"/>
            <w:richText/>
          </w:sdtPr>
          <w:sdtContent>
            <w:p>
              <w:pPr>
                <w:tabs>
                  <w:tab w:val="left" w:pos="993"/>
                </w:tabs>
                <w:ind w:firstLine="567"/>
                <w:jc w:val="both"/>
                <w:rPr>
                  <w:szCs w:val="24"/>
                  <w:lang w:eastAsia="lt-LT"/>
                </w:rPr>
              </w:pPr>
              <w:sdt>
                <w:sdtPr>
                  <w:alias w:val="Numeris"/>
                  <w:tag w:val="nr_3008ade6d0e844aea062be5d166b92c8"/>
                  <w:lock w:val="sdtLocked"/>
                  <w:richText/>
                </w:sdtPr>
                <w:sdtContent>
                  <w:r>
                    <w:rPr>
                      <w:szCs w:val="24"/>
                      <w:lang w:eastAsia="lt-LT"/>
                    </w:rPr>
                    <w:t>3</w:t>
                  </w:r>
                </w:sdtContent>
              </w:sdt>
              <w:r>
                <w:rPr>
                  <w:szCs w:val="24"/>
                  <w:lang w:eastAsia="lt-LT"/>
                </w:rPr>
                <w:t>. Dienos gydymo kainos koeficientas skaičiuojamas pagal sąnaudų grupes taip:</w:t>
              </w:r>
            </w:p>
            <w:sdt>
              <w:sdtPr>
                <w:alias w:val="3 pr. 3.1 pp."/>
                <w:tag w:val="part_a9ce57d86df64c1e90d897d1f2879b2d"/>
                <w:lock w:val="sdtLocked"/>
                <w:richText/>
              </w:sdtPr>
              <w:sdtContent>
                <w:p>
                  <w:pPr>
                    <w:tabs>
                      <w:tab w:val="left" w:pos="993"/>
                    </w:tabs>
                    <w:ind w:firstLine="567"/>
                    <w:jc w:val="both"/>
                    <w:rPr>
                      <w:szCs w:val="24"/>
                      <w:lang w:eastAsia="lt-LT"/>
                    </w:rPr>
                  </w:pPr>
                  <w:sdt>
                    <w:sdtPr>
                      <w:alias w:val="Numeris"/>
                      <w:tag w:val="nr_a9ce57d86df64c1e90d897d1f2879b2d"/>
                      <w:lock w:val="sdtLocked"/>
                      <w:richText/>
                    </w:sdtPr>
                    <w:sdtContent>
                      <w:r>
                        <w:rPr>
                          <w:szCs w:val="24"/>
                          <w:lang w:eastAsia="lt-LT"/>
                        </w:rPr>
                        <w:t>3.1</w:t>
                      </w:r>
                    </w:sdtContent>
                  </w:sdt>
                  <w:r>
                    <w:rPr>
                      <w:szCs w:val="24"/>
                      <w:lang w:eastAsia="lt-LT"/>
                    </w:rPr>
                    <w:t>. jei giminingų diagnozių grupei yra priskirtas požymis „dienos paslauga“ – kiekvienos sąnaudų grupės koeficientas, visais kitais atvejais – sąnaudų grupių „Operacijos“ bei „Protezai ir implantai“ koeficientai yra lygūs tarptautiniam atitinkamos sąnaudų grupės kainos koeficientui:</w:t>
                  </w:r>
                </w:p>
                <w:p>
                  <w:pPr>
                    <w:tabs>
                      <w:tab w:val="left" w:pos="993"/>
                    </w:tabs>
                    <w:ind w:firstLine="567"/>
                    <w:jc w:val="both"/>
                    <w:rPr>
                      <w:szCs w:val="24"/>
                      <w:lang w:eastAsia="lt-LT"/>
                    </w:rPr>
                  </w:pPr>
                </w:p>
              </w:sdtContent>
            </w:sdt>
          </w:sdtContent>
        </w:sdt>
        <w:sdt>
          <w:sdtPr>
            <w:alias w:val="skirsnis"/>
            <w:tag w:val="part_0ebd3012d5274ad194e2becd6419640f"/>
            <w:lock w:val="sdtLocked"/>
            <w:richText/>
          </w:sdtPr>
          <w:sdtContent>
            <w:p>
              <w:pPr>
                <w:tabs>
                  <w:tab w:val="left" w:pos="993"/>
                </w:tabs>
                <w:jc w:val="center"/>
              </w:pPr>
              <w:sdt>
                <w:sdtPr>
                  <w:alias w:val="Pavadinimas"/>
                  <w:tag w:val="title_0ebd3012d5274ad194e2becd6419640f"/>
                  <w:lock w:val="sdtLocked"/>
                  <w:richText/>
                </w:sdtPr>
                <w:sdtContent>
                  <w:r>
                    <w:rPr>
                      <w:szCs w:val="24"/>
                      <w:lang w:eastAsia="lt-LT"/>
                    </w:rPr>
                    <w:t>DK</w:t>
                  </w:r>
                  <w:r>
                    <w:rPr>
                      <w:szCs w:val="24"/>
                      <w:vertAlign w:val="subscript"/>
                      <w:lang w:eastAsia="lt-LT"/>
                    </w:rPr>
                    <w:t>SG,DRG</w:t>
                  </w:r>
                  <w:r>
                    <w:rPr>
                      <w:szCs w:val="24"/>
                      <w:lang w:eastAsia="lt-LT"/>
                    </w:rPr>
                    <w:t xml:space="preserve"> = K</w:t>
                  </w:r>
                  <w:r>
                    <w:rPr>
                      <w:szCs w:val="24"/>
                      <w:vertAlign w:val="subscript"/>
                      <w:lang w:eastAsia="lt-LT"/>
                    </w:rPr>
                    <w:t>SG,DRG</w:t>
                  </w:r>
                  <w:r>
                    <w:rPr>
                      <w:szCs w:val="24"/>
                      <w:lang w:eastAsia="lt-LT"/>
                    </w:rPr>
                    <w:t>,</w:t>
                  </w:r>
                </w:sdtContent>
              </w:sdt>
            </w:p>
            <w:p>
              <w:pPr>
                <w:tabs>
                  <w:tab w:val="left" w:pos="993"/>
                </w:tabs>
                <w:jc w:val="center"/>
                <w:rPr>
                  <w:szCs w:val="24"/>
                  <w:lang w:eastAsia="lt-LT"/>
                </w:rPr>
              </w:pPr>
            </w:p>
            <w:p>
              <w:pPr>
                <w:tabs>
                  <w:tab w:val="left" w:pos="993"/>
                </w:tabs>
                <w:ind w:firstLine="567"/>
                <w:jc w:val="both"/>
                <w:rPr>
                  <w:szCs w:val="24"/>
                  <w:lang w:eastAsia="lt-LT"/>
                </w:rPr>
              </w:pPr>
            </w:p>
            <w:p>
              <w:pPr>
                <w:tabs>
                  <w:tab w:val="left" w:pos="993"/>
                </w:tabs>
                <w:ind w:firstLine="567"/>
                <w:jc w:val="both"/>
                <w:rPr>
                  <w:szCs w:val="24"/>
                  <w:lang w:eastAsia="lt-LT"/>
                </w:rPr>
              </w:pPr>
              <w:r>
                <w:rPr>
                  <w:szCs w:val="24"/>
                  <w:lang w:eastAsia="lt-LT"/>
                </w:rPr>
                <w:t>kai:</w:t>
              </w:r>
            </w:p>
            <w:p>
              <w:pPr>
                <w:tabs>
                  <w:tab w:val="left" w:pos="993"/>
                </w:tabs>
                <w:ind w:firstLine="567"/>
                <w:jc w:val="both"/>
                <w:rPr>
                  <w:szCs w:val="24"/>
                  <w:lang w:eastAsia="lt-LT"/>
                </w:rPr>
              </w:pPr>
              <w:r>
                <w:rPr>
                  <w:i/>
                  <w:szCs w:val="24"/>
                  <w:lang w:eastAsia="lt-LT"/>
                </w:rPr>
                <w:t>DK</w:t>
              </w:r>
              <w:r>
                <w:rPr>
                  <w:szCs w:val="24"/>
                  <w:lang w:eastAsia="lt-LT"/>
                </w:rPr>
                <w:t xml:space="preserve"> – dienos gydymo kainos koeficientas,</w:t>
              </w:r>
            </w:p>
            <w:p>
              <w:pPr>
                <w:ind w:firstLine="567"/>
                <w:jc w:val="both"/>
                <w:rPr>
                  <w:szCs w:val="24"/>
                  <w:lang w:eastAsia="lt-LT"/>
                </w:rPr>
              </w:pPr>
              <w:r>
                <w:rPr>
                  <w:i/>
                  <w:szCs w:val="24"/>
                  <w:lang w:eastAsia="lt-LT"/>
                </w:rPr>
                <w:t xml:space="preserve">DRG – </w:t>
              </w:r>
              <w:r>
                <w:rPr>
                  <w:szCs w:val="24"/>
                  <w:lang w:eastAsia="lt-LT"/>
                </w:rPr>
                <w:t>giminingų diagnozių grupė,</w:t>
              </w:r>
            </w:p>
            <w:p>
              <w:pPr>
                <w:ind w:firstLine="567"/>
                <w:jc w:val="both"/>
                <w:rPr>
                  <w:szCs w:val="24"/>
                  <w:lang w:eastAsia="lt-LT"/>
                </w:rPr>
              </w:pPr>
              <w:r>
                <w:rPr>
                  <w:i/>
                  <w:szCs w:val="24"/>
                  <w:lang w:eastAsia="lt-LT"/>
                </w:rPr>
                <w:t xml:space="preserve">K </w:t>
              </w:r>
              <w:r>
                <w:rPr>
                  <w:szCs w:val="24"/>
                  <w:lang w:eastAsia="lt-LT"/>
                </w:rPr>
                <w:t>– tarptautinis koeficientas,</w:t>
              </w:r>
            </w:p>
            <w:p>
              <w:pPr>
                <w:ind w:firstLine="567"/>
                <w:jc w:val="both"/>
                <w:rPr>
                  <w:szCs w:val="24"/>
                  <w:lang w:eastAsia="lt-LT"/>
                </w:rPr>
              </w:pPr>
              <w:r>
                <w:rPr>
                  <w:i/>
                  <w:szCs w:val="24"/>
                  <w:lang w:eastAsia="lt-LT"/>
                </w:rPr>
                <w:t xml:space="preserve">SG – </w:t>
              </w:r>
              <w:r>
                <w:rPr>
                  <w:szCs w:val="24"/>
                  <w:lang w:eastAsia="lt-LT"/>
                </w:rPr>
                <w:t>sąnaudų grupė;</w:t>
              </w:r>
            </w:p>
            <w:p>
              <w:pPr>
                <w:ind w:firstLine="567"/>
                <w:jc w:val="both"/>
                <w:rPr>
                  <w:szCs w:val="24"/>
                  <w:lang w:eastAsia="lt-LT"/>
                </w:rPr>
              </w:pPr>
            </w:p>
            <w:sdt>
              <w:sdtPr>
                <w:alias w:val="3 pr. 3.2 pp."/>
                <w:tag w:val="part_6c2c85498ad14389937ebab0b1fa0691"/>
                <w:lock w:val="sdtLocked"/>
                <w:richText/>
              </w:sdtPr>
              <w:sdtContent>
                <w:p>
                  <w:pPr>
                    <w:tabs>
                      <w:tab w:val="left" w:pos="993"/>
                    </w:tabs>
                    <w:ind w:firstLine="567"/>
                    <w:jc w:val="both"/>
                    <w:rPr>
                      <w:szCs w:val="24"/>
                      <w:lang w:eastAsia="lt-LT"/>
                    </w:rPr>
                  </w:pPr>
                  <w:sdt>
                    <w:sdtPr>
                      <w:alias w:val="Numeris"/>
                      <w:tag w:val="nr_6c2c85498ad14389937ebab0b1fa0691"/>
                      <w:lock w:val="sdtLocked"/>
                      <w:richText/>
                    </w:sdtPr>
                    <w:sdtContent>
                      <w:r>
                        <w:rPr>
                          <w:szCs w:val="24"/>
                          <w:lang w:eastAsia="lt-LT"/>
                        </w:rPr>
                        <w:t>3.2</w:t>
                      </w:r>
                    </w:sdtContent>
                  </w:sdt>
                  <w:r>
                    <w:rPr>
                      <w:szCs w:val="24"/>
                      <w:lang w:eastAsia="lt-LT"/>
                    </w:rPr>
                    <w:t>. kiekvienos sąnaudų grupės, išskyrus nurodytąsias šio priedo 3.1 punkte, koeficientas apskaičiuojamas dalijant pusę tarptautinio atitinkamos sąnaudų grupės koeficiento reikšmės iš minimalios gydymo trukmės:</w:t>
                  </w:r>
                </w:p>
                <w:p>
                  <w:pPr>
                    <w:ind w:firstLine="567"/>
                    <w:jc w:val="both"/>
                    <w:rPr>
                      <w:szCs w:val="24"/>
                      <w:lang w:eastAsia="lt-LT"/>
                    </w:rPr>
                  </w:pPr>
                </w:p>
                <w:p>
                  <w:pPr>
                    <w:tabs>
                      <w:tab w:val="left" w:pos="993"/>
                    </w:tabs>
                    <w:jc w:val="center"/>
                    <w:rPr>
                      <w:szCs w:val="24"/>
                      <w:lang w:eastAsia="lt-LT"/>
                    </w:rPr>
                  </w:pPr>
                  <w:r>
                    <w:rPr>
                      <w:position w:val="-30"/>
                      <w:szCs w:val="24"/>
                      <w:lang w:eastAsia="lt-LT"/>
                    </w:rPr>
                    <w:object w:dxaOrig="3000" w:dyaOrig="675">
                      <v:shape id="_x0000_i1043" type="#_x0000_t75" style="width:150.9pt;height:33.8pt" o:ole="">
                        <v:imagedata r:id="rId61" o:title=""/>
                      </v:shape>
                      <o:OLEObject Type="Embed" ProgID="Equation.3" ShapeID="_x0000_i1043" DrawAspect="Content" ObjectID="_0000000001" r:id="rId62"/>
                    </w:object>
                  </w:r>
                  <w:r>
                    <w:rPr>
                      <w:szCs w:val="24"/>
                      <w:lang w:eastAsia="lt-LT"/>
                    </w:rPr>
                    <w:t>,</w:t>
                  </w:r>
                </w:p>
                <w:p>
                  <w:pPr>
                    <w:tabs>
                      <w:tab w:val="left" w:pos="993"/>
                    </w:tabs>
                    <w:jc w:val="center"/>
                    <w:rPr>
                      <w:szCs w:val="24"/>
                      <w:lang w:eastAsia="lt-LT"/>
                    </w:rPr>
                  </w:pPr>
                </w:p>
                <w:p>
                  <w:pPr>
                    <w:tabs>
                      <w:tab w:val="left" w:pos="993"/>
                    </w:tabs>
                    <w:ind w:firstLine="567"/>
                    <w:jc w:val="both"/>
                    <w:rPr>
                      <w:szCs w:val="24"/>
                      <w:lang w:eastAsia="lt-LT"/>
                    </w:rPr>
                  </w:pPr>
                </w:p>
                <w:p>
                  <w:pPr>
                    <w:tabs>
                      <w:tab w:val="left" w:pos="993"/>
                    </w:tabs>
                    <w:ind w:firstLine="567"/>
                    <w:jc w:val="both"/>
                    <w:rPr>
                      <w:i/>
                      <w:szCs w:val="24"/>
                      <w:lang w:eastAsia="lt-LT"/>
                    </w:rPr>
                  </w:pPr>
                  <w:r>
                    <w:rPr>
                      <w:szCs w:val="24"/>
                      <w:lang w:eastAsia="lt-LT"/>
                    </w:rPr>
                    <w:t>kai:</w:t>
                  </w:r>
                </w:p>
                <w:p>
                  <w:pPr>
                    <w:tabs>
                      <w:tab w:val="left" w:pos="993"/>
                    </w:tabs>
                    <w:ind w:firstLine="567"/>
                    <w:jc w:val="both"/>
                    <w:rPr>
                      <w:szCs w:val="24"/>
                      <w:lang w:eastAsia="lt-LT"/>
                    </w:rPr>
                  </w:pPr>
                  <w:r>
                    <w:rPr>
                      <w:i/>
                      <w:szCs w:val="24"/>
                      <w:lang w:eastAsia="lt-LT"/>
                    </w:rPr>
                    <w:t>DK</w:t>
                  </w:r>
                  <w:r>
                    <w:rPr>
                      <w:szCs w:val="24"/>
                      <w:lang w:eastAsia="lt-LT"/>
                    </w:rPr>
                    <w:t xml:space="preserve"> – dienos gydymo kainos koeficientas,</w:t>
                  </w:r>
                </w:p>
                <w:p>
                  <w:pPr>
                    <w:ind w:firstLine="567"/>
                    <w:jc w:val="both"/>
                    <w:rPr>
                      <w:szCs w:val="24"/>
                      <w:lang w:eastAsia="lt-LT"/>
                    </w:rPr>
                  </w:pPr>
                  <w:r>
                    <w:rPr>
                      <w:i/>
                      <w:szCs w:val="24"/>
                      <w:lang w:eastAsia="lt-LT"/>
                    </w:rPr>
                    <w:t xml:space="preserve">DRG – </w:t>
                  </w:r>
                  <w:r>
                    <w:rPr>
                      <w:szCs w:val="24"/>
                      <w:lang w:eastAsia="lt-LT"/>
                    </w:rPr>
                    <w:t>giminingų diagnozių grupė,</w:t>
                  </w:r>
                </w:p>
                <w:p>
                  <w:pPr>
                    <w:tabs>
                      <w:tab w:val="left" w:pos="993"/>
                    </w:tabs>
                    <w:ind w:firstLine="567"/>
                    <w:jc w:val="both"/>
                    <w:rPr>
                      <w:szCs w:val="24"/>
                      <w:lang w:eastAsia="lt-LT"/>
                    </w:rPr>
                  </w:pPr>
                  <w:r>
                    <w:rPr>
                      <w:i/>
                      <w:szCs w:val="24"/>
                      <w:lang w:eastAsia="lt-LT"/>
                    </w:rPr>
                    <w:t>K</w:t>
                  </w:r>
                  <w:r>
                    <w:rPr>
                      <w:szCs w:val="24"/>
                      <w:lang w:eastAsia="lt-LT"/>
                    </w:rPr>
                    <w:t xml:space="preserve"> – tarptautinis koeficientas,</w:t>
                  </w:r>
                </w:p>
                <w:p>
                  <w:pPr>
                    <w:ind w:firstLine="567"/>
                    <w:jc w:val="both"/>
                    <w:rPr>
                      <w:i/>
                      <w:szCs w:val="24"/>
                      <w:lang w:eastAsia="lt-LT"/>
                    </w:rPr>
                  </w:pPr>
                  <w:r>
                    <w:rPr>
                      <w:i/>
                      <w:szCs w:val="24"/>
                      <w:lang w:eastAsia="lt-LT"/>
                    </w:rPr>
                    <w:t xml:space="preserve">SG – </w:t>
                  </w:r>
                  <w:r>
                    <w:rPr>
                      <w:szCs w:val="24"/>
                      <w:lang w:eastAsia="lt-LT"/>
                    </w:rPr>
                    <w:t>sąnaudų grupė,</w:t>
                  </w:r>
                </w:p>
                <w:p>
                  <w:pPr>
                    <w:tabs>
                      <w:tab w:val="left" w:pos="993"/>
                    </w:tabs>
                    <w:ind w:firstLine="567"/>
                    <w:jc w:val="both"/>
                    <w:rPr>
                      <w:szCs w:val="24"/>
                      <w:lang w:eastAsia="lt-LT"/>
                    </w:rPr>
                  </w:pPr>
                  <w:r>
                    <w:rPr>
                      <w:i/>
                      <w:szCs w:val="24"/>
                      <w:lang w:eastAsia="lt-LT"/>
                    </w:rPr>
                    <w:t>TMIN</w:t>
                  </w:r>
                  <w:r>
                    <w:rPr>
                      <w:szCs w:val="24"/>
                      <w:lang w:eastAsia="lt-LT"/>
                    </w:rPr>
                    <w:t xml:space="preserve"> – minimali gydymo trukmė.</w:t>
                  </w:r>
                </w:p>
                <w:p>
                  <w:pPr>
                    <w:tabs>
                      <w:tab w:val="left" w:pos="993"/>
                    </w:tabs>
                    <w:ind w:firstLine="567"/>
                    <w:jc w:val="both"/>
                    <w:rPr>
                      <w:szCs w:val="24"/>
                      <w:lang w:eastAsia="lt-LT"/>
                    </w:rPr>
                  </w:pPr>
                </w:p>
              </w:sdtContent>
            </w:sdt>
            <w:sdt>
              <w:sdtPr>
                <w:alias w:val="3 pr. 4 p."/>
                <w:tag w:val="part_0df41f1316164e93ac81175eb55f575d"/>
                <w:lock w:val="sdtLocked"/>
                <w:richText/>
              </w:sdtPr>
              <w:sdtContent>
                <w:p>
                  <w:pPr>
                    <w:tabs>
                      <w:tab w:val="left" w:pos="993"/>
                    </w:tabs>
                    <w:ind w:firstLine="567"/>
                    <w:jc w:val="both"/>
                    <w:rPr>
                      <w:i/>
                      <w:szCs w:val="24"/>
                      <w:lang w:eastAsia="lt-LT"/>
                    </w:rPr>
                  </w:pPr>
                  <w:sdt>
                    <w:sdtPr>
                      <w:alias w:val="Numeris"/>
                      <w:tag w:val="nr_0df41f1316164e93ac81175eb55f575d"/>
                      <w:lock w:val="sdtLocked"/>
                      <w:richText/>
                    </w:sdtPr>
                    <w:sdtContent>
                      <w:r>
                        <w:rPr>
                          <w:szCs w:val="24"/>
                          <w:lang w:eastAsia="lt-LT"/>
                        </w:rPr>
                        <w:t>4</w:t>
                      </w:r>
                    </w:sdtContent>
                  </w:sdt>
                  <w:r>
                    <w:rPr>
                      <w:szCs w:val="24"/>
                      <w:lang w:eastAsia="lt-LT"/>
                    </w:rPr>
                    <w:t>. Paros gydymo kainos koeficientas skaičiuojamas pagal sąnaudų grupes taip:</w:t>
                  </w:r>
                </w:p>
                <w:sdt>
                  <w:sdtPr>
                    <w:alias w:val="3 pr. 4.1 pp."/>
                    <w:tag w:val="part_2c385f30bc4e4811974f4c768f112cd0"/>
                    <w:lock w:val="sdtLocked"/>
                    <w:richText/>
                  </w:sdtPr>
                  <w:sdtContent>
                    <w:p>
                      <w:pPr>
                        <w:tabs>
                          <w:tab w:val="left" w:pos="993"/>
                        </w:tabs>
                        <w:ind w:firstLine="567"/>
                        <w:jc w:val="both"/>
                        <w:rPr>
                          <w:szCs w:val="24"/>
                          <w:lang w:eastAsia="lt-LT"/>
                        </w:rPr>
                      </w:pPr>
                      <w:sdt>
                        <w:sdtPr>
                          <w:alias w:val="Numeris"/>
                          <w:tag w:val="nr_2c385f30bc4e4811974f4c768f112cd0"/>
                          <w:lock w:val="sdtLocked"/>
                          <w:richText/>
                        </w:sdtPr>
                        <w:sdtContent>
                          <w:r>
                            <w:rPr>
                              <w:szCs w:val="24"/>
                              <w:lang w:eastAsia="lt-LT"/>
                            </w:rPr>
                            <w:t>4.1</w:t>
                          </w:r>
                        </w:sdtContent>
                      </w:sdt>
                      <w:r>
                        <w:rPr>
                          <w:szCs w:val="24"/>
                          <w:lang w:eastAsia="lt-LT"/>
                        </w:rPr>
                        <w:t>. sąnaudų grupių „Operacijos“ ir „Protezai ir implantai“, išskyrus atvejus, kai giminingų diagnozių grupei yra priskirtas požymis „dienos paslauga“ arba kai minimali gydymo trukmė yra lygi 1 lovadieniui, koeficientas yra lygus tarptautiniams šių sąnaudų grupių koeficientams:</w:t>
                      </w:r>
                    </w:p>
                    <w:p>
                      <w:pPr>
                        <w:tabs>
                          <w:tab w:val="left" w:pos="993"/>
                        </w:tabs>
                        <w:ind w:firstLine="567"/>
                        <w:jc w:val="both"/>
                        <w:rPr>
                          <w:szCs w:val="24"/>
                          <w:lang w:eastAsia="lt-LT"/>
                        </w:rPr>
                      </w:pPr>
                    </w:p>
                  </w:sdtContent>
                </w:sdt>
              </w:sdtContent>
            </w:sdt>
          </w:sdtContent>
        </w:sdt>
        <w:sdt>
          <w:sdtPr>
            <w:alias w:val="skirsnis"/>
            <w:tag w:val="part_0978a62eedfb4136a9621ca207d3e8a5"/>
            <w:lock w:val="sdtLocked"/>
            <w:richText/>
          </w:sdtPr>
          <w:sdtContent>
            <w:p>
              <w:pPr>
                <w:tabs>
                  <w:tab w:val="left" w:pos="993"/>
                </w:tabs>
                <w:jc w:val="center"/>
              </w:pPr>
              <w:sdt>
                <w:sdtPr>
                  <w:alias w:val="Pavadinimas"/>
                  <w:tag w:val="title_0978a62eedfb4136a9621ca207d3e8a5"/>
                  <w:lock w:val="sdtLocked"/>
                  <w:richText/>
                </w:sdtPr>
                <w:sdtContent>
                  <w:r>
                    <w:rPr>
                      <w:szCs w:val="24"/>
                      <w:lang w:eastAsia="lt-LT"/>
                    </w:rPr>
                    <w:t>PK</w:t>
                  </w:r>
                  <w:r>
                    <w:rPr>
                      <w:szCs w:val="24"/>
                      <w:vertAlign w:val="subscript"/>
                      <w:lang w:eastAsia="lt-LT"/>
                    </w:rPr>
                    <w:t>SG,DRG</w:t>
                  </w:r>
                  <w:r>
                    <w:rPr>
                      <w:szCs w:val="24"/>
                      <w:lang w:eastAsia="lt-LT"/>
                    </w:rPr>
                    <w:t xml:space="preserve"> = K</w:t>
                  </w:r>
                  <w:r>
                    <w:rPr>
                      <w:szCs w:val="24"/>
                      <w:vertAlign w:val="subscript"/>
                      <w:lang w:eastAsia="lt-LT"/>
                    </w:rPr>
                    <w:t>SG,DRG</w:t>
                  </w:r>
                  <w:r>
                    <w:rPr>
                      <w:szCs w:val="24"/>
                      <w:lang w:eastAsia="lt-LT"/>
                    </w:rPr>
                    <w:t>,</w:t>
                  </w:r>
                </w:sdtContent>
              </w:sdt>
            </w:p>
            <w:p>
              <w:pPr>
                <w:tabs>
                  <w:tab w:val="left" w:pos="993"/>
                </w:tabs>
                <w:jc w:val="center"/>
                <w:rPr>
                  <w:szCs w:val="24"/>
                  <w:lang w:eastAsia="lt-LT"/>
                </w:rPr>
              </w:pPr>
            </w:p>
            <w:p>
              <w:pPr>
                <w:tabs>
                  <w:tab w:val="left" w:pos="993"/>
                </w:tabs>
                <w:ind w:firstLine="567"/>
                <w:jc w:val="both"/>
                <w:rPr>
                  <w:szCs w:val="24"/>
                  <w:lang w:eastAsia="lt-LT"/>
                </w:rPr>
              </w:pPr>
            </w:p>
            <w:p>
              <w:pPr>
                <w:tabs>
                  <w:tab w:val="left" w:pos="993"/>
                </w:tabs>
                <w:ind w:firstLine="567"/>
                <w:jc w:val="both"/>
                <w:rPr>
                  <w:i/>
                  <w:szCs w:val="24"/>
                  <w:lang w:eastAsia="lt-LT"/>
                </w:rPr>
              </w:pPr>
              <w:r>
                <w:rPr>
                  <w:szCs w:val="24"/>
                  <w:lang w:eastAsia="lt-LT"/>
                </w:rPr>
                <w:t>kai:</w:t>
              </w:r>
            </w:p>
            <w:p>
              <w:pPr>
                <w:tabs>
                  <w:tab w:val="left" w:pos="993"/>
                </w:tabs>
                <w:ind w:firstLine="567"/>
                <w:jc w:val="both"/>
                <w:rPr>
                  <w:szCs w:val="24"/>
                  <w:lang w:eastAsia="lt-LT"/>
                </w:rPr>
              </w:pPr>
              <w:r>
                <w:rPr>
                  <w:i/>
                  <w:szCs w:val="24"/>
                  <w:lang w:eastAsia="lt-LT"/>
                </w:rPr>
                <w:t>PK</w:t>
              </w:r>
              <w:r>
                <w:rPr>
                  <w:szCs w:val="24"/>
                  <w:lang w:eastAsia="lt-LT"/>
                </w:rPr>
                <w:t xml:space="preserve"> – paros gydymo kainos koeficientas,</w:t>
              </w:r>
            </w:p>
            <w:p>
              <w:pPr>
                <w:ind w:firstLine="567"/>
                <w:jc w:val="both"/>
                <w:rPr>
                  <w:szCs w:val="24"/>
                  <w:lang w:eastAsia="lt-LT"/>
                </w:rPr>
              </w:pPr>
              <w:r>
                <w:rPr>
                  <w:i/>
                  <w:szCs w:val="24"/>
                  <w:lang w:eastAsia="lt-LT"/>
                </w:rPr>
                <w:t xml:space="preserve">DRG – </w:t>
              </w:r>
              <w:r>
                <w:rPr>
                  <w:szCs w:val="24"/>
                  <w:lang w:eastAsia="lt-LT"/>
                </w:rPr>
                <w:t>giminingų diagnozių grupė,</w:t>
              </w:r>
            </w:p>
            <w:p>
              <w:pPr>
                <w:tabs>
                  <w:tab w:val="left" w:pos="993"/>
                </w:tabs>
                <w:ind w:firstLine="567"/>
                <w:jc w:val="both"/>
                <w:rPr>
                  <w:szCs w:val="24"/>
                  <w:lang w:eastAsia="lt-LT"/>
                </w:rPr>
              </w:pPr>
              <w:r>
                <w:rPr>
                  <w:i/>
                  <w:szCs w:val="24"/>
                  <w:lang w:eastAsia="lt-LT"/>
                </w:rPr>
                <w:t xml:space="preserve">K </w:t>
              </w:r>
              <w:r>
                <w:rPr>
                  <w:szCs w:val="24"/>
                  <w:lang w:eastAsia="lt-LT"/>
                </w:rPr>
                <w:t>– tarptautinis koeficientas,</w:t>
              </w:r>
            </w:p>
            <w:p>
              <w:pPr>
                <w:ind w:firstLine="567"/>
                <w:jc w:val="both"/>
                <w:rPr>
                  <w:szCs w:val="24"/>
                  <w:lang w:eastAsia="lt-LT"/>
                </w:rPr>
              </w:pPr>
              <w:r>
                <w:rPr>
                  <w:i/>
                  <w:szCs w:val="24"/>
                  <w:lang w:eastAsia="lt-LT"/>
                </w:rPr>
                <w:t xml:space="preserve">SG – </w:t>
              </w:r>
              <w:r>
                <w:rPr>
                  <w:szCs w:val="24"/>
                  <w:lang w:eastAsia="lt-LT"/>
                </w:rPr>
                <w:t>sąnaudų grupė;</w:t>
              </w:r>
            </w:p>
            <w:p>
              <w:pPr>
                <w:ind w:firstLine="567"/>
                <w:jc w:val="both"/>
                <w:rPr>
                  <w:szCs w:val="24"/>
                  <w:lang w:eastAsia="lt-LT"/>
                </w:rPr>
              </w:pPr>
            </w:p>
            <w:sdt>
              <w:sdtPr>
                <w:alias w:val="3 pr. 4.2 pp."/>
                <w:tag w:val="part_8db2524412dc4eada5abf114f9df5db5"/>
                <w:lock w:val="sdtLocked"/>
                <w:richText/>
              </w:sdtPr>
              <w:sdtContent>
                <w:p>
                  <w:pPr>
                    <w:ind w:firstLine="567"/>
                    <w:jc w:val="both"/>
                    <w:rPr>
                      <w:szCs w:val="24"/>
                      <w:lang w:eastAsia="lt-LT"/>
                    </w:rPr>
                  </w:pPr>
                  <w:sdt>
                    <w:sdtPr>
                      <w:alias w:val="Numeris"/>
                      <w:tag w:val="nr_8db2524412dc4eada5abf114f9df5db5"/>
                      <w:lock w:val="sdtLocked"/>
                      <w:richText/>
                    </w:sdtPr>
                    <w:sdtContent>
                      <w:r>
                        <w:rPr>
                          <w:szCs w:val="24"/>
                          <w:lang w:eastAsia="lt-LT"/>
                        </w:rPr>
                        <w:t>4.2</w:t>
                      </w:r>
                    </w:sdtContent>
                  </w:sdt>
                  <w:r>
                    <w:rPr>
                      <w:szCs w:val="24"/>
                      <w:lang w:eastAsia="lt-LT"/>
                    </w:rPr>
                    <w:t>. jei minimali gydymo trukmė yra 2 lovadieniai arba ilgesnė, kiekvienos sąnaudų grupės, išskyrus nurodytąsias šio priedo 4.1 punkte, koeficientas apskaičiuojamas tarptautinį atitinkamos sąnaudų grupės koeficientą dalijant iš minimalios gydymo trukmės:</w:t>
                  </w:r>
                </w:p>
                <w:p>
                  <w:pPr>
                    <w:tabs>
                      <w:tab w:val="left" w:pos="993"/>
                    </w:tabs>
                    <w:ind w:firstLine="567"/>
                    <w:jc w:val="both"/>
                    <w:rPr>
                      <w:szCs w:val="24"/>
                      <w:lang w:eastAsia="lt-LT"/>
                    </w:rPr>
                  </w:pPr>
                </w:p>
                <w:p>
                  <w:pPr>
                    <w:tabs>
                      <w:tab w:val="left" w:pos="993"/>
                    </w:tabs>
                    <w:jc w:val="center"/>
                    <w:rPr>
                      <w:szCs w:val="24"/>
                      <w:lang w:eastAsia="lt-LT"/>
                    </w:rPr>
                  </w:pPr>
                  <w:r>
                    <w:rPr>
                      <w:position w:val="-30"/>
                      <w:szCs w:val="24"/>
                      <w:lang w:eastAsia="lt-LT"/>
                    </w:rPr>
                    <w:object w:dxaOrig="2985" w:dyaOrig="675">
                      <v:shape id="_x0000_i1044" type="#_x0000_t75" style="width:150.25pt;height:33.8pt" o:ole="">
                        <v:imagedata r:id="rId63" o:title=""/>
                      </v:shape>
                      <o:OLEObject Type="Embed" ProgID="Equation.3" ShapeID="_x0000_i1044" DrawAspect="Content" ObjectID="_0000000001" r:id="rId64"/>
                    </w:object>
                  </w:r>
                  <w:r>
                    <w:rPr>
                      <w:szCs w:val="24"/>
                      <w:lang w:eastAsia="lt-LT"/>
                    </w:rPr>
                    <w:t>,</w:t>
                  </w:r>
                </w:p>
                <w:p>
                  <w:pPr>
                    <w:tabs>
                      <w:tab w:val="left" w:pos="993"/>
                    </w:tabs>
                    <w:jc w:val="center"/>
                    <w:rPr>
                      <w:szCs w:val="24"/>
                      <w:lang w:eastAsia="lt-LT"/>
                    </w:rPr>
                  </w:pPr>
                </w:p>
                <w:p>
                  <w:pPr>
                    <w:tabs>
                      <w:tab w:val="left" w:pos="993"/>
                    </w:tabs>
                    <w:ind w:firstLine="567"/>
                    <w:jc w:val="both"/>
                    <w:rPr>
                      <w:szCs w:val="24"/>
                      <w:lang w:eastAsia="lt-LT"/>
                    </w:rPr>
                  </w:pPr>
                </w:p>
                <w:p>
                  <w:pPr>
                    <w:tabs>
                      <w:tab w:val="left" w:pos="993"/>
                    </w:tabs>
                    <w:ind w:firstLine="567"/>
                    <w:jc w:val="both"/>
                    <w:rPr>
                      <w:i/>
                      <w:szCs w:val="24"/>
                      <w:lang w:eastAsia="lt-LT"/>
                    </w:rPr>
                  </w:pPr>
                  <w:r>
                    <w:rPr>
                      <w:szCs w:val="24"/>
                      <w:lang w:eastAsia="lt-LT"/>
                    </w:rPr>
                    <w:t>kai:</w:t>
                  </w:r>
                </w:p>
                <w:p>
                  <w:pPr>
                    <w:tabs>
                      <w:tab w:val="left" w:pos="993"/>
                    </w:tabs>
                    <w:ind w:firstLine="567"/>
                    <w:jc w:val="both"/>
                    <w:rPr>
                      <w:szCs w:val="24"/>
                      <w:lang w:eastAsia="lt-LT"/>
                    </w:rPr>
                  </w:pPr>
                  <w:r>
                    <w:rPr>
                      <w:i/>
                      <w:szCs w:val="24"/>
                      <w:lang w:eastAsia="lt-LT"/>
                    </w:rPr>
                    <w:t>PK</w:t>
                  </w:r>
                  <w:r>
                    <w:rPr>
                      <w:szCs w:val="24"/>
                      <w:lang w:eastAsia="lt-LT"/>
                    </w:rPr>
                    <w:t xml:space="preserve"> – paros gydymo kainos koeficientas,</w:t>
                  </w:r>
                </w:p>
                <w:p>
                  <w:pPr>
                    <w:ind w:firstLine="567"/>
                    <w:jc w:val="both"/>
                    <w:rPr>
                      <w:szCs w:val="24"/>
                      <w:lang w:eastAsia="lt-LT"/>
                    </w:rPr>
                  </w:pPr>
                  <w:r>
                    <w:rPr>
                      <w:i/>
                      <w:szCs w:val="24"/>
                      <w:lang w:eastAsia="lt-LT"/>
                    </w:rPr>
                    <w:t>DRG</w:t>
                  </w:r>
                  <w:r>
                    <w:rPr>
                      <w:szCs w:val="24"/>
                      <w:lang w:eastAsia="lt-LT"/>
                    </w:rPr>
                    <w:t xml:space="preserve"> – giminingų diagnozių grupė,</w:t>
                  </w:r>
                </w:p>
                <w:p>
                  <w:pPr>
                    <w:tabs>
                      <w:tab w:val="left" w:pos="993"/>
                    </w:tabs>
                    <w:ind w:firstLine="567"/>
                    <w:jc w:val="both"/>
                    <w:rPr>
                      <w:szCs w:val="24"/>
                      <w:lang w:eastAsia="lt-LT"/>
                    </w:rPr>
                  </w:pPr>
                  <w:r>
                    <w:rPr>
                      <w:i/>
                      <w:szCs w:val="24"/>
                      <w:lang w:eastAsia="lt-LT"/>
                    </w:rPr>
                    <w:t xml:space="preserve">K </w:t>
                  </w:r>
                  <w:r>
                    <w:rPr>
                      <w:szCs w:val="24"/>
                      <w:lang w:eastAsia="lt-LT"/>
                    </w:rPr>
                    <w:t>– tarptautinis koeficientas,</w:t>
                  </w:r>
                </w:p>
                <w:p>
                  <w:pPr>
                    <w:tabs>
                      <w:tab w:val="left" w:pos="993"/>
                    </w:tabs>
                    <w:ind w:firstLine="567"/>
                    <w:jc w:val="both"/>
                    <w:rPr>
                      <w:szCs w:val="24"/>
                      <w:lang w:eastAsia="lt-LT"/>
                    </w:rPr>
                  </w:pPr>
                  <w:r>
                    <w:rPr>
                      <w:i/>
                      <w:szCs w:val="24"/>
                      <w:lang w:eastAsia="lt-LT"/>
                    </w:rPr>
                    <w:t>SG</w:t>
                  </w:r>
                  <w:r>
                    <w:rPr>
                      <w:szCs w:val="24"/>
                      <w:lang w:eastAsia="lt-LT"/>
                    </w:rPr>
                    <w:t xml:space="preserve"> – sąnaudų grupė,</w:t>
                  </w:r>
                </w:p>
                <w:p>
                  <w:pPr>
                    <w:tabs>
                      <w:tab w:val="left" w:pos="993"/>
                    </w:tabs>
                    <w:ind w:firstLine="567"/>
                    <w:jc w:val="both"/>
                    <w:rPr>
                      <w:szCs w:val="24"/>
                      <w:lang w:eastAsia="lt-LT"/>
                    </w:rPr>
                  </w:pPr>
                  <w:r>
                    <w:rPr>
                      <w:i/>
                      <w:szCs w:val="24"/>
                      <w:lang w:eastAsia="lt-LT"/>
                    </w:rPr>
                    <w:t>TMIN</w:t>
                  </w:r>
                  <w:r>
                    <w:rPr>
                      <w:szCs w:val="24"/>
                      <w:lang w:eastAsia="lt-LT"/>
                    </w:rPr>
                    <w:t xml:space="preserve"> – minimali gydymo trukmė;</w:t>
                  </w:r>
                </w:p>
                <w:p>
                  <w:pPr>
                    <w:tabs>
                      <w:tab w:val="left" w:pos="993"/>
                    </w:tabs>
                    <w:ind w:firstLine="567"/>
                    <w:jc w:val="both"/>
                    <w:rPr>
                      <w:szCs w:val="24"/>
                      <w:lang w:eastAsia="lt-LT"/>
                    </w:rPr>
                  </w:pPr>
                </w:p>
              </w:sdtContent>
            </w:sdt>
            <w:sdt>
              <w:sdtPr>
                <w:alias w:val="3 pr. 4.3 pp."/>
                <w:tag w:val="part_3647616c12aa4abe843a30507d80ef8b"/>
                <w:lock w:val="sdtLocked"/>
                <w:richText/>
              </w:sdtPr>
              <w:sdtContent>
                <w:p>
                  <w:pPr>
                    <w:tabs>
                      <w:tab w:val="left" w:pos="993"/>
                    </w:tabs>
                    <w:ind w:firstLine="567"/>
                    <w:jc w:val="both"/>
                    <w:rPr>
                      <w:szCs w:val="24"/>
                      <w:lang w:eastAsia="lt-LT"/>
                    </w:rPr>
                  </w:pPr>
                  <w:sdt>
                    <w:sdtPr>
                      <w:alias w:val="Numeris"/>
                      <w:tag w:val="nr_3647616c12aa4abe843a30507d80ef8b"/>
                      <w:lock w:val="sdtLocked"/>
                      <w:richText/>
                    </w:sdtPr>
                    <w:sdtContent>
                      <w:r>
                        <w:rPr>
                          <w:szCs w:val="24"/>
                          <w:lang w:eastAsia="lt-LT"/>
                        </w:rPr>
                        <w:t>4.3</w:t>
                      </w:r>
                    </w:sdtContent>
                  </w:sdt>
                  <w:r>
                    <w:rPr>
                      <w:szCs w:val="24"/>
                      <w:lang w:eastAsia="lt-LT"/>
                    </w:rPr>
                    <w:t>. jei giminingų diagnozių grupei yra priskirtas požymis „dienos paslauga“ arba jei minimali gydymo trukmė yra lygi 1 lovadieniui, šis koeficientas neskaičiuojamas.</w:t>
                  </w:r>
                </w:p>
              </w:sdtContent>
            </w:sdt>
            <w:sdt>
              <w:sdtPr>
                <w:alias w:val="3 pr. 5 p."/>
                <w:tag w:val="part_5936d5d67c5a438291d973a0736610d5"/>
                <w:lock w:val="sdtLocked"/>
                <w:richText/>
              </w:sdtPr>
              <w:sdtContent>
                <w:p>
                  <w:pPr>
                    <w:tabs>
                      <w:tab w:val="left" w:pos="851"/>
                    </w:tabs>
                    <w:ind w:firstLine="567"/>
                    <w:jc w:val="both"/>
                    <w:rPr>
                      <w:szCs w:val="24"/>
                      <w:lang w:eastAsia="lt-LT"/>
                    </w:rPr>
                  </w:pPr>
                  <w:sdt>
                    <w:sdtPr>
                      <w:alias w:val="Numeris"/>
                      <w:tag w:val="nr_5936d5d67c5a438291d973a0736610d5"/>
                      <w:lock w:val="sdtLocked"/>
                      <w:richText/>
                    </w:sdtPr>
                    <w:sdtContent>
                      <w:r>
                        <w:rPr>
                          <w:szCs w:val="24"/>
                          <w:lang w:eastAsia="lt-LT"/>
                        </w:rPr>
                        <w:t>5</w:t>
                      </w:r>
                    </w:sdtContent>
                  </w:sdt>
                  <w:r>
                    <w:rPr>
                      <w:szCs w:val="24"/>
                      <w:lang w:eastAsia="lt-LT"/>
                    </w:rPr>
                    <w:t>. Vidutinės trukmės aktyviojo gydymo atvejo kainos koeficientas, kai gydymo trukmė yra ilgesnė nei minimali gydymo trukmė arba lygi jai ir trumpesnė nei maksimali gydymo trukmė arba lygi jai, skaičiuojamas pagal sąnaudų grupes taip:</w:t>
                  </w:r>
                </w:p>
                <w:sdt>
                  <w:sdtPr>
                    <w:alias w:val="3 pr. 5.1 pp."/>
                    <w:tag w:val="part_690b190bedc14b6d8a914d7bfc0c718e"/>
                    <w:lock w:val="sdtLocked"/>
                    <w:richText/>
                  </w:sdtPr>
                  <w:sdtContent>
                    <w:p>
                      <w:pPr>
                        <w:tabs>
                          <w:tab w:val="left" w:pos="851"/>
                        </w:tabs>
                        <w:ind w:firstLine="567"/>
                        <w:jc w:val="both"/>
                        <w:rPr>
                          <w:szCs w:val="24"/>
                          <w:lang w:eastAsia="lt-LT"/>
                        </w:rPr>
                      </w:pPr>
                      <w:sdt>
                        <w:sdtPr>
                          <w:alias w:val="Numeris"/>
                          <w:tag w:val="nr_690b190bedc14b6d8a914d7bfc0c718e"/>
                          <w:lock w:val="sdtLocked"/>
                          <w:richText/>
                        </w:sdtPr>
                        <w:sdtContent>
                          <w:r>
                            <w:rPr>
                              <w:szCs w:val="24"/>
                              <w:lang w:eastAsia="lt-LT"/>
                            </w:rPr>
                            <w:t>5.1</w:t>
                          </w:r>
                        </w:sdtContent>
                      </w:sdt>
                      <w:r>
                        <w:rPr>
                          <w:szCs w:val="24"/>
                          <w:lang w:eastAsia="lt-LT"/>
                        </w:rPr>
                        <w:t>. kiekvienos sąnaudų grupės, išskyrus atvejus, kai giminingų diagnozių grupei yra priskirtas požymis „dienos paslauga“, koeficientas yra lygus tarptautiniam atitinkamos sąnaudų grupės koeficientui:</w:t>
                      </w:r>
                    </w:p>
                    <w:p>
                      <w:pPr>
                        <w:tabs>
                          <w:tab w:val="left" w:pos="993"/>
                        </w:tabs>
                        <w:ind w:firstLine="567"/>
                        <w:jc w:val="both"/>
                        <w:rPr>
                          <w:position w:val="-12"/>
                          <w:szCs w:val="24"/>
                          <w:lang w:eastAsia="lt-LT"/>
                        </w:rPr>
                      </w:pPr>
                    </w:p>
                  </w:sdtContent>
                </w:sdt>
              </w:sdtContent>
            </w:sdt>
          </w:sdtContent>
        </w:sdt>
        <w:sdt>
          <w:sdtPr>
            <w:alias w:val="skirsnis"/>
            <w:tag w:val="part_4072935d29aa49bab42f908248757a1d"/>
            <w:lock w:val="sdtLocked"/>
            <w:richText/>
          </w:sdtPr>
          <w:sdtContent>
            <w:p>
              <w:pPr>
                <w:tabs>
                  <w:tab w:val="left" w:pos="993"/>
                </w:tabs>
                <w:jc w:val="center"/>
              </w:pPr>
              <w:sdt>
                <w:sdtPr>
                  <w:alias w:val="Pavadinimas"/>
                  <w:tag w:val="title_4072935d29aa49bab42f908248757a1d"/>
                  <w:lock w:val="sdtLocked"/>
                  <w:richText/>
                </w:sdtPr>
                <w:sdtContent>
                  <w:r>
                    <w:rPr>
                      <w:szCs w:val="24"/>
                      <w:lang w:eastAsia="lt-LT"/>
                    </w:rPr>
                    <w:t>AK</w:t>
                  </w:r>
                  <w:r>
                    <w:rPr>
                      <w:szCs w:val="24"/>
                      <w:vertAlign w:val="subscript"/>
                      <w:lang w:eastAsia="lt-LT"/>
                    </w:rPr>
                    <w:t>SG,DRG</w:t>
                  </w:r>
                  <w:r>
                    <w:rPr>
                      <w:szCs w:val="24"/>
                      <w:lang w:eastAsia="lt-LT"/>
                    </w:rPr>
                    <w:t xml:space="preserve"> = K</w:t>
                  </w:r>
                  <w:r>
                    <w:rPr>
                      <w:szCs w:val="24"/>
                      <w:vertAlign w:val="subscript"/>
                      <w:lang w:eastAsia="lt-LT"/>
                    </w:rPr>
                    <w:t>SG,DRG</w:t>
                  </w:r>
                  <w:r>
                    <w:rPr>
                      <w:szCs w:val="24"/>
                      <w:lang w:eastAsia="lt-LT"/>
                    </w:rPr>
                    <w:t>,</w:t>
                  </w:r>
                </w:sdtContent>
              </w:sdt>
            </w:p>
            <w:p>
              <w:pPr>
                <w:tabs>
                  <w:tab w:val="left" w:pos="993"/>
                </w:tabs>
                <w:jc w:val="center"/>
                <w:rPr>
                  <w:szCs w:val="24"/>
                  <w:lang w:eastAsia="lt-LT"/>
                </w:rPr>
              </w:pPr>
            </w:p>
            <w:p>
              <w:pPr>
                <w:tabs>
                  <w:tab w:val="left" w:pos="993"/>
                </w:tabs>
                <w:ind w:firstLine="567"/>
                <w:jc w:val="both"/>
                <w:rPr>
                  <w:position w:val="-12"/>
                  <w:szCs w:val="24"/>
                  <w:lang w:eastAsia="lt-LT"/>
                </w:rPr>
              </w:pPr>
            </w:p>
            <w:p>
              <w:pPr>
                <w:tabs>
                  <w:tab w:val="left" w:pos="993"/>
                </w:tabs>
                <w:ind w:firstLine="567"/>
                <w:jc w:val="both"/>
                <w:rPr>
                  <w:szCs w:val="24"/>
                  <w:lang w:eastAsia="lt-LT"/>
                </w:rPr>
              </w:pPr>
              <w:r>
                <w:rPr>
                  <w:szCs w:val="24"/>
                  <w:lang w:eastAsia="lt-LT"/>
                </w:rPr>
                <w:t>kai:</w:t>
              </w:r>
            </w:p>
            <w:p>
              <w:pPr>
                <w:tabs>
                  <w:tab w:val="left" w:pos="993"/>
                </w:tabs>
                <w:ind w:firstLine="567"/>
                <w:jc w:val="both"/>
                <w:rPr>
                  <w:szCs w:val="24"/>
                  <w:lang w:eastAsia="lt-LT"/>
                </w:rPr>
              </w:pPr>
              <w:r>
                <w:rPr>
                  <w:i/>
                  <w:szCs w:val="24"/>
                  <w:lang w:eastAsia="lt-LT"/>
                </w:rPr>
                <w:t>AK</w:t>
              </w:r>
              <w:r>
                <w:rPr>
                  <w:szCs w:val="24"/>
                  <w:lang w:eastAsia="lt-LT"/>
                </w:rPr>
                <w:t xml:space="preserve"> – vidutinės trukmės aktyviojo gydymo atvejo kainos koeficientas, kai gydymo trukmė ilgesnė nei minimali gydymo trukmė arba lygi jai ir trumpesnė nei maksimali gydymo trukmė arba lygi jai,</w:t>
              </w:r>
            </w:p>
            <w:p>
              <w:pPr>
                <w:tabs>
                  <w:tab w:val="left" w:pos="993"/>
                </w:tabs>
                <w:ind w:firstLine="567"/>
                <w:jc w:val="both"/>
                <w:rPr>
                  <w:szCs w:val="24"/>
                  <w:lang w:eastAsia="lt-LT"/>
                </w:rPr>
              </w:pPr>
              <w:r>
                <w:rPr>
                  <w:i/>
                  <w:szCs w:val="24"/>
                  <w:lang w:eastAsia="lt-LT"/>
                </w:rPr>
                <w:t>DRG</w:t>
              </w:r>
              <w:r>
                <w:rPr>
                  <w:szCs w:val="24"/>
                  <w:lang w:eastAsia="lt-LT"/>
                </w:rPr>
                <w:t xml:space="preserve"> – giminingų diagnozių grupė,</w:t>
              </w:r>
            </w:p>
            <w:p>
              <w:pPr>
                <w:tabs>
                  <w:tab w:val="left" w:pos="993"/>
                </w:tabs>
                <w:ind w:firstLine="567"/>
                <w:jc w:val="both"/>
                <w:rPr>
                  <w:szCs w:val="24"/>
                  <w:lang w:eastAsia="lt-LT"/>
                </w:rPr>
              </w:pPr>
              <w:r>
                <w:rPr>
                  <w:i/>
                  <w:szCs w:val="24"/>
                  <w:lang w:eastAsia="lt-LT"/>
                </w:rPr>
                <w:t xml:space="preserve">K </w:t>
              </w:r>
              <w:r>
                <w:rPr>
                  <w:szCs w:val="24"/>
                  <w:lang w:eastAsia="lt-LT"/>
                </w:rPr>
                <w:t>– tarptautinis koeficientas,</w:t>
              </w:r>
            </w:p>
            <w:p>
              <w:pPr>
                <w:tabs>
                  <w:tab w:val="left" w:pos="993"/>
                </w:tabs>
                <w:ind w:firstLine="567"/>
                <w:jc w:val="both"/>
                <w:rPr>
                  <w:szCs w:val="24"/>
                  <w:lang w:eastAsia="lt-LT"/>
                </w:rPr>
              </w:pPr>
              <w:r>
                <w:rPr>
                  <w:i/>
                  <w:szCs w:val="24"/>
                  <w:lang w:eastAsia="lt-LT"/>
                </w:rPr>
                <w:t>SG</w:t>
              </w:r>
              <w:r>
                <w:rPr>
                  <w:szCs w:val="24"/>
                  <w:lang w:eastAsia="lt-LT"/>
                </w:rPr>
                <w:t xml:space="preserve"> – sąnaudų grupė;</w:t>
              </w:r>
            </w:p>
            <w:p>
              <w:pPr>
                <w:tabs>
                  <w:tab w:val="left" w:pos="993"/>
                </w:tabs>
                <w:ind w:firstLine="567"/>
                <w:jc w:val="both"/>
                <w:rPr>
                  <w:szCs w:val="24"/>
                  <w:lang w:eastAsia="lt-LT"/>
                </w:rPr>
              </w:pPr>
            </w:p>
            <w:sdt>
              <w:sdtPr>
                <w:alias w:val="3 pr. 5.2 pp."/>
                <w:tag w:val="part_4fe3b09dcfaf48cca773560b73e1e2ec"/>
                <w:lock w:val="sdtLocked"/>
                <w:richText/>
              </w:sdtPr>
              <w:sdtContent>
                <w:p>
                  <w:pPr>
                    <w:tabs>
                      <w:tab w:val="left" w:pos="851"/>
                    </w:tabs>
                    <w:ind w:firstLine="567"/>
                    <w:jc w:val="both"/>
                    <w:rPr>
                      <w:szCs w:val="24"/>
                      <w:lang w:eastAsia="lt-LT"/>
                    </w:rPr>
                  </w:pPr>
                  <w:sdt>
                    <w:sdtPr>
                      <w:alias w:val="Numeris"/>
                      <w:tag w:val="nr_4fe3b09dcfaf48cca773560b73e1e2ec"/>
                      <w:lock w:val="sdtLocked"/>
                      <w:richText/>
                    </w:sdtPr>
                    <w:sdtContent>
                      <w:r>
                        <w:rPr>
                          <w:szCs w:val="24"/>
                          <w:lang w:eastAsia="lt-LT"/>
                        </w:rPr>
                        <w:t>5.2</w:t>
                      </w:r>
                    </w:sdtContent>
                  </w:sdt>
                  <w:r>
                    <w:rPr>
                      <w:szCs w:val="24"/>
                      <w:lang w:eastAsia="lt-LT"/>
                    </w:rPr>
                    <w:t>. jei giminingų diagnozių grupei priskiriamas požymis „dienos paslauga“, šis koeficientas neskaičiuojamas.</w:t>
                  </w:r>
                </w:p>
              </w:sdtContent>
            </w:sdt>
            <w:sdt>
              <w:sdtPr>
                <w:alias w:val="3 pr. 6 p."/>
                <w:tag w:val="part_0bf1cddac7b14249a76c272d72e60f79"/>
                <w:lock w:val="sdtLocked"/>
                <w:richText/>
              </w:sdtPr>
              <w:sdtContent>
                <w:p>
                  <w:pPr>
                    <w:tabs>
                      <w:tab w:val="left" w:pos="851"/>
                    </w:tabs>
                    <w:ind w:firstLine="567"/>
                    <w:jc w:val="both"/>
                    <w:rPr>
                      <w:szCs w:val="24"/>
                      <w:lang w:eastAsia="lt-LT"/>
                    </w:rPr>
                  </w:pPr>
                  <w:sdt>
                    <w:sdtPr>
                      <w:alias w:val="Numeris"/>
                      <w:tag w:val="nr_0bf1cddac7b14249a76c272d72e60f79"/>
                      <w:lock w:val="sdtLocked"/>
                      <w:richText/>
                    </w:sdtPr>
                    <w:sdtContent>
                      <w:r>
                        <w:rPr>
                          <w:szCs w:val="24"/>
                          <w:lang w:eastAsia="lt-LT"/>
                        </w:rPr>
                        <w:t>6</w:t>
                      </w:r>
                    </w:sdtContent>
                  </w:sdt>
                  <w:r>
                    <w:rPr>
                      <w:szCs w:val="24"/>
                      <w:lang w:eastAsia="lt-LT"/>
                    </w:rPr>
                    <w:t>. Lovadienio kainos koeficientas, kai gydymo trukmė yra trumpesnė nei minimali gydymo trukmė, skaičiuojamas pagal sąnaudų grupes taip:</w:t>
                  </w:r>
                </w:p>
                <w:sdt>
                  <w:sdtPr>
                    <w:alias w:val="3 pr. 6.1 pp."/>
                    <w:tag w:val="part_9b38a385d1f3446f873f5da132981207"/>
                    <w:lock w:val="sdtLocked"/>
                    <w:richText/>
                  </w:sdtPr>
                  <w:sdtContent>
                    <w:p>
                      <w:pPr>
                        <w:tabs>
                          <w:tab w:val="left" w:pos="851"/>
                        </w:tabs>
                        <w:ind w:firstLine="567"/>
                        <w:jc w:val="both"/>
                        <w:rPr>
                          <w:szCs w:val="24"/>
                          <w:lang w:eastAsia="lt-LT"/>
                        </w:rPr>
                      </w:pPr>
                      <w:sdt>
                        <w:sdtPr>
                          <w:alias w:val="Numeris"/>
                          <w:tag w:val="nr_9b38a385d1f3446f873f5da132981207"/>
                          <w:lock w:val="sdtLocked"/>
                          <w:richText/>
                        </w:sdtPr>
                        <w:sdtContent>
                          <w:r>
                            <w:rPr>
                              <w:szCs w:val="24"/>
                              <w:lang w:eastAsia="lt-LT"/>
                            </w:rPr>
                            <w:t>6.1</w:t>
                          </w:r>
                        </w:sdtContent>
                      </w:sdt>
                      <w:r>
                        <w:rPr>
                          <w:szCs w:val="24"/>
                          <w:lang w:eastAsia="lt-LT"/>
                        </w:rPr>
                        <w:t>. jei minimali gydymo trukmė yra ilgesnė nei 2 lovadieniai, kiekvienos sąnaudų grupės koeficientas apskaičiuojamas dalijant vidutinės trukmės aktyviojo gydymo atvejo kainos koeficientą iš minimalios gydymo trukmės (eliminavus pirmosios paros gydymo kainos koeficientą):</w:t>
                      </w:r>
                    </w:p>
                    <w:p>
                      <w:pPr>
                        <w:tabs>
                          <w:tab w:val="left" w:pos="851"/>
                        </w:tabs>
                        <w:ind w:firstLine="567"/>
                        <w:jc w:val="both"/>
                        <w:rPr>
                          <w:szCs w:val="24"/>
                          <w:lang w:eastAsia="lt-LT"/>
                        </w:rPr>
                      </w:pPr>
                    </w:p>
                    <w:p>
                      <w:pPr>
                        <w:tabs>
                          <w:tab w:val="left" w:pos="993"/>
                        </w:tabs>
                        <w:jc w:val="center"/>
                        <w:rPr>
                          <w:szCs w:val="24"/>
                          <w:lang w:eastAsia="lt-LT"/>
                        </w:rPr>
                      </w:pPr>
                      <w:r>
                        <w:rPr>
                          <w:position w:val="-30"/>
                          <w:szCs w:val="24"/>
                          <w:lang w:eastAsia="lt-LT"/>
                        </w:rPr>
                        <w:object w:dxaOrig="3645" w:dyaOrig="705">
                          <v:shape id="_x0000_i1045" type="#_x0000_t75" style="width:182.2pt;height:35.7pt" o:ole="">
                            <v:imagedata r:id="rId65" o:title=""/>
                          </v:shape>
                          <o:OLEObject Type="Embed" ProgID="Equation.3" ShapeID="_x0000_i1045" DrawAspect="Content" ObjectID="_0000000001" r:id="rId66"/>
                        </w:object>
                      </w:r>
                      <w:r>
                        <w:rPr>
                          <w:szCs w:val="24"/>
                          <w:lang w:eastAsia="lt-LT"/>
                        </w:rPr>
                        <w:t>,</w:t>
                      </w:r>
                    </w:p>
                    <w:p>
                      <w:pPr>
                        <w:tabs>
                          <w:tab w:val="left" w:pos="993"/>
                        </w:tabs>
                        <w:jc w:val="center"/>
                        <w:rPr>
                          <w:szCs w:val="24"/>
                          <w:lang w:eastAsia="lt-LT"/>
                        </w:rPr>
                      </w:pPr>
                    </w:p>
                    <w:p>
                      <w:pPr>
                        <w:tabs>
                          <w:tab w:val="left" w:pos="851"/>
                        </w:tabs>
                        <w:ind w:firstLine="567"/>
                        <w:jc w:val="both"/>
                        <w:rPr>
                          <w:szCs w:val="24"/>
                          <w:lang w:eastAsia="lt-LT"/>
                        </w:rPr>
                      </w:pPr>
                    </w:p>
                    <w:p>
                      <w:pPr>
                        <w:ind w:firstLine="567"/>
                        <w:jc w:val="both"/>
                        <w:rPr>
                          <w:i/>
                          <w:szCs w:val="24"/>
                          <w:lang w:eastAsia="lt-LT"/>
                        </w:rPr>
                      </w:pPr>
                      <w:r>
                        <w:rPr>
                          <w:szCs w:val="24"/>
                          <w:lang w:eastAsia="lt-LT"/>
                        </w:rPr>
                        <w:t>kai:</w:t>
                      </w:r>
                    </w:p>
                    <w:p>
                      <w:pPr>
                        <w:tabs>
                          <w:tab w:val="left" w:pos="993"/>
                        </w:tabs>
                        <w:ind w:firstLine="567"/>
                        <w:jc w:val="both"/>
                        <w:rPr>
                          <w:szCs w:val="24"/>
                          <w:lang w:eastAsia="lt-LT"/>
                        </w:rPr>
                      </w:pPr>
                      <w:r>
                        <w:rPr>
                          <w:i/>
                          <w:szCs w:val="24"/>
                          <w:lang w:eastAsia="lt-LT"/>
                        </w:rPr>
                        <w:t xml:space="preserve">LKMIN </w:t>
                      </w:r>
                      <w:r>
                        <w:rPr>
                          <w:szCs w:val="24"/>
                          <w:lang w:eastAsia="lt-LT"/>
                        </w:rPr>
                        <w:t>– lovadienio kainos koeficientas, kai gydymo trukmė yra trumpesnė nei minimali gydymo trukmė,</w:t>
                      </w:r>
                    </w:p>
                    <w:p>
                      <w:pPr>
                        <w:ind w:firstLine="567"/>
                        <w:jc w:val="both"/>
                        <w:rPr>
                          <w:szCs w:val="24"/>
                          <w:lang w:eastAsia="lt-LT"/>
                        </w:rPr>
                      </w:pPr>
                      <w:r>
                        <w:rPr>
                          <w:i/>
                          <w:szCs w:val="24"/>
                          <w:lang w:eastAsia="lt-LT"/>
                        </w:rPr>
                        <w:t>AK</w:t>
                      </w:r>
                      <w:r>
                        <w:rPr>
                          <w:szCs w:val="24"/>
                          <w:lang w:eastAsia="lt-LT"/>
                        </w:rPr>
                        <w:t xml:space="preserve"> – vidutinės trukmės aktyviojo gydymo atvejo kainos koeficientas, kai gydymo trukmė ilgesnė nei minimali gydymo trukmė arba lygi jai ir trumpesnė nei maksimali gydymo trukmė arba lygi jai,</w:t>
                      </w:r>
                    </w:p>
                    <w:p>
                      <w:pPr>
                        <w:tabs>
                          <w:tab w:val="left" w:pos="993"/>
                        </w:tabs>
                        <w:ind w:firstLine="567"/>
                        <w:jc w:val="both"/>
                        <w:rPr>
                          <w:szCs w:val="24"/>
                          <w:lang w:eastAsia="lt-LT"/>
                        </w:rPr>
                      </w:pPr>
                      <w:r>
                        <w:rPr>
                          <w:i/>
                          <w:szCs w:val="24"/>
                          <w:lang w:eastAsia="lt-LT"/>
                        </w:rPr>
                        <w:t xml:space="preserve">DRG </w:t>
                      </w:r>
                      <w:r>
                        <w:rPr>
                          <w:szCs w:val="24"/>
                          <w:lang w:eastAsia="lt-LT"/>
                        </w:rPr>
                        <w:t>– giminingų diagnozių grupė,</w:t>
                      </w:r>
                    </w:p>
                    <w:p>
                      <w:pPr>
                        <w:tabs>
                          <w:tab w:val="left" w:pos="993"/>
                        </w:tabs>
                        <w:ind w:firstLine="567"/>
                        <w:jc w:val="both"/>
                        <w:rPr>
                          <w:szCs w:val="24"/>
                          <w:lang w:eastAsia="lt-LT"/>
                        </w:rPr>
                      </w:pPr>
                      <w:r>
                        <w:rPr>
                          <w:i/>
                          <w:szCs w:val="24"/>
                          <w:lang w:eastAsia="lt-LT"/>
                        </w:rPr>
                        <w:t xml:space="preserve">PK </w:t>
                      </w:r>
                      <w:r>
                        <w:rPr>
                          <w:szCs w:val="24"/>
                          <w:lang w:eastAsia="lt-LT"/>
                        </w:rPr>
                        <w:t>– paros gydymo kainos koeficientas,</w:t>
                      </w:r>
                    </w:p>
                    <w:p>
                      <w:pPr>
                        <w:tabs>
                          <w:tab w:val="left" w:pos="993"/>
                        </w:tabs>
                        <w:ind w:firstLine="567"/>
                        <w:jc w:val="both"/>
                        <w:rPr>
                          <w:szCs w:val="24"/>
                          <w:lang w:eastAsia="lt-LT"/>
                        </w:rPr>
                      </w:pPr>
                      <w:r>
                        <w:rPr>
                          <w:i/>
                          <w:szCs w:val="24"/>
                          <w:lang w:eastAsia="lt-LT"/>
                        </w:rPr>
                        <w:t>SG</w:t>
                      </w:r>
                      <w:r>
                        <w:rPr>
                          <w:szCs w:val="24"/>
                          <w:lang w:eastAsia="lt-LT"/>
                        </w:rPr>
                        <w:t xml:space="preserve"> – sąnaudų grupė,</w:t>
                      </w:r>
                    </w:p>
                    <w:p>
                      <w:pPr>
                        <w:tabs>
                          <w:tab w:val="left" w:pos="993"/>
                        </w:tabs>
                        <w:ind w:firstLine="567"/>
                        <w:jc w:val="both"/>
                        <w:rPr>
                          <w:szCs w:val="24"/>
                          <w:lang w:eastAsia="lt-LT"/>
                        </w:rPr>
                      </w:pPr>
                      <w:r>
                        <w:rPr>
                          <w:i/>
                          <w:szCs w:val="24"/>
                          <w:lang w:eastAsia="lt-LT"/>
                        </w:rPr>
                        <w:t>TMIN</w:t>
                      </w:r>
                      <w:r>
                        <w:rPr>
                          <w:szCs w:val="24"/>
                          <w:lang w:eastAsia="lt-LT"/>
                        </w:rPr>
                        <w:t xml:space="preserve"> – minimali gydymo trukmė;</w:t>
                      </w:r>
                    </w:p>
                    <w:p>
                      <w:pPr>
                        <w:tabs>
                          <w:tab w:val="left" w:pos="993"/>
                        </w:tabs>
                        <w:ind w:firstLine="567"/>
                        <w:jc w:val="both"/>
                        <w:rPr>
                          <w:szCs w:val="24"/>
                          <w:lang w:eastAsia="lt-LT"/>
                        </w:rPr>
                      </w:pPr>
                    </w:p>
                  </w:sdtContent>
                </w:sdt>
                <w:sdt>
                  <w:sdtPr>
                    <w:alias w:val="3 pr. 6.2 pp."/>
                    <w:tag w:val="part_0045d3381b7f44a581da983df7ed9a1f"/>
                    <w:lock w:val="sdtLocked"/>
                    <w:richText/>
                  </w:sdtPr>
                  <w:sdtContent>
                    <w:p>
                      <w:pPr>
                        <w:tabs>
                          <w:tab w:val="left" w:pos="993"/>
                        </w:tabs>
                        <w:ind w:firstLine="567"/>
                        <w:jc w:val="both"/>
                        <w:rPr>
                          <w:szCs w:val="24"/>
                          <w:lang w:eastAsia="lt-LT"/>
                        </w:rPr>
                      </w:pPr>
                      <w:sdt>
                        <w:sdtPr>
                          <w:alias w:val="Numeris"/>
                          <w:tag w:val="nr_0045d3381b7f44a581da983df7ed9a1f"/>
                          <w:lock w:val="sdtLocked"/>
                          <w:richText/>
                        </w:sdtPr>
                        <w:sdtContent>
                          <w:r>
                            <w:rPr>
                              <w:szCs w:val="24"/>
                              <w:lang w:eastAsia="lt-LT"/>
                            </w:rPr>
                            <w:t>6.2</w:t>
                          </w:r>
                        </w:sdtContent>
                      </w:sdt>
                      <w:r>
                        <w:rPr>
                          <w:szCs w:val="24"/>
                          <w:lang w:eastAsia="lt-LT"/>
                        </w:rPr>
                        <w:t>. jei giminingų diagnozių grupei yra priskirtas požymis „dienos paslauga“ arba jei minimali gydymo trukmė yra 2 lovadieniai arba trumpesnė, šis koeficientas neskaičiuojamas.</w:t>
                      </w:r>
                    </w:p>
                  </w:sdtContent>
                </w:sdt>
              </w:sdtContent>
            </w:sdt>
            <w:sdt>
              <w:sdtPr>
                <w:alias w:val="3 pr. 7 p."/>
                <w:tag w:val="part_4a6ce7fae88042888ac5b1f946362212"/>
                <w:lock w:val="sdtLocked"/>
                <w:richText/>
              </w:sdtPr>
              <w:sdtContent>
                <w:p>
                  <w:pPr>
                    <w:tabs>
                      <w:tab w:val="left" w:pos="851"/>
                    </w:tabs>
                    <w:ind w:firstLine="567"/>
                    <w:jc w:val="both"/>
                    <w:rPr>
                      <w:szCs w:val="24"/>
                      <w:lang w:eastAsia="lt-LT"/>
                    </w:rPr>
                  </w:pPr>
                  <w:sdt>
                    <w:sdtPr>
                      <w:alias w:val="Numeris"/>
                      <w:tag w:val="nr_4a6ce7fae88042888ac5b1f946362212"/>
                      <w:lock w:val="sdtLocked"/>
                      <w:richText/>
                    </w:sdtPr>
                    <w:sdtContent>
                      <w:r>
                        <w:rPr>
                          <w:szCs w:val="24"/>
                          <w:lang w:eastAsia="lt-LT"/>
                        </w:rPr>
                        <w:t>7</w:t>
                      </w:r>
                    </w:sdtContent>
                  </w:sdt>
                  <w:r>
                    <w:rPr>
                      <w:szCs w:val="24"/>
                      <w:lang w:eastAsia="lt-LT"/>
                    </w:rPr>
                    <w:t>. Nustatant pagal sąnaudų grupes lovadienio kainos koeficientą, kai gydymo trukmė ilgesnė nei maksimali gydymo trukmė, kiekvienos sąnaudų grupės, išskyrus „Operacijų“ ir „Protezų ir implantų“ sąnaudų grupes, koeficientas yra lygus tam tikrai vidutinės trukmės aktyviojo gydymo atvejo vieno lovadienio kainos vidutinio koeficiento (pagal atitinkamą sąnaudų grupę) daliai:</w:t>
                  </w:r>
                </w:p>
                <w:sdt>
                  <w:sdtPr>
                    <w:alias w:val="3 pr. 7.1 pp."/>
                    <w:tag w:val="part_6114b5b72f074c1ba9c1a2441d1bbfa3"/>
                    <w:lock w:val="sdtLocked"/>
                    <w:richText/>
                  </w:sdtPr>
                  <w:sdtContent>
                    <w:p>
                      <w:pPr>
                        <w:tabs>
                          <w:tab w:val="left" w:pos="851"/>
                        </w:tabs>
                        <w:ind w:firstLine="567"/>
                        <w:jc w:val="both"/>
                        <w:rPr>
                          <w:szCs w:val="24"/>
                          <w:lang w:eastAsia="lt-LT"/>
                        </w:rPr>
                      </w:pPr>
                      <w:sdt>
                        <w:sdtPr>
                          <w:alias w:val="Numeris"/>
                          <w:tag w:val="nr_6114b5b72f074c1ba9c1a2441d1bbfa3"/>
                          <w:lock w:val="sdtLocked"/>
                          <w:richText/>
                        </w:sdtPr>
                        <w:sdtContent>
                          <w:r>
                            <w:rPr>
                              <w:szCs w:val="24"/>
                              <w:lang w:eastAsia="lt-LT"/>
                            </w:rPr>
                            <w:t>7.1</w:t>
                          </w:r>
                        </w:sdtContent>
                      </w:sdt>
                      <w:r>
                        <w:rPr>
                          <w:szCs w:val="24"/>
                          <w:lang w:eastAsia="lt-LT"/>
                        </w:rPr>
                        <w:t>. jei giminingų diagnozių grupė yra chirurginio pobūdžio ir jai nepriskirtas požymis „dienos paslauga“, sąnaudų grupės „Vaistinė“ koeficientas yra lygus vidutinės trukmės aktyviojo gydymo atvejo vieno lovadienio kainos vidutinio koeficiento (pagal šią sąnaudų grupę) dešimčiai procentų:</w:t>
                      </w:r>
                    </w:p>
                    <w:p>
                      <w:pPr>
                        <w:tabs>
                          <w:tab w:val="left" w:pos="993"/>
                        </w:tabs>
                        <w:ind w:firstLine="567"/>
                        <w:jc w:val="both"/>
                        <w:rPr>
                          <w:szCs w:val="24"/>
                          <w:lang w:eastAsia="lt-LT"/>
                        </w:rPr>
                      </w:pPr>
                    </w:p>
                    <w:p>
                      <w:pPr>
                        <w:tabs>
                          <w:tab w:val="left" w:pos="993"/>
                        </w:tabs>
                        <w:jc w:val="center"/>
                        <w:rPr>
                          <w:szCs w:val="24"/>
                          <w:lang w:eastAsia="lt-LT"/>
                        </w:rPr>
                      </w:pPr>
                      <w:r>
                        <w:rPr>
                          <w:position w:val="-30"/>
                          <w:szCs w:val="24"/>
                          <w:lang w:eastAsia="lt-LT"/>
                        </w:rPr>
                        <w:object w:dxaOrig="2985" w:dyaOrig="675">
                          <v:shape id="_x0000_i1046" type="#_x0000_t75" style="width:150.25pt;height:33.8pt" o:ole="">
                            <v:imagedata r:id="rId67" o:title=""/>
                          </v:shape>
                          <o:OLEObject Type="Embed" ProgID="Equation.3" ShapeID="_x0000_i1046" DrawAspect="Content" ObjectID="_0000000001" r:id="rId68"/>
                        </w:object>
                      </w:r>
                      <w:r>
                        <w:rPr>
                          <w:szCs w:val="24"/>
                          <w:lang w:eastAsia="lt-LT"/>
                        </w:rPr>
                        <w:t>,</w:t>
                      </w:r>
                    </w:p>
                    <w:p>
                      <w:pPr>
                        <w:tabs>
                          <w:tab w:val="left" w:pos="993"/>
                        </w:tabs>
                        <w:jc w:val="center"/>
                        <w:rPr>
                          <w:szCs w:val="24"/>
                          <w:lang w:eastAsia="lt-LT"/>
                        </w:rPr>
                      </w:pPr>
                      <w:r>
                        <w:rPr>
                          <w:vanish/>
                          <w:szCs w:val="24"/>
                          <w:lang w:eastAsia="lt-LT"/>
                        </w:rPr>
                        <w:t>,</w:t>
                      </w:r>
                    </w:p>
                    <w:p>
                      <w:pPr>
                        <w:tabs>
                          <w:tab w:val="left" w:pos="993"/>
                        </w:tabs>
                        <w:ind w:firstLine="567"/>
                        <w:jc w:val="both"/>
                        <w:rPr>
                          <w:szCs w:val="24"/>
                          <w:lang w:eastAsia="lt-LT"/>
                        </w:rPr>
                      </w:pPr>
                    </w:p>
                    <w:p>
                      <w:pPr>
                        <w:tabs>
                          <w:tab w:val="left" w:pos="993"/>
                        </w:tabs>
                        <w:ind w:firstLine="567"/>
                        <w:jc w:val="both"/>
                        <w:rPr>
                          <w:szCs w:val="24"/>
                          <w:lang w:eastAsia="lt-LT"/>
                        </w:rPr>
                      </w:pPr>
                      <w:r>
                        <w:rPr>
                          <w:szCs w:val="24"/>
                          <w:lang w:eastAsia="lt-LT"/>
                        </w:rPr>
                        <w:t>kai:</w:t>
                      </w:r>
                    </w:p>
                    <w:p>
                      <w:pPr>
                        <w:tabs>
                          <w:tab w:val="left" w:pos="993"/>
                        </w:tabs>
                        <w:ind w:firstLine="567"/>
                        <w:jc w:val="both"/>
                        <w:rPr>
                          <w:szCs w:val="24"/>
                          <w:lang w:eastAsia="lt-LT"/>
                        </w:rPr>
                      </w:pPr>
                      <w:r>
                        <w:rPr>
                          <w:i/>
                          <w:szCs w:val="24"/>
                          <w:lang w:eastAsia="lt-LT"/>
                        </w:rPr>
                        <w:t xml:space="preserve">LKMAX </w:t>
                      </w:r>
                      <w:r>
                        <w:rPr>
                          <w:szCs w:val="24"/>
                          <w:lang w:eastAsia="lt-LT"/>
                        </w:rPr>
                        <w:t>– lovadienio kainos koeficientas, kai gydymo trukmė ilgesnė už maksimalią gydymo trukmę,</w:t>
                      </w:r>
                    </w:p>
                    <w:p>
                      <w:pPr>
                        <w:ind w:firstLine="567"/>
                        <w:jc w:val="both"/>
                        <w:rPr>
                          <w:szCs w:val="24"/>
                          <w:lang w:eastAsia="lt-LT"/>
                        </w:rPr>
                      </w:pPr>
                      <w:r>
                        <w:rPr>
                          <w:i/>
                          <w:szCs w:val="24"/>
                          <w:lang w:eastAsia="lt-LT"/>
                        </w:rPr>
                        <w:t>AK</w:t>
                      </w:r>
                      <w:r>
                        <w:rPr>
                          <w:szCs w:val="24"/>
                          <w:lang w:eastAsia="lt-LT"/>
                        </w:rPr>
                        <w:t xml:space="preserve"> – vidutinės trukmės aktyviojo gydymo atvejo kainos koeficientas, kai gydymo trukmė ilgesnė už minimalią gydymo trukmę arba lygi jai ir trumpesnė už maksimalią gydymo trukmę arba lygi jai,</w:t>
                      </w:r>
                    </w:p>
                    <w:p>
                      <w:pPr>
                        <w:tabs>
                          <w:tab w:val="left" w:pos="993"/>
                        </w:tabs>
                        <w:ind w:firstLine="567"/>
                        <w:jc w:val="both"/>
                        <w:rPr>
                          <w:szCs w:val="24"/>
                          <w:lang w:eastAsia="lt-LT"/>
                        </w:rPr>
                      </w:pPr>
                      <w:r>
                        <w:rPr>
                          <w:i/>
                          <w:szCs w:val="24"/>
                          <w:lang w:eastAsia="lt-LT"/>
                        </w:rPr>
                        <w:t>DRG</w:t>
                      </w:r>
                      <w:r>
                        <w:rPr>
                          <w:szCs w:val="24"/>
                          <w:lang w:eastAsia="lt-LT"/>
                        </w:rPr>
                        <w:t xml:space="preserve"> – giminingų diagnozių grupė,</w:t>
                      </w:r>
                    </w:p>
                    <w:p>
                      <w:pPr>
                        <w:tabs>
                          <w:tab w:val="left" w:pos="993"/>
                        </w:tabs>
                        <w:ind w:firstLine="567"/>
                        <w:jc w:val="both"/>
                        <w:rPr>
                          <w:szCs w:val="24"/>
                          <w:lang w:eastAsia="lt-LT"/>
                        </w:rPr>
                      </w:pPr>
                      <w:r>
                        <w:rPr>
                          <w:i/>
                          <w:szCs w:val="24"/>
                          <w:lang w:eastAsia="lt-LT"/>
                        </w:rPr>
                        <w:t>SG</w:t>
                      </w:r>
                      <w:r>
                        <w:rPr>
                          <w:szCs w:val="24"/>
                          <w:lang w:eastAsia="lt-LT"/>
                        </w:rPr>
                        <w:t xml:space="preserve"> – sąnaudų grupė,</w:t>
                      </w:r>
                    </w:p>
                    <w:p>
                      <w:pPr>
                        <w:tabs>
                          <w:tab w:val="left" w:pos="993"/>
                        </w:tabs>
                        <w:ind w:firstLine="567"/>
                        <w:jc w:val="both"/>
                        <w:rPr>
                          <w:szCs w:val="24"/>
                          <w:lang w:eastAsia="lt-LT"/>
                        </w:rPr>
                      </w:pPr>
                      <w:r>
                        <w:rPr>
                          <w:i/>
                          <w:szCs w:val="24"/>
                          <w:lang w:eastAsia="lt-LT"/>
                        </w:rPr>
                        <w:t xml:space="preserve">TVID </w:t>
                      </w:r>
                      <w:r>
                        <w:rPr>
                          <w:szCs w:val="24"/>
                          <w:lang w:eastAsia="lt-LT"/>
                        </w:rPr>
                        <w:t>– vidutinė gydymo trukmė (lovadieniais);</w:t>
                      </w:r>
                    </w:p>
                  </w:sdtContent>
                </w:sdt>
                <w:sdt>
                  <w:sdtPr>
                    <w:alias w:val="3 pr. 7.2 pp."/>
                    <w:tag w:val="part_446007a7f0c74853a4e2bf912f98b0e4"/>
                    <w:lock w:val="sdtLocked"/>
                    <w:richText/>
                  </w:sdtPr>
                  <w:sdtContent>
                    <w:p>
                      <w:pPr>
                        <w:tabs>
                          <w:tab w:val="left" w:pos="851"/>
                        </w:tabs>
                        <w:ind w:firstLine="567"/>
                        <w:jc w:val="both"/>
                        <w:rPr>
                          <w:szCs w:val="24"/>
                          <w:lang w:eastAsia="lt-LT"/>
                        </w:rPr>
                      </w:pPr>
                      <w:sdt>
                        <w:sdtPr>
                          <w:alias w:val="Numeris"/>
                          <w:tag w:val="nr_446007a7f0c74853a4e2bf912f98b0e4"/>
                          <w:lock w:val="sdtLocked"/>
                          <w:richText/>
                        </w:sdtPr>
                        <w:sdtContent>
                          <w:r>
                            <w:rPr>
                              <w:szCs w:val="24"/>
                              <w:lang w:eastAsia="lt-LT"/>
                            </w:rPr>
                            <w:t>7.2</w:t>
                          </w:r>
                        </w:sdtContent>
                      </w:sdt>
                      <w:r>
                        <w:rPr>
                          <w:szCs w:val="24"/>
                          <w:lang w:eastAsia="lt-LT"/>
                        </w:rPr>
                        <w:t>. jei giminingų diagnozių grupė yra nechirurginio pobūdžio ir jai nepriskirtas požymis „dienos paslauga“, sąnaudų grupės „Vaistinė“ koeficientas yra lygus vidutinės trukmės aktyviojo gydymo atvejo vieno lovadienio kainos vidutinio koeficiento (pagal šią sąnaudų grupę) dvidešimčiai procentų:</w:t>
                      </w:r>
                    </w:p>
                    <w:p>
                      <w:pPr>
                        <w:tabs>
                          <w:tab w:val="left" w:pos="851"/>
                        </w:tabs>
                        <w:ind w:firstLine="567"/>
                        <w:jc w:val="both"/>
                        <w:rPr>
                          <w:szCs w:val="24"/>
                          <w:lang w:eastAsia="lt-LT"/>
                        </w:rPr>
                      </w:pPr>
                    </w:p>
                    <w:p>
                      <w:pPr>
                        <w:tabs>
                          <w:tab w:val="left" w:pos="993"/>
                        </w:tabs>
                        <w:jc w:val="center"/>
                        <w:rPr>
                          <w:szCs w:val="24"/>
                          <w:lang w:eastAsia="lt-LT"/>
                        </w:rPr>
                      </w:pPr>
                      <w:r>
                        <w:rPr>
                          <w:position w:val="-30"/>
                          <w:szCs w:val="24"/>
                          <w:lang w:eastAsia="lt-LT"/>
                        </w:rPr>
                        <w:object w:dxaOrig="3015" w:dyaOrig="675">
                          <v:shape id="_x0000_i1047" type="#_x0000_t75" style="width:151.5pt;height:33.8pt" o:ole="">
                            <v:imagedata r:id="rId69" o:title=""/>
                          </v:shape>
                          <o:OLEObject Type="Embed" ProgID="Equation.3" ShapeID="_x0000_i1047" DrawAspect="Content" ObjectID="_0000000001" r:id="rId70"/>
                        </w:object>
                      </w:r>
                      <w:r>
                        <w:rPr>
                          <w:szCs w:val="24"/>
                          <w:lang w:eastAsia="lt-LT"/>
                        </w:rPr>
                        <w:t>,</w:t>
                      </w:r>
                    </w:p>
                    <w:p>
                      <w:pPr>
                        <w:tabs>
                          <w:tab w:val="left" w:pos="993"/>
                        </w:tabs>
                        <w:jc w:val="center"/>
                        <w:rPr>
                          <w:szCs w:val="24"/>
                          <w:lang w:eastAsia="lt-LT"/>
                        </w:rPr>
                      </w:pPr>
                    </w:p>
                    <w:p>
                      <w:pPr>
                        <w:tabs>
                          <w:tab w:val="left" w:pos="851"/>
                        </w:tabs>
                        <w:ind w:firstLine="567"/>
                        <w:jc w:val="both"/>
                        <w:rPr>
                          <w:szCs w:val="24"/>
                          <w:lang w:eastAsia="lt-LT"/>
                        </w:rPr>
                      </w:pPr>
                    </w:p>
                    <w:p>
                      <w:pPr>
                        <w:tabs>
                          <w:tab w:val="left" w:pos="993"/>
                        </w:tabs>
                        <w:ind w:firstLine="567"/>
                        <w:jc w:val="both"/>
                        <w:rPr>
                          <w:i/>
                          <w:szCs w:val="24"/>
                          <w:lang w:eastAsia="lt-LT"/>
                        </w:rPr>
                      </w:pPr>
                      <w:r>
                        <w:rPr>
                          <w:szCs w:val="24"/>
                          <w:lang w:eastAsia="lt-LT"/>
                        </w:rPr>
                        <w:t>kai:</w:t>
                      </w:r>
                    </w:p>
                    <w:p>
                      <w:pPr>
                        <w:tabs>
                          <w:tab w:val="left" w:pos="993"/>
                        </w:tabs>
                        <w:ind w:firstLine="567"/>
                        <w:jc w:val="both"/>
                        <w:rPr>
                          <w:szCs w:val="24"/>
                          <w:lang w:eastAsia="lt-LT"/>
                        </w:rPr>
                      </w:pPr>
                      <w:r>
                        <w:rPr>
                          <w:i/>
                          <w:szCs w:val="24"/>
                          <w:lang w:eastAsia="lt-LT"/>
                        </w:rPr>
                        <w:t xml:space="preserve">LKMAX </w:t>
                      </w:r>
                      <w:r>
                        <w:rPr>
                          <w:szCs w:val="24"/>
                          <w:lang w:eastAsia="lt-LT"/>
                        </w:rPr>
                        <w:t>– lovadienio kainos koeficientas, kai gydymo trukmė ilgesnė už maksimalią gydymo trukmę,</w:t>
                      </w:r>
                    </w:p>
                    <w:p>
                      <w:pPr>
                        <w:ind w:firstLine="567"/>
                        <w:jc w:val="both"/>
                        <w:rPr>
                          <w:szCs w:val="24"/>
                          <w:lang w:eastAsia="lt-LT"/>
                        </w:rPr>
                      </w:pPr>
                      <w:r>
                        <w:rPr>
                          <w:i/>
                          <w:szCs w:val="24"/>
                          <w:lang w:eastAsia="lt-LT"/>
                        </w:rPr>
                        <w:t>AK</w:t>
                      </w:r>
                      <w:r>
                        <w:rPr>
                          <w:szCs w:val="24"/>
                          <w:lang w:eastAsia="lt-LT"/>
                        </w:rPr>
                        <w:t xml:space="preserve"> – vidutinės trukmės aktyviojo gydymo atvejo kainos koeficientas, kai gydymo trukmė ilgesnė už minimalią gydymo trukmę arba lygi jai ir trumpesnė už maksimalią gydymo trukmę arba lygi jai,</w:t>
                      </w:r>
                    </w:p>
                    <w:p>
                      <w:pPr>
                        <w:tabs>
                          <w:tab w:val="left" w:pos="993"/>
                        </w:tabs>
                        <w:ind w:firstLine="567"/>
                        <w:jc w:val="both"/>
                        <w:rPr>
                          <w:szCs w:val="24"/>
                          <w:lang w:eastAsia="lt-LT"/>
                        </w:rPr>
                      </w:pPr>
                      <w:r>
                        <w:rPr>
                          <w:i/>
                          <w:szCs w:val="24"/>
                          <w:lang w:eastAsia="lt-LT"/>
                        </w:rPr>
                        <w:t>DRG</w:t>
                      </w:r>
                      <w:r>
                        <w:rPr>
                          <w:szCs w:val="24"/>
                          <w:lang w:eastAsia="lt-LT"/>
                        </w:rPr>
                        <w:t xml:space="preserve"> – giminingų diagnozių grupė,</w:t>
                      </w:r>
                    </w:p>
                    <w:p>
                      <w:pPr>
                        <w:tabs>
                          <w:tab w:val="left" w:pos="993"/>
                        </w:tabs>
                        <w:ind w:firstLine="567"/>
                        <w:jc w:val="both"/>
                        <w:rPr>
                          <w:szCs w:val="24"/>
                          <w:lang w:eastAsia="lt-LT"/>
                        </w:rPr>
                      </w:pPr>
                      <w:r>
                        <w:rPr>
                          <w:i/>
                          <w:szCs w:val="24"/>
                          <w:lang w:eastAsia="lt-LT"/>
                        </w:rPr>
                        <w:t>SG</w:t>
                      </w:r>
                      <w:r>
                        <w:rPr>
                          <w:szCs w:val="24"/>
                          <w:lang w:eastAsia="lt-LT"/>
                        </w:rPr>
                        <w:t xml:space="preserve"> – sąnaudų grupė,</w:t>
                      </w:r>
                    </w:p>
                    <w:p>
                      <w:pPr>
                        <w:tabs>
                          <w:tab w:val="left" w:pos="993"/>
                        </w:tabs>
                        <w:ind w:firstLine="567"/>
                        <w:jc w:val="both"/>
                        <w:rPr>
                          <w:szCs w:val="24"/>
                          <w:lang w:eastAsia="lt-LT"/>
                        </w:rPr>
                      </w:pPr>
                      <w:r>
                        <w:rPr>
                          <w:i/>
                          <w:szCs w:val="24"/>
                          <w:lang w:eastAsia="lt-LT"/>
                        </w:rPr>
                        <w:t xml:space="preserve">TVID </w:t>
                      </w:r>
                      <w:r>
                        <w:rPr>
                          <w:szCs w:val="24"/>
                          <w:lang w:eastAsia="lt-LT"/>
                        </w:rPr>
                        <w:t>– vidutinė gydymo trukmė (lovadieniais);</w:t>
                      </w:r>
                    </w:p>
                    <w:p>
                      <w:pPr>
                        <w:tabs>
                          <w:tab w:val="left" w:pos="993"/>
                        </w:tabs>
                        <w:ind w:firstLine="567"/>
                        <w:jc w:val="both"/>
                        <w:rPr>
                          <w:szCs w:val="24"/>
                          <w:lang w:eastAsia="lt-LT"/>
                        </w:rPr>
                      </w:pPr>
                    </w:p>
                  </w:sdtContent>
                </w:sdt>
                <w:sdt>
                  <w:sdtPr>
                    <w:alias w:val="3 pr. 7.3 pp."/>
                    <w:tag w:val="part_9449b1ffa087426eb77888da6bd6aa87"/>
                    <w:lock w:val="sdtLocked"/>
                    <w:richText/>
                  </w:sdtPr>
                  <w:sdtContent>
                    <w:p>
                      <w:pPr>
                        <w:ind w:firstLine="567"/>
                        <w:jc w:val="both"/>
                        <w:rPr>
                          <w:szCs w:val="24"/>
                          <w:lang w:eastAsia="lt-LT"/>
                        </w:rPr>
                      </w:pPr>
                      <w:sdt>
                        <w:sdtPr>
                          <w:alias w:val="Numeris"/>
                          <w:tag w:val="nr_9449b1ffa087426eb77888da6bd6aa87"/>
                          <w:lock w:val="sdtLocked"/>
                          <w:richText/>
                        </w:sdtPr>
                        <w:sdtContent>
                          <w:r>
                            <w:rPr>
                              <w:szCs w:val="24"/>
                              <w:lang w:eastAsia="lt-LT"/>
                            </w:rPr>
                            <w:t>7.3</w:t>
                          </w:r>
                        </w:sdtContent>
                      </w:sdt>
                      <w:r>
                        <w:rPr>
                          <w:szCs w:val="24"/>
                          <w:lang w:eastAsia="lt-LT"/>
                        </w:rPr>
                        <w:t>. jei giminingų diagnozių grupė yra chirurginio pobūdžio ir jai nepriskirtas požymis „dienos paslauga“, kiekvienos sąnaudų grupės, išskyrus sąnaudų grupes „Vaistinė“, „Operacijos“ ir „Protezai ir implantai“, koeficientas yra lygus vidutinės trukmės aktyviojo gydymo atvejo vieno lovadienio kainos vidutinio koeficiento (pagal atitinkamą sąnaudų grupę, išskyrus sąnaudų grupes „Vaistinė“, „Operacijos“ ir „Protezai ir implantai“) septyniasdešimčiai procentų:</w:t>
                      </w:r>
                    </w:p>
                    <w:p>
                      <w:pPr>
                        <w:ind w:firstLine="567"/>
                        <w:jc w:val="both"/>
                        <w:rPr>
                          <w:szCs w:val="24"/>
                          <w:lang w:eastAsia="lt-LT"/>
                        </w:rPr>
                      </w:pPr>
                    </w:p>
                    <w:p>
                      <w:pPr>
                        <w:tabs>
                          <w:tab w:val="left" w:pos="993"/>
                        </w:tabs>
                        <w:jc w:val="center"/>
                        <w:rPr>
                          <w:szCs w:val="24"/>
                          <w:lang w:eastAsia="lt-LT"/>
                        </w:rPr>
                      </w:pPr>
                      <w:r>
                        <w:rPr>
                          <w:position w:val="-30"/>
                          <w:szCs w:val="24"/>
                          <w:lang w:eastAsia="lt-LT"/>
                        </w:rPr>
                        <w:object w:dxaOrig="3015" w:dyaOrig="675">
                          <v:shape id="_x0000_i1048" type="#_x0000_t75" style="width:151.5pt;height:33.8pt" o:ole="">
                            <v:imagedata r:id="rId71" o:title=""/>
                          </v:shape>
                          <o:OLEObject Type="Embed" ProgID="Equation.3" ShapeID="_x0000_i1048" DrawAspect="Content" ObjectID="_0000000001" r:id="rId72"/>
                        </w:object>
                      </w:r>
                      <w:r>
                        <w:rPr>
                          <w:szCs w:val="24"/>
                          <w:lang w:eastAsia="lt-LT"/>
                        </w:rPr>
                        <w:t>,</w:t>
                      </w:r>
                    </w:p>
                    <w:p>
                      <w:pPr>
                        <w:tabs>
                          <w:tab w:val="left" w:pos="993"/>
                        </w:tabs>
                        <w:jc w:val="center"/>
                        <w:rPr>
                          <w:szCs w:val="24"/>
                          <w:lang w:eastAsia="lt-LT"/>
                        </w:rPr>
                      </w:pPr>
                    </w:p>
                    <w:p>
                      <w:pPr>
                        <w:ind w:firstLine="567"/>
                        <w:jc w:val="both"/>
                        <w:rPr>
                          <w:szCs w:val="24"/>
                          <w:lang w:eastAsia="lt-LT"/>
                        </w:rPr>
                      </w:pPr>
                    </w:p>
                    <w:p>
                      <w:pPr>
                        <w:tabs>
                          <w:tab w:val="left" w:pos="993"/>
                        </w:tabs>
                        <w:ind w:firstLine="567"/>
                        <w:jc w:val="both"/>
                        <w:rPr>
                          <w:szCs w:val="24"/>
                          <w:lang w:eastAsia="lt-LT"/>
                        </w:rPr>
                      </w:pPr>
                      <w:r>
                        <w:rPr>
                          <w:szCs w:val="24"/>
                          <w:lang w:eastAsia="lt-LT"/>
                        </w:rPr>
                        <w:t>kai:</w:t>
                      </w:r>
                    </w:p>
                    <w:p>
                      <w:pPr>
                        <w:ind w:firstLine="567"/>
                        <w:jc w:val="both"/>
                        <w:rPr>
                          <w:szCs w:val="24"/>
                          <w:lang w:eastAsia="lt-LT"/>
                        </w:rPr>
                      </w:pPr>
                      <w:r>
                        <w:rPr>
                          <w:i/>
                          <w:szCs w:val="24"/>
                          <w:lang w:eastAsia="lt-LT"/>
                        </w:rPr>
                        <w:t xml:space="preserve">LKMAX </w:t>
                      </w:r>
                      <w:r>
                        <w:rPr>
                          <w:szCs w:val="24"/>
                          <w:lang w:eastAsia="lt-LT"/>
                        </w:rPr>
                        <w:t>– lovadienio kainos koeficientas, kai gydymo trukmė ilgesnė už maksimalią gydymo trukmę,</w:t>
                      </w:r>
                    </w:p>
                    <w:p>
                      <w:pPr>
                        <w:tabs>
                          <w:tab w:val="left" w:pos="993"/>
                        </w:tabs>
                        <w:ind w:firstLine="567"/>
                        <w:jc w:val="both"/>
                        <w:rPr>
                          <w:szCs w:val="24"/>
                          <w:lang w:eastAsia="lt-LT"/>
                        </w:rPr>
                      </w:pPr>
                      <w:r>
                        <w:rPr>
                          <w:i/>
                          <w:szCs w:val="24"/>
                          <w:lang w:eastAsia="lt-LT"/>
                        </w:rPr>
                        <w:t>AK</w:t>
                      </w:r>
                      <w:r>
                        <w:rPr>
                          <w:szCs w:val="24"/>
                          <w:lang w:eastAsia="lt-LT"/>
                        </w:rPr>
                        <w:t xml:space="preserve"> – vidutinės trukmės aktyviojo gydymo atvejo kainos koeficientas, kai gydymo trukmė ilgesnė už minimalią gydymo trukmę arba lygi jai ir trumpesnė už maksimalią gydymo trukmę arba lygi jai,</w:t>
                      </w:r>
                    </w:p>
                    <w:p>
                      <w:pPr>
                        <w:tabs>
                          <w:tab w:val="left" w:pos="993"/>
                        </w:tabs>
                        <w:ind w:firstLine="567"/>
                        <w:jc w:val="both"/>
                        <w:rPr>
                          <w:szCs w:val="24"/>
                          <w:lang w:eastAsia="lt-LT"/>
                        </w:rPr>
                      </w:pPr>
                      <w:r>
                        <w:rPr>
                          <w:i/>
                          <w:szCs w:val="24"/>
                          <w:lang w:eastAsia="lt-LT"/>
                        </w:rPr>
                        <w:t>DRG</w:t>
                      </w:r>
                      <w:r>
                        <w:rPr>
                          <w:szCs w:val="24"/>
                          <w:lang w:eastAsia="lt-LT"/>
                        </w:rPr>
                        <w:t xml:space="preserve"> – giminingų diagnozių grupė,</w:t>
                      </w:r>
                    </w:p>
                    <w:p>
                      <w:pPr>
                        <w:tabs>
                          <w:tab w:val="left" w:pos="993"/>
                        </w:tabs>
                        <w:ind w:firstLine="567"/>
                        <w:jc w:val="both"/>
                        <w:rPr>
                          <w:szCs w:val="24"/>
                          <w:lang w:eastAsia="lt-LT"/>
                        </w:rPr>
                      </w:pPr>
                      <w:r>
                        <w:rPr>
                          <w:i/>
                          <w:szCs w:val="24"/>
                          <w:lang w:eastAsia="lt-LT"/>
                        </w:rPr>
                        <w:t>SG</w:t>
                      </w:r>
                      <w:r>
                        <w:rPr>
                          <w:szCs w:val="24"/>
                          <w:lang w:eastAsia="lt-LT"/>
                        </w:rPr>
                        <w:t xml:space="preserve"> – sąnaudų grupė,</w:t>
                      </w:r>
                    </w:p>
                    <w:p>
                      <w:pPr>
                        <w:tabs>
                          <w:tab w:val="left" w:pos="993"/>
                        </w:tabs>
                        <w:ind w:firstLine="567"/>
                        <w:jc w:val="both"/>
                        <w:rPr>
                          <w:szCs w:val="24"/>
                          <w:lang w:eastAsia="lt-LT"/>
                        </w:rPr>
                      </w:pPr>
                      <w:r>
                        <w:rPr>
                          <w:i/>
                          <w:szCs w:val="24"/>
                          <w:lang w:eastAsia="lt-LT"/>
                        </w:rPr>
                        <w:t xml:space="preserve">TVID </w:t>
                      </w:r>
                      <w:r>
                        <w:rPr>
                          <w:szCs w:val="24"/>
                          <w:lang w:eastAsia="lt-LT"/>
                        </w:rPr>
                        <w:t>– vidutinė gydymo trukmė (lovadieniais);</w:t>
                      </w:r>
                    </w:p>
                    <w:p>
                      <w:pPr>
                        <w:tabs>
                          <w:tab w:val="left" w:pos="993"/>
                        </w:tabs>
                        <w:ind w:firstLine="567"/>
                        <w:jc w:val="both"/>
                        <w:rPr>
                          <w:szCs w:val="24"/>
                          <w:lang w:eastAsia="lt-LT"/>
                        </w:rPr>
                      </w:pPr>
                    </w:p>
                  </w:sdtContent>
                </w:sdt>
                <w:sdt>
                  <w:sdtPr>
                    <w:alias w:val="3 pr. 7.4 pp."/>
                    <w:tag w:val="part_107aed9e35934e35b1d4be0632aa5da6"/>
                    <w:lock w:val="sdtLocked"/>
                    <w:richText/>
                  </w:sdtPr>
                  <w:sdtContent>
                    <w:p>
                      <w:pPr>
                        <w:ind w:firstLine="567"/>
                        <w:jc w:val="both"/>
                        <w:rPr>
                          <w:szCs w:val="24"/>
                          <w:lang w:eastAsia="lt-LT"/>
                        </w:rPr>
                      </w:pPr>
                      <w:sdt>
                        <w:sdtPr>
                          <w:alias w:val="Numeris"/>
                          <w:tag w:val="nr_107aed9e35934e35b1d4be0632aa5da6"/>
                          <w:lock w:val="sdtLocked"/>
                          <w:richText/>
                        </w:sdtPr>
                        <w:sdtContent>
                          <w:r>
                            <w:rPr>
                              <w:szCs w:val="24"/>
                              <w:lang w:eastAsia="lt-LT"/>
                            </w:rPr>
                            <w:t>7.4</w:t>
                          </w:r>
                        </w:sdtContent>
                      </w:sdt>
                      <w:r>
                        <w:rPr>
                          <w:szCs w:val="24"/>
                          <w:lang w:eastAsia="lt-LT"/>
                        </w:rPr>
                        <w:t>. jei giminingų diagnozių grupė yra nechirurginio pobūdžio ir jai nepriskirtas požymis „dienos paslauga“, kiekvienos sąnaudų grupės, išskyrus sąnaudų grupes „Vaistinė“, „Operacijos“ ir „Protezai ir implantai“, koeficientas yra lygus vidutinės trukmės aktyviojo gydymo atvejo vieno lovadienio kainos vidutinio koeficiento (pagal atitinkamą sąnaudų grupę, išskyrus sąnaudų grupes „Vaistinė“, „Operacijos“ ir „Protezai ir implantai“) aštuoniasdešimčiai procentų:</w:t>
                      </w:r>
                    </w:p>
                    <w:p>
                      <w:pPr>
                        <w:ind w:firstLine="567"/>
                        <w:jc w:val="both"/>
                        <w:rPr>
                          <w:szCs w:val="24"/>
                          <w:lang w:eastAsia="lt-LT"/>
                        </w:rPr>
                      </w:pPr>
                    </w:p>
                    <w:p>
                      <w:pPr>
                        <w:tabs>
                          <w:tab w:val="left" w:pos="993"/>
                        </w:tabs>
                        <w:jc w:val="center"/>
                        <w:rPr>
                          <w:szCs w:val="24"/>
                          <w:lang w:eastAsia="lt-LT"/>
                        </w:rPr>
                      </w:pPr>
                      <w:r>
                        <w:rPr>
                          <w:position w:val="-30"/>
                          <w:szCs w:val="24"/>
                          <w:lang w:eastAsia="lt-LT"/>
                        </w:rPr>
                        <w:object w:dxaOrig="3000" w:dyaOrig="675">
                          <v:shape id="_x0000_i1049" type="#_x0000_t75" style="width:150.9pt;height:33.8pt" o:ole="">
                            <v:imagedata r:id="rId73" o:title=""/>
                          </v:shape>
                          <o:OLEObject Type="Embed" ProgID="Equation.3" ShapeID="_x0000_i1049" DrawAspect="Content" ObjectID="_0000000001" r:id="rId74"/>
                        </w:object>
                      </w:r>
                      <w:r>
                        <w:rPr>
                          <w:szCs w:val="24"/>
                          <w:lang w:eastAsia="lt-LT"/>
                        </w:rPr>
                        <w:t>,</w:t>
                      </w:r>
                    </w:p>
                    <w:p>
                      <w:pPr>
                        <w:tabs>
                          <w:tab w:val="left" w:pos="993"/>
                        </w:tabs>
                        <w:jc w:val="center"/>
                        <w:rPr>
                          <w:szCs w:val="24"/>
                          <w:lang w:eastAsia="lt-LT"/>
                        </w:rPr>
                      </w:pPr>
                    </w:p>
                    <w:p>
                      <w:pPr>
                        <w:ind w:firstLine="567"/>
                        <w:jc w:val="both"/>
                        <w:rPr>
                          <w:szCs w:val="24"/>
                          <w:lang w:eastAsia="lt-LT"/>
                        </w:rPr>
                      </w:pPr>
                    </w:p>
                    <w:p>
                      <w:pPr>
                        <w:tabs>
                          <w:tab w:val="left" w:pos="993"/>
                        </w:tabs>
                        <w:ind w:firstLine="567"/>
                        <w:jc w:val="both"/>
                        <w:rPr>
                          <w:i/>
                          <w:szCs w:val="24"/>
                          <w:lang w:eastAsia="lt-LT"/>
                        </w:rPr>
                      </w:pPr>
                      <w:r>
                        <w:rPr>
                          <w:szCs w:val="24"/>
                          <w:lang w:eastAsia="lt-LT"/>
                        </w:rPr>
                        <w:t>kai:</w:t>
                      </w:r>
                    </w:p>
                    <w:p>
                      <w:pPr>
                        <w:tabs>
                          <w:tab w:val="left" w:pos="993"/>
                        </w:tabs>
                        <w:ind w:firstLine="567"/>
                        <w:jc w:val="both"/>
                        <w:rPr>
                          <w:szCs w:val="24"/>
                          <w:lang w:eastAsia="lt-LT"/>
                        </w:rPr>
                      </w:pPr>
                      <w:r>
                        <w:rPr>
                          <w:i/>
                          <w:szCs w:val="24"/>
                          <w:lang w:eastAsia="lt-LT"/>
                        </w:rPr>
                        <w:t xml:space="preserve">LKMAX </w:t>
                      </w:r>
                      <w:r>
                        <w:rPr>
                          <w:szCs w:val="24"/>
                          <w:lang w:eastAsia="lt-LT"/>
                        </w:rPr>
                        <w:t>– lovadienio kainos koeficientas, kai gydymo trukmė ilgesnė nei maksimali gydymo trukmė,</w:t>
                      </w:r>
                    </w:p>
                    <w:p>
                      <w:pPr>
                        <w:tabs>
                          <w:tab w:val="left" w:pos="993"/>
                        </w:tabs>
                        <w:ind w:firstLine="567"/>
                        <w:jc w:val="both"/>
                        <w:rPr>
                          <w:szCs w:val="24"/>
                          <w:lang w:eastAsia="lt-LT"/>
                        </w:rPr>
                      </w:pPr>
                      <w:r>
                        <w:rPr>
                          <w:i/>
                          <w:szCs w:val="24"/>
                          <w:lang w:eastAsia="lt-LT"/>
                        </w:rPr>
                        <w:t>AK</w:t>
                      </w:r>
                      <w:r>
                        <w:rPr>
                          <w:szCs w:val="24"/>
                          <w:lang w:eastAsia="lt-LT"/>
                        </w:rPr>
                        <w:t xml:space="preserve"> – vidutinės trukmės aktyviojo gydymo atvejo kainos koeficientas, kai gydymo trukmė ilgesnė nei minimali gydymo trukmė arba lygi jai ir trumpesnė nei maksimali gydymo trukmė arba lygi jai,</w:t>
                      </w:r>
                    </w:p>
                    <w:p>
                      <w:pPr>
                        <w:tabs>
                          <w:tab w:val="left" w:pos="993"/>
                        </w:tabs>
                        <w:ind w:firstLine="567"/>
                        <w:jc w:val="both"/>
                        <w:rPr>
                          <w:szCs w:val="24"/>
                          <w:lang w:eastAsia="lt-LT"/>
                        </w:rPr>
                      </w:pPr>
                      <w:r>
                        <w:rPr>
                          <w:i/>
                          <w:szCs w:val="24"/>
                          <w:lang w:eastAsia="lt-LT"/>
                        </w:rPr>
                        <w:t>DRG</w:t>
                      </w:r>
                      <w:r>
                        <w:rPr>
                          <w:szCs w:val="24"/>
                          <w:lang w:eastAsia="lt-LT"/>
                        </w:rPr>
                        <w:t xml:space="preserve"> – giminingų diagnozių grupė,</w:t>
                      </w:r>
                    </w:p>
                    <w:p>
                      <w:pPr>
                        <w:tabs>
                          <w:tab w:val="left" w:pos="993"/>
                        </w:tabs>
                        <w:ind w:firstLine="567"/>
                        <w:jc w:val="both"/>
                        <w:rPr>
                          <w:szCs w:val="24"/>
                          <w:lang w:eastAsia="lt-LT"/>
                        </w:rPr>
                      </w:pPr>
                      <w:r>
                        <w:rPr>
                          <w:i/>
                          <w:szCs w:val="24"/>
                          <w:lang w:eastAsia="lt-LT"/>
                        </w:rPr>
                        <w:t>SG</w:t>
                      </w:r>
                      <w:r>
                        <w:rPr>
                          <w:szCs w:val="24"/>
                          <w:lang w:eastAsia="lt-LT"/>
                        </w:rPr>
                        <w:t xml:space="preserve"> – sąnaudų grupė,</w:t>
                      </w:r>
                    </w:p>
                    <w:p>
                      <w:pPr>
                        <w:tabs>
                          <w:tab w:val="left" w:pos="993"/>
                        </w:tabs>
                        <w:ind w:firstLine="567"/>
                        <w:jc w:val="both"/>
                        <w:rPr>
                          <w:szCs w:val="24"/>
                          <w:lang w:eastAsia="lt-LT"/>
                        </w:rPr>
                      </w:pPr>
                      <w:r>
                        <w:rPr>
                          <w:i/>
                          <w:szCs w:val="24"/>
                          <w:lang w:eastAsia="lt-LT"/>
                        </w:rPr>
                        <w:t xml:space="preserve">TVID </w:t>
                      </w:r>
                      <w:r>
                        <w:rPr>
                          <w:szCs w:val="24"/>
                          <w:lang w:eastAsia="lt-LT"/>
                        </w:rPr>
                        <w:t>– vidutinė gydymo trukmė (lovadieniais);</w:t>
                      </w:r>
                    </w:p>
                    <w:p>
                      <w:pPr>
                        <w:tabs>
                          <w:tab w:val="left" w:pos="993"/>
                        </w:tabs>
                        <w:ind w:firstLine="567"/>
                        <w:jc w:val="both"/>
                        <w:rPr>
                          <w:szCs w:val="24"/>
                          <w:lang w:eastAsia="lt-LT"/>
                        </w:rPr>
                      </w:pPr>
                    </w:p>
                  </w:sdtContent>
                </w:sdt>
                <w:sdt>
                  <w:sdtPr>
                    <w:alias w:val="3 pr. 7.5 pp."/>
                    <w:tag w:val="part_f886db8ca7dd4a7fb6ed97e472472c61"/>
                    <w:lock w:val="sdtLocked"/>
                    <w:richText/>
                  </w:sdtPr>
                  <w:sdtContent>
                    <w:p>
                      <w:pPr>
                        <w:tabs>
                          <w:tab w:val="left" w:pos="851"/>
                        </w:tabs>
                        <w:ind w:firstLine="567"/>
                        <w:jc w:val="both"/>
                        <w:rPr>
                          <w:szCs w:val="24"/>
                          <w:lang w:eastAsia="lt-LT"/>
                        </w:rPr>
                      </w:pPr>
                      <w:sdt>
                        <w:sdtPr>
                          <w:alias w:val="Numeris"/>
                          <w:tag w:val="nr_f886db8ca7dd4a7fb6ed97e472472c61"/>
                          <w:lock w:val="sdtLocked"/>
                          <w:richText/>
                        </w:sdtPr>
                        <w:sdtContent>
                          <w:r>
                            <w:rPr>
                              <w:szCs w:val="24"/>
                              <w:lang w:eastAsia="lt-LT"/>
                            </w:rPr>
                            <w:t>7.5</w:t>
                          </w:r>
                        </w:sdtContent>
                      </w:sdt>
                      <w:r>
                        <w:rPr>
                          <w:szCs w:val="24"/>
                          <w:lang w:eastAsia="lt-LT"/>
                        </w:rPr>
                        <w:t>. jei giminingų diagnozių grupei yra priskirtas požymis „dienos paslauga“, kiekvienos sąnaudų grupės koeficientas ir visais kitais atvejais sąnaudų grupių „Operacijos“ ir „Protezai ir implantai“ koeficientai neskaičiuojami.</w:t>
                      </w:r>
                    </w:p>
                  </w:sdtContent>
                </w:sdt>
              </w:sdtContent>
            </w:sdt>
            <w:sdt>
              <w:sdtPr>
                <w:alias w:val="3 pr. 8 p."/>
                <w:tag w:val="part_907dd73d362d401aba6dd97a82fc29fd"/>
                <w:lock w:val="sdtLocked"/>
                <w:richText/>
              </w:sdtPr>
              <w:sdtContent>
                <w:p>
                  <w:pPr>
                    <w:tabs>
                      <w:tab w:val="left" w:pos="851"/>
                    </w:tabs>
                    <w:ind w:firstLine="567"/>
                    <w:jc w:val="both"/>
                    <w:rPr>
                      <w:szCs w:val="24"/>
                      <w:lang w:eastAsia="lt-LT"/>
                    </w:rPr>
                  </w:pPr>
                  <w:sdt>
                    <w:sdtPr>
                      <w:alias w:val="Numeris"/>
                      <w:tag w:val="nr_907dd73d362d401aba6dd97a82fc29fd"/>
                      <w:lock w:val="sdtLocked"/>
                      <w:richText/>
                    </w:sdtPr>
                    <w:sdtContent>
                      <w:r>
                        <w:rPr>
                          <w:szCs w:val="24"/>
                          <w:lang w:eastAsia="lt-LT"/>
                        </w:rPr>
                        <w:t>8</w:t>
                      </w:r>
                    </w:sdtContent>
                  </w:sdt>
                  <w:r>
                    <w:rPr>
                      <w:szCs w:val="24"/>
                      <w:lang w:eastAsia="lt-LT"/>
                    </w:rPr>
                    <w:t>. Aktyviojo gydymo atvejo kainos koeficientas apskaičiuojamas vidutines aktyviojo gydymo atvejo sąnaudas (įvertinus jas koeficientais pagal giminingų diagnozių grupę, kuriai šis atvejis priskiriamas, ir gydymo trukmę) dalijant iš bendrų vidutinių vieno aktyviojo gydymo atvejo ar lovadienio sąnaudų:</w:t>
                  </w:r>
                </w:p>
                <w:sdt>
                  <w:sdtPr>
                    <w:alias w:val="3 pr. 8.1 pp."/>
                    <w:tag w:val="part_a443f12c044f476eb29a23ed59786f7a"/>
                    <w:lock w:val="sdtLocked"/>
                    <w:richText/>
                  </w:sdtPr>
                  <w:sdtContent>
                    <w:p>
                      <w:pPr>
                        <w:tabs>
                          <w:tab w:val="left" w:pos="851"/>
                        </w:tabs>
                        <w:ind w:firstLine="567"/>
                        <w:jc w:val="both"/>
                        <w:rPr>
                          <w:szCs w:val="24"/>
                          <w:lang w:eastAsia="lt-LT"/>
                        </w:rPr>
                      </w:pPr>
                      <w:sdt>
                        <w:sdtPr>
                          <w:alias w:val="Numeris"/>
                          <w:tag w:val="nr_a443f12c044f476eb29a23ed59786f7a"/>
                          <w:lock w:val="sdtLocked"/>
                          <w:richText/>
                        </w:sdtPr>
                        <w:sdtContent>
                          <w:r>
                            <w:rPr>
                              <w:szCs w:val="24"/>
                              <w:lang w:eastAsia="lt-LT"/>
                            </w:rPr>
                            <w:t>8.1</w:t>
                          </w:r>
                        </w:sdtContent>
                      </w:sdt>
                      <w:r>
                        <w:rPr>
                          <w:szCs w:val="24"/>
                          <w:lang w:eastAsia="lt-LT"/>
                        </w:rPr>
                        <w:t>. dienos gydymo kainos koeficientas:</w:t>
                      </w:r>
                    </w:p>
                    <w:p>
                      <w:pPr>
                        <w:tabs>
                          <w:tab w:val="left" w:pos="851"/>
                        </w:tabs>
                        <w:ind w:firstLine="567"/>
                        <w:jc w:val="both"/>
                        <w:rPr>
                          <w:szCs w:val="24"/>
                          <w:lang w:eastAsia="lt-LT"/>
                        </w:rPr>
                      </w:pPr>
                    </w:p>
                    <w:p>
                      <w:pPr>
                        <w:tabs>
                          <w:tab w:val="left" w:pos="993"/>
                        </w:tabs>
                        <w:jc w:val="center"/>
                        <w:rPr>
                          <w:szCs w:val="24"/>
                          <w:lang w:eastAsia="lt-LT"/>
                        </w:rPr>
                      </w:pPr>
                      <w:r>
                        <w:rPr>
                          <w:position w:val="-24"/>
                          <w:szCs w:val="24"/>
                          <w:lang w:eastAsia="lt-LT"/>
                        </w:rPr>
                        <w:object w:dxaOrig="3585" w:dyaOrig="675">
                          <v:shape id="_x0000_i1050" type="#_x0000_t75" style="width:179.7pt;height:33.8pt" o:ole="">
                            <v:imagedata r:id="rId75" o:title=""/>
                          </v:shape>
                          <o:OLEObject Type="Embed" ProgID="Equation.3" ShapeID="_x0000_i1050" DrawAspect="Content" ObjectID="_0000000001" r:id="rId76"/>
                        </w:object>
                      </w:r>
                      <w:r>
                        <w:rPr>
                          <w:szCs w:val="24"/>
                          <w:lang w:eastAsia="lt-LT"/>
                        </w:rPr>
                        <w:t>,</w:t>
                      </w:r>
                    </w:p>
                    <w:p>
                      <w:pPr>
                        <w:tabs>
                          <w:tab w:val="left" w:pos="993"/>
                        </w:tabs>
                        <w:jc w:val="center"/>
                        <w:rPr>
                          <w:szCs w:val="24"/>
                          <w:lang w:eastAsia="lt-LT"/>
                        </w:rPr>
                      </w:pPr>
                    </w:p>
                    <w:p>
                      <w:pPr>
                        <w:tabs>
                          <w:tab w:val="left" w:pos="851"/>
                        </w:tabs>
                        <w:ind w:firstLine="567"/>
                        <w:jc w:val="both"/>
                        <w:rPr>
                          <w:szCs w:val="24"/>
                          <w:lang w:eastAsia="lt-LT"/>
                        </w:rPr>
                      </w:pPr>
                    </w:p>
                    <w:p>
                      <w:pPr>
                        <w:ind w:firstLine="567"/>
                        <w:jc w:val="both"/>
                        <w:rPr>
                          <w:szCs w:val="24"/>
                          <w:lang w:eastAsia="lt-LT"/>
                        </w:rPr>
                      </w:pPr>
                      <w:r>
                        <w:rPr>
                          <w:szCs w:val="24"/>
                          <w:lang w:eastAsia="lt-LT"/>
                        </w:rPr>
                        <w:t>kai:</w:t>
                      </w:r>
                    </w:p>
                    <w:p>
                      <w:pPr>
                        <w:ind w:firstLine="567"/>
                        <w:jc w:val="both"/>
                        <w:rPr>
                          <w:szCs w:val="24"/>
                          <w:lang w:eastAsia="lt-LT"/>
                        </w:rPr>
                      </w:pPr>
                      <w:r>
                        <w:rPr>
                          <w:i/>
                          <w:szCs w:val="24"/>
                          <w:lang w:eastAsia="lt-LT"/>
                        </w:rPr>
                        <w:t xml:space="preserve">DK </w:t>
                      </w:r>
                      <w:r>
                        <w:rPr>
                          <w:szCs w:val="24"/>
                          <w:lang w:eastAsia="lt-LT"/>
                        </w:rPr>
                        <w:t>– dienos gydymo kainos koeficientas,</w:t>
                      </w:r>
                    </w:p>
                    <w:p>
                      <w:pPr>
                        <w:ind w:firstLine="567"/>
                        <w:jc w:val="both"/>
                        <w:rPr>
                          <w:szCs w:val="24"/>
                          <w:lang w:eastAsia="lt-LT"/>
                        </w:rPr>
                      </w:pPr>
                      <w:r>
                        <w:rPr>
                          <w:i/>
                          <w:szCs w:val="24"/>
                          <w:lang w:eastAsia="lt-LT"/>
                        </w:rPr>
                        <w:t>AKAVID</w:t>
                      </w:r>
                      <w:r>
                        <w:rPr>
                          <w:szCs w:val="24"/>
                          <w:lang w:eastAsia="lt-LT"/>
                        </w:rPr>
                        <w:t xml:space="preserve"> – vidutinės aktyviojo gydymo atvejo ar lovadienio sąnaudos,</w:t>
                      </w:r>
                    </w:p>
                    <w:p>
                      <w:pPr>
                        <w:tabs>
                          <w:tab w:val="left" w:pos="993"/>
                        </w:tabs>
                        <w:ind w:firstLine="567"/>
                        <w:jc w:val="both"/>
                        <w:rPr>
                          <w:szCs w:val="24"/>
                          <w:lang w:eastAsia="lt-LT"/>
                        </w:rPr>
                      </w:pPr>
                      <w:r>
                        <w:rPr>
                          <w:i/>
                          <w:szCs w:val="24"/>
                          <w:lang w:eastAsia="lt-LT"/>
                        </w:rPr>
                        <w:t>DRG</w:t>
                      </w:r>
                      <w:r>
                        <w:rPr>
                          <w:szCs w:val="24"/>
                          <w:lang w:eastAsia="lt-LT"/>
                        </w:rPr>
                        <w:t xml:space="preserve"> – giminingų diagnozių grupė,</w:t>
                      </w:r>
                    </w:p>
                    <w:p>
                      <w:pPr>
                        <w:tabs>
                          <w:tab w:val="left" w:pos="993"/>
                        </w:tabs>
                        <w:ind w:firstLine="567"/>
                        <w:jc w:val="both"/>
                        <w:rPr>
                          <w:szCs w:val="24"/>
                          <w:lang w:eastAsia="lt-LT"/>
                        </w:rPr>
                      </w:pPr>
                      <w:r>
                        <w:rPr>
                          <w:i/>
                          <w:szCs w:val="24"/>
                          <w:lang w:eastAsia="lt-LT"/>
                        </w:rPr>
                        <w:t xml:space="preserve">SG – </w:t>
                      </w:r>
                      <w:r>
                        <w:rPr>
                          <w:szCs w:val="24"/>
                          <w:lang w:eastAsia="lt-LT"/>
                        </w:rPr>
                        <w:t>sąnaudų grupė;</w:t>
                      </w:r>
                    </w:p>
                    <w:p>
                      <w:pPr>
                        <w:ind w:firstLine="567"/>
                        <w:jc w:val="both"/>
                        <w:rPr>
                          <w:szCs w:val="24"/>
                          <w:lang w:eastAsia="lt-LT"/>
                        </w:rPr>
                      </w:pPr>
                    </w:p>
                  </w:sdtContent>
                </w:sdt>
                <w:sdt>
                  <w:sdtPr>
                    <w:alias w:val="3 pr. 8.2 pp."/>
                    <w:tag w:val="part_9db2a42bf8644b298991845a361ac8f4"/>
                    <w:lock w:val="sdtLocked"/>
                    <w:richText/>
                  </w:sdtPr>
                  <w:sdtContent>
                    <w:p>
                      <w:pPr>
                        <w:tabs>
                          <w:tab w:val="left" w:pos="851"/>
                        </w:tabs>
                        <w:ind w:firstLine="567"/>
                        <w:jc w:val="both"/>
                        <w:rPr>
                          <w:szCs w:val="24"/>
                          <w:lang w:eastAsia="lt-LT"/>
                        </w:rPr>
                      </w:pPr>
                      <w:sdt>
                        <w:sdtPr>
                          <w:alias w:val="Numeris"/>
                          <w:tag w:val="nr_9db2a42bf8644b298991845a361ac8f4"/>
                          <w:lock w:val="sdtLocked"/>
                          <w:richText/>
                        </w:sdtPr>
                        <w:sdtContent>
                          <w:r>
                            <w:rPr>
                              <w:szCs w:val="24"/>
                              <w:lang w:eastAsia="lt-LT"/>
                            </w:rPr>
                            <w:t>8.2</w:t>
                          </w:r>
                        </w:sdtContent>
                      </w:sdt>
                      <w:r>
                        <w:rPr>
                          <w:szCs w:val="24"/>
                          <w:lang w:eastAsia="lt-LT"/>
                        </w:rPr>
                        <w:t>. paros gydymo kainos koeficientas:</w:t>
                      </w:r>
                    </w:p>
                    <w:p>
                      <w:pPr>
                        <w:tabs>
                          <w:tab w:val="left" w:pos="851"/>
                        </w:tabs>
                        <w:ind w:firstLine="567"/>
                        <w:jc w:val="both"/>
                        <w:rPr>
                          <w:szCs w:val="24"/>
                          <w:lang w:eastAsia="lt-LT"/>
                        </w:rPr>
                      </w:pPr>
                    </w:p>
                    <w:p>
                      <w:pPr>
                        <w:tabs>
                          <w:tab w:val="left" w:pos="993"/>
                        </w:tabs>
                        <w:jc w:val="center"/>
                        <w:rPr>
                          <w:szCs w:val="24"/>
                          <w:lang w:eastAsia="lt-LT"/>
                        </w:rPr>
                      </w:pPr>
                      <w:r>
                        <w:rPr>
                          <w:position w:val="-24"/>
                          <w:szCs w:val="24"/>
                          <w:lang w:eastAsia="lt-LT"/>
                        </w:rPr>
                        <w:object w:dxaOrig="3555" w:dyaOrig="675">
                          <v:shape id="_x0000_i1051" type="#_x0000_t75" style="width:178.45pt;height:33.8pt" o:ole="">
                            <v:imagedata r:id="rId77" o:title=""/>
                          </v:shape>
                          <o:OLEObject Type="Embed" ProgID="Equation.3" ShapeID="_x0000_i1051" DrawAspect="Content" ObjectID="_0000000001" r:id="rId78"/>
                        </w:object>
                      </w:r>
                      <w:r>
                        <w:rPr>
                          <w:szCs w:val="24"/>
                          <w:lang w:eastAsia="lt-LT"/>
                        </w:rPr>
                        <w:t>,</w:t>
                      </w:r>
                    </w:p>
                    <w:p>
                      <w:pPr>
                        <w:tabs>
                          <w:tab w:val="left" w:pos="993"/>
                        </w:tabs>
                        <w:jc w:val="center"/>
                        <w:rPr>
                          <w:szCs w:val="24"/>
                          <w:lang w:eastAsia="lt-LT"/>
                        </w:rPr>
                      </w:pPr>
                    </w:p>
                    <w:p>
                      <w:pPr>
                        <w:tabs>
                          <w:tab w:val="left" w:pos="851"/>
                        </w:tabs>
                        <w:ind w:firstLine="567"/>
                        <w:jc w:val="both"/>
                        <w:rPr>
                          <w:szCs w:val="24"/>
                          <w:lang w:eastAsia="lt-LT"/>
                        </w:rPr>
                      </w:pPr>
                    </w:p>
                    <w:p>
                      <w:pPr>
                        <w:tabs>
                          <w:tab w:val="left" w:pos="993"/>
                        </w:tabs>
                        <w:ind w:firstLine="567"/>
                        <w:jc w:val="both"/>
                        <w:rPr>
                          <w:szCs w:val="24"/>
                          <w:lang w:eastAsia="lt-LT"/>
                        </w:rPr>
                      </w:pPr>
                      <w:r>
                        <w:rPr>
                          <w:szCs w:val="24"/>
                          <w:lang w:eastAsia="lt-LT"/>
                        </w:rPr>
                        <w:t>kai:</w:t>
                      </w:r>
                    </w:p>
                    <w:p>
                      <w:pPr>
                        <w:ind w:firstLine="567"/>
                        <w:jc w:val="both"/>
                        <w:rPr>
                          <w:szCs w:val="24"/>
                          <w:lang w:eastAsia="lt-LT"/>
                        </w:rPr>
                      </w:pPr>
                      <w:r>
                        <w:rPr>
                          <w:i/>
                          <w:szCs w:val="24"/>
                          <w:lang w:eastAsia="lt-LT"/>
                        </w:rPr>
                        <w:t xml:space="preserve">PK </w:t>
                      </w:r>
                      <w:r>
                        <w:rPr>
                          <w:szCs w:val="24"/>
                          <w:lang w:eastAsia="lt-LT"/>
                        </w:rPr>
                        <w:t>– paros gydymo kainos koeficientas,</w:t>
                      </w:r>
                    </w:p>
                    <w:p>
                      <w:pPr>
                        <w:ind w:firstLine="567"/>
                        <w:jc w:val="both"/>
                        <w:rPr>
                          <w:szCs w:val="24"/>
                          <w:lang w:eastAsia="lt-LT"/>
                        </w:rPr>
                      </w:pPr>
                      <w:r>
                        <w:rPr>
                          <w:i/>
                          <w:szCs w:val="24"/>
                          <w:lang w:eastAsia="lt-LT"/>
                        </w:rPr>
                        <w:t>AKAVID</w:t>
                      </w:r>
                      <w:r>
                        <w:rPr>
                          <w:szCs w:val="24"/>
                          <w:lang w:eastAsia="lt-LT"/>
                        </w:rPr>
                        <w:t xml:space="preserve"> – vidutinės aktyviojo gydymo atvejo ar lovadienio sąnaudos,</w:t>
                      </w:r>
                    </w:p>
                    <w:p>
                      <w:pPr>
                        <w:tabs>
                          <w:tab w:val="left" w:pos="993"/>
                        </w:tabs>
                        <w:ind w:firstLine="567"/>
                        <w:jc w:val="both"/>
                        <w:rPr>
                          <w:szCs w:val="24"/>
                          <w:lang w:eastAsia="lt-LT"/>
                        </w:rPr>
                      </w:pPr>
                      <w:r>
                        <w:rPr>
                          <w:i/>
                          <w:szCs w:val="24"/>
                          <w:lang w:eastAsia="lt-LT"/>
                        </w:rPr>
                        <w:t xml:space="preserve">DRG – </w:t>
                      </w:r>
                      <w:r>
                        <w:rPr>
                          <w:szCs w:val="24"/>
                          <w:lang w:eastAsia="lt-LT"/>
                        </w:rPr>
                        <w:t>giminingų diagnozių grupė,</w:t>
                      </w:r>
                    </w:p>
                    <w:p>
                      <w:pPr>
                        <w:tabs>
                          <w:tab w:val="left" w:pos="993"/>
                        </w:tabs>
                        <w:ind w:firstLine="567"/>
                        <w:jc w:val="both"/>
                        <w:rPr>
                          <w:szCs w:val="24"/>
                          <w:lang w:eastAsia="lt-LT"/>
                        </w:rPr>
                      </w:pPr>
                      <w:r>
                        <w:rPr>
                          <w:i/>
                          <w:szCs w:val="24"/>
                          <w:lang w:eastAsia="lt-LT"/>
                        </w:rPr>
                        <w:t xml:space="preserve">SG – </w:t>
                      </w:r>
                      <w:r>
                        <w:rPr>
                          <w:szCs w:val="24"/>
                          <w:lang w:eastAsia="lt-LT"/>
                        </w:rPr>
                        <w:t>sąnaudų grupė;</w:t>
                      </w:r>
                    </w:p>
                    <w:p>
                      <w:pPr>
                        <w:ind w:firstLine="567"/>
                        <w:jc w:val="both"/>
                        <w:rPr>
                          <w:szCs w:val="24"/>
                          <w:lang w:eastAsia="lt-LT"/>
                        </w:rPr>
                      </w:pPr>
                    </w:p>
                  </w:sdtContent>
                </w:sdt>
                <w:sdt>
                  <w:sdtPr>
                    <w:alias w:val="3 pr. 8.3 pp."/>
                    <w:tag w:val="part_64bacce367a3496883d6d9329227c421"/>
                    <w:lock w:val="sdtLocked"/>
                    <w:richText/>
                  </w:sdtPr>
                  <w:sdtContent>
                    <w:p>
                      <w:pPr>
                        <w:tabs>
                          <w:tab w:val="left" w:pos="851"/>
                        </w:tabs>
                        <w:ind w:firstLine="567"/>
                        <w:jc w:val="both"/>
                        <w:rPr>
                          <w:szCs w:val="24"/>
                          <w:lang w:eastAsia="lt-LT"/>
                        </w:rPr>
                      </w:pPr>
                      <w:sdt>
                        <w:sdtPr>
                          <w:alias w:val="Numeris"/>
                          <w:tag w:val="nr_64bacce367a3496883d6d9329227c421"/>
                          <w:lock w:val="sdtLocked"/>
                          <w:richText/>
                        </w:sdtPr>
                        <w:sdtContent>
                          <w:r>
                            <w:rPr>
                              <w:szCs w:val="24"/>
                              <w:lang w:eastAsia="lt-LT"/>
                            </w:rPr>
                            <w:t>8.3</w:t>
                          </w:r>
                        </w:sdtContent>
                      </w:sdt>
                      <w:r>
                        <w:rPr>
                          <w:szCs w:val="24"/>
                          <w:lang w:eastAsia="lt-LT"/>
                        </w:rPr>
                        <w:t>. lovadienio kainos koeficientas, kai gydymo trukmė trumpesnė nei minimali gydymo trukmė:</w:t>
                      </w:r>
                    </w:p>
                    <w:p>
                      <w:pPr>
                        <w:tabs>
                          <w:tab w:val="left" w:pos="851"/>
                        </w:tabs>
                        <w:ind w:firstLine="567"/>
                        <w:jc w:val="both"/>
                        <w:rPr>
                          <w:szCs w:val="24"/>
                          <w:lang w:eastAsia="lt-LT"/>
                        </w:rPr>
                      </w:pPr>
                    </w:p>
                    <w:p>
                      <w:pPr>
                        <w:tabs>
                          <w:tab w:val="left" w:pos="993"/>
                        </w:tabs>
                        <w:jc w:val="center"/>
                        <w:rPr>
                          <w:szCs w:val="24"/>
                          <w:lang w:eastAsia="lt-LT"/>
                        </w:rPr>
                      </w:pPr>
                      <w:r>
                        <w:rPr>
                          <w:position w:val="-24"/>
                          <w:szCs w:val="24"/>
                          <w:lang w:eastAsia="lt-LT"/>
                        </w:rPr>
                        <w:object w:dxaOrig="4395" w:dyaOrig="675">
                          <v:shape id="_x0000_i1052" type="#_x0000_t75" style="width:221pt;height:33.8pt" o:ole="">
                            <v:imagedata r:id="rId79" o:title=""/>
                          </v:shape>
                          <o:OLEObject Type="Embed" ProgID="Equation.3" ShapeID="_x0000_i1052" DrawAspect="Content" ObjectID="_0000000001" r:id="rId80"/>
                        </w:object>
                      </w:r>
                      <w:r>
                        <w:rPr>
                          <w:szCs w:val="24"/>
                          <w:lang w:eastAsia="lt-LT"/>
                        </w:rPr>
                        <w:t>,</w:t>
                      </w:r>
                    </w:p>
                    <w:p>
                      <w:pPr>
                        <w:tabs>
                          <w:tab w:val="left" w:pos="993"/>
                        </w:tabs>
                        <w:jc w:val="center"/>
                        <w:rPr>
                          <w:szCs w:val="24"/>
                          <w:lang w:eastAsia="lt-LT"/>
                        </w:rPr>
                      </w:pPr>
                    </w:p>
                    <w:p>
                      <w:pPr>
                        <w:tabs>
                          <w:tab w:val="left" w:pos="851"/>
                        </w:tabs>
                        <w:ind w:firstLine="567"/>
                        <w:jc w:val="both"/>
                        <w:rPr>
                          <w:szCs w:val="24"/>
                          <w:lang w:eastAsia="lt-LT"/>
                        </w:rPr>
                      </w:pPr>
                    </w:p>
                    <w:p>
                      <w:pPr>
                        <w:tabs>
                          <w:tab w:val="left" w:pos="993"/>
                        </w:tabs>
                        <w:ind w:firstLine="567"/>
                        <w:jc w:val="both"/>
                        <w:rPr>
                          <w:szCs w:val="24"/>
                          <w:lang w:eastAsia="lt-LT"/>
                        </w:rPr>
                      </w:pPr>
                      <w:r>
                        <w:rPr>
                          <w:szCs w:val="24"/>
                          <w:lang w:eastAsia="lt-LT"/>
                        </w:rPr>
                        <w:t>kai:</w:t>
                      </w:r>
                    </w:p>
                    <w:p>
                      <w:pPr>
                        <w:ind w:firstLine="567"/>
                        <w:jc w:val="both"/>
                        <w:rPr>
                          <w:szCs w:val="24"/>
                          <w:lang w:eastAsia="lt-LT"/>
                        </w:rPr>
                      </w:pPr>
                      <w:r>
                        <w:rPr>
                          <w:i/>
                          <w:szCs w:val="24"/>
                          <w:lang w:eastAsia="lt-LT"/>
                        </w:rPr>
                        <w:t>LKMIN</w:t>
                      </w:r>
                      <w:r>
                        <w:rPr>
                          <w:szCs w:val="24"/>
                          <w:lang w:eastAsia="lt-LT"/>
                        </w:rPr>
                        <w:t xml:space="preserve"> – lovadienio kainos koeficientas, kai gydymo trukmė trumpesnė už minimalią gydymo trukmę,</w:t>
                      </w:r>
                    </w:p>
                    <w:p>
                      <w:pPr>
                        <w:ind w:firstLine="567"/>
                        <w:jc w:val="both"/>
                        <w:rPr>
                          <w:szCs w:val="24"/>
                          <w:lang w:eastAsia="lt-LT"/>
                        </w:rPr>
                      </w:pPr>
                      <w:r>
                        <w:rPr>
                          <w:i/>
                          <w:szCs w:val="24"/>
                          <w:lang w:eastAsia="lt-LT"/>
                        </w:rPr>
                        <w:t>AKAVID</w:t>
                      </w:r>
                      <w:r>
                        <w:rPr>
                          <w:szCs w:val="24"/>
                          <w:lang w:eastAsia="lt-LT"/>
                        </w:rPr>
                        <w:t xml:space="preserve"> – vidutinės aktyviojo gydymo atvejo ar lovadienio sąnaudos,</w:t>
                      </w:r>
                    </w:p>
                    <w:p>
                      <w:pPr>
                        <w:ind w:firstLine="567"/>
                        <w:jc w:val="both"/>
                        <w:rPr>
                          <w:i/>
                          <w:szCs w:val="24"/>
                          <w:lang w:eastAsia="lt-LT"/>
                        </w:rPr>
                      </w:pPr>
                      <w:r>
                        <w:rPr>
                          <w:i/>
                          <w:szCs w:val="24"/>
                          <w:lang w:eastAsia="lt-LT"/>
                        </w:rPr>
                        <w:t xml:space="preserve">DRG – </w:t>
                      </w:r>
                      <w:r>
                        <w:rPr>
                          <w:szCs w:val="24"/>
                          <w:lang w:eastAsia="lt-LT"/>
                        </w:rPr>
                        <w:t>giminingų diagnozių grupė,</w:t>
                      </w:r>
                    </w:p>
                    <w:p>
                      <w:pPr>
                        <w:ind w:firstLine="567"/>
                        <w:jc w:val="both"/>
                        <w:rPr>
                          <w:szCs w:val="24"/>
                          <w:lang w:eastAsia="lt-LT"/>
                        </w:rPr>
                      </w:pPr>
                      <w:r>
                        <w:rPr>
                          <w:i/>
                          <w:szCs w:val="24"/>
                          <w:lang w:eastAsia="lt-LT"/>
                        </w:rPr>
                        <w:t>SG</w:t>
                      </w:r>
                      <w:r>
                        <w:rPr>
                          <w:szCs w:val="24"/>
                          <w:lang w:eastAsia="lt-LT"/>
                        </w:rPr>
                        <w:t xml:space="preserve"> – sąnaudų grupė;</w:t>
                      </w:r>
                    </w:p>
                    <w:p>
                      <w:pPr>
                        <w:tabs>
                          <w:tab w:val="left" w:pos="851"/>
                        </w:tabs>
                        <w:ind w:firstLine="567"/>
                        <w:jc w:val="both"/>
                        <w:rPr>
                          <w:szCs w:val="24"/>
                          <w:lang w:eastAsia="lt-LT"/>
                        </w:rPr>
                      </w:pPr>
                    </w:p>
                  </w:sdtContent>
                </w:sdt>
                <w:sdt>
                  <w:sdtPr>
                    <w:alias w:val="3 pr. 8.4 pp."/>
                    <w:tag w:val="part_abe869c5c7f14a22a0f83bd56ee1ed51"/>
                    <w:lock w:val="sdtLocked"/>
                    <w:richText/>
                  </w:sdtPr>
                  <w:sdtContent>
                    <w:p>
                      <w:pPr>
                        <w:tabs>
                          <w:tab w:val="left" w:pos="993"/>
                        </w:tabs>
                        <w:ind w:firstLine="567"/>
                        <w:jc w:val="both"/>
                        <w:rPr>
                          <w:szCs w:val="24"/>
                          <w:lang w:eastAsia="lt-LT"/>
                        </w:rPr>
                      </w:pPr>
                      <w:sdt>
                        <w:sdtPr>
                          <w:alias w:val="Numeris"/>
                          <w:tag w:val="nr_abe869c5c7f14a22a0f83bd56ee1ed51"/>
                          <w:lock w:val="sdtLocked"/>
                          <w:richText/>
                        </w:sdtPr>
                        <w:sdtContent>
                          <w:r>
                            <w:rPr>
                              <w:szCs w:val="24"/>
                              <w:lang w:eastAsia="lt-LT"/>
                            </w:rPr>
                            <w:t>8.4</w:t>
                          </w:r>
                        </w:sdtContent>
                      </w:sdt>
                      <w:r>
                        <w:rPr>
                          <w:szCs w:val="24"/>
                          <w:lang w:eastAsia="lt-LT"/>
                        </w:rPr>
                        <w:t>. vidutinės trukmės aktyviojo gydymo atvejo kainos koeficientas, kai gydymo trukmė ilgesnė nei minimali gydymo trukmė arba lygi jai ir trumpesnė nei maksimali gydymo trukmė arba lygi jai:</w:t>
                      </w:r>
                    </w:p>
                    <w:p>
                      <w:pPr>
                        <w:tabs>
                          <w:tab w:val="left" w:pos="851"/>
                        </w:tabs>
                        <w:ind w:firstLine="567"/>
                        <w:jc w:val="both"/>
                        <w:rPr>
                          <w:szCs w:val="24"/>
                          <w:lang w:eastAsia="lt-LT"/>
                        </w:rPr>
                      </w:pPr>
                    </w:p>
                    <w:p>
                      <w:pPr>
                        <w:tabs>
                          <w:tab w:val="left" w:pos="993"/>
                        </w:tabs>
                        <w:jc w:val="center"/>
                        <w:rPr>
                          <w:szCs w:val="24"/>
                          <w:lang w:eastAsia="lt-LT"/>
                        </w:rPr>
                      </w:pPr>
                      <w:r>
                        <w:rPr>
                          <w:position w:val="-24"/>
                          <w:szCs w:val="24"/>
                          <w:lang w:eastAsia="lt-LT"/>
                        </w:rPr>
                        <w:object w:dxaOrig="3555" w:dyaOrig="675">
                          <v:shape id="_x0000_i1053" type="#_x0000_t75" style="width:178.45pt;height:33.8pt" o:ole="">
                            <v:imagedata r:id="rId81" o:title=""/>
                          </v:shape>
                          <o:OLEObject Type="Embed" ProgID="Equation.3" ShapeID="_x0000_i1053" DrawAspect="Content" ObjectID="_0000000001" r:id="rId82"/>
                        </w:object>
                      </w:r>
                      <w:r>
                        <w:rPr>
                          <w:szCs w:val="24"/>
                          <w:lang w:eastAsia="lt-LT"/>
                        </w:rPr>
                        <w:t>,</w:t>
                      </w:r>
                    </w:p>
                    <w:p>
                      <w:pPr>
                        <w:tabs>
                          <w:tab w:val="left" w:pos="993"/>
                        </w:tabs>
                        <w:jc w:val="center"/>
                        <w:rPr>
                          <w:szCs w:val="24"/>
                          <w:lang w:eastAsia="lt-LT"/>
                        </w:rPr>
                      </w:pPr>
                    </w:p>
                    <w:p>
                      <w:pPr>
                        <w:tabs>
                          <w:tab w:val="left" w:pos="851"/>
                        </w:tabs>
                        <w:ind w:firstLine="567"/>
                        <w:jc w:val="both"/>
                        <w:rPr>
                          <w:szCs w:val="24"/>
                          <w:lang w:eastAsia="lt-LT"/>
                        </w:rPr>
                      </w:pPr>
                    </w:p>
                    <w:p>
                      <w:pPr>
                        <w:tabs>
                          <w:tab w:val="left" w:pos="993"/>
                        </w:tabs>
                        <w:ind w:firstLine="567"/>
                        <w:jc w:val="both"/>
                        <w:rPr>
                          <w:szCs w:val="24"/>
                          <w:lang w:eastAsia="lt-LT"/>
                        </w:rPr>
                      </w:pPr>
                      <w:r>
                        <w:rPr>
                          <w:szCs w:val="24"/>
                          <w:lang w:eastAsia="lt-LT"/>
                        </w:rPr>
                        <w:t>kai:</w:t>
                      </w:r>
                    </w:p>
                    <w:p>
                      <w:pPr>
                        <w:tabs>
                          <w:tab w:val="left" w:pos="993"/>
                        </w:tabs>
                        <w:ind w:firstLine="567"/>
                        <w:jc w:val="both"/>
                        <w:rPr>
                          <w:szCs w:val="24"/>
                          <w:lang w:eastAsia="lt-LT"/>
                        </w:rPr>
                      </w:pPr>
                      <w:r>
                        <w:rPr>
                          <w:i/>
                          <w:szCs w:val="24"/>
                          <w:lang w:eastAsia="lt-LT"/>
                        </w:rPr>
                        <w:t xml:space="preserve">AK </w:t>
                      </w:r>
                      <w:r>
                        <w:rPr>
                          <w:szCs w:val="24"/>
                          <w:lang w:eastAsia="lt-LT"/>
                        </w:rPr>
                        <w:t>– vidutinės trukmės aktyviojo gydymo atvejo kainos koeficientas, kai gydymo trukmė ilgesnė nei minimali gydymo trukmė arba lygi jai ir trumpesnė nei maksimali gydymo trukmė arba lygi jai,</w:t>
                      </w:r>
                    </w:p>
                    <w:p>
                      <w:pPr>
                        <w:ind w:firstLine="567"/>
                        <w:jc w:val="both"/>
                        <w:rPr>
                          <w:szCs w:val="24"/>
                          <w:lang w:eastAsia="lt-LT"/>
                        </w:rPr>
                      </w:pPr>
                      <w:r>
                        <w:rPr>
                          <w:i/>
                          <w:szCs w:val="24"/>
                          <w:lang w:eastAsia="lt-LT"/>
                        </w:rPr>
                        <w:t>AKAVID</w:t>
                      </w:r>
                      <w:r>
                        <w:rPr>
                          <w:szCs w:val="24"/>
                          <w:lang w:eastAsia="lt-LT"/>
                        </w:rPr>
                        <w:t xml:space="preserve"> – vidutinės aktyviojo gydymo atvejo ar lovadienio sąnaudos,</w:t>
                      </w:r>
                    </w:p>
                    <w:p>
                      <w:pPr>
                        <w:tabs>
                          <w:tab w:val="left" w:pos="993"/>
                        </w:tabs>
                        <w:ind w:firstLine="567"/>
                        <w:jc w:val="both"/>
                        <w:rPr>
                          <w:szCs w:val="24"/>
                          <w:lang w:eastAsia="lt-LT"/>
                        </w:rPr>
                      </w:pPr>
                      <w:r>
                        <w:rPr>
                          <w:i/>
                          <w:szCs w:val="24"/>
                          <w:lang w:eastAsia="lt-LT"/>
                        </w:rPr>
                        <w:t>DRG</w:t>
                      </w:r>
                      <w:r>
                        <w:rPr>
                          <w:szCs w:val="24"/>
                          <w:lang w:eastAsia="lt-LT"/>
                        </w:rPr>
                        <w:t xml:space="preserve"> – giminingų diagnozių grupė,</w:t>
                      </w:r>
                    </w:p>
                    <w:p>
                      <w:pPr>
                        <w:tabs>
                          <w:tab w:val="left" w:pos="993"/>
                        </w:tabs>
                        <w:ind w:firstLine="567"/>
                        <w:jc w:val="both"/>
                        <w:rPr>
                          <w:szCs w:val="24"/>
                          <w:lang w:eastAsia="lt-LT"/>
                        </w:rPr>
                      </w:pPr>
                      <w:r>
                        <w:rPr>
                          <w:i/>
                          <w:szCs w:val="24"/>
                          <w:lang w:eastAsia="lt-LT"/>
                        </w:rPr>
                        <w:t xml:space="preserve">SG – </w:t>
                      </w:r>
                      <w:r>
                        <w:rPr>
                          <w:szCs w:val="24"/>
                          <w:lang w:eastAsia="lt-LT"/>
                        </w:rPr>
                        <w:t>sąnaudų grupė;</w:t>
                      </w:r>
                    </w:p>
                    <w:p>
                      <w:pPr>
                        <w:tabs>
                          <w:tab w:val="left" w:pos="851"/>
                        </w:tabs>
                        <w:ind w:firstLine="567"/>
                        <w:jc w:val="both"/>
                        <w:rPr>
                          <w:szCs w:val="24"/>
                          <w:lang w:eastAsia="lt-LT"/>
                        </w:rPr>
                      </w:pPr>
                    </w:p>
                  </w:sdtContent>
                </w:sdt>
                <w:sdt>
                  <w:sdtPr>
                    <w:alias w:val="3 pr. 8.5 pp."/>
                    <w:tag w:val="part_5ae721209a93469b9b5518c5fb5e5f29"/>
                    <w:lock w:val="sdtLocked"/>
                    <w:richText/>
                  </w:sdtPr>
                  <w:sdtContent>
                    <w:p>
                      <w:pPr>
                        <w:tabs>
                          <w:tab w:val="left" w:pos="851"/>
                        </w:tabs>
                        <w:ind w:firstLine="567"/>
                        <w:jc w:val="both"/>
                        <w:rPr>
                          <w:szCs w:val="24"/>
                          <w:lang w:eastAsia="lt-LT"/>
                        </w:rPr>
                      </w:pPr>
                      <w:sdt>
                        <w:sdtPr>
                          <w:alias w:val="Numeris"/>
                          <w:tag w:val="nr_5ae721209a93469b9b5518c5fb5e5f29"/>
                          <w:lock w:val="sdtLocked"/>
                          <w:richText/>
                        </w:sdtPr>
                        <w:sdtContent>
                          <w:r>
                            <w:rPr>
                              <w:szCs w:val="24"/>
                              <w:lang w:eastAsia="lt-LT"/>
                            </w:rPr>
                            <w:t>8.5</w:t>
                          </w:r>
                        </w:sdtContent>
                      </w:sdt>
                      <w:r>
                        <w:rPr>
                          <w:szCs w:val="24"/>
                          <w:lang w:eastAsia="lt-LT"/>
                        </w:rPr>
                        <w:t>. lovadienio kainos koeficientas, kai gydymo trukmė ilgesnė nei maksimali gydymo trukmė:</w:t>
                      </w:r>
                    </w:p>
                    <w:p>
                      <w:pPr>
                        <w:tabs>
                          <w:tab w:val="left" w:pos="851"/>
                        </w:tabs>
                        <w:ind w:firstLine="567"/>
                        <w:jc w:val="both"/>
                        <w:rPr>
                          <w:szCs w:val="24"/>
                          <w:lang w:eastAsia="lt-LT"/>
                        </w:rPr>
                      </w:pPr>
                    </w:p>
                    <w:p>
                      <w:pPr>
                        <w:tabs>
                          <w:tab w:val="left" w:pos="993"/>
                        </w:tabs>
                        <w:jc w:val="center"/>
                        <w:rPr>
                          <w:szCs w:val="24"/>
                          <w:lang w:eastAsia="lt-LT"/>
                        </w:rPr>
                      </w:pPr>
                      <w:r>
                        <w:rPr>
                          <w:position w:val="-24"/>
                          <w:szCs w:val="24"/>
                          <w:lang w:eastAsia="lt-LT"/>
                        </w:rPr>
                        <w:object w:dxaOrig="4515" w:dyaOrig="675">
                          <v:shape id="_x0000_i1054" type="#_x0000_t75" style="width:224.75pt;height:33.8pt" o:ole="">
                            <v:imagedata r:id="rId83" o:title=""/>
                          </v:shape>
                          <o:OLEObject Type="Embed" ProgID="Equation.3" ShapeID="_x0000_i1054" DrawAspect="Content" ObjectID="_0000000001" r:id="rId84"/>
                        </w:object>
                      </w:r>
                      <w:r>
                        <w:rPr>
                          <w:szCs w:val="24"/>
                          <w:lang w:eastAsia="lt-LT"/>
                        </w:rPr>
                        <w:t>,</w:t>
                      </w:r>
                    </w:p>
                    <w:p>
                      <w:pPr>
                        <w:tabs>
                          <w:tab w:val="left" w:pos="993"/>
                        </w:tabs>
                        <w:jc w:val="center"/>
                        <w:rPr>
                          <w:szCs w:val="24"/>
                          <w:lang w:eastAsia="lt-LT"/>
                        </w:rPr>
                      </w:pPr>
                    </w:p>
                    <w:p>
                      <w:pPr>
                        <w:tabs>
                          <w:tab w:val="left" w:pos="851"/>
                        </w:tabs>
                        <w:ind w:firstLine="567"/>
                        <w:jc w:val="both"/>
                        <w:rPr>
                          <w:szCs w:val="24"/>
                          <w:lang w:eastAsia="lt-LT"/>
                        </w:rPr>
                      </w:pPr>
                    </w:p>
                    <w:p>
                      <w:pPr>
                        <w:tabs>
                          <w:tab w:val="left" w:pos="993"/>
                        </w:tabs>
                        <w:ind w:firstLine="567"/>
                        <w:jc w:val="both"/>
                        <w:rPr>
                          <w:szCs w:val="24"/>
                          <w:lang w:eastAsia="lt-LT"/>
                        </w:rPr>
                      </w:pPr>
                      <w:r>
                        <w:rPr>
                          <w:szCs w:val="24"/>
                          <w:lang w:eastAsia="lt-LT"/>
                        </w:rPr>
                        <w:t>kai:</w:t>
                      </w:r>
                    </w:p>
                    <w:p>
                      <w:pPr>
                        <w:ind w:firstLine="567"/>
                        <w:jc w:val="both"/>
                        <w:rPr>
                          <w:szCs w:val="24"/>
                          <w:lang w:eastAsia="lt-LT"/>
                        </w:rPr>
                      </w:pPr>
                      <w:r>
                        <w:rPr>
                          <w:i/>
                          <w:szCs w:val="24"/>
                          <w:lang w:eastAsia="lt-LT"/>
                        </w:rPr>
                        <w:t>LKMAX</w:t>
                      </w:r>
                      <w:r>
                        <w:rPr>
                          <w:szCs w:val="24"/>
                          <w:lang w:eastAsia="lt-LT"/>
                        </w:rPr>
                        <w:t xml:space="preserve"> – lovadienio kainos koeficientas, kai gydymo trukmė ilgesnė už maksimalią gydymo trukmę,</w:t>
                      </w:r>
                    </w:p>
                    <w:p>
                      <w:pPr>
                        <w:ind w:firstLine="567"/>
                        <w:jc w:val="both"/>
                        <w:rPr>
                          <w:szCs w:val="24"/>
                          <w:lang w:eastAsia="lt-LT"/>
                        </w:rPr>
                      </w:pPr>
                      <w:r>
                        <w:rPr>
                          <w:i/>
                          <w:szCs w:val="24"/>
                          <w:lang w:eastAsia="lt-LT"/>
                        </w:rPr>
                        <w:t>AKAVID</w:t>
                      </w:r>
                      <w:r>
                        <w:rPr>
                          <w:szCs w:val="24"/>
                          <w:lang w:eastAsia="lt-LT"/>
                        </w:rPr>
                        <w:t xml:space="preserve"> – vidutinės aktyviojo gydymo atvejo ar lovadienio sąnaudos,</w:t>
                      </w:r>
                    </w:p>
                    <w:p>
                      <w:pPr>
                        <w:tabs>
                          <w:tab w:val="left" w:pos="993"/>
                        </w:tabs>
                        <w:ind w:firstLine="567"/>
                        <w:jc w:val="both"/>
                        <w:rPr>
                          <w:szCs w:val="24"/>
                          <w:lang w:eastAsia="lt-LT"/>
                        </w:rPr>
                      </w:pPr>
                      <w:r>
                        <w:rPr>
                          <w:i/>
                          <w:szCs w:val="24"/>
                          <w:lang w:eastAsia="lt-LT"/>
                        </w:rPr>
                        <w:t xml:space="preserve">DRG – </w:t>
                      </w:r>
                      <w:r>
                        <w:rPr>
                          <w:szCs w:val="24"/>
                          <w:lang w:eastAsia="lt-LT"/>
                        </w:rPr>
                        <w:t>giminingų diagnozių grupė,</w:t>
                      </w:r>
                    </w:p>
                    <w:p>
                      <w:pPr>
                        <w:tabs>
                          <w:tab w:val="left" w:pos="993"/>
                        </w:tabs>
                        <w:ind w:firstLine="567"/>
                        <w:jc w:val="both"/>
                        <w:rPr>
                          <w:szCs w:val="24"/>
                          <w:lang w:eastAsia="lt-LT"/>
                        </w:rPr>
                      </w:pPr>
                      <w:r>
                        <w:rPr>
                          <w:i/>
                          <w:szCs w:val="24"/>
                          <w:lang w:eastAsia="lt-LT"/>
                        </w:rPr>
                        <w:t xml:space="preserve">SG </w:t>
                      </w:r>
                      <w:r>
                        <w:rPr>
                          <w:szCs w:val="24"/>
                          <w:lang w:eastAsia="lt-LT"/>
                        </w:rPr>
                        <w:t>– sąnaudų grupė.</w:t>
                      </w:r>
                    </w:p>
                    <w:p>
                      <w:pPr>
                        <w:rPr>
                          <w:szCs w:val="24"/>
                          <w:lang w:eastAsia="lt-LT"/>
                        </w:rPr>
                      </w:pPr>
                    </w:p>
                  </w:sdtContent>
                </w:sdt>
              </w:sdtContent>
            </w:sdt>
          </w:sdtContent>
        </w:sdt>
        <w:sdt>
          <w:sdtPr>
            <w:alias w:val="pabaiga"/>
            <w:tag w:val="part_adce8976e49a4a66b3fce1009410e29a"/>
            <w:lock w:val="sdtLocked"/>
            <w:richText/>
          </w:sdtPr>
          <w:sdtContent>
            <w:p>
              <w:pPr>
                <w:jc w:val="center"/>
                <w:rPr>
                  <w:szCs w:val="24"/>
                  <w:lang w:eastAsia="lt-LT"/>
                </w:rPr>
              </w:pPr>
              <w:r>
                <w:rPr>
                  <w:szCs w:val="24"/>
                  <w:lang w:eastAsia="lt-LT"/>
                </w:rPr>
                <w:t>_________________</w:t>
              </w:r>
            </w:p>
            <w:p/>
          </w:sdtContent>
        </w:sdt>
      </w:sdtContent>
    </w:sdt>
    <w:sdt>
      <w:sdtPr>
        <w:alias w:val="4 pr."/>
        <w:tag w:val="part_fde8be57214244089dcabcfe9ed852ad"/>
        <w:lock w:val="sdtLocked"/>
        <w:richText/>
      </w:sdtPr>
      <w:sdtContent>
        <w:p>
          <w:pPr>
            <w:ind w:left="4820"/>
            <w:sectPr>
              <w:headerReference w:type="even" r:id="rId89"/>
              <w:headerReference w:type="default" r:id="rId90"/>
              <w:footerReference w:type="even" r:id="rId91"/>
              <w:footerReference w:type="default" r:id="rId92"/>
              <w:headerReference w:type="first" r:id="rId93"/>
              <w:footerReference w:type="first" r:id="rId94"/>
              <w:pgSz w:w="11906" w:h="16838"/>
              <w:pgMar w:top="1134" w:right="1134" w:bottom="1134" w:left="1701" w:header="709" w:footer="709" w:gutter="0"/>
              <w:pgNumType w:start="1"/>
              <w:cols w:space="708"/>
              <w:titlePg/>
              <w:docGrid w:linePitch="360"/>
            </w:sectPr>
          </w:pPr>
        </w:p>
        <w:p>
          <w:pPr>
            <w:ind w:left="4820"/>
            <w:rPr>
              <w:szCs w:val="24"/>
            </w:rPr>
          </w:pPr>
          <w:r>
            <w:rPr>
              <w:szCs w:val="24"/>
            </w:rPr>
            <w:t xml:space="preserve">Asmens sveikatos priežiūros paslaugų, kurių išlaidos apmokamos Privalomojo sveikatos draudimo fondo biudžeto lėšomis, bazinių kainų nustatymo metodikos </w:t>
          </w:r>
        </w:p>
        <w:p>
          <w:pPr>
            <w:ind w:left="4820"/>
            <w:rPr>
              <w:szCs w:val="24"/>
            </w:rPr>
          </w:pPr>
          <w:sdt>
            <w:sdtPr>
              <w:alias w:val="Numeris"/>
              <w:tag w:val="nr_fde8be57214244089dcabcfe9ed852ad"/>
              <w:lock w:val="sdtLocked"/>
              <w:richText/>
            </w:sdtPr>
            <w:sdtContent>
              <w:r>
                <w:rPr>
                  <w:szCs w:val="24"/>
                </w:rPr>
                <w:t>4</w:t>
              </w:r>
            </w:sdtContent>
          </w:sdt>
          <w:r>
            <w:rPr>
              <w:szCs w:val="24"/>
            </w:rPr>
            <w:t xml:space="preserve"> priedas</w:t>
          </w:r>
        </w:p>
        <w:p>
          <w:pPr>
            <w:tabs>
              <w:tab w:val="left" w:pos="709"/>
              <w:tab w:val="left" w:pos="993"/>
            </w:tabs>
            <w:ind w:left="360"/>
            <w:jc w:val="both"/>
            <w:rPr>
              <w:szCs w:val="24"/>
            </w:rPr>
          </w:pPr>
        </w:p>
        <w:p>
          <w:pPr>
            <w:tabs>
              <w:tab w:val="left" w:pos="709"/>
              <w:tab w:val="left" w:pos="993"/>
            </w:tabs>
            <w:ind w:left="360"/>
            <w:jc w:val="center"/>
            <w:rPr>
              <w:b/>
              <w:szCs w:val="24"/>
            </w:rPr>
          </w:pPr>
          <w:sdt>
            <w:sdtPr>
              <w:alias w:val="Pavadinimas"/>
              <w:tag w:val="title_fde8be57214244089dcabcfe9ed852ad"/>
              <w:lock w:val="sdtLocked"/>
              <w:richText/>
            </w:sdtPr>
            <w:sdtContent>
              <w:r>
                <w:rPr>
                  <w:b/>
                  <w:szCs w:val="24"/>
                </w:rPr>
                <w:t>ATITINKAMOS AMŽIAUS GRUPĖS GYVENTOJAMS ATLIEKAMŲ TYRIMŲ, POLILIGOTUMO IR APSILANKYMŲ PIRMINĖS AMBULATORINĖS ASMENS SVEIKATOS PRIEŽIŪROS PASLAUGAS TEIKIANČIOSE ĮSTAIGOSE</w:t>
              </w:r>
              <w:r>
                <w:rPr>
                  <w:szCs w:val="24"/>
                </w:rPr>
                <w:t xml:space="preserve"> </w:t>
              </w:r>
              <w:r>
                <w:rPr>
                  <w:b/>
                  <w:szCs w:val="24"/>
                </w:rPr>
                <w:t>KOEFICIENTŲ APSKAIČIAVIMO TVARKA</w:t>
              </w:r>
            </w:sdtContent>
          </w:sdt>
        </w:p>
        <w:p>
          <w:pPr>
            <w:tabs>
              <w:tab w:val="left" w:pos="709"/>
              <w:tab w:val="left" w:pos="993"/>
            </w:tabs>
            <w:ind w:left="360"/>
            <w:jc w:val="center"/>
            <w:rPr>
              <w:b/>
              <w:szCs w:val="24"/>
            </w:rPr>
          </w:pPr>
        </w:p>
        <w:sdt>
          <w:sdtPr>
            <w:alias w:val="4 pr. 1 p."/>
            <w:tag w:val="part_6468017705f24305a374545227df34af"/>
            <w:lock w:val="sdtLocked"/>
            <w:richText/>
          </w:sdtPr>
          <w:sdtContent>
            <w:p>
              <w:pPr>
                <w:tabs>
                  <w:tab w:val="left" w:pos="709"/>
                  <w:tab w:val="left" w:pos="851"/>
                  <w:tab w:val="left" w:pos="1276"/>
                </w:tabs>
                <w:spacing w:line="259" w:lineRule="auto"/>
                <w:ind w:firstLine="567"/>
                <w:jc w:val="both"/>
                <w:rPr>
                  <w:szCs w:val="24"/>
                </w:rPr>
              </w:pPr>
              <w:sdt>
                <w:sdtPr>
                  <w:alias w:val="Numeris"/>
                  <w:tag w:val="nr_6468017705f24305a374545227df34af"/>
                  <w:lock w:val="sdtLocked"/>
                  <w:richText/>
                </w:sdtPr>
                <w:sdtContent>
                  <w:r>
                    <w:rPr>
                      <w:szCs w:val="24"/>
                    </w:rPr>
                    <w:t>1</w:t>
                  </w:r>
                </w:sdtContent>
              </w:sdt>
              <w:r>
                <w:rPr>
                  <w:szCs w:val="24"/>
                </w:rPr>
                <w:t>.</w:t>
                <w:tab/>
                <w:t>Skaičiuojant prisirašiusiems prie pirminės ambulatorinės asmens sveikatos priežiūros (toliau – PAASP) paslaugas teikiančių asmens sveikatos priežiūros įstaigų (toliau – ASPĮ) gyventojams (toliau – prisirašę gyventojai) atliekamų tyrimų koeficientus pagal amžiaus grupes (</w:t>
              </w:r>
              <m:oMath>
                <m:sSub>
                  <m:sSubPr>
                    <m:ctrlPr>
                      <w:rPr>
                        <w:rFonts w:ascii="Cambria Math" w:hAnsi="Cambria Math"/>
                        <w:i/>
                      </w:rPr>
                    </m:ctrlPr>
                  </m:sSubPr>
                  <m:e>
                    <m:r>
                      <w:rPr>
                        <w:rFonts w:ascii="Cambria Math" w:hAnsi="Cambria Math"/>
                      </w:rPr>
                      <m:t>KT</m:t>
                    </m:r>
                  </m:e>
                  <m:sub>
                    <m:r>
                      <w:rPr>
                        <w:rFonts w:ascii="Cambria Math" w:hAnsi="Cambria Math"/>
                      </w:rPr>
                      <m:t>AG</m:t>
                    </m:r>
                  </m:sub>
                </m:sSub>
              </m:oMath>
              <w:r>
                <w:rPr>
                  <w:szCs w:val="24"/>
                </w:rPr>
                <w:t>), nustatomas vidutinis kiekvienos amžiaus grupės vienam prisirašiusiam gyventojui tenkantis tyrimų skaičius ir vidutinis vienam prisirašiusiam gyventojui tenkantis tyrimų skaičius per metus:</w:t>
              </w:r>
            </w:p>
            <w:sdt>
              <w:sdtPr>
                <w:alias w:val="4 pr. 1.1 pp."/>
                <w:tag w:val="part_09cee4377f674127afe50c1d7074f173"/>
                <w:lock w:val="sdtLocked"/>
                <w:richText/>
              </w:sdtPr>
              <w:sdtContent>
                <w:p>
                  <w:pPr>
                    <w:tabs>
                      <w:tab w:val="left" w:pos="567"/>
                      <w:tab w:val="left" w:pos="993"/>
                    </w:tabs>
                    <w:ind w:firstLine="567"/>
                    <w:jc w:val="both"/>
                    <w:rPr>
                      <w:rFonts w:eastAsia="Calibri"/>
                      <w:szCs w:val="24"/>
                    </w:rPr>
                  </w:pPr>
                  <w:sdt>
                    <w:sdtPr>
                      <w:alias w:val="Numeris"/>
                      <w:tag w:val="nr_09cee4377f674127afe50c1d7074f173"/>
                      <w:lock w:val="sdtLocked"/>
                      <w:richText/>
                    </w:sdtPr>
                    <w:sdtContent>
                      <w:r>
                        <w:rPr>
                          <w:rFonts w:eastAsia="Calibri"/>
                          <w:szCs w:val="24"/>
                        </w:rPr>
                        <w:t>1.1</w:t>
                      </w:r>
                    </w:sdtContent>
                  </w:sdt>
                  <w:r>
                    <w:rPr>
                      <w:rFonts w:eastAsia="Calibri"/>
                      <w:szCs w:val="24"/>
                    </w:rPr>
                    <w:t>. Vidutinis atitinkamos amžiaus grupės prisirašiusiam gyventojui tenkantis tyrimų skaičius per metus apskaičiuojamas dalijant bendrą metinį tyrimų skaičių, tenkantį šios amžiaus grupės prisirašiusiems gyventojams, iš šios amžiaus grupės prisirašiusiųjų skaičiaus:</w:t>
                  </w:r>
                </w:p>
                <w:p>
                  <w:pPr>
                    <w:tabs>
                      <w:tab w:val="left" w:pos="567"/>
                      <w:tab w:val="left" w:pos="993"/>
                    </w:tabs>
                    <w:jc w:val="both"/>
                    <w:rPr>
                      <w:rFonts w:eastAsia="Calibri"/>
                      <w:szCs w:val="24"/>
                    </w:rPr>
                  </w:pPr>
                </w:p>
                <w:p>
                  <w:pPr>
                    <w:ind w:firstLine="1296"/>
                    <w:jc w:val="both"/>
                    <w:rPr>
                      <w:i/>
                      <w:szCs w:val="24"/>
                      <w:lang w:val="en-US"/>
                    </w:rPr>
                  </w:pPr>
                  <m:oMathPara>
                    <m:oMath>
                      <m:sSub>
                        <m:sSubPr>
                          <m:ctrlPr>
                            <w:rPr>
                              <w:rFonts w:ascii="Cambria Math" w:eastAsiaTheme="minorEastAsia" w:hAnsi="Cambria Math"/>
                              <w:i/>
                            </w:rPr>
                          </m:ctrlPr>
                        </m:sSubPr>
                        <m:e>
                          <m:r>
                            <w:rPr>
                              <w:rFonts w:ascii="Cambria Math" w:eastAsiaTheme="minorEastAsia" w:hAnsi="Cambria Math"/>
                            </w:rPr>
                            <m:t>TVID</m:t>
                          </m:r>
                        </m:e>
                        <m:sub>
                          <m:r>
                            <w:rPr>
                              <w:rFonts w:ascii="Cambria Math" w:eastAsiaTheme="minorEastAsia" w:hAnsi="Cambria Math"/>
                            </w:rPr>
                            <m:t>AG</m:t>
                          </m:r>
                        </m:sub>
                      </m:sSub>
                      <m:r>
                        <w:rPr>
                          <w:rFonts w:ascii="Cambria Math" w:eastAsiaTheme="minorEastAsia" w:hAnsi="Cambria Math"/>
                          <w:lang w:val="en-US"/>
                        </w:rPr>
                        <m:t>=</m:t>
                      </m:r>
                      <m:f>
                        <m:fPr>
                          <m:ctrlPr>
                            <w:rPr>
                              <w:rFonts w:ascii="Cambria Math" w:eastAsiaTheme="minorEastAsia" w:hAnsi="Cambria Math"/>
                              <w:i/>
                              <w:lang w:val="en-US"/>
                            </w:rPr>
                          </m:ctrlPr>
                        </m:fPr>
                        <m:num>
                          <m:sSub>
                            <m:sSubPr>
                              <m:ctrlPr>
                                <w:rPr>
                                  <w:rFonts w:ascii="Cambria Math" w:eastAsiaTheme="minorEastAsia" w:hAnsi="Cambria Math"/>
                                  <w:i/>
                                  <w:lang w:val="en-US"/>
                                </w:rPr>
                              </m:ctrlPr>
                            </m:sSubPr>
                            <m:e>
                              <m:r>
                                <w:rPr>
                                  <w:rFonts w:ascii="Cambria Math" w:eastAsiaTheme="minorEastAsia" w:hAnsi="Cambria Math"/>
                                  <w:lang w:val="en-US"/>
                                </w:rPr>
                                <m:t>TSK</m:t>
                              </m:r>
                            </m:e>
                            <m:sub>
                              <m:r>
                                <w:rPr>
                                  <w:rFonts w:ascii="Cambria Math" w:eastAsiaTheme="minorEastAsia" w:hAnsi="Cambria Math"/>
                                  <w:lang w:val="en-US"/>
                                </w:rPr>
                                <m:t>AG</m:t>
                              </m:r>
                            </m:sub>
                          </m:sSub>
                        </m:num>
                        <m:den>
                          <m:sSub>
                            <m:sSubPr>
                              <m:ctrlPr>
                                <w:rPr>
                                  <w:rFonts w:ascii="Cambria Math" w:eastAsiaTheme="minorEastAsia" w:hAnsi="Cambria Math"/>
                                  <w:i/>
                                  <w:lang w:val="en-US"/>
                                </w:rPr>
                              </m:ctrlPr>
                            </m:sSubPr>
                            <m:e>
                              <m:r>
                                <w:rPr>
                                  <w:rFonts w:ascii="Cambria Math" w:eastAsiaTheme="minorEastAsia" w:hAnsi="Cambria Math"/>
                                  <w:lang w:val="en-US"/>
                                </w:rPr>
                                <m:t>PR</m:t>
                              </m:r>
                            </m:e>
                            <m:sub>
                              <m:r>
                                <w:rPr>
                                  <w:rFonts w:ascii="Cambria Math" w:eastAsiaTheme="minorEastAsia" w:hAnsi="Cambria Math"/>
                                  <w:lang w:val="en-US"/>
                                </w:rPr>
                                <m:t>AG</m:t>
                              </m:r>
                            </m:sub>
                          </m:sSub>
                        </m:den>
                      </m:f>
                      <m:r>
                        <w:rPr>
                          <w:rFonts w:ascii="Cambria Math" w:eastAsiaTheme="minorEastAsia" w:hAnsi="Cambria Math"/>
                          <w:lang w:val="en-US"/>
                        </w:rPr>
                        <m:t>,</m:t>
                      </m:r>
                    </m:oMath>
                  </m:oMathPara>
                </w:p>
                <w:p>
                  <w:pPr>
                    <w:ind w:firstLine="720"/>
                    <w:jc w:val="both"/>
                    <w:rPr>
                      <w:szCs w:val="24"/>
                      <w:lang w:val="en-US"/>
                    </w:rPr>
                  </w:pPr>
                  <w:r>
                    <w:rPr>
                      <w:szCs w:val="24"/>
                      <w:lang w:val="en-US"/>
                    </w:rPr>
                    <w:t>kai:</w:t>
                  </w:r>
                </w:p>
                <w:p>
                  <w:pPr>
                    <w:ind w:firstLine="720"/>
                    <w:jc w:val="both"/>
                    <w:rPr>
                      <w:szCs w:val="24"/>
                    </w:rPr>
                  </w:pPr>
                  <w:r>
                    <w:rPr>
                      <w:i/>
                      <w:szCs w:val="24"/>
                    </w:rPr>
                    <w:t>TVID</w:t>
                  </w:r>
                  <w:r>
                    <w:rPr>
                      <w:i/>
                      <w:szCs w:val="24"/>
                      <w:vertAlign w:val="subscript"/>
                    </w:rPr>
                    <w:t xml:space="preserve">AG </w:t>
                  </w:r>
                  <w:r>
                    <w:rPr>
                      <w:i/>
                      <w:szCs w:val="24"/>
                    </w:rPr>
                    <w:t>–</w:t>
                  </w:r>
                  <w:r>
                    <w:rPr>
                      <w:i/>
                      <w:szCs w:val="24"/>
                      <w:vertAlign w:val="subscript"/>
                    </w:rPr>
                    <w:t xml:space="preserve"> </w:t>
                  </w:r>
                  <w:r>
                    <w:rPr>
                      <w:szCs w:val="24"/>
                    </w:rPr>
                    <w:t>vidutinis vienam atitinkamos amžiaus grupės prisirašiusiam gyventojui tenkantis tyrimų skaičius,</w:t>
                  </w:r>
                </w:p>
                <w:p>
                  <w:pPr>
                    <w:ind w:firstLine="680"/>
                    <w:jc w:val="both"/>
                    <w:rPr>
                      <w:szCs w:val="24"/>
                    </w:rPr>
                  </w:pPr>
                  <w:r>
                    <w:rPr>
                      <w:i/>
                      <w:szCs w:val="24"/>
                    </w:rPr>
                    <w:t>TSK</w:t>
                  </w:r>
                  <w:r>
                    <w:rPr>
                      <w:i/>
                      <w:szCs w:val="24"/>
                      <w:vertAlign w:val="subscript"/>
                    </w:rPr>
                    <w:t>AG</w:t>
                  </w:r>
                  <w:r>
                    <w:rPr>
                      <w:i/>
                      <w:szCs w:val="24"/>
                    </w:rPr>
                    <w:t xml:space="preserve"> – </w:t>
                  </w:r>
                  <w:r>
                    <w:rPr>
                      <w:szCs w:val="24"/>
                    </w:rPr>
                    <w:t>atitinkamos amžiaus grupės prisirašiusiems gyventojams tenkantis tyrimų skaičius,</w:t>
                  </w:r>
                </w:p>
                <w:p>
                  <w:pPr>
                    <w:ind w:firstLine="742"/>
                    <w:jc w:val="both"/>
                    <w:rPr>
                      <w:szCs w:val="24"/>
                    </w:rPr>
                  </w:pPr>
                  <m:oMath>
                    <m:sSub>
                      <m:sSubPr>
                        <m:ctrlPr>
                          <w:rPr>
                            <w:rFonts w:ascii="Cambria Math" w:eastAsiaTheme="minorEastAsia" w:hAnsi="Cambria Math"/>
                            <w:i/>
                          </w:rPr>
                        </m:ctrlPr>
                      </m:sSubPr>
                      <m:e>
                        <m:r>
                          <w:rPr>
                            <w:rFonts w:ascii="Cambria Math" w:eastAsiaTheme="minorEastAsia" w:hAnsi="Cambria Math"/>
                          </w:rPr>
                          <m:t>PR</m:t>
                        </m:r>
                      </m:e>
                      <m:sub>
                        <m:r>
                          <w:rPr>
                            <w:rFonts w:ascii="Cambria Math" w:eastAsiaTheme="minorEastAsia" w:hAnsi="Cambria Math"/>
                          </w:rPr>
                          <m:t>AG</m:t>
                        </m:r>
                      </m:sub>
                    </m:sSub>
                  </m:oMath>
                  <w:r>
                    <w:rPr>
                      <w:i/>
                      <w:szCs w:val="24"/>
                    </w:rPr>
                    <w:t xml:space="preserve">– </w:t>
                  </w:r>
                  <w:r>
                    <w:rPr>
                      <w:szCs w:val="24"/>
                    </w:rPr>
                    <w:t xml:space="preserve">atitinkamos amžiaus grupės prisirašiusių gyventojų (išskyrus gyventojus, prisirašiusius prie ASPĮ, teikiančių tik pirminės ambulatorinės odontologinės asmens sveikatos priežiūros paslaugas, ir (ar) pirminės ambulatorinės psichikos sveikatos priežiūros paslaugas) skaičius, </w:t>
                  </w:r>
                </w:p>
                <w:p>
                  <w:pPr>
                    <w:ind w:firstLine="680"/>
                    <w:jc w:val="both"/>
                    <w:rPr>
                      <w:szCs w:val="24"/>
                    </w:rPr>
                  </w:pPr>
                  <w:r>
                    <w:rPr>
                      <w:i/>
                      <w:szCs w:val="24"/>
                    </w:rPr>
                    <w:t xml:space="preserve">AG – </w:t>
                  </w:r>
                  <w:r>
                    <w:rPr>
                      <w:szCs w:val="24"/>
                    </w:rPr>
                    <w:t>gyventojų amžiaus grupė.</w:t>
                  </w:r>
                </w:p>
              </w:sdtContent>
            </w:sdt>
            <w:sdt>
              <w:sdtPr>
                <w:alias w:val="4 pr. 1.2 pp."/>
                <w:tag w:val="part_669f00168a0b4dc98627bb4c36848521"/>
                <w:lock w:val="sdtLocked"/>
                <w:richText/>
              </w:sdtPr>
              <w:sdtContent>
                <w:p>
                  <w:pPr>
                    <w:tabs>
                      <w:tab w:val="left" w:pos="567"/>
                      <w:tab w:val="left" w:pos="993"/>
                    </w:tabs>
                    <w:ind w:firstLine="567"/>
                    <w:jc w:val="both"/>
                    <w:rPr>
                      <w:szCs w:val="24"/>
                    </w:rPr>
                  </w:pPr>
                  <w:sdt>
                    <w:sdtPr>
                      <w:alias w:val="Numeris"/>
                      <w:tag w:val="nr_669f00168a0b4dc98627bb4c36848521"/>
                      <w:lock w:val="sdtLocked"/>
                      <w:richText/>
                    </w:sdtPr>
                    <w:sdtContent>
                      <w:r>
                        <w:rPr>
                          <w:szCs w:val="24"/>
                        </w:rPr>
                        <w:t>1.2</w:t>
                      </w:r>
                    </w:sdtContent>
                  </w:sdt>
                  <w:r>
                    <w:rPr>
                      <w:szCs w:val="24"/>
                    </w:rPr>
                    <w:t>. Vidutinis vienam prisirašiusiam gyventojui tenkantis tyrimų skaičius per metus apskaičiuojamas taip:</w:t>
                  </w:r>
                </w:p>
                <w:p>
                  <w:pPr>
                    <w:tabs>
                      <w:tab w:val="left" w:pos="567"/>
                      <w:tab w:val="left" w:pos="993"/>
                    </w:tabs>
                    <w:jc w:val="both"/>
                    <w:rPr>
                      <w:szCs w:val="24"/>
                    </w:rPr>
                  </w:pPr>
                </w:p>
                <w:p>
                  <w:pPr>
                    <w:jc w:val="both"/>
                    <w:rPr>
                      <w:szCs w:val="24"/>
                      <w:lang w:val="en-US"/>
                    </w:rPr>
                  </w:pPr>
                  <m:oMathPara>
                    <m:oMath>
                      <m:r>
                        <w:rPr>
                          <w:rFonts w:ascii="Cambria Math" w:eastAsiaTheme="minorEastAsia" w:hAnsi="Cambria Math"/>
                        </w:rPr>
                        <m:t>TVID</m:t>
                      </m:r>
                      <m:r>
                        <w:rPr>
                          <w:rFonts w:ascii="Cambria Math" w:eastAsiaTheme="minorEastAsia" w:hAnsi="Cambria Math"/>
                          <w:lang w:val="en-US"/>
                        </w:rPr>
                        <m:t xml:space="preserve">= </m:t>
                      </m:r>
                      <m:f>
                        <m:fPr>
                          <m:ctrlPr>
                            <w:rPr>
                              <w:rFonts w:ascii="Cambria Math" w:eastAsiaTheme="minorEastAsia" w:hAnsi="Cambria Math"/>
                              <w:i/>
                              <w:lang w:val="en-US"/>
                            </w:rPr>
                          </m:ctrlPr>
                        </m:fPr>
                        <m:num>
                          <m:nary>
                            <m:naryPr>
                              <m:chr m:val="∑"/>
                              <m:limLoc m:val="undOvr"/>
                              <m:supHide m:val="1"/>
                              <m:ctrlPr>
                                <w:rPr>
                                  <w:rFonts w:ascii="Cambria Math" w:eastAsiaTheme="minorEastAsia" w:hAnsi="Cambria Math"/>
                                  <w:i/>
                                  <w:lang w:val="en-US"/>
                                </w:rPr>
                              </m:ctrlPr>
                            </m:naryPr>
                            <m:sub>
                              <m:r>
                                <w:rPr>
                                  <w:rFonts w:ascii="Cambria Math" w:eastAsiaTheme="minorEastAsia" w:hAnsi="Cambria Math"/>
                                  <w:lang w:val="en-US"/>
                                </w:rPr>
                                <m:t>AG</m:t>
                              </m:r>
                            </m:sub>
                            <m:sup/>
                            <m:e>
                              <m:sSub>
                                <m:sSubPr>
                                  <m:ctrlPr>
                                    <w:rPr>
                                      <w:rFonts w:ascii="Cambria Math" w:eastAsiaTheme="minorEastAsia" w:hAnsi="Cambria Math"/>
                                      <w:i/>
                                      <w:lang w:val="en-US"/>
                                    </w:rPr>
                                  </m:ctrlPr>
                                </m:sSubPr>
                                <m:e>
                                  <m:r>
                                    <w:rPr>
                                      <w:rFonts w:ascii="Cambria Math" w:eastAsiaTheme="minorEastAsia" w:hAnsi="Cambria Math"/>
                                      <w:lang w:val="en-US"/>
                                    </w:rPr>
                                    <m:t>TVID</m:t>
                                  </m:r>
                                </m:e>
                                <m:sub>
                                  <m:r>
                                    <w:rPr>
                                      <w:rFonts w:ascii="Cambria Math" w:eastAsiaTheme="minorEastAsia" w:hAnsi="Cambria Math"/>
                                      <w:lang w:val="en-US"/>
                                    </w:rPr>
                                    <m:t>AG</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PR</m:t>
                                  </m:r>
                                </m:e>
                                <m:sub>
                                  <m:r>
                                    <w:rPr>
                                      <w:rFonts w:ascii="Cambria Math" w:eastAsiaTheme="minorEastAsia" w:hAnsi="Cambria Math"/>
                                      <w:lang w:val="en-US"/>
                                    </w:rPr>
                                    <m:t>AG</m:t>
                                  </m:r>
                                </m:sub>
                              </m:sSub>
                            </m:e>
                          </m:nary>
                        </m:num>
                        <m:den>
                          <m:nary>
                            <m:naryPr>
                              <m:chr m:val="∑"/>
                              <m:limLoc m:val="undOvr"/>
                              <m:supHide m:val="1"/>
                              <m:ctrlPr>
                                <w:rPr>
                                  <w:rFonts w:ascii="Cambria Math" w:eastAsiaTheme="minorEastAsia" w:hAnsi="Cambria Math"/>
                                  <w:i/>
                                  <w:lang w:val="en-US"/>
                                </w:rPr>
                              </m:ctrlPr>
                            </m:naryPr>
                            <m:sub>
                              <m:r>
                                <w:rPr>
                                  <w:rFonts w:ascii="Cambria Math" w:eastAsiaTheme="minorEastAsia" w:hAnsi="Cambria Math"/>
                                  <w:lang w:val="en-US"/>
                                </w:rPr>
                                <m:t>AG</m:t>
                              </m:r>
                            </m:sub>
                            <m:sup/>
                            <m:e>
                              <m:sSub>
                                <m:sSubPr>
                                  <m:ctrlPr>
                                    <w:rPr>
                                      <w:rFonts w:ascii="Cambria Math" w:eastAsiaTheme="minorEastAsia" w:hAnsi="Cambria Math"/>
                                      <w:i/>
                                      <w:lang w:val="en-US"/>
                                    </w:rPr>
                                  </m:ctrlPr>
                                </m:sSubPr>
                                <m:e>
                                  <m:r>
                                    <w:rPr>
                                      <w:rFonts w:ascii="Cambria Math" w:eastAsiaTheme="minorEastAsia" w:hAnsi="Cambria Math"/>
                                      <w:lang w:val="en-US"/>
                                    </w:rPr>
                                    <m:t>PR</m:t>
                                  </m:r>
                                </m:e>
                                <m:sub>
                                  <m:r>
                                    <w:rPr>
                                      <w:rFonts w:ascii="Cambria Math" w:eastAsiaTheme="minorEastAsia" w:hAnsi="Cambria Math"/>
                                      <w:lang w:val="en-US"/>
                                    </w:rPr>
                                    <m:t>AG</m:t>
                                  </m:r>
                                </m:sub>
                              </m:sSub>
                            </m:e>
                          </m:nary>
                        </m:den>
                      </m:f>
                      <m:r>
                        <w:rPr>
                          <w:rFonts w:ascii="Cambria Math" w:eastAsiaTheme="minorEastAsia" w:hAnsi="Cambria Math"/>
                          <w:lang w:val="en-US"/>
                        </w:rPr>
                        <m:t xml:space="preserve"> </m:t>
                      </m:r>
                      <m:r>
                        <m:rPr>
                          <m:sty m:val="p"/>
                        </m:rPr>
                        <w:rPr>
                          <w:rFonts w:ascii="Cambria Math" w:eastAsiaTheme="minorEastAsia" w:hAnsi="Cambria Math"/>
                          <w:lang w:val="en-US"/>
                        </w:rPr>
                        <m:t>,</m:t>
                      </m:r>
                    </m:oMath>
                  </m:oMathPara>
                </w:p>
                <w:p>
                  <w:pPr>
                    <w:ind w:firstLine="680"/>
                    <w:jc w:val="both"/>
                    <w:rPr>
                      <w:szCs w:val="24"/>
                    </w:rPr>
                  </w:pPr>
                </w:p>
                <w:p>
                  <w:pPr>
                    <w:ind w:firstLine="680"/>
                    <w:jc w:val="both"/>
                    <w:rPr>
                      <w:szCs w:val="24"/>
                    </w:rPr>
                  </w:pPr>
                  <w:r>
                    <w:rPr>
                      <w:szCs w:val="24"/>
                    </w:rPr>
                    <w:t>kai:</w:t>
                  </w:r>
                </w:p>
                <w:p>
                  <w:pPr>
                    <w:ind w:firstLine="680"/>
                    <w:jc w:val="both"/>
                    <w:rPr>
                      <w:szCs w:val="24"/>
                    </w:rPr>
                  </w:pPr>
                  <w:r>
                    <w:rPr>
                      <w:i/>
                      <w:szCs w:val="24"/>
                    </w:rPr>
                    <w:t xml:space="preserve">TVID – </w:t>
                  </w:r>
                  <w:r>
                    <w:rPr>
                      <w:szCs w:val="24"/>
                    </w:rPr>
                    <w:t>vidutinis vienam prisirašiusiam gyventojui tenkantis tyrimų skaičius,</w:t>
                  </w:r>
                </w:p>
                <w:p>
                  <w:pPr>
                    <w:ind w:firstLine="720"/>
                    <w:jc w:val="both"/>
                    <w:rPr>
                      <w:szCs w:val="24"/>
                    </w:rPr>
                  </w:pPr>
                  <w:r>
                    <w:rPr>
                      <w:i/>
                      <w:szCs w:val="24"/>
                    </w:rPr>
                    <w:t>TVID</w:t>
                  </w:r>
                  <w:r>
                    <w:rPr>
                      <w:i/>
                      <w:szCs w:val="24"/>
                      <w:vertAlign w:val="subscript"/>
                    </w:rPr>
                    <w:t xml:space="preserve">AG </w:t>
                  </w:r>
                  <w:r>
                    <w:rPr>
                      <w:i/>
                      <w:szCs w:val="24"/>
                    </w:rPr>
                    <w:t>–</w:t>
                  </w:r>
                  <w:r>
                    <w:rPr>
                      <w:i/>
                      <w:szCs w:val="24"/>
                      <w:vertAlign w:val="subscript"/>
                    </w:rPr>
                    <w:t xml:space="preserve"> </w:t>
                  </w:r>
                  <w:r>
                    <w:rPr>
                      <w:szCs w:val="24"/>
                    </w:rPr>
                    <w:t>vidutinis vienam atitinkamos amžiaus grupės prisirašiusiam gyventojui tenkantis tyrimų skaičius,</w:t>
                  </w:r>
                </w:p>
                <w:p>
                  <w:pPr>
                    <w:ind w:firstLine="742"/>
                    <w:jc w:val="both"/>
                    <w:rPr>
                      <w:szCs w:val="24"/>
                    </w:rPr>
                  </w:pPr>
                  <m:oMath>
                    <m:sSub>
                      <m:sSubPr>
                        <m:ctrlPr>
                          <w:rPr>
                            <w:rFonts w:ascii="Cambria Math" w:eastAsiaTheme="minorEastAsia" w:hAnsi="Cambria Math"/>
                            <w:i/>
                          </w:rPr>
                        </m:ctrlPr>
                      </m:sSubPr>
                      <m:e>
                        <m:r>
                          <w:rPr>
                            <w:rFonts w:ascii="Cambria Math" w:eastAsiaTheme="minorEastAsia" w:hAnsi="Cambria Math"/>
                          </w:rPr>
                          <m:t>PR</m:t>
                        </m:r>
                      </m:e>
                      <m:sub>
                        <m:r>
                          <w:rPr>
                            <w:rFonts w:ascii="Cambria Math" w:eastAsiaTheme="minorEastAsia" w:hAnsi="Cambria Math"/>
                          </w:rPr>
                          <m:t>AG</m:t>
                        </m:r>
                      </m:sub>
                    </m:sSub>
                  </m:oMath>
                  <w:r>
                    <w:rPr>
                      <w:i/>
                      <w:szCs w:val="24"/>
                    </w:rPr>
                    <w:t xml:space="preserve">– </w:t>
                  </w:r>
                  <w:r>
                    <w:rPr>
                      <w:szCs w:val="24"/>
                    </w:rPr>
                    <w:t>atitinkamos amžiaus grupės prisirašiusių gyventojų (išskyrus gyventojus, prisirašiusius prie ASPĮ, teikiančių tik pirminės ambulatorinės odontologinės asmens sveikatos priežiūros paslaugas ir (ar) pirminės ambulatorinės psichikos sveikatos priežiūros paslaugas) skaičius,</w:t>
                  </w:r>
                </w:p>
                <w:p>
                  <w:pPr>
                    <w:ind w:firstLine="680"/>
                    <w:jc w:val="both"/>
                    <w:rPr>
                      <w:i/>
                      <w:szCs w:val="24"/>
                    </w:rPr>
                  </w:pPr>
                  <w:r>
                    <w:rPr>
                      <w:i/>
                      <w:szCs w:val="24"/>
                    </w:rPr>
                    <w:t>AG</w:t>
                  </w:r>
                  <w:r>
                    <w:rPr>
                      <w:szCs w:val="24"/>
                    </w:rPr>
                    <w:t xml:space="preserve"> – gyventojų amžiaus grupė.</w:t>
                  </w:r>
                </w:p>
              </w:sdtContent>
            </w:sdt>
          </w:sdtContent>
        </w:sdt>
        <w:sdt>
          <w:sdtPr>
            <w:alias w:val="4 pr. 2 p."/>
            <w:tag w:val="part_c8dbbcc3ae1c43b1a55fa2c73c49abe4"/>
            <w:lock w:val="sdtLocked"/>
            <w:richText/>
          </w:sdtPr>
          <w:sdtContent>
            <w:p>
              <w:pPr>
                <w:tabs>
                  <w:tab w:val="left" w:pos="709"/>
                  <w:tab w:val="left" w:pos="993"/>
                  <w:tab w:val="left" w:pos="1276"/>
                </w:tabs>
                <w:spacing w:line="259" w:lineRule="auto"/>
                <w:ind w:firstLine="567"/>
                <w:jc w:val="both"/>
                <w:rPr>
                  <w:szCs w:val="24"/>
                </w:rPr>
              </w:pPr>
              <w:sdt>
                <w:sdtPr>
                  <w:alias w:val="Numeris"/>
                  <w:tag w:val="nr_c8dbbcc3ae1c43b1a55fa2c73c49abe4"/>
                  <w:lock w:val="sdtLocked"/>
                  <w:richText/>
                </w:sdtPr>
                <w:sdtContent>
                  <w:r>
                    <w:rPr>
                      <w:szCs w:val="24"/>
                    </w:rPr>
                    <w:t>2</w:t>
                  </w:r>
                </w:sdtContent>
              </w:sdt>
              <w:r>
                <w:rPr>
                  <w:szCs w:val="24"/>
                </w:rPr>
                <w:t>.</w:t>
                <w:tab/>
                <w:t>Skaičiuojant gyventojų poliligotumo koeficientus pagal amžiaus grupes (</w:t>
              </w:r>
              <m:oMath>
                <m:sSub>
                  <m:sSubPr>
                    <m:ctrlPr>
                      <w:rPr>
                        <w:rFonts w:ascii="Cambria Math" w:hAnsi="Cambria Math"/>
                        <w:i/>
                      </w:rPr>
                    </m:ctrlPr>
                  </m:sSubPr>
                  <m:e>
                    <m:r>
                      <w:rPr>
                        <w:rFonts w:ascii="Cambria Math" w:hAnsi="Cambria Math"/>
                      </w:rPr>
                      <m:t>KP</m:t>
                    </m:r>
                  </m:e>
                  <m:sub>
                    <m:r>
                      <w:rPr>
                        <w:rFonts w:ascii="Cambria Math" w:hAnsi="Cambria Math"/>
                      </w:rPr>
                      <m:t>AG</m:t>
                    </m:r>
                  </m:sub>
                </m:sSub>
                <m:r>
                  <w:rPr>
                    <w:rFonts w:ascii="Cambria Math" w:hAnsi="Cambria Math"/>
                  </w:rPr>
                  <m:t>)</m:t>
                </m:r>
              </m:oMath>
              <w:r>
                <w:rPr>
                  <w:szCs w:val="24"/>
                </w:rPr>
                <w:t>, nustatomas vidutinis kiekvienos amžiaus grupės prisirašiusių gyventojų, vienu metu sergančių dviem (ir daugiau) lėtinėmis ligomis, kurioms gydyti būtini dideli žmogiškieji ir materialiniai ištekliai, skaičius per metus, tenkantis 1000-iui prisirašiusiųjų, ir vidutinis prisirašiusiųjų gyventojų, vienu metu sergančių dviem (ir daugiau) lėtinėmis ligomis, kurioms gydyti būtini dideli žmogiškieji ir materialiniai ištekliai, skaičius 1000-iui prisirašiusiųjų per metus:</w:t>
              </w:r>
            </w:p>
            <w:sdt>
              <w:sdtPr>
                <w:alias w:val="4 pr. 2.1 pp."/>
                <w:tag w:val="part_ee9d7bce361f4fd6a1af41492b781ed9"/>
                <w:lock w:val="sdtLocked"/>
                <w:richText/>
              </w:sdtPr>
              <w:sdtContent>
                <w:p>
                  <w:pPr>
                    <w:ind w:firstLine="680"/>
                    <w:jc w:val="both"/>
                    <w:rPr>
                      <w:rFonts w:eastAsia="Calibri"/>
                      <w:szCs w:val="24"/>
                    </w:rPr>
                  </w:pPr>
                  <w:sdt>
                    <w:sdtPr>
                      <w:alias w:val="Numeris"/>
                      <w:tag w:val="nr_ee9d7bce361f4fd6a1af41492b781ed9"/>
                      <w:lock w:val="sdtLocked"/>
                      <w:richText/>
                    </w:sdtPr>
                    <w:sdtContent>
                      <w:r>
                        <w:rPr>
                          <w:rFonts w:eastAsia="Calibri"/>
                          <w:szCs w:val="24"/>
                        </w:rPr>
                        <w:t>2.1</w:t>
                      </w:r>
                    </w:sdtContent>
                  </w:sdt>
                  <w:r>
                    <w:rPr>
                      <w:rFonts w:eastAsia="Calibri"/>
                      <w:szCs w:val="24"/>
                    </w:rPr>
                    <w:t>. Vidutinis atitinkamos amžiaus grupės prisirašiusių gyventojų, vienu metu sergančių dviem (ir daugiau) lėtinėmis ligomis, kurioms gydyti būtini dideli žmogiškieji ir materialiniai ištekliai, skaičius per metus, tenkantis 1000-iui prisirašiusiųjų, apskaičiuojamas dauginant atitinkamos amžiaus grupės prisirašiusių gyventojų, vienu metu sergančių dviem (ir daugiau) lėtinėmis ligomis, kurioms gydyti būtini dideli žmogiškieji ir materialiniai ištekliai, skaičiaus ir visų tos amžiaus grupės prisirašiusiųjų gyventojų skaičiaus santykį iš 1000:</w:t>
                  </w:r>
                </w:p>
                <w:p>
                  <w:pPr>
                    <w:ind w:firstLine="680"/>
                    <w:jc w:val="both"/>
                    <w:rPr>
                      <w:rFonts w:eastAsia="Calibri"/>
                      <w:szCs w:val="24"/>
                    </w:rPr>
                  </w:pPr>
                </w:p>
                <w:p>
                  <w:pPr>
                    <w:jc w:val="both"/>
                    <w:rPr>
                      <w:i/>
                      <w:szCs w:val="24"/>
                      <w:lang w:val="en-US"/>
                    </w:rPr>
                  </w:pPr>
                  <m:oMathPara>
                    <m:oMath>
                      <m:sSub>
                        <m:sSubPr>
                          <m:ctrlPr>
                            <w:rPr>
                              <w:rFonts w:ascii="Cambria Math" w:eastAsiaTheme="minorEastAsia" w:hAnsi="Cambria Math"/>
                              <w:i/>
                            </w:rPr>
                          </m:ctrlPr>
                        </m:sSubPr>
                        <m:e>
                          <m:r>
                            <w:rPr>
                              <w:rFonts w:ascii="Cambria Math" w:eastAsiaTheme="minorEastAsia" w:hAnsi="Cambria Math"/>
                            </w:rPr>
                            <m:t>PVID</m:t>
                          </m:r>
                        </m:e>
                        <m:sub>
                          <m:r>
                            <w:rPr>
                              <w:rFonts w:ascii="Cambria Math" w:eastAsiaTheme="minorEastAsia" w:hAnsi="Cambria Math"/>
                            </w:rPr>
                            <m:t>AG</m:t>
                          </m:r>
                        </m:sub>
                      </m:sSub>
                      <m:r>
                        <w:rPr>
                          <w:rFonts w:ascii="Cambria Math" w:eastAsiaTheme="minorEastAsia" w:hAnsi="Cambria Math"/>
                          <w:lang w:val="en-US"/>
                        </w:rPr>
                        <m:t>=</m:t>
                      </m:r>
                      <m:f>
                        <m:fPr>
                          <m:ctrlPr>
                            <w:rPr>
                              <w:rFonts w:ascii="Cambria Math" w:eastAsiaTheme="minorEastAsia" w:hAnsi="Cambria Math"/>
                              <w:i/>
                              <w:lang w:val="en-US"/>
                            </w:rPr>
                          </m:ctrlPr>
                        </m:fPr>
                        <m:num>
                          <m:sSub>
                            <m:sSubPr>
                              <m:ctrlPr>
                                <w:rPr>
                                  <w:rFonts w:ascii="Cambria Math" w:eastAsiaTheme="minorEastAsia" w:hAnsi="Cambria Math"/>
                                  <w:i/>
                                  <w:lang w:val="en-US"/>
                                </w:rPr>
                              </m:ctrlPr>
                            </m:sSubPr>
                            <m:e>
                              <m:r>
                                <w:rPr>
                                  <w:rFonts w:ascii="Cambria Math" w:eastAsiaTheme="minorEastAsia" w:hAnsi="Cambria Math"/>
                                  <w:lang w:val="en-US"/>
                                </w:rPr>
                                <m:t>PSK</m:t>
                              </m:r>
                            </m:e>
                            <m:sub>
                              <m:r>
                                <w:rPr>
                                  <w:rFonts w:ascii="Cambria Math" w:eastAsiaTheme="minorEastAsia" w:hAnsi="Cambria Math"/>
                                  <w:lang w:val="en-US"/>
                                </w:rPr>
                                <m:t>AG</m:t>
                              </m:r>
                            </m:sub>
                          </m:sSub>
                        </m:num>
                        <m:den>
                          <m:sSub>
                            <m:sSubPr>
                              <m:ctrlPr>
                                <w:rPr>
                                  <w:rFonts w:ascii="Cambria Math" w:eastAsiaTheme="minorEastAsia" w:hAnsi="Cambria Math"/>
                                  <w:i/>
                                  <w:lang w:val="en-US"/>
                                </w:rPr>
                              </m:ctrlPr>
                            </m:sSubPr>
                            <m:e>
                              <m:r>
                                <w:rPr>
                                  <w:rFonts w:ascii="Cambria Math" w:eastAsiaTheme="minorEastAsia" w:hAnsi="Cambria Math"/>
                                  <w:lang w:val="en-US"/>
                                </w:rPr>
                                <m:t>PR</m:t>
                              </m:r>
                            </m:e>
                            <m:sub>
                              <m:r>
                                <w:rPr>
                                  <w:rFonts w:ascii="Cambria Math" w:eastAsiaTheme="minorEastAsia" w:hAnsi="Cambria Math"/>
                                  <w:lang w:val="en-US"/>
                                </w:rPr>
                                <m:t>AG</m:t>
                              </m:r>
                            </m:sub>
                          </m:sSub>
                        </m:den>
                      </m:f>
                      <m:r>
                        <w:rPr>
                          <w:rFonts w:ascii="Cambria Math" w:eastAsiaTheme="minorEastAsia" w:hAnsi="Cambria Math"/>
                          <w:lang w:val="en-US"/>
                        </w:rPr>
                        <m:t xml:space="preserve"> ×100</m:t>
                      </m:r>
                      <m:r>
                        <w:rPr>
                          <w:rFonts w:ascii="Cambria Math" w:eastAsiaTheme="minorEastAsia" w:hAnsi="Cambria Math"/>
                          <w:lang w:val="en-US"/>
                        </w:rPr>
                        <m:t xml:space="preserve">0 </m:t>
                      </m:r>
                      <m:r>
                        <m:rPr>
                          <m:sty m:val="p"/>
                        </m:rPr>
                        <w:rPr>
                          <w:rFonts w:ascii="Cambria Math" w:eastAsiaTheme="minorEastAsia" w:hAnsi="Cambria Math"/>
                          <w:lang w:val="en-US"/>
                        </w:rPr>
                        <m:t>,</m:t>
                      </m:r>
                    </m:oMath>
                  </m:oMathPara>
                </w:p>
                <w:p>
                  <w:pPr>
                    <w:ind w:firstLine="567"/>
                    <w:jc w:val="both"/>
                    <w:rPr>
                      <w:szCs w:val="24"/>
                    </w:rPr>
                  </w:pPr>
                  <w:r>
                    <w:rPr>
                      <w:szCs w:val="24"/>
                    </w:rPr>
                    <w:t>kai:</w:t>
                  </w:r>
                </w:p>
                <w:p>
                  <w:pPr>
                    <w:ind w:firstLine="567"/>
                    <w:jc w:val="both"/>
                    <w:rPr>
                      <w:szCs w:val="24"/>
                    </w:rPr>
                  </w:pPr>
                  <w:r>
                    <w:rPr>
                      <w:i/>
                      <w:szCs w:val="24"/>
                    </w:rPr>
                    <w:t>PVID</w:t>
                  </w:r>
                  <w:r>
                    <w:rPr>
                      <w:i/>
                      <w:szCs w:val="24"/>
                      <w:vertAlign w:val="subscript"/>
                    </w:rPr>
                    <w:t xml:space="preserve">AG </w:t>
                  </w:r>
                  <w:r>
                    <w:rPr>
                      <w:i/>
                      <w:szCs w:val="24"/>
                      <w:lang w:val="en-US"/>
                    </w:rPr>
                    <w:t xml:space="preserve">– </w:t>
                  </w:r>
                  <w:r>
                    <w:rPr>
                      <w:szCs w:val="24"/>
                      <w:lang w:val="en-US"/>
                    </w:rPr>
                    <w:t>v</w:t>
                  </w:r>
                  <w:r>
                    <w:rPr>
                      <w:szCs w:val="24"/>
                    </w:rPr>
                    <w:t>idutinis atitinkamos amžiaus grupės prisirašiusių gyventojų, vienu metu sergančių dviem (ir daugiau) lėtinėmis ligomis, kurioms gydyti būtini dideli žmogiškieji ir materialiniai ištekliai, skaičius, tenkantis 1000-iui prisirašiusiųjų per metus;</w:t>
                  </w:r>
                </w:p>
                <w:p>
                  <w:pPr>
                    <w:ind w:firstLine="567"/>
                    <w:jc w:val="both"/>
                    <w:rPr>
                      <w:szCs w:val="24"/>
                    </w:rPr>
                  </w:pPr>
                  <w:r>
                    <w:rPr>
                      <w:i/>
                      <w:szCs w:val="24"/>
                    </w:rPr>
                    <w:t>PSK</w:t>
                  </w:r>
                  <w:r>
                    <w:rPr>
                      <w:i/>
                      <w:szCs w:val="24"/>
                      <w:vertAlign w:val="subscript"/>
                    </w:rPr>
                    <w:t>AG</w:t>
                  </w:r>
                  <w:r>
                    <w:rPr>
                      <w:szCs w:val="24"/>
                    </w:rPr>
                    <w:t xml:space="preserve"> – atitinkamos amžiaus grupės prisirašiusių gyventojų, vienu metu sergančių dviem (ir daugiau) lėtinėmis ligomis, kurioms gydyti būtini dideli žmogiškieji ir materialiniai ištekliai, skaičius,</w:t>
                  </w:r>
                </w:p>
                <w:p>
                  <w:pPr>
                    <w:ind w:firstLine="629"/>
                    <w:jc w:val="both"/>
                    <w:rPr>
                      <w:szCs w:val="24"/>
                    </w:rPr>
                  </w:pPr>
                  <m:oMath>
                    <m:sSub>
                      <m:sSubPr>
                        <m:ctrlPr>
                          <w:rPr>
                            <w:rFonts w:ascii="Cambria Math" w:eastAsiaTheme="minorEastAsia" w:hAnsi="Cambria Math"/>
                            <w:i/>
                          </w:rPr>
                        </m:ctrlPr>
                      </m:sSubPr>
                      <m:e>
                        <m:r>
                          <w:rPr>
                            <w:rFonts w:ascii="Cambria Math" w:eastAsiaTheme="minorEastAsia" w:hAnsi="Cambria Math"/>
                          </w:rPr>
                          <m:t>PR</m:t>
                        </m:r>
                      </m:e>
                      <m:sub>
                        <m:r>
                          <w:rPr>
                            <w:rFonts w:ascii="Cambria Math" w:eastAsiaTheme="minorEastAsia" w:hAnsi="Cambria Math"/>
                          </w:rPr>
                          <m:t>AG</m:t>
                        </m:r>
                      </m:sub>
                    </m:sSub>
                  </m:oMath>
                  <w:r>
                    <w:rPr>
                      <w:szCs w:val="24"/>
                    </w:rPr>
                    <w:t>– atitinkamos amžiaus grupės prisirašiusių gyventojų skaičius,</w:t>
                  </w:r>
                </w:p>
                <w:p>
                  <w:pPr>
                    <w:ind w:firstLine="567"/>
                    <w:jc w:val="both"/>
                    <w:rPr>
                      <w:szCs w:val="24"/>
                    </w:rPr>
                  </w:pPr>
                  <w:r>
                    <w:rPr>
                      <w:i/>
                      <w:szCs w:val="24"/>
                    </w:rPr>
                    <w:t>AG</w:t>
                  </w:r>
                  <w:r>
                    <w:rPr>
                      <w:szCs w:val="24"/>
                    </w:rPr>
                    <w:t xml:space="preserve"> – gyventojų amžiaus grupė.</w:t>
                  </w:r>
                </w:p>
              </w:sdtContent>
            </w:sdt>
            <w:sdt>
              <w:sdtPr>
                <w:alias w:val="4 pr. 2.2 pp."/>
                <w:tag w:val="part_5dd6af1e8485468e8ed66842550e3a05"/>
                <w:lock w:val="sdtLocked"/>
                <w:richText/>
              </w:sdtPr>
              <w:sdtContent>
                <w:p>
                  <w:pPr>
                    <w:ind w:firstLine="567"/>
                    <w:jc w:val="both"/>
                    <w:rPr>
                      <w:szCs w:val="24"/>
                    </w:rPr>
                  </w:pPr>
                  <w:sdt>
                    <w:sdtPr>
                      <w:alias w:val="Numeris"/>
                      <w:tag w:val="nr_5dd6af1e8485468e8ed66842550e3a05"/>
                      <w:lock w:val="sdtLocked"/>
                      <w:richText/>
                    </w:sdtPr>
                    <w:sdtContent>
                      <w:r>
                        <w:rPr>
                          <w:szCs w:val="24"/>
                        </w:rPr>
                        <w:t>2.2</w:t>
                      </w:r>
                    </w:sdtContent>
                  </w:sdt>
                  <w:r>
                    <w:rPr>
                      <w:szCs w:val="24"/>
                    </w:rPr>
                    <w:t>. Vidutinis prisirašiusių gyventojų, vienu metu sergančių dviem (ir daugiau) lėtinėmis ligomis, kurioms gydyti būtini dideli žmogiškieji ir materialiniai ištekliai, skaičius per metus, tenkantis 1000 prisirašiusiųjų, apskaičiuojamas taip:</w:t>
                  </w:r>
                </w:p>
                <w:p>
                  <w:pPr>
                    <w:ind w:firstLine="567"/>
                    <w:jc w:val="both"/>
                    <w:rPr>
                      <w:szCs w:val="24"/>
                    </w:rPr>
                  </w:pPr>
                </w:p>
                <w:p>
                  <w:pPr>
                    <w:jc w:val="both"/>
                    <w:rPr>
                      <w:szCs w:val="24"/>
                      <w:lang w:val="en-US"/>
                    </w:rPr>
                  </w:pPr>
                  <m:oMathPara>
                    <m:oMath>
                      <m:r>
                        <w:rPr>
                          <w:rFonts w:ascii="Cambria Math" w:eastAsiaTheme="minorEastAsia" w:hAnsi="Cambria Math"/>
                        </w:rPr>
                        <m:t>PVID</m:t>
                      </m:r>
                      <m:r>
                        <w:rPr>
                          <w:rFonts w:ascii="Cambria Math" w:eastAsiaTheme="minorEastAsia" w:hAnsi="Cambria Math"/>
                          <w:lang w:val="en-US"/>
                        </w:rPr>
                        <m:t>=</m:t>
                      </m:r>
                      <m:f>
                        <m:fPr>
                          <m:ctrlPr>
                            <w:rPr>
                              <w:rFonts w:ascii="Cambria Math" w:eastAsiaTheme="minorEastAsia" w:hAnsi="Cambria Math"/>
                              <w:i/>
                              <w:lang w:val="en-US"/>
                            </w:rPr>
                          </m:ctrlPr>
                        </m:fPr>
                        <m:num>
                          <m:nary>
                            <m:naryPr>
                              <m:chr m:val="∑"/>
                              <m:limLoc m:val="undOvr"/>
                              <m:supHide m:val="1"/>
                              <m:ctrlPr>
                                <w:rPr>
                                  <w:rFonts w:ascii="Cambria Math" w:eastAsiaTheme="minorEastAsia" w:hAnsi="Cambria Math"/>
                                  <w:i/>
                                  <w:lang w:val="en-US"/>
                                </w:rPr>
                              </m:ctrlPr>
                            </m:naryPr>
                            <m:sub>
                              <m:r>
                                <w:rPr>
                                  <w:rFonts w:ascii="Cambria Math" w:eastAsiaTheme="minorEastAsia" w:hAnsi="Cambria Math"/>
                                  <w:lang w:val="en-US"/>
                                </w:rPr>
                                <m:t>AG</m:t>
                              </m:r>
                            </m:sub>
                            <m:sup/>
                            <m:e>
                              <m:sSub>
                                <m:sSubPr>
                                  <m:ctrlPr>
                                    <w:rPr>
                                      <w:rFonts w:ascii="Cambria Math" w:eastAsiaTheme="minorEastAsia" w:hAnsi="Cambria Math"/>
                                      <w:i/>
                                      <w:lang w:val="en-US"/>
                                    </w:rPr>
                                  </m:ctrlPr>
                                </m:sSubPr>
                                <m:e>
                                  <m:r>
                                    <w:rPr>
                                      <w:rFonts w:ascii="Cambria Math" w:eastAsiaTheme="minorEastAsia" w:hAnsi="Cambria Math"/>
                                      <w:lang w:val="en-US"/>
                                    </w:rPr>
                                    <m:t>PVID</m:t>
                                  </m:r>
                                </m:e>
                                <m:sub>
                                  <m:r>
                                    <w:rPr>
                                      <w:rFonts w:ascii="Cambria Math" w:eastAsiaTheme="minorEastAsia" w:hAnsi="Cambria Math"/>
                                      <w:lang w:val="en-US"/>
                                    </w:rPr>
                                    <m:t>AG</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PR</m:t>
                                  </m:r>
                                </m:e>
                                <m:sub>
                                  <m:r>
                                    <w:rPr>
                                      <w:rFonts w:ascii="Cambria Math" w:eastAsiaTheme="minorEastAsia" w:hAnsi="Cambria Math"/>
                                      <w:lang w:val="en-US"/>
                                    </w:rPr>
                                    <m:t>AG</m:t>
                                  </m:r>
                                </m:sub>
                              </m:sSub>
                            </m:e>
                          </m:nary>
                        </m:num>
                        <m:den>
                          <m:nary>
                            <m:naryPr>
                              <m:chr m:val="∑"/>
                              <m:limLoc m:val="undOvr"/>
                              <m:supHide m:val="1"/>
                              <m:ctrlPr>
                                <w:rPr>
                                  <w:rFonts w:ascii="Cambria Math" w:eastAsiaTheme="minorEastAsia" w:hAnsi="Cambria Math"/>
                                  <w:i/>
                                  <w:lang w:val="en-US"/>
                                </w:rPr>
                              </m:ctrlPr>
                            </m:naryPr>
                            <m:sub>
                              <m:r>
                                <w:rPr>
                                  <w:rFonts w:ascii="Cambria Math" w:eastAsiaTheme="minorEastAsia" w:hAnsi="Cambria Math"/>
                                  <w:lang w:val="en-US"/>
                                </w:rPr>
                                <m:t>AG</m:t>
                              </m:r>
                            </m:sub>
                            <m:sup/>
                            <m:e>
                              <m:sSub>
                                <m:sSubPr>
                                  <m:ctrlPr>
                                    <w:rPr>
                                      <w:rFonts w:ascii="Cambria Math" w:eastAsiaTheme="minorEastAsia" w:hAnsi="Cambria Math"/>
                                      <w:i/>
                                      <w:lang w:val="en-US"/>
                                    </w:rPr>
                                  </m:ctrlPr>
                                </m:sSubPr>
                                <m:e>
                                  <m:r>
                                    <w:rPr>
                                      <w:rFonts w:ascii="Cambria Math" w:eastAsiaTheme="minorEastAsia" w:hAnsi="Cambria Math"/>
                                      <w:lang w:val="en-US"/>
                                    </w:rPr>
                                    <m:t>PR</m:t>
                                  </m:r>
                                </m:e>
                                <m:sub>
                                  <m:r>
                                    <w:rPr>
                                      <w:rFonts w:ascii="Cambria Math" w:eastAsiaTheme="minorEastAsia" w:hAnsi="Cambria Math"/>
                                      <w:lang w:val="en-US"/>
                                    </w:rPr>
                                    <m:t>AG</m:t>
                                  </m:r>
                                </m:sub>
                              </m:sSub>
                            </m:e>
                          </m:nary>
                        </m:den>
                      </m:f>
                      <m:r>
                        <w:rPr>
                          <w:rFonts w:ascii="Cambria Math" w:eastAsiaTheme="minorEastAsia" w:hAnsi="Cambria Math"/>
                          <w:lang w:val="en-US"/>
                        </w:rPr>
                        <m:t xml:space="preserve"> ,</m:t>
                      </m:r>
                    </m:oMath>
                  </m:oMathPara>
                </w:p>
                <w:p>
                  <w:pPr>
                    <w:ind w:firstLine="720"/>
                    <w:jc w:val="both"/>
                    <w:rPr>
                      <w:szCs w:val="24"/>
                      <w:lang w:val="en-US"/>
                    </w:rPr>
                  </w:pPr>
                  <w:r>
                    <w:rPr>
                      <w:szCs w:val="24"/>
                      <w:lang w:val="en-US"/>
                    </w:rPr>
                    <w:t>kai:</w:t>
                  </w:r>
                </w:p>
                <w:p>
                  <w:pPr>
                    <w:ind w:firstLine="680"/>
                    <w:jc w:val="both"/>
                    <w:rPr>
                      <w:szCs w:val="24"/>
                      <w:lang w:val="en-US"/>
                    </w:rPr>
                  </w:pPr>
                  <w:r>
                    <w:rPr>
                      <w:i/>
                      <w:szCs w:val="24"/>
                      <w:lang w:val="en-US"/>
                    </w:rPr>
                    <w:t>PVID</w:t>
                  </w:r>
                  <w:r>
                    <w:rPr>
                      <w:szCs w:val="24"/>
                      <w:lang w:val="en-US"/>
                    </w:rPr>
                    <w:t xml:space="preserve"> – vidutinis prisirašiusių gyventojų, vienu metu sergančių dviem (ir daugiau) lėtinėmis ligomis,</w:t>
                  </w:r>
                  <w:r>
                    <w:rPr>
                      <w:szCs w:val="24"/>
                    </w:rPr>
                    <w:t xml:space="preserve"> kurioms gydyti būtini dideli žmogiškieji ir materialiniai ištekliai,</w:t>
                  </w:r>
                  <w:r>
                    <w:rPr>
                      <w:szCs w:val="24"/>
                      <w:lang w:val="en-US"/>
                    </w:rPr>
                    <w:t xml:space="preserve"> skaičius,</w:t>
                  </w:r>
                </w:p>
                <w:p>
                  <w:pPr>
                    <w:ind w:firstLine="567"/>
                    <w:jc w:val="both"/>
                    <w:rPr>
                      <w:szCs w:val="24"/>
                    </w:rPr>
                  </w:pPr>
                  <w:r>
                    <w:rPr>
                      <w:i/>
                      <w:szCs w:val="24"/>
                    </w:rPr>
                    <w:t>PVID</w:t>
                  </w:r>
                  <w:r>
                    <w:rPr>
                      <w:i/>
                      <w:szCs w:val="24"/>
                      <w:vertAlign w:val="subscript"/>
                    </w:rPr>
                    <w:t xml:space="preserve">AG </w:t>
                  </w:r>
                  <w:r>
                    <w:rPr>
                      <w:i/>
                      <w:szCs w:val="24"/>
                      <w:lang w:val="en-US"/>
                    </w:rPr>
                    <w:t xml:space="preserve">– </w:t>
                  </w:r>
                  <w:r>
                    <w:rPr>
                      <w:szCs w:val="24"/>
                      <w:lang w:val="en-US"/>
                    </w:rPr>
                    <w:t>v</w:t>
                  </w:r>
                  <w:r>
                    <w:rPr>
                      <w:szCs w:val="24"/>
                    </w:rPr>
                    <w:t>idutinis atitinkamos amžiaus grupės prisirašiusių gyventojų, vienu metu sergančių dviem (ir daugiau) lėtinėmis ligomis, kurioms gydyti būtini dideli žmogiškieji ir materialiniai ištekliai, skaičius per metus, tenkantis 1000-iui prisirašiusiųjų;</w:t>
                  </w:r>
                </w:p>
                <w:p>
                  <w:pPr>
                    <w:ind w:firstLine="782"/>
                    <w:jc w:val="both"/>
                    <w:rPr>
                      <w:szCs w:val="24"/>
                      <w:lang w:val="en-US"/>
                    </w:rPr>
                  </w:pPr>
                  <m:oMath>
                    <m:sSub>
                      <m:sSubPr>
                        <m:ctrlPr>
                          <w:rPr>
                            <w:rFonts w:ascii="Cambria Math" w:eastAsiaTheme="minorEastAsia" w:hAnsi="Cambria Math"/>
                            <w:lang w:val="en-US"/>
                          </w:rPr>
                        </m:ctrlPr>
                      </m:sSubPr>
                      <m:e>
                        <m:r>
                          <w:rPr>
                            <w:rFonts w:ascii="Cambria Math" w:eastAsiaTheme="minorEastAsia" w:hAnsi="Cambria Math"/>
                            <w:lang w:val="en-US"/>
                          </w:rPr>
                          <m:t>PR</m:t>
                        </m:r>
                      </m:e>
                      <m:sub>
                        <m:r>
                          <w:rPr>
                            <w:rFonts w:ascii="Cambria Math" w:eastAsiaTheme="minorEastAsia" w:hAnsi="Cambria Math"/>
                            <w:lang w:val="en-US"/>
                          </w:rPr>
                          <m:t>AG</m:t>
                        </m:r>
                      </m:sub>
                    </m:sSub>
                  </m:oMath>
                  <w:r>
                    <w:rPr>
                      <w:szCs w:val="24"/>
                      <w:lang w:val="en-US"/>
                    </w:rPr>
                    <w:t>– atitinkamos amžiaus grupės prisirašiusių gyventojų (išskyrus gyventojus, prisirašiusius prie ASPĮ, teikiančių tik pirminės ambulatorinės odontologinės asmens sveikatos priežiūros paslaugas ir (ar) pirminės ambulatorinės psichikos sveikatos priežiūros paslaugas) skaičius,</w:t>
                  </w:r>
                </w:p>
                <w:p>
                  <w:pPr>
                    <w:ind w:firstLine="567"/>
                    <w:jc w:val="both"/>
                    <w:rPr>
                      <w:szCs w:val="24"/>
                      <w:lang w:val="en-US"/>
                    </w:rPr>
                  </w:pPr>
                  <w:r>
                    <w:rPr>
                      <w:i/>
                      <w:szCs w:val="24"/>
                      <w:lang w:val="en-US"/>
                    </w:rPr>
                    <w:t xml:space="preserve">AG </w:t>
                  </w:r>
                  <w:r>
                    <w:rPr>
                      <w:szCs w:val="24"/>
                      <w:lang w:val="en-US"/>
                    </w:rPr>
                    <w:t>– gyventojų amžiaus grupė.</w:t>
                  </w:r>
                </w:p>
              </w:sdtContent>
            </w:sdt>
          </w:sdtContent>
        </w:sdt>
        <w:sdt>
          <w:sdtPr>
            <w:alias w:val="4 pr. 3 p."/>
            <w:tag w:val="part_93e4c88ebb2e4771a5188594d08172e9"/>
            <w:lock w:val="sdtLocked"/>
            <w:richText/>
          </w:sdtPr>
          <w:sdtContent>
            <w:p>
              <w:pPr>
                <w:tabs>
                  <w:tab w:val="left" w:pos="567"/>
                  <w:tab w:val="left" w:pos="709"/>
                  <w:tab w:val="left" w:pos="851"/>
                  <w:tab w:val="left" w:pos="993"/>
                </w:tabs>
                <w:spacing w:line="259" w:lineRule="auto"/>
                <w:ind w:firstLine="567"/>
                <w:jc w:val="both"/>
                <w:rPr>
                  <w:szCs w:val="24"/>
                </w:rPr>
              </w:pPr>
              <w:sdt>
                <w:sdtPr>
                  <w:alias w:val="Numeris"/>
                  <w:tag w:val="nr_93e4c88ebb2e4771a5188594d08172e9"/>
                  <w:lock w:val="sdtLocked"/>
                  <w:richText/>
                </w:sdtPr>
                <w:sdtContent>
                  <w:r>
                    <w:rPr>
                      <w:szCs w:val="24"/>
                    </w:rPr>
                    <w:t>3</w:t>
                  </w:r>
                </w:sdtContent>
              </w:sdt>
              <w:r>
                <w:rPr>
                  <w:szCs w:val="24"/>
                </w:rPr>
                <w:t>.</w:t>
                <w:tab/>
                <w:t xml:space="preserve">Skaičiuojant prisirašiusių gyventojų apsilankymų PAASP paslaugas teikiančiose ASPĮ (toliau – apsilankymai) koeficientus pagal amžiaus grupes </w:t>
              </w:r>
              <m:oMath>
                <m:sSub>
                  <m:sSubPr>
                    <m:ctrlPr>
                      <w:rPr>
                        <w:rFonts w:ascii="Cambria Math" w:hAnsi="Cambria Math"/>
                        <w:i/>
                      </w:rPr>
                    </m:ctrlPr>
                  </m:sSubPr>
                  <m:e>
                    <m:r>
                      <w:rPr>
                        <w:rFonts w:ascii="Cambria Math" w:hAnsi="Cambria Math"/>
                      </w:rPr>
                      <m:t>(</m:t>
                    </m:r>
                    <m:r>
                      <w:rPr>
                        <w:rFonts w:ascii="Cambria Math" w:hAnsi="Cambria Math"/>
                      </w:rPr>
                      <m:t>KAPS</m:t>
                    </m:r>
                  </m:e>
                  <m:sub>
                    <m:r>
                      <w:rPr>
                        <w:rFonts w:ascii="Cambria Math" w:hAnsi="Cambria Math"/>
                      </w:rPr>
                      <m:t>AG</m:t>
                    </m:r>
                  </m:sub>
                </m:sSub>
                <m:r>
                  <m:rPr>
                    <m:sty m:val="p"/>
                  </m:rPr>
                  <w:rPr>
                    <w:rFonts w:ascii="Cambria Math" w:eastAsiaTheme="minorEastAsia" w:hAnsi="Cambria Math"/>
                  </w:rPr>
                  <m:t>)</m:t>
                </m:r>
              </m:oMath>
              <w:r>
                <w:rPr>
                  <w:szCs w:val="24"/>
                </w:rPr>
                <w:t xml:space="preserve"> nustatomas vidutinis kiekvienos amžiaus grupės vienam prisirašiusiam gyventojui tenkantis apsilankymų skaičius ir vidutinis vienam prisirašiusiam gyventojui tenkantis apsilankymų skaičius per metus:</w:t>
              </w:r>
            </w:p>
            <w:sdt>
              <w:sdtPr>
                <w:alias w:val="4 pr. 3.1 pp."/>
                <w:tag w:val="part_b94ab926be5f43ccba94fcc95c2926d5"/>
                <w:lock w:val="sdtLocked"/>
                <w:richText/>
              </w:sdtPr>
              <w:sdtContent>
                <w:p>
                  <w:pPr>
                    <w:ind w:firstLine="567"/>
                    <w:jc w:val="both"/>
                    <w:rPr>
                      <w:szCs w:val="24"/>
                    </w:rPr>
                  </w:pPr>
                  <w:sdt>
                    <w:sdtPr>
                      <w:alias w:val="Numeris"/>
                      <w:tag w:val="nr_b94ab926be5f43ccba94fcc95c2926d5"/>
                      <w:lock w:val="sdtLocked"/>
                      <w:richText/>
                    </w:sdtPr>
                    <w:sdtContent>
                      <w:r>
                        <w:rPr>
                          <w:szCs w:val="24"/>
                        </w:rPr>
                        <w:t>3.1</w:t>
                      </w:r>
                    </w:sdtContent>
                  </w:sdt>
                  <w:r>
                    <w:rPr>
                      <w:szCs w:val="24"/>
                    </w:rPr>
                    <w:t>. Vidutinis vienam atitinkamos amžiaus grupės prisirašiusiam gyventojui tenkantis apsilankymų skaičius apskaičiuojamas dalijant šiai amžiaus grupei tenkantį apsilankymų skaičių iš šios amžiaus grupės prisirašiusiųjų skaičiaus:</w:t>
                  </w:r>
                </w:p>
                <w:p>
                  <w:pPr>
                    <w:ind w:firstLine="62"/>
                    <w:jc w:val="both"/>
                    <w:rPr>
                      <w:szCs w:val="24"/>
                      <w:lang w:val="en-US"/>
                    </w:rPr>
                  </w:pPr>
                  <m:oMathPara>
                    <m:oMath>
                      <m:r>
                        <m:rPr>
                          <m:sty m:val="p"/>
                        </m:rPr>
                        <w:rPr>
                          <w:rFonts w:ascii="Cambria Math" w:eastAsiaTheme="minorEastAsia" w:hAnsi="Cambria Math"/>
                        </w:rPr>
                        <w:br/>
                      </m:r>
                    </m:oMath>
                    <m:oMath>
                      <m:sSub>
                        <m:sSubPr>
                          <m:ctrlPr>
                            <w:rPr>
                              <w:rFonts w:ascii="Cambria Math" w:eastAsiaTheme="minorEastAsia" w:hAnsi="Cambria Math"/>
                              <w:i/>
                            </w:rPr>
                          </m:ctrlPr>
                        </m:sSubPr>
                        <m:e>
                          <m:r>
                            <w:rPr>
                              <w:rFonts w:ascii="Cambria Math" w:eastAsiaTheme="minorEastAsia" w:hAnsi="Cambria Math"/>
                            </w:rPr>
                            <m:t>APSVID</m:t>
                          </m:r>
                        </m:e>
                        <m:sub>
                          <m:r>
                            <w:rPr>
                              <w:rFonts w:ascii="Cambria Math" w:eastAsiaTheme="minorEastAsia" w:hAnsi="Cambria Math"/>
                            </w:rPr>
                            <m:t>AG</m:t>
                          </m:r>
                        </m:sub>
                      </m:sSub>
                      <m:r>
                        <w:rPr>
                          <w:rFonts w:ascii="Cambria Math" w:eastAsiaTheme="minorEastAsia" w:hAnsi="Cambria Math"/>
                          <w:lang w:val="en-US"/>
                        </w:rPr>
                        <m:t>=</m:t>
                      </m:r>
                      <m:f>
                        <m:fPr>
                          <m:ctrlPr>
                            <w:rPr>
                              <w:rFonts w:ascii="Cambria Math" w:eastAsiaTheme="minorEastAsia" w:hAnsi="Cambria Math"/>
                              <w:i/>
                              <w:lang w:val="en-US"/>
                            </w:rPr>
                          </m:ctrlPr>
                        </m:fPr>
                        <m:num>
                          <m:sSub>
                            <m:sSubPr>
                              <m:ctrlPr>
                                <w:rPr>
                                  <w:rFonts w:ascii="Cambria Math" w:eastAsiaTheme="minorEastAsia" w:hAnsi="Cambria Math"/>
                                  <w:i/>
                                  <w:lang w:val="en-US"/>
                                </w:rPr>
                              </m:ctrlPr>
                            </m:sSubPr>
                            <m:e>
                              <m:r>
                                <w:rPr>
                                  <w:rFonts w:ascii="Cambria Math" w:eastAsiaTheme="minorEastAsia" w:hAnsi="Cambria Math"/>
                                  <w:lang w:val="en-US"/>
                                </w:rPr>
                                <m:t>APSSK</m:t>
                              </m:r>
                            </m:e>
                            <m:sub>
                              <m:r>
                                <w:rPr>
                                  <w:rFonts w:ascii="Cambria Math" w:eastAsiaTheme="minorEastAsia" w:hAnsi="Cambria Math"/>
                                  <w:lang w:val="en-US"/>
                                </w:rPr>
                                <m:t>AG</m:t>
                              </m:r>
                            </m:sub>
                          </m:sSub>
                        </m:num>
                        <m:den>
                          <m:sSub>
                            <m:sSubPr>
                              <m:ctrlPr>
                                <w:rPr>
                                  <w:rFonts w:ascii="Cambria Math" w:eastAsiaTheme="minorEastAsia" w:hAnsi="Cambria Math"/>
                                  <w:i/>
                                  <w:lang w:val="en-US"/>
                                </w:rPr>
                              </m:ctrlPr>
                            </m:sSubPr>
                            <m:e>
                              <m:r>
                                <w:rPr>
                                  <w:rFonts w:ascii="Cambria Math" w:eastAsiaTheme="minorEastAsia" w:hAnsi="Cambria Math"/>
                                  <w:lang w:val="en-US"/>
                                </w:rPr>
                                <m:t>PR</m:t>
                              </m:r>
                            </m:e>
                            <m:sub>
                              <m:r>
                                <w:rPr>
                                  <w:rFonts w:ascii="Cambria Math" w:eastAsiaTheme="minorEastAsia" w:hAnsi="Cambria Math"/>
                                  <w:lang w:val="en-US"/>
                                </w:rPr>
                                <m:t>A</m:t>
                              </m:r>
                              <m:r>
                                <w:rPr>
                                  <w:rFonts w:ascii="Cambria Math" w:eastAsiaTheme="minorEastAsia" w:hAnsi="Cambria Math"/>
                                  <w:lang w:val="en-US"/>
                                </w:rPr>
                                <m:t>G</m:t>
                              </m:r>
                            </m:sub>
                          </m:sSub>
                        </m:den>
                      </m:f>
                      <m:r>
                        <w:rPr>
                          <w:rFonts w:ascii="Cambria Math" w:eastAsiaTheme="minorEastAsia" w:hAnsi="Cambria Math"/>
                          <w:lang w:val="en-US"/>
                        </w:rPr>
                        <m:t>,</m:t>
                      </m:r>
                    </m:oMath>
                  </m:oMathPara>
                </w:p>
                <w:p>
                  <w:pPr>
                    <w:ind w:firstLine="567"/>
                    <w:jc w:val="both"/>
                    <w:rPr>
                      <w:szCs w:val="24"/>
                    </w:rPr>
                  </w:pPr>
                  <w:r>
                    <w:rPr>
                      <w:szCs w:val="24"/>
                    </w:rPr>
                    <w:t>kai:</w:t>
                  </w:r>
                </w:p>
                <w:p>
                  <w:pPr>
                    <w:ind w:firstLine="567"/>
                    <w:jc w:val="both"/>
                    <w:rPr>
                      <w:szCs w:val="24"/>
                    </w:rPr>
                  </w:pPr>
                  <w:r>
                    <w:rPr>
                      <w:i/>
                      <w:szCs w:val="24"/>
                    </w:rPr>
                    <w:t>APSVID</w:t>
                  </w:r>
                  <w:r>
                    <w:rPr>
                      <w:i/>
                      <w:szCs w:val="24"/>
                      <w:vertAlign w:val="subscript"/>
                    </w:rPr>
                    <w:t>AG</w:t>
                  </w:r>
                  <w:r>
                    <w:rPr>
                      <w:szCs w:val="24"/>
                    </w:rPr>
                    <w:t xml:space="preserve"> – vidutinis vienam atitinkamos amžiaus grupės prisirašiusiam gyventojui tenkantis apsilankymų skaičius,</w:t>
                  </w:r>
                </w:p>
                <w:p>
                  <w:pPr>
                    <w:ind w:firstLine="567"/>
                    <w:jc w:val="both"/>
                    <w:rPr>
                      <w:szCs w:val="24"/>
                    </w:rPr>
                  </w:pPr>
                  <w:r>
                    <w:rPr>
                      <w:i/>
                      <w:szCs w:val="24"/>
                    </w:rPr>
                    <w:t>APSSK</w:t>
                  </w:r>
                  <w:r>
                    <w:rPr>
                      <w:i/>
                      <w:szCs w:val="24"/>
                      <w:vertAlign w:val="subscript"/>
                    </w:rPr>
                    <w:t>AG</w:t>
                  </w:r>
                  <w:r>
                    <w:rPr>
                      <w:i/>
                      <w:szCs w:val="24"/>
                    </w:rPr>
                    <w:t xml:space="preserve"> </w:t>
                  </w:r>
                  <w:r>
                    <w:rPr>
                      <w:szCs w:val="24"/>
                    </w:rPr>
                    <w:t>– atitinkamos amžiaus grupės prisirašiusių gyventojų apsilankymų per ataskaitinį laikotarpį skaičius,</w:t>
                  </w:r>
                </w:p>
                <w:p>
                  <w:pPr>
                    <w:ind w:firstLine="629"/>
                    <w:jc w:val="both"/>
                    <w:rPr>
                      <w:szCs w:val="24"/>
                    </w:rPr>
                  </w:pPr>
                  <m:oMath>
                    <m:sSub>
                      <m:sSubPr>
                        <m:ctrlPr>
                          <w:rPr>
                            <w:rFonts w:ascii="Cambria Math" w:eastAsiaTheme="minorEastAsia" w:hAnsi="Cambria Math"/>
                            <w:i/>
                          </w:rPr>
                        </m:ctrlPr>
                      </m:sSubPr>
                      <m:e>
                        <m:r>
                          <w:rPr>
                            <w:rFonts w:ascii="Cambria Math" w:eastAsiaTheme="minorEastAsia" w:hAnsi="Cambria Math"/>
                          </w:rPr>
                          <m:t>PR</m:t>
                        </m:r>
                      </m:e>
                      <m:sub>
                        <m:r>
                          <w:rPr>
                            <w:rFonts w:ascii="Cambria Math" w:eastAsiaTheme="minorEastAsia" w:hAnsi="Cambria Math"/>
                          </w:rPr>
                          <m:t>AG</m:t>
                        </m:r>
                      </m:sub>
                    </m:sSub>
                  </m:oMath>
                  <w:r>
                    <w:rPr>
                      <w:i/>
                      <w:szCs w:val="24"/>
                    </w:rPr>
                    <w:t xml:space="preserve">– </w:t>
                  </w:r>
                  <w:r>
                    <w:rPr>
                      <w:szCs w:val="24"/>
                    </w:rPr>
                    <w:t>atitinkamos amžiaus grupės prisirašiusių gyventojų (išskyrus gyventojus, prisirašiusius prie ASPĮ, teikiančių tik pirminės ambulatorinės odontologinės asmens sveikatos priežiūros paslaugas ir (ar) pirminės ambulatorinės psichikos sveikatos priežiūros paslaugas) skaičius,</w:t>
                  </w:r>
                </w:p>
                <w:p>
                  <w:pPr>
                    <w:ind w:firstLine="567"/>
                    <w:jc w:val="both"/>
                    <w:rPr>
                      <w:szCs w:val="24"/>
                    </w:rPr>
                  </w:pPr>
                  <w:r>
                    <w:rPr>
                      <w:i/>
                      <w:szCs w:val="24"/>
                    </w:rPr>
                    <w:t xml:space="preserve">AG </w:t>
                  </w:r>
                  <w:r>
                    <w:rPr>
                      <w:szCs w:val="24"/>
                    </w:rPr>
                    <w:t>– gyventojų amžiaus grupė.</w:t>
                  </w:r>
                </w:p>
              </w:sdtContent>
            </w:sdt>
            <w:sdt>
              <w:sdtPr>
                <w:alias w:val="4 pr. 3.2 pp."/>
                <w:tag w:val="part_e626f5f8853e4b5d85b1afbee6599b96"/>
                <w:lock w:val="sdtLocked"/>
                <w:richText/>
              </w:sdtPr>
              <w:sdtContent>
                <w:p>
                  <w:pPr>
                    <w:ind w:firstLine="567"/>
                    <w:jc w:val="both"/>
                    <w:rPr>
                      <w:szCs w:val="24"/>
                    </w:rPr>
                  </w:pPr>
                  <w:sdt>
                    <w:sdtPr>
                      <w:alias w:val="Numeris"/>
                      <w:tag w:val="nr_e626f5f8853e4b5d85b1afbee6599b96"/>
                      <w:lock w:val="sdtLocked"/>
                      <w:richText/>
                    </w:sdtPr>
                    <w:sdtContent>
                      <w:r>
                        <w:rPr>
                          <w:szCs w:val="24"/>
                        </w:rPr>
                        <w:t>3.2</w:t>
                      </w:r>
                    </w:sdtContent>
                  </w:sdt>
                  <w:r>
                    <w:rPr>
                      <w:szCs w:val="24"/>
                    </w:rPr>
                    <w:t>. Vidutinis vienam prisirašiusiam gyventojui tenkantis apsilankymų skaičius per metus apskaičiuojamas taip:</w:t>
                  </w:r>
                </w:p>
                <w:p>
                  <w:pPr>
                    <w:ind w:firstLine="567"/>
                    <w:jc w:val="both"/>
                    <w:rPr>
                      <w:szCs w:val="24"/>
                    </w:rPr>
                  </w:pPr>
                </w:p>
                <w:p>
                  <w:pPr>
                    <w:jc w:val="both"/>
                    <w:rPr>
                      <w:szCs w:val="24"/>
                    </w:rPr>
                  </w:pPr>
                  <m:oMathPara>
                    <m:oMath>
                      <m:r>
                        <w:rPr>
                          <w:rFonts w:ascii="Cambria Math" w:eastAsiaTheme="minorEastAsia" w:hAnsi="Cambria Math"/>
                        </w:rPr>
                        <m:t>APSVID</m:t>
                      </m:r>
                      <m:r>
                        <w:rPr>
                          <w:rFonts w:ascii="Cambria Math" w:eastAsiaTheme="minorEastAsia" w:hAnsi="Cambria Math"/>
                        </w:rPr>
                        <m:t>=</m:t>
                      </m:r>
                      <m:f>
                        <m:fPr>
                          <m:ctrlPr>
                            <w:rPr>
                              <w:rFonts w:ascii="Cambria Math" w:eastAsiaTheme="minorEastAsia" w:hAnsi="Cambria Math"/>
                              <w:i/>
                            </w:rPr>
                          </m:ctrlPr>
                        </m:fPr>
                        <m:num>
                          <m:nary>
                            <m:naryPr>
                              <m:chr m:val="∑"/>
                              <m:limLoc m:val="undOvr"/>
                              <m:supHide m:val="1"/>
                              <m:ctrlPr>
                                <w:rPr>
                                  <w:rFonts w:ascii="Cambria Math" w:eastAsiaTheme="minorEastAsia" w:hAnsi="Cambria Math"/>
                                  <w:i/>
                                </w:rPr>
                              </m:ctrlPr>
                            </m:naryPr>
                            <m:sub>
                              <m:r>
                                <w:rPr>
                                  <w:rFonts w:ascii="Cambria Math" w:eastAsiaTheme="minorEastAsia" w:hAnsi="Cambria Math"/>
                                </w:rPr>
                                <m:t>AG</m:t>
                              </m:r>
                            </m:sub>
                            <m:sup/>
                            <m:e>
                              <m:sSub>
                                <m:sSubPr>
                                  <m:ctrlPr>
                                    <w:rPr>
                                      <w:rFonts w:ascii="Cambria Math" w:eastAsiaTheme="minorEastAsia" w:hAnsi="Cambria Math"/>
                                      <w:i/>
                                    </w:rPr>
                                  </m:ctrlPr>
                                </m:sSubPr>
                                <m:e>
                                  <m:r>
                                    <w:rPr>
                                      <w:rFonts w:ascii="Cambria Math" w:eastAsiaTheme="minorEastAsia" w:hAnsi="Cambria Math"/>
                                    </w:rPr>
                                    <m:t>APSVID</m:t>
                                  </m:r>
                                </m:e>
                                <m:sub>
                                  <m:r>
                                    <w:rPr>
                                      <w:rFonts w:ascii="Cambria Math" w:eastAsiaTheme="minorEastAsia" w:hAnsi="Cambria Math"/>
                                    </w:rPr>
                                    <m:t>AG</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PR</m:t>
                                  </m:r>
                                </m:e>
                                <m:sub>
                                  <m:r>
                                    <w:rPr>
                                      <w:rFonts w:ascii="Cambria Math" w:eastAsiaTheme="minorEastAsia" w:hAnsi="Cambria Math"/>
                                    </w:rPr>
                                    <m:t>AG</m:t>
                                  </m:r>
                                </m:sub>
                              </m:sSub>
                            </m:e>
                          </m:nary>
                        </m:num>
                        <m:den>
                          <m:nary>
                            <m:naryPr>
                              <m:chr m:val="∑"/>
                              <m:limLoc m:val="undOvr"/>
                              <m:supHide m:val="1"/>
                              <m:ctrlPr>
                                <w:rPr>
                                  <w:rFonts w:ascii="Cambria Math" w:eastAsiaTheme="minorEastAsia" w:hAnsi="Cambria Math"/>
                                  <w:i/>
                                </w:rPr>
                              </m:ctrlPr>
                            </m:naryPr>
                            <m:sub>
                              <m:r>
                                <w:rPr>
                                  <w:rFonts w:ascii="Cambria Math" w:eastAsiaTheme="minorEastAsia" w:hAnsi="Cambria Math"/>
                                </w:rPr>
                                <m:t>AG</m:t>
                              </m:r>
                            </m:sub>
                            <m:sup/>
                            <m:e>
                              <m:sSub>
                                <m:sSubPr>
                                  <m:ctrlPr>
                                    <w:rPr>
                                      <w:rFonts w:ascii="Cambria Math" w:eastAsiaTheme="minorEastAsia" w:hAnsi="Cambria Math"/>
                                      <w:i/>
                                    </w:rPr>
                                  </m:ctrlPr>
                                </m:sSubPr>
                                <m:e>
                                  <m:r>
                                    <w:rPr>
                                      <w:rFonts w:ascii="Cambria Math" w:eastAsiaTheme="minorEastAsia" w:hAnsi="Cambria Math"/>
                                    </w:rPr>
                                    <m:t>PR</m:t>
                                  </m:r>
                                </m:e>
                                <m:sub>
                                  <m:r>
                                    <w:rPr>
                                      <w:rFonts w:ascii="Cambria Math" w:eastAsiaTheme="minorEastAsia" w:hAnsi="Cambria Math"/>
                                    </w:rPr>
                                    <m:t>AG</m:t>
                                  </m:r>
                                </m:sub>
                              </m:sSub>
                            </m:e>
                          </m:nary>
                        </m:den>
                      </m:f>
                      <m:r>
                        <w:rPr>
                          <w:rFonts w:ascii="Cambria Math" w:eastAsiaTheme="minorEastAsia" w:hAnsi="Cambria Math"/>
                        </w:rPr>
                        <m:t xml:space="preserve"> ,</m:t>
                      </m:r>
                    </m:oMath>
                  </m:oMathPara>
                </w:p>
                <w:p>
                  <w:pPr>
                    <w:ind w:firstLine="720"/>
                    <w:jc w:val="both"/>
                    <w:rPr>
                      <w:szCs w:val="24"/>
                    </w:rPr>
                  </w:pPr>
                </w:p>
                <w:p>
                  <w:pPr>
                    <w:ind w:firstLine="680"/>
                    <w:jc w:val="both"/>
                    <w:rPr>
                      <w:szCs w:val="24"/>
                    </w:rPr>
                  </w:pPr>
                  <w:r>
                    <w:rPr>
                      <w:szCs w:val="24"/>
                    </w:rPr>
                    <w:t>kai:</w:t>
                  </w:r>
                </w:p>
                <w:p>
                  <w:pPr>
                    <w:ind w:firstLine="782"/>
                    <w:jc w:val="both"/>
                    <w:rPr>
                      <w:szCs w:val="24"/>
                    </w:rPr>
                  </w:pPr>
                  <m:oMath>
                    <m:r>
                      <w:rPr>
                        <w:rFonts w:ascii="Cambria Math" w:eastAsiaTheme="minorEastAsia" w:hAnsi="Cambria Math"/>
                      </w:rPr>
                      <m:t>APSVID</m:t>
                    </m:r>
                  </m:oMath>
                  <w:r>
                    <w:rPr>
                      <w:szCs w:val="24"/>
                    </w:rPr>
                    <w:t>– vidutinis vienam prisirašiusiam gyventojui tenkantis apsilankymų skaičius,</w:t>
                  </w:r>
                </w:p>
                <w:p>
                  <w:pPr>
                    <w:ind w:firstLine="629"/>
                    <w:jc w:val="both"/>
                    <w:rPr>
                      <w:szCs w:val="24"/>
                    </w:rPr>
                  </w:pPr>
                  <w:r>
                    <w:rPr>
                      <w:i/>
                      <w:szCs w:val="24"/>
                    </w:rPr>
                    <w:t>APSVID</w:t>
                  </w:r>
                  <w:r>
                    <w:rPr>
                      <w:i/>
                      <w:szCs w:val="24"/>
                      <w:vertAlign w:val="subscript"/>
                    </w:rPr>
                    <w:t>AG</w:t>
                  </w:r>
                  <w:r>
                    <w:rPr>
                      <w:szCs w:val="24"/>
                    </w:rPr>
                    <w:t xml:space="preserve"> – vidutinis vienam atitinkamos amžiaus grupės prisirašiusiam gyventojui tenkantis apsilankymų skaičius,</w:t>
                  </w:r>
                </w:p>
                <w:p>
                  <w:pPr>
                    <w:ind w:firstLine="720"/>
                    <w:jc w:val="both"/>
                    <w:rPr>
                      <w:szCs w:val="24"/>
                    </w:rPr>
                  </w:pPr>
                  <w:r>
                    <w:rPr>
                      <w:i/>
                      <w:szCs w:val="24"/>
                    </w:rPr>
                    <w:t>AG</w:t>
                  </w:r>
                  <w:r>
                    <w:rPr>
                      <w:szCs w:val="24"/>
                    </w:rPr>
                    <w:t xml:space="preserve"> – gyventojų amžiaus grupė.</w:t>
                  </w:r>
                </w:p>
              </w:sdtContent>
            </w:sdt>
          </w:sdtContent>
        </w:sdt>
        <w:sdt>
          <w:sdtPr>
            <w:alias w:val="4 pr. 4 p."/>
            <w:tag w:val="part_d754f0db47494fbf930326456fafaead"/>
            <w:lock w:val="sdtLocked"/>
            <w:richText/>
          </w:sdtPr>
          <w:sdtContent>
            <w:p>
              <w:pPr>
                <w:ind w:firstLine="720"/>
                <w:jc w:val="both"/>
                <w:rPr>
                  <w:szCs w:val="24"/>
                </w:rPr>
              </w:pPr>
              <w:sdt>
                <w:sdtPr>
                  <w:alias w:val="Numeris"/>
                  <w:tag w:val="nr_d754f0db47494fbf930326456fafaead"/>
                  <w:lock w:val="sdtLocked"/>
                  <w:richText/>
                </w:sdtPr>
                <w:sdtContent>
                  <w:r>
                    <w:rPr>
                      <w:szCs w:val="24"/>
                    </w:rPr>
                    <w:t>4</w:t>
                  </w:r>
                </w:sdtContent>
              </w:sdt>
              <w:r>
                <w:rPr>
                  <w:szCs w:val="24"/>
                </w:rPr>
                <w:t>.</w:t>
                <w:tab/>
                <w:t>Kiekvienos amžiaus grupės prisirašiusiems gyventojams atliekamų tyrimų, poliligotumo ir apsilankymų koeficientai nustatomi bendrus vidutinius dydžius, apskaičiuotus šio priedo 1.2, 2.2 ir 3.2 papunkčiuose nustatyta tvarka, dalijant iš atitinkamų vidutinių dydžių, apskaičiuotų šio priedo 1.1, 2.1 ir 3.1 papunkčiuose nustatyta tvarka:</w:t>
              </w:r>
            </w:p>
            <w:sdt>
              <w:sdtPr>
                <w:alias w:val="4 pr. 4.1 pp."/>
                <w:tag w:val="part_bf97ade5c83242c5a4be3ccd9d645350"/>
                <w:lock w:val="sdtLocked"/>
                <w:richText/>
              </w:sdtPr>
              <w:sdtContent>
                <w:p>
                  <w:pPr>
                    <w:ind w:firstLine="567"/>
                    <w:jc w:val="both"/>
                    <w:rPr>
                      <w:szCs w:val="24"/>
                    </w:rPr>
                  </w:pPr>
                  <w:sdt>
                    <w:sdtPr>
                      <w:alias w:val="Numeris"/>
                      <w:tag w:val="nr_bf97ade5c83242c5a4be3ccd9d645350"/>
                      <w:lock w:val="sdtLocked"/>
                      <w:richText/>
                    </w:sdtPr>
                    <w:sdtContent>
                      <w:r>
                        <w:rPr>
                          <w:szCs w:val="24"/>
                        </w:rPr>
                        <w:t>4.1</w:t>
                      </w:r>
                    </w:sdtContent>
                  </w:sdt>
                  <w:r>
                    <w:rPr>
                      <w:szCs w:val="24"/>
                    </w:rPr>
                    <w:t>. Atitinkamos amžiaus grupės prisirašiusiems gyventojams atliekamų tyrimų koeficientas apskaičiuojamas taip:</w:t>
                  </w:r>
                </w:p>
                <w:p>
                  <w:pPr>
                    <w:ind w:left="1040"/>
                    <w:jc w:val="both"/>
                    <w:rPr>
                      <w:rFonts w:eastAsia="Calibri"/>
                      <w:szCs w:val="24"/>
                    </w:rPr>
                  </w:pPr>
                </w:p>
                <w:p>
                  <w:pPr>
                    <w:ind w:firstLine="709"/>
                    <w:jc w:val="both"/>
                    <w:rPr>
                      <w:i/>
                      <w:szCs w:val="24"/>
                      <w:lang w:val="en-US"/>
                    </w:rPr>
                  </w:pPr>
                  <m:oMathPara>
                    <m:oMath>
                      <m:sSub>
                        <m:sSubPr>
                          <m:ctrlPr>
                            <w:rPr>
                              <w:rFonts w:ascii="Cambria Math" w:eastAsiaTheme="minorEastAsia" w:hAnsi="Cambria Math"/>
                              <w:i/>
                            </w:rPr>
                          </m:ctrlPr>
                        </m:sSubPr>
                        <m:e>
                          <m:r>
                            <w:rPr>
                              <w:rFonts w:ascii="Cambria Math" w:eastAsiaTheme="minorEastAsia" w:hAnsi="Cambria Math"/>
                            </w:rPr>
                            <m:t>KT</m:t>
                          </m:r>
                        </m:e>
                        <m:sub>
                          <m:r>
                            <w:rPr>
                              <w:rFonts w:ascii="Cambria Math" w:eastAsiaTheme="minorEastAsia" w:hAnsi="Cambria Math"/>
                            </w:rPr>
                            <m:t>AG</m:t>
                          </m:r>
                        </m:sub>
                      </m:sSub>
                      <m:r>
                        <w:rPr>
                          <w:rFonts w:ascii="Cambria Math" w:eastAsiaTheme="minorEastAsia" w:hAnsi="Cambria Math"/>
                          <w:lang w:val="en-US"/>
                        </w:rPr>
                        <m:t>=</m:t>
                      </m:r>
                      <m:f>
                        <m:fPr>
                          <m:ctrlPr>
                            <w:rPr>
                              <w:rFonts w:ascii="Cambria Math" w:eastAsiaTheme="minorEastAsia" w:hAnsi="Cambria Math"/>
                              <w:i/>
                              <w:lang w:val="en-US"/>
                            </w:rPr>
                          </m:ctrlPr>
                        </m:fPr>
                        <m:num>
                          <m:sSub>
                            <m:sSubPr>
                              <m:ctrlPr>
                                <w:rPr>
                                  <w:rFonts w:ascii="Cambria Math" w:eastAsiaTheme="minorEastAsia" w:hAnsi="Cambria Math"/>
                                  <w:i/>
                                  <w:lang w:val="en-US"/>
                                </w:rPr>
                              </m:ctrlPr>
                            </m:sSubPr>
                            <m:e>
                              <m:r>
                                <w:rPr>
                                  <w:rFonts w:ascii="Cambria Math" w:eastAsiaTheme="minorEastAsia" w:hAnsi="Cambria Math"/>
                                  <w:lang w:val="en-US"/>
                                </w:rPr>
                                <m:t>TVID</m:t>
                              </m:r>
                            </m:e>
                            <m:sub>
                              <m:r>
                                <w:rPr>
                                  <w:rFonts w:ascii="Cambria Math" w:eastAsiaTheme="minorEastAsia" w:hAnsi="Cambria Math"/>
                                  <w:lang w:val="en-US"/>
                                </w:rPr>
                                <m:t>AG</m:t>
                              </m:r>
                            </m:sub>
                          </m:sSub>
                        </m:num>
                        <m:den>
                          <m:r>
                            <w:rPr>
                              <w:rFonts w:ascii="Cambria Math" w:eastAsiaTheme="minorEastAsia" w:hAnsi="Cambria Math"/>
                              <w:lang w:val="en-US"/>
                            </w:rPr>
                            <m:t>TVID</m:t>
                          </m:r>
                        </m:den>
                      </m:f>
                      <m:r>
                        <w:rPr>
                          <w:rFonts w:ascii="Cambria Math" w:eastAsiaTheme="minorEastAsia" w:hAnsi="Cambria Math"/>
                          <w:lang w:val="en-US"/>
                        </w:rPr>
                        <m:t>,</m:t>
                      </m:r>
                    </m:oMath>
                  </m:oMathPara>
                </w:p>
                <w:p>
                  <w:pPr>
                    <w:ind w:firstLine="709"/>
                    <w:jc w:val="both"/>
                    <w:rPr>
                      <w:szCs w:val="24"/>
                      <w:lang w:val="en-US"/>
                    </w:rPr>
                  </w:pPr>
                </w:p>
                <w:p>
                  <w:pPr>
                    <w:ind w:left="720"/>
                    <w:jc w:val="both"/>
                    <w:rPr>
                      <w:szCs w:val="24"/>
                    </w:rPr>
                  </w:pPr>
                  <w:r>
                    <w:rPr>
                      <w:szCs w:val="24"/>
                    </w:rPr>
                    <w:t>kai:</w:t>
                  </w:r>
                </w:p>
                <w:p>
                  <w:pPr>
                    <w:ind w:firstLine="680"/>
                    <w:jc w:val="both"/>
                    <w:rPr>
                      <w:szCs w:val="24"/>
                    </w:rPr>
                  </w:pPr>
                  <w:r>
                    <w:rPr>
                      <w:i/>
                      <w:szCs w:val="24"/>
                    </w:rPr>
                    <w:t xml:space="preserve">TVID – </w:t>
                  </w:r>
                  <w:r>
                    <w:rPr>
                      <w:szCs w:val="24"/>
                    </w:rPr>
                    <w:t>vidutinis vienam prisirašiusiam gyventojui tenkantis tyrimų skaičius,</w:t>
                  </w:r>
                </w:p>
                <w:p>
                  <w:pPr>
                    <w:ind w:firstLine="720"/>
                    <w:jc w:val="both"/>
                    <w:rPr>
                      <w:szCs w:val="24"/>
                    </w:rPr>
                  </w:pPr>
                  <w:r>
                    <w:rPr>
                      <w:i/>
                      <w:szCs w:val="24"/>
                    </w:rPr>
                    <w:t>TVID</w:t>
                  </w:r>
                  <w:r>
                    <w:rPr>
                      <w:i/>
                      <w:szCs w:val="24"/>
                      <w:vertAlign w:val="subscript"/>
                    </w:rPr>
                    <w:t xml:space="preserve">AG </w:t>
                  </w:r>
                  <w:r>
                    <w:rPr>
                      <w:i/>
                      <w:szCs w:val="24"/>
                    </w:rPr>
                    <w:t>–</w:t>
                  </w:r>
                  <w:r>
                    <w:rPr>
                      <w:i/>
                      <w:szCs w:val="24"/>
                      <w:vertAlign w:val="subscript"/>
                    </w:rPr>
                    <w:t xml:space="preserve"> </w:t>
                  </w:r>
                  <w:r>
                    <w:rPr>
                      <w:szCs w:val="24"/>
                    </w:rPr>
                    <w:t>vidutinis vienam atitinkamos amžiaus grupės prisirašiusiam gyventojui tenkantis tyrimų skaičius,</w:t>
                  </w:r>
                </w:p>
                <w:p>
                  <w:pPr>
                    <w:ind w:firstLine="680"/>
                    <w:jc w:val="both"/>
                    <w:rPr>
                      <w:szCs w:val="24"/>
                    </w:rPr>
                  </w:pPr>
                  <w:r>
                    <w:rPr>
                      <w:i/>
                      <w:szCs w:val="24"/>
                    </w:rPr>
                    <w:t>AG</w:t>
                  </w:r>
                  <w:r>
                    <w:rPr>
                      <w:szCs w:val="24"/>
                    </w:rPr>
                    <w:t xml:space="preserve"> – gyventojų amžiaus grupė.</w:t>
                  </w:r>
                </w:p>
              </w:sdtContent>
            </w:sdt>
            <w:sdt>
              <w:sdtPr>
                <w:alias w:val="4 pr. 4.2 pp."/>
                <w:tag w:val="part_5531154ded4e4e478d359747c65cf79e"/>
                <w:lock w:val="sdtLocked"/>
                <w:richText/>
              </w:sdtPr>
              <w:sdtContent>
                <w:p>
                  <w:pPr>
                    <w:ind w:firstLine="567"/>
                    <w:jc w:val="both"/>
                    <w:rPr>
                      <w:szCs w:val="24"/>
                    </w:rPr>
                  </w:pPr>
                  <w:sdt>
                    <w:sdtPr>
                      <w:alias w:val="Numeris"/>
                      <w:tag w:val="nr_5531154ded4e4e478d359747c65cf79e"/>
                      <w:lock w:val="sdtLocked"/>
                      <w:richText/>
                    </w:sdtPr>
                    <w:sdtContent>
                      <w:r>
                        <w:rPr>
                          <w:szCs w:val="24"/>
                        </w:rPr>
                        <w:t>4.2</w:t>
                      </w:r>
                    </w:sdtContent>
                  </w:sdt>
                  <w:r>
                    <w:rPr>
                      <w:szCs w:val="24"/>
                    </w:rPr>
                    <w:t>. Atitinkamos amžiaus grupės prisirašiusių gyventojų sergamumo dviem (ir daugiau) lėtinėmis ligomis vienu metu, kurioms gydyti būtini dideli žmogiškieji ir materialiniai ištekliai, (poliligotumo) koeficientas apskaičiuojamas taip:</w:t>
                  </w:r>
                </w:p>
                <w:p>
                  <w:pPr>
                    <w:ind w:left="1040"/>
                    <w:jc w:val="both"/>
                    <w:rPr>
                      <w:rFonts w:eastAsia="Calibri"/>
                      <w:szCs w:val="24"/>
                    </w:rPr>
                  </w:pPr>
                </w:p>
                <w:p>
                  <w:pPr>
                    <w:ind w:left="360"/>
                    <w:jc w:val="both"/>
                    <w:rPr>
                      <w:rFonts w:eastAsia="Calibri"/>
                      <w:i/>
                      <w:szCs w:val="24"/>
                      <w:lang w:val="en-US"/>
                    </w:rPr>
                  </w:pPr>
                  <m:oMathPara>
                    <m:oMath>
                      <m:sSub>
                        <m:sSubPr>
                          <m:ctrlPr>
                            <w:rPr>
                              <w:rFonts w:ascii="Cambria Math" w:eastAsiaTheme="minorEastAsia" w:hAnsi="Cambria Math"/>
                              <w:i/>
                              <w:szCs w:val="24"/>
                            </w:rPr>
                          </m:ctrlPr>
                        </m:sSubPr>
                        <m:e>
                          <m:r>
                            <w:rPr>
                              <w:rFonts w:ascii="Cambria Math" w:eastAsiaTheme="minorEastAsia" w:hAnsi="Cambria Math"/>
                              <w:szCs w:val="24"/>
                            </w:rPr>
                            <m:t>KP</m:t>
                          </m:r>
                        </m:e>
                        <m:sub>
                          <m:r>
                            <w:rPr>
                              <w:rFonts w:ascii="Cambria Math" w:eastAsiaTheme="minorEastAsia" w:hAnsi="Cambria Math"/>
                              <w:szCs w:val="24"/>
                            </w:rPr>
                            <m:t>AG</m:t>
                          </m:r>
                        </m:sub>
                      </m:sSub>
                      <m:r>
                        <w:rPr>
                          <w:rFonts w:ascii="Cambria Math" w:eastAsiaTheme="minorEastAsia" w:hAnsi="Cambria Math"/>
                          <w:szCs w:val="24"/>
                        </w:rPr>
                        <m:t>=</m:t>
                      </m:r>
                      <m:f>
                        <m:fPr>
                          <m:ctrlPr>
                            <w:rPr>
                              <w:rFonts w:ascii="Cambria Math" w:eastAsiaTheme="minorEastAsia" w:hAnsi="Cambria Math"/>
                              <w:i/>
                              <w:szCs w:val="24"/>
                            </w:rPr>
                          </m:ctrlPr>
                        </m:fPr>
                        <m:num>
                          <m:sSub>
                            <m:sSubPr>
                              <m:ctrlPr>
                                <w:rPr>
                                  <w:rFonts w:ascii="Cambria Math" w:eastAsiaTheme="minorEastAsia" w:hAnsi="Cambria Math"/>
                                  <w:i/>
                                  <w:szCs w:val="24"/>
                                </w:rPr>
                              </m:ctrlPr>
                            </m:sSubPr>
                            <m:e>
                              <m:r>
                                <w:rPr>
                                  <w:rFonts w:ascii="Cambria Math" w:eastAsiaTheme="minorEastAsia" w:hAnsi="Cambria Math"/>
                                  <w:szCs w:val="24"/>
                                </w:rPr>
                                <m:t>PVID</m:t>
                              </m:r>
                            </m:e>
                            <m:sub>
                              <m:r>
                                <w:rPr>
                                  <w:rFonts w:ascii="Cambria Math" w:eastAsiaTheme="minorEastAsia" w:hAnsi="Cambria Math"/>
                                  <w:szCs w:val="24"/>
                                </w:rPr>
                                <m:t>AG</m:t>
                              </m:r>
                            </m:sub>
                          </m:sSub>
                        </m:num>
                        <m:den>
                          <m:r>
                            <w:rPr>
                              <w:rFonts w:ascii="Cambria Math" w:eastAsiaTheme="minorEastAsia" w:hAnsi="Cambria Math"/>
                              <w:szCs w:val="24"/>
                            </w:rPr>
                            <m:t>PVID</m:t>
                          </m:r>
                        </m:den>
                      </m:f>
                      <m:r>
                        <w:rPr>
                          <w:rFonts w:ascii="Cambria Math" w:eastAsiaTheme="minorEastAsia" w:hAnsi="Cambria Math"/>
                          <w:szCs w:val="24"/>
                        </w:rPr>
                        <m:t>,</m:t>
                      </m:r>
                    </m:oMath>
                  </m:oMathPara>
                </w:p>
                <w:p>
                  <w:pPr>
                    <w:ind w:left="680"/>
                    <w:jc w:val="both"/>
                    <w:rPr>
                      <w:rFonts w:eastAsia="Calibri"/>
                      <w:szCs w:val="24"/>
                      <w:lang w:val="en-US"/>
                    </w:rPr>
                  </w:pPr>
                </w:p>
                <w:p>
                  <w:pPr>
                    <w:ind w:firstLine="680"/>
                    <w:jc w:val="both"/>
                    <w:rPr>
                      <w:szCs w:val="24"/>
                    </w:rPr>
                  </w:pPr>
                  <w:r>
                    <w:rPr>
                      <w:szCs w:val="24"/>
                    </w:rPr>
                    <w:t>kai:</w:t>
                  </w:r>
                </w:p>
                <w:p>
                  <w:pPr>
                    <w:ind w:firstLine="680"/>
                    <w:jc w:val="both"/>
                    <w:rPr>
                      <w:szCs w:val="24"/>
                      <w:lang w:val="en-US"/>
                    </w:rPr>
                  </w:pPr>
                  <w:r>
                    <w:rPr>
                      <w:i/>
                      <w:szCs w:val="24"/>
                      <w:lang w:val="en-US"/>
                    </w:rPr>
                    <w:t>PVID</w:t>
                  </w:r>
                  <w:r>
                    <w:rPr>
                      <w:szCs w:val="24"/>
                      <w:lang w:val="en-US"/>
                    </w:rPr>
                    <w:t xml:space="preserve"> – vidutinis prisirašiusių gyventojų, vienu metu sergančių dviem (ir daugiau) lėtinėmis ligomis, </w:t>
                  </w:r>
                  <w:r>
                    <w:rPr>
                      <w:szCs w:val="24"/>
                    </w:rPr>
                    <w:t>kurioms gydyti būtini dideli žmogiškieji ir materialiniai ištekliai,</w:t>
                  </w:r>
                  <w:r>
                    <w:rPr>
                      <w:szCs w:val="24"/>
                      <w:lang w:val="en-US"/>
                    </w:rPr>
                    <w:t xml:space="preserve"> skaičius,</w:t>
                  </w:r>
                </w:p>
                <w:p>
                  <w:pPr>
                    <w:ind w:firstLine="680"/>
                    <w:jc w:val="both"/>
                    <w:rPr>
                      <w:szCs w:val="24"/>
                    </w:rPr>
                  </w:pPr>
                  <w:r>
                    <w:rPr>
                      <w:i/>
                      <w:szCs w:val="24"/>
                    </w:rPr>
                    <w:t>PVID</w:t>
                  </w:r>
                  <w:r>
                    <w:rPr>
                      <w:i/>
                      <w:szCs w:val="24"/>
                      <w:vertAlign w:val="subscript"/>
                    </w:rPr>
                    <w:t xml:space="preserve">AG </w:t>
                  </w:r>
                  <w:r>
                    <w:rPr>
                      <w:i/>
                      <w:szCs w:val="24"/>
                      <w:lang w:val="en-US"/>
                    </w:rPr>
                    <w:t xml:space="preserve">– </w:t>
                  </w:r>
                  <w:r>
                    <w:rPr>
                      <w:szCs w:val="24"/>
                      <w:lang w:val="en-US"/>
                    </w:rPr>
                    <w:t>v</w:t>
                  </w:r>
                  <w:r>
                    <w:rPr>
                      <w:szCs w:val="24"/>
                    </w:rPr>
                    <w:t>idutinis atitinkamos amžiaus grupės prisirašiusių gyventojų, vienu metu sergančių dviem (ir daugiau) lėtinėmis ligomis, kurioms gydyti būtini dideli žmogiškieji ir materialiniai ištekliai, skaičius per metus, tenkantis 1000-iui prisirašiusiųjų;</w:t>
                  </w:r>
                </w:p>
                <w:p>
                  <w:pPr>
                    <w:ind w:firstLine="720"/>
                    <w:jc w:val="both"/>
                    <w:rPr>
                      <w:szCs w:val="24"/>
                      <w:lang w:val="en-US"/>
                    </w:rPr>
                  </w:pPr>
                  <w:r>
                    <w:rPr>
                      <w:i/>
                      <w:szCs w:val="24"/>
                      <w:lang w:val="en-US"/>
                    </w:rPr>
                    <w:t xml:space="preserve">AG </w:t>
                  </w:r>
                  <w:r>
                    <w:rPr>
                      <w:szCs w:val="24"/>
                      <w:lang w:val="en-US"/>
                    </w:rPr>
                    <w:t>– gyventojų amžiaus grupė.</w:t>
                  </w:r>
                </w:p>
              </w:sdtContent>
            </w:sdt>
            <w:sdt>
              <w:sdtPr>
                <w:alias w:val="4 pr. 4.3 pp."/>
                <w:tag w:val="part_a9bd47736bb44f8ebf13884d37264edc"/>
                <w:lock w:val="sdtLocked"/>
                <w:richText/>
              </w:sdtPr>
              <w:sdtContent>
                <w:p>
                  <w:pPr>
                    <w:tabs>
                      <w:tab w:val="left" w:pos="709"/>
                      <w:tab w:val="left" w:pos="993"/>
                      <w:tab w:val="left" w:pos="1134"/>
                    </w:tabs>
                    <w:ind w:firstLine="709"/>
                    <w:jc w:val="both"/>
                    <w:rPr>
                      <w:szCs w:val="24"/>
                    </w:rPr>
                  </w:pPr>
                  <w:sdt>
                    <w:sdtPr>
                      <w:alias w:val="Numeris"/>
                      <w:tag w:val="nr_a9bd47736bb44f8ebf13884d37264edc"/>
                      <w:lock w:val="sdtLocked"/>
                      <w:richText/>
                    </w:sdtPr>
                    <w:sdtContent>
                      <w:r>
                        <w:rPr>
                          <w:szCs w:val="24"/>
                        </w:rPr>
                        <w:t>4.3</w:t>
                      </w:r>
                    </w:sdtContent>
                  </w:sdt>
                  <w:r>
                    <w:rPr>
                      <w:szCs w:val="24"/>
                    </w:rPr>
                    <w:t>. Atitinkamos amžiaus grupės prisirašiusių gyventojų apsilankymų koeficientas apskaičiuojamas taip:</w:t>
                  </w:r>
                </w:p>
                <w:p>
                  <w:pPr>
                    <w:tabs>
                      <w:tab w:val="left" w:pos="1134"/>
                    </w:tabs>
                    <w:ind w:left="774"/>
                    <w:jc w:val="both"/>
                    <w:rPr>
                      <w:szCs w:val="24"/>
                    </w:rPr>
                  </w:pPr>
                </w:p>
                <w:p>
                  <w:pPr>
                    <w:tabs>
                      <w:tab w:val="left" w:pos="1134"/>
                    </w:tabs>
                    <w:ind w:left="774"/>
                    <w:jc w:val="center"/>
                    <w:rPr>
                      <w:szCs w:val="24"/>
                    </w:rPr>
                  </w:pPr>
                  <w:r>
                    <w:rPr>
                      <w:szCs w:val="24"/>
                    </w:rPr>
                    <w:object w:dxaOrig="2359" w:dyaOrig="620">
                      <v:shape id="_x0000_i1055" type="#_x0000_t75" style="width:118.95pt;height:31.95pt" o:ole="">
                        <v:imagedata r:id="rId95" o:title=""/>
                      </v:shape>
                      <o:OLEObject Type="Embed" ProgID="Equation.3" ShapeID="_x0000_i1055" DrawAspect="Content" ObjectID="_0000000001" r:id="rId96"/>
                    </w:object>
                  </w:r>
                </w:p>
                <w:p>
                  <w:pPr>
                    <w:tabs>
                      <w:tab w:val="left" w:pos="1134"/>
                    </w:tabs>
                    <w:ind w:left="774"/>
                    <w:jc w:val="both"/>
                    <w:rPr>
                      <w:szCs w:val="24"/>
                    </w:rPr>
                  </w:pPr>
                </w:p>
                <w:p>
                  <w:pPr>
                    <w:tabs>
                      <w:tab w:val="left" w:pos="1134"/>
                    </w:tabs>
                    <w:ind w:left="774"/>
                    <w:jc w:val="both"/>
                    <w:rPr>
                      <w:szCs w:val="24"/>
                    </w:rPr>
                  </w:pPr>
                  <w:r>
                    <w:rPr>
                      <w:szCs w:val="24"/>
                    </w:rPr>
                    <w:t>kai:</w:t>
                  </w:r>
                </w:p>
                <w:p>
                  <w:pPr>
                    <w:tabs>
                      <w:tab w:val="left" w:pos="1134"/>
                    </w:tabs>
                    <w:ind w:firstLine="774"/>
                    <w:jc w:val="both"/>
                    <w:rPr>
                      <w:szCs w:val="24"/>
                    </w:rPr>
                  </w:pPr>
                  <w:r>
                    <w:rPr>
                      <w:i/>
                      <w:szCs w:val="24"/>
                    </w:rPr>
                    <w:t>APSVID</w:t>
                  </w:r>
                  <w:r>
                    <w:rPr>
                      <w:i/>
                      <w:szCs w:val="24"/>
                      <w:vertAlign w:val="subscript"/>
                    </w:rPr>
                    <w:t xml:space="preserve">AG  </w:t>
                  </w:r>
                  <w:r>
                    <w:rPr>
                      <w:szCs w:val="24"/>
                    </w:rPr>
                    <w:t>– vidutinis vienam atitinkamos amžiaus grupės prisirašiusiam gyventojui tenkantis apsilankymų skaičius,</w:t>
                  </w:r>
                </w:p>
                <w:p>
                  <w:pPr>
                    <w:tabs>
                      <w:tab w:val="left" w:pos="1134"/>
                    </w:tabs>
                    <w:ind w:left="774"/>
                    <w:jc w:val="both"/>
                    <w:rPr>
                      <w:szCs w:val="24"/>
                    </w:rPr>
                  </w:pPr>
                  <w:r>
                    <w:rPr>
                      <w:i/>
                      <w:szCs w:val="24"/>
                    </w:rPr>
                    <w:t>APSVID</w:t>
                  </w:r>
                  <w:r>
                    <w:rPr>
                      <w:szCs w:val="24"/>
                    </w:rPr>
                    <w:t xml:space="preserve"> – vidutinis vienam prisirašiusiam gyventojui tenkantis apsilankymų skaičius,</w:t>
                  </w:r>
                </w:p>
                <w:p>
                  <w:pPr>
                    <w:tabs>
                      <w:tab w:val="left" w:pos="1134"/>
                    </w:tabs>
                    <w:ind w:left="774"/>
                    <w:jc w:val="both"/>
                    <w:rPr>
                      <w:szCs w:val="24"/>
                      <w:lang w:val="en-US"/>
                    </w:rPr>
                  </w:pPr>
                  <w:r>
                    <w:rPr>
                      <w:i/>
                      <w:szCs w:val="24"/>
                    </w:rPr>
                    <w:t>AG</w:t>
                  </w:r>
                  <w:r>
                    <w:rPr>
                      <w:szCs w:val="24"/>
                    </w:rPr>
                    <w:t xml:space="preserve"> – gyventojų amžiaus grupė.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29de70d07d11e8bea9885f77677ec1">
                    <w:r w:rsidRPr="00532B9F">
                      <w:rPr>
                        <w:rFonts w:ascii="Times New Roman" w:eastAsia="MS Mincho" w:hAnsi="Times New Roman"/>
                        <w:sz w:val="20"/>
                        <w:i/>
                        <w:iCs/>
                        <w:color w:val="0000FF" w:themeColor="hyperlink"/>
                        <w:u w:val="single"/>
                      </w:rPr>
                      <w:t>V-1130</w:t>
                    </w:r>
                  </w:fldSimple>
                  <w:r>
                    <w:rPr>
                      <w:rFonts w:ascii="Times New Roman" w:eastAsia="MS Mincho" w:hAnsi="Times New Roman"/>
                      <w:sz w:val="20"/>
                      <w:i/>
                      <w:iCs/>
                    </w:rPr>
                    <w:t>,
2018-10-15,
paskelbta TAR 2018-10-15, i. k. 2018-16218            </w:t>
                  </w:r>
                </w:p>
                <w:p/>
              </w:sdtContent>
            </w:sdt>
          </w:sdtContent>
        </w:sdt>
        <w:sdt>
          <w:sdtPr>
            <w:alias w:val="pabaiga"/>
            <w:tag w:val="part_a10390a6aa154a32b6ce0e1f077fa5c5"/>
            <w:lock w:val="sdtLocked"/>
            <w:richText/>
          </w:sdtPr>
          <w:sdtContent>
            <w:p>
              <w:pPr>
                <w:jc w:val="center"/>
                <w:rPr>
                  <w:szCs w:val="24"/>
                  <w:lang w:eastAsia="lt-LT"/>
                </w:rP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7d2af0544911e884cbc4327e55f3ca">
            <w:r w:rsidRPr="00532B9F">
              <w:rPr>
                <w:rFonts w:ascii="Times New Roman" w:eastAsia="MS Mincho" w:hAnsi="Times New Roman"/>
                <w:sz w:val="20"/>
                <w:i/>
                <w:iCs/>
                <w:color w:val="0000FF" w:themeColor="hyperlink"/>
                <w:u w:val="single"/>
              </w:rPr>
              <w:t>V-571</w:t>
            </w:r>
          </w:fldSimple>
          <w:r>
            <w:rPr>
              <w:rFonts w:ascii="Times New Roman" w:eastAsia="MS Mincho" w:hAnsi="Times New Roman"/>
              <w:sz w:val="20"/>
              <w:i/>
              <w:iCs/>
            </w:rPr>
            <w:t>,
2018-05-10,
paskelbta TAR 2018-05-10, i. k. 2018-07594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2543e0e0ee11e388bee944977d73d2">
            <w:r w:rsidRPr="00532B9F">
              <w:rPr>
                <w:rFonts w:ascii="Times New Roman" w:eastAsia="MS Mincho" w:hAnsi="Times New Roman"/>
                <w:sz w:val="20"/>
                <w:iCs/>
                <w:color w:val="0000FF" w:themeColor="hyperlink"/>
                <w:u w:val="single"/>
              </w:rPr>
              <w:t>V-598</w:t>
            </w:r>
          </w:fldSimple>
          <w:r>
            <w:rPr>
              <w:rFonts w:ascii="Times New Roman" w:eastAsia="MS Mincho" w:hAnsi="Times New Roman"/>
              <w:sz w:val="20"/>
              <w:iCs/>
            </w:rPr>
            <w:t>,
2014-05-16,
paskelbta TAR 2014-05-22, i. k. 2014-05621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dd36b0990211e58fd1fc0b9bba68a7">
            <w:r w:rsidRPr="00532B9F">
              <w:rPr>
                <w:rFonts w:ascii="Times New Roman" w:eastAsia="MS Mincho" w:hAnsi="Times New Roman"/>
                <w:sz w:val="20"/>
                <w:iCs/>
                <w:color w:val="0000FF" w:themeColor="hyperlink"/>
                <w:u w:val="single"/>
              </w:rPr>
              <w:t>V-1324</w:t>
            </w:r>
          </w:fldSimple>
          <w:r>
            <w:rPr>
              <w:rFonts w:ascii="Times New Roman" w:eastAsia="MS Mincho" w:hAnsi="Times New Roman"/>
              <w:sz w:val="20"/>
              <w:iCs/>
            </w:rPr>
            <w:t>,
2015-11-23,
paskelbta TAR 2015-12-02, i. k. 2015-19194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4b9fc0d18711e68d79c2033f194657">
            <w:r w:rsidRPr="00532B9F">
              <w:rPr>
                <w:rFonts w:ascii="Times New Roman" w:eastAsia="MS Mincho" w:hAnsi="Times New Roman"/>
                <w:sz w:val="20"/>
                <w:iCs/>
                <w:color w:val="0000FF" w:themeColor="hyperlink"/>
                <w:u w:val="single"/>
              </w:rPr>
              <w:t>V-1530</w:t>
            </w:r>
          </w:fldSimple>
          <w:r>
            <w:rPr>
              <w:rFonts w:ascii="Times New Roman" w:eastAsia="MS Mincho" w:hAnsi="Times New Roman"/>
              <w:sz w:val="20"/>
              <w:iCs/>
            </w:rPr>
            <w:t>,
2016-12-30,
paskelbta TAR 2017-01-03, i. k. 2017-00395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b2ac20fe9011e68034be159a964f47">
            <w:r w:rsidRPr="00532B9F">
              <w:rPr>
                <w:rFonts w:ascii="Times New Roman" w:eastAsia="MS Mincho" w:hAnsi="Times New Roman"/>
                <w:sz w:val="20"/>
                <w:iCs/>
                <w:color w:val="0000FF" w:themeColor="hyperlink"/>
                <w:u w:val="single"/>
              </w:rPr>
              <w:t>V-226</w:t>
            </w:r>
          </w:fldSimple>
          <w:r>
            <w:rPr>
              <w:rFonts w:ascii="Times New Roman" w:eastAsia="MS Mincho" w:hAnsi="Times New Roman"/>
              <w:sz w:val="20"/>
              <w:iCs/>
            </w:rPr>
            <w:t>,
2017-02-28,
paskelbta TAR 2017-03-02, i. k. 2017-03483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581e50617311e7b85cfdc787069b42">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2017-07-04,
paskelbta TAR 2017-07-07, i. k. 2017-11667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b3de903d8611e89ba7f73323f8faa4">
            <w:r w:rsidRPr="00532B9F">
              <w:rPr>
                <w:rFonts w:ascii="Times New Roman" w:eastAsia="MS Mincho" w:hAnsi="Times New Roman"/>
                <w:sz w:val="20"/>
                <w:iCs/>
                <w:color w:val="0000FF" w:themeColor="hyperlink"/>
                <w:u w:val="single"/>
              </w:rPr>
              <w:t>V-409</w:t>
            </w:r>
          </w:fldSimple>
          <w:r>
            <w:rPr>
              <w:rFonts w:ascii="Times New Roman" w:eastAsia="MS Mincho" w:hAnsi="Times New Roman"/>
              <w:sz w:val="20"/>
              <w:iCs/>
            </w:rPr>
            <w:t>,
2018-04-10,
paskelbta TAR 2018-04-12, i. k. 2018-05888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7d2af0544911e884cbc4327e55f3ca">
            <w:r w:rsidRPr="00532B9F">
              <w:rPr>
                <w:rFonts w:ascii="Times New Roman" w:eastAsia="MS Mincho" w:hAnsi="Times New Roman"/>
                <w:sz w:val="20"/>
                <w:iCs/>
                <w:color w:val="0000FF" w:themeColor="hyperlink"/>
                <w:u w:val="single"/>
              </w:rPr>
              <w:t>V-571</w:t>
            </w:r>
          </w:fldSimple>
          <w:r>
            <w:rPr>
              <w:rFonts w:ascii="Times New Roman" w:eastAsia="MS Mincho" w:hAnsi="Times New Roman"/>
              <w:sz w:val="20"/>
              <w:iCs/>
            </w:rPr>
            <w:t>,
2018-05-10,
paskelbta TAR 2018-05-10, i. k. 2018-07594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29de70d07d11e8bea9885f77677ec1">
            <w:r w:rsidRPr="00532B9F">
              <w:rPr>
                <w:rFonts w:ascii="Times New Roman" w:eastAsia="MS Mincho" w:hAnsi="Times New Roman"/>
                <w:sz w:val="20"/>
                <w:iCs/>
                <w:color w:val="0000FF" w:themeColor="hyperlink"/>
                <w:u w:val="single"/>
              </w:rPr>
              <w:t>V-1130</w:t>
            </w:r>
          </w:fldSimple>
          <w:r>
            <w:rPr>
              <w:rFonts w:ascii="Times New Roman" w:eastAsia="MS Mincho" w:hAnsi="Times New Roman"/>
              <w:sz w:val="20"/>
              <w:iCs/>
            </w:rPr>
            <w:t>,
2018-10-15,
paskelbta TAR 2018-10-15, i. k. 2018-16218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3997a0676611e9917e8e4938a80ccb">
            <w:r w:rsidRPr="00532B9F">
              <w:rPr>
                <w:rFonts w:ascii="Times New Roman" w:eastAsia="MS Mincho" w:hAnsi="Times New Roman"/>
                <w:sz w:val="20"/>
                <w:iCs/>
                <w:color w:val="0000FF" w:themeColor="hyperlink"/>
                <w:u w:val="single"/>
              </w:rPr>
              <w:t>V-495</w:t>
            </w:r>
          </w:fldSimple>
          <w:r>
            <w:rPr>
              <w:rFonts w:ascii="Times New Roman" w:eastAsia="MS Mincho" w:hAnsi="Times New Roman"/>
              <w:sz w:val="20"/>
              <w:iCs/>
            </w:rPr>
            <w:t>,
2019-04-24,
paskelbta TAR 2019-04-26, i. k. 2019-06795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2a6e4098dd11e9ae2e9d61b1f977b3">
            <w:r w:rsidRPr="00532B9F">
              <w:rPr>
                <w:rFonts w:ascii="Times New Roman" w:eastAsia="MS Mincho" w:hAnsi="Times New Roman"/>
                <w:sz w:val="20"/>
                <w:iCs/>
                <w:color w:val="0000FF" w:themeColor="hyperlink"/>
                <w:u w:val="single"/>
              </w:rPr>
              <w:t>V-753</w:t>
            </w:r>
          </w:fldSimple>
          <w:r>
            <w:rPr>
              <w:rFonts w:ascii="Times New Roman" w:eastAsia="MS Mincho" w:hAnsi="Times New Roman"/>
              <w:sz w:val="20"/>
              <w:iCs/>
            </w:rPr>
            <w:t>,
2019-06-27,
paskelbta TAR 2019-06-28, i. k. 2019-10468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b776005ee011ea931dbf3357b5b1c0">
            <w:r w:rsidRPr="00532B9F">
              <w:rPr>
                <w:rFonts w:ascii="Times New Roman" w:eastAsia="MS Mincho" w:hAnsi="Times New Roman"/>
                <w:sz w:val="20"/>
                <w:iCs/>
                <w:color w:val="0000FF" w:themeColor="hyperlink"/>
                <w:u w:val="single"/>
              </w:rPr>
              <w:t>V-261</w:t>
            </w:r>
          </w:fldSimple>
          <w:r>
            <w:rPr>
              <w:rFonts w:ascii="Times New Roman" w:eastAsia="MS Mincho" w:hAnsi="Times New Roman"/>
              <w:sz w:val="20"/>
              <w:iCs/>
            </w:rPr>
            <w:t>,
2020-03-03,
paskelbta TAR 2020-03-05, i. k. 2020-04965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bfd830a56411ea9515f752ff221ec9">
            <w:r w:rsidRPr="00532B9F">
              <w:rPr>
                <w:rFonts w:ascii="Times New Roman" w:eastAsia="MS Mincho" w:hAnsi="Times New Roman"/>
                <w:sz w:val="20"/>
                <w:iCs/>
                <w:color w:val="0000FF" w:themeColor="hyperlink"/>
                <w:u w:val="single"/>
              </w:rPr>
              <w:t>V-1354</w:t>
            </w:r>
          </w:fldSimple>
          <w:r>
            <w:rPr>
              <w:rFonts w:ascii="Times New Roman" w:eastAsia="MS Mincho" w:hAnsi="Times New Roman"/>
              <w:sz w:val="20"/>
              <w:iCs/>
            </w:rPr>
            <w:t>,
2020-06-02,
paskelbta TAR 2020-06-03, i. k. 2020-12045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4f9460e21811ea9342c1d4e2ff6ff6">
            <w:r w:rsidRPr="00532B9F">
              <w:rPr>
                <w:rFonts w:ascii="Times New Roman" w:eastAsia="MS Mincho" w:hAnsi="Times New Roman"/>
                <w:sz w:val="20"/>
                <w:iCs/>
                <w:color w:val="0000FF" w:themeColor="hyperlink"/>
                <w:u w:val="single"/>
              </w:rPr>
              <w:t>V-1869</w:t>
            </w:r>
          </w:fldSimple>
          <w:r>
            <w:rPr>
              <w:rFonts w:ascii="Times New Roman" w:eastAsia="MS Mincho" w:hAnsi="Times New Roman"/>
              <w:sz w:val="20"/>
              <w:iCs/>
            </w:rPr>
            <w:t>,
2020-08-19,
paskelbta TAR 2020-08-19, i. k. 2020-17548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f7f6800e1b11ebb74de75171d26d52">
            <w:r w:rsidRPr="00532B9F">
              <w:rPr>
                <w:rFonts w:ascii="Times New Roman" w:eastAsia="MS Mincho" w:hAnsi="Times New Roman"/>
                <w:sz w:val="20"/>
                <w:iCs/>
                <w:color w:val="0000FF" w:themeColor="hyperlink"/>
                <w:u w:val="single"/>
              </w:rPr>
              <w:t>V-2265</w:t>
            </w:r>
          </w:fldSimple>
          <w:r>
            <w:rPr>
              <w:rFonts w:ascii="Times New Roman" w:eastAsia="MS Mincho" w:hAnsi="Times New Roman"/>
              <w:sz w:val="20"/>
              <w:iCs/>
            </w:rPr>
            <w:t>,
2020-10-14,
paskelbta TAR 2020-10-14, i. k. 2020-21348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af5bc70d97b11eb9f09e7df20500045">
            <w:r w:rsidRPr="00532B9F">
              <w:rPr>
                <w:rFonts w:ascii="Times New Roman" w:eastAsia="MS Mincho" w:hAnsi="Times New Roman"/>
                <w:sz w:val="20"/>
                <w:iCs/>
                <w:color w:val="0000FF" w:themeColor="hyperlink"/>
                <w:u w:val="single"/>
              </w:rPr>
              <w:t>V-1502</w:t>
            </w:r>
          </w:fldSimple>
          <w:r>
            <w:rPr>
              <w:rFonts w:ascii="Times New Roman" w:eastAsia="MS Mincho" w:hAnsi="Times New Roman"/>
              <w:sz w:val="20"/>
              <w:iCs/>
            </w:rPr>
            <w:t>,
2021-06-29,
paskelbta TAR 2021-06-30, i. k. 2021-14693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18135a0095d11ec9f09e7df20500045">
            <w:r w:rsidRPr="00532B9F">
              <w:rPr>
                <w:rFonts w:ascii="Times New Roman" w:eastAsia="MS Mincho" w:hAnsi="Times New Roman"/>
                <w:sz w:val="20"/>
                <w:iCs/>
                <w:color w:val="0000FF" w:themeColor="hyperlink"/>
                <w:u w:val="single"/>
              </w:rPr>
              <w:t>V-1958</w:t>
            </w:r>
          </w:fldSimple>
          <w:r>
            <w:rPr>
              <w:rFonts w:ascii="Times New Roman" w:eastAsia="MS Mincho" w:hAnsi="Times New Roman"/>
              <w:sz w:val="20"/>
              <w:iCs/>
            </w:rPr>
            <w:t>,
2021-08-30,
paskelbta TAR 2021-08-30, i. k. 2021-18235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108480c4ba11ec8d9390588bf2de65">
            <w:r w:rsidRPr="00532B9F">
              <w:rPr>
                <w:rFonts w:ascii="Times New Roman" w:eastAsia="MS Mincho" w:hAnsi="Times New Roman"/>
                <w:sz w:val="20"/>
                <w:iCs/>
                <w:color w:val="0000FF" w:themeColor="hyperlink"/>
                <w:u w:val="single"/>
              </w:rPr>
              <w:t>V-816</w:t>
            </w:r>
          </w:fldSimple>
          <w:r>
            <w:rPr>
              <w:rFonts w:ascii="Times New Roman" w:eastAsia="MS Mincho" w:hAnsi="Times New Roman"/>
              <w:sz w:val="20"/>
              <w:iCs/>
            </w:rPr>
            <w:t>,
2022-04-25,
paskelbta TAR 2022-04-25, i. k. 2022-08400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b5a3f0f8fd11ec8fa7d02a65c371ad">
            <w:r w:rsidRPr="00532B9F">
              <w:rPr>
                <w:rFonts w:ascii="Times New Roman" w:eastAsia="MS Mincho" w:hAnsi="Times New Roman"/>
                <w:sz w:val="20"/>
                <w:iCs/>
                <w:color w:val="0000FF" w:themeColor="hyperlink"/>
                <w:u w:val="single"/>
              </w:rPr>
              <w:t>V-1188</w:t>
            </w:r>
          </w:fldSimple>
          <w:r>
            <w:rPr>
              <w:rFonts w:ascii="Times New Roman" w:eastAsia="MS Mincho" w:hAnsi="Times New Roman"/>
              <w:sz w:val="20"/>
              <w:iCs/>
            </w:rPr>
            <w:t>,
2022-07-01,
paskelbta TAR 2022-07-01, i. k. 2022-14341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a527b0874411ed8df094f359a60216">
            <w:r w:rsidRPr="00532B9F">
              <w:rPr>
                <w:rFonts w:ascii="Times New Roman" w:eastAsia="MS Mincho" w:hAnsi="Times New Roman"/>
                <w:sz w:val="20"/>
                <w:iCs/>
                <w:color w:val="0000FF" w:themeColor="hyperlink"/>
                <w:u w:val="single"/>
              </w:rPr>
              <w:t>V-1977</w:t>
            </w:r>
          </w:fldSimple>
          <w:r>
            <w:rPr>
              <w:rFonts w:ascii="Times New Roman" w:eastAsia="MS Mincho" w:hAnsi="Times New Roman"/>
              <w:sz w:val="20"/>
              <w:iCs/>
            </w:rPr>
            <w:t>,
2022-12-29,
paskelbta TAR 2022-12-29, i. k. 2022-27226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c6ebb00e6d11ee9f7ec2ffce8b47bc">
            <w:r w:rsidRPr="00532B9F">
              <w:rPr>
                <w:rFonts w:ascii="Times New Roman" w:eastAsia="MS Mincho" w:hAnsi="Times New Roman"/>
                <w:sz w:val="20"/>
                <w:iCs/>
                <w:color w:val="0000FF" w:themeColor="hyperlink"/>
                <w:u w:val="single"/>
              </w:rPr>
              <w:t>V-702</w:t>
            </w:r>
          </w:fldSimple>
          <w:r>
            <w:rPr>
              <w:rFonts w:ascii="Times New Roman" w:eastAsia="MS Mincho" w:hAnsi="Times New Roman"/>
              <w:sz w:val="20"/>
              <w:iCs/>
            </w:rPr>
            <w:t>,
2023-06-19,
paskelbta TAR 2023-06-19, i. k. 2023-12151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4e9cb01af211eeb233e8b04dc9bb3d">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2023-07-05,
paskelbta TAR 2023-07-05, i. k. 2023-13914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6474907a2211eea5a28c81c82193a8">
            <w:r w:rsidRPr="00532B9F">
              <w:rPr>
                <w:rFonts w:ascii="Times New Roman" w:eastAsia="MS Mincho" w:hAnsi="Times New Roman"/>
                <w:sz w:val="20"/>
                <w:iCs/>
                <w:color w:val="0000FF" w:themeColor="hyperlink"/>
                <w:u w:val="single"/>
              </w:rPr>
              <w:t>V-1141</w:t>
            </w:r>
          </w:fldSimple>
          <w:r>
            <w:rPr>
              <w:rFonts w:ascii="Times New Roman" w:eastAsia="MS Mincho" w:hAnsi="Times New Roman"/>
              <w:sz w:val="20"/>
              <w:iCs/>
            </w:rPr>
            <w:t>,
2023-11-03,
paskelbta TAR 2023-11-03, i. k. 2023-21494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2e9d50c5bd11eea5a28c81c82193a8">
            <w:r w:rsidRPr="00532B9F">
              <w:rPr>
                <w:rFonts w:ascii="Times New Roman" w:eastAsia="MS Mincho" w:hAnsi="Times New Roman"/>
                <w:sz w:val="20"/>
                <w:iCs/>
                <w:color w:val="0000FF" w:themeColor="hyperlink"/>
                <w:u w:val="single"/>
              </w:rPr>
              <w:t>V-159</w:t>
            </w:r>
          </w:fldSimple>
          <w:r>
            <w:rPr>
              <w:rFonts w:ascii="Times New Roman" w:eastAsia="MS Mincho" w:hAnsi="Times New Roman"/>
              <w:sz w:val="20"/>
              <w:iCs/>
            </w:rPr>
            <w:t>,
2024-02-06,
paskelbta TAR 2024-02-07, i. k. 2024-02245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9e016446e711f0b070ee7f1ceefc75">
            <w:r w:rsidRPr="00532B9F">
              <w:rPr>
                <w:rFonts w:ascii="Times New Roman" w:eastAsia="MS Mincho" w:hAnsi="Times New Roman"/>
                <w:sz w:val="20"/>
                <w:iCs/>
                <w:color w:val="0000FF" w:themeColor="hyperlink"/>
                <w:u w:val="single"/>
              </w:rPr>
              <w:t>V-546</w:t>
            </w:r>
          </w:fldSimple>
          <w:r>
            <w:rPr>
              <w:rFonts w:ascii="Times New Roman" w:eastAsia="MS Mincho" w:hAnsi="Times New Roman"/>
              <w:sz w:val="20"/>
              <w:iCs/>
            </w:rPr>
            <w:t>,
2025-06-11,
paskelbta TAR 2025-06-11, i. k. 2025-10640                </w:t>
          </w:r>
        </w:p>
        <w:p>
          <w:pPr>
            <w:jc w:val="both"/>
            <w:rPr>
              <w:rFonts w:ascii="Times New Roman" w:hAnsi="Times New Roman"/>
            </w:rPr>
          </w:pPr>
          <w:r>
            <w:rPr>
              <w:rFonts w:ascii="Times New Roman" w:hAnsi="Times New Roman"/>
              <w:sz w:val="20"/>
            </w:rPr>
            <w:t>Dėl Lietuvos Respublikos sveikatos apsaugos ministro 2013 m. balandžio 22 d. įsakymo Nr. V-388 „Dėl Asmens sveikatos priežiūros paslaugų, kurių išlaidos apmokamos Privalomojo sveikatos draudimo fondo biudžeto lėšomis, bazinių kainų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3</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4</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3</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3</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12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10</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11</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4</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11</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10</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11</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9</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3</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szCs w:val="24"/>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F1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57"/>
    <o:shapelayout v:ext="edit">
      <o:idmap v:ext="edit" data="1"/>
    </o:shapelayout>
  </w:shapeDefaults>
  <w:decimalSymbol w:val=","/>
  <w:listSeparator w:val=";"/>
  <w14:docId w14:val="19E33C41"/>
  <w15:docId w15:val="{B3CEFC27-362D-4922-9139-387001F3D95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5.xml"/>
  <Relationship Id="rId11" Type="http://schemas.openxmlformats.org/officeDocument/2006/relationships/footer" Target="footer64.xml"/>
  <Relationship Id="rId12" Type="http://schemas.openxmlformats.org/officeDocument/2006/relationships/footer" Target="footer65.xml"/>
  <Relationship Id="rId13" Type="http://schemas.openxmlformats.org/officeDocument/2006/relationships/header" Target="header66.xml"/>
  <Relationship Id="rId14" Type="http://schemas.openxmlformats.org/officeDocument/2006/relationships/footer" Target="footer66.xml"/>
  <Relationship Id="rId15" Type="http://schemas.openxmlformats.org/officeDocument/2006/relationships/image" Target="media/image86.wmf"/>
  <Relationship Id="rId16" Type="http://schemas.openxmlformats.org/officeDocument/2006/relationships/oleObject" Target="embeddings/oleObject89.bin"/>
  <Relationship Id="rId17" Type="http://schemas.openxmlformats.org/officeDocument/2006/relationships/image" Target="media/image8.png"/>
  <Relationship Id="rId18" Type="http://schemas.openxmlformats.org/officeDocument/2006/relationships/image" Target="media/image12.png"/>
  <Relationship Id="rId19" Type="http://schemas.openxmlformats.org/officeDocument/2006/relationships/image" Target="media/image13.png"/>
  <Relationship Id="rId2" Type="http://schemas.openxmlformats.org/officeDocument/2006/relationships/endnotes" Target="endnotes.xml"/>
  <Relationship Id="rId20" Type="http://schemas.openxmlformats.org/officeDocument/2006/relationships/image" Target="media/image14.png"/>
  <Relationship Id="rId21" Type="http://schemas.openxmlformats.org/officeDocument/2006/relationships/image" Target="media/image15.png"/>
  <Relationship Id="rId22" Type="http://schemas.openxmlformats.org/officeDocument/2006/relationships/image" Target="media/image16.png"/>
  <Relationship Id="rId23" Type="http://schemas.openxmlformats.org/officeDocument/2006/relationships/image" Target="media/image17.png"/>
  <Relationship Id="rId24" Type="http://schemas.openxmlformats.org/officeDocument/2006/relationships/image" Target="media/image18.png"/>
  <Relationship Id="rId25" Type="http://schemas.openxmlformats.org/officeDocument/2006/relationships/image" Target="media/image19.png"/>
  <Relationship Id="rId26" Type="http://schemas.openxmlformats.org/officeDocument/2006/relationships/image" Target="media/image20.png"/>
  <Relationship Id="rId27" Type="http://schemas.openxmlformats.org/officeDocument/2006/relationships/image" Target="media/image21.png"/>
  <Relationship Id="rId28" Type="http://schemas.openxmlformats.org/officeDocument/2006/relationships/image" Target="media/image22.png"/>
  <Relationship Id="rId29" Type="http://schemas.openxmlformats.org/officeDocument/2006/relationships/image" Target="media/image174.wmf"/>
  <Relationship Id="rId3" Type="http://schemas.openxmlformats.org/officeDocument/2006/relationships/fontTable" Target="fontTable.xml"/>
  <Relationship Id="rId30" Type="http://schemas.openxmlformats.org/officeDocument/2006/relationships/oleObject" Target="embeddings/oleObject164.bin"/>
  <Relationship Id="rId31" Type="http://schemas.openxmlformats.org/officeDocument/2006/relationships/image" Target="media/image195.wmf"/>
  <Relationship Id="rId32" Type="http://schemas.openxmlformats.org/officeDocument/2006/relationships/oleObject" Target="embeddings/oleObject185.bin"/>
  <Relationship Id="rId33" Type="http://schemas.openxmlformats.org/officeDocument/2006/relationships/image" Target="media/image5.emf"/>
  <Relationship Id="rId34" Type="http://schemas.openxmlformats.org/officeDocument/2006/relationships/image" Target="media/image6.emf"/>
  <Relationship Id="rId35" Type="http://schemas.openxmlformats.org/officeDocument/2006/relationships/image" Target="media/image246.wmf"/>
  <Relationship Id="rId36" Type="http://schemas.openxmlformats.org/officeDocument/2006/relationships/oleObject" Target="embeddings/oleObject231.bin"/>
  <Relationship Id="rId37" Type="http://schemas.openxmlformats.org/officeDocument/2006/relationships/image" Target="media/image267.wmf"/>
  <Relationship Id="rId38" Type="http://schemas.openxmlformats.org/officeDocument/2006/relationships/oleObject" Target="embeddings/oleObject252.bin"/>
  <Relationship Id="rId39" Type="http://schemas.openxmlformats.org/officeDocument/2006/relationships/image" Target="media/image288.wmf"/>
  <Relationship Id="rId4" Type="http://schemas.openxmlformats.org/officeDocument/2006/relationships/footnotes" Target="footnotes.xml"/>
  <Relationship Id="rId40" Type="http://schemas.openxmlformats.org/officeDocument/2006/relationships/oleObject" Target="embeddings/oleObject273.bin"/>
  <Relationship Id="rId41" Type="http://schemas.openxmlformats.org/officeDocument/2006/relationships/image" Target="media/image309.wmf"/>
  <Relationship Id="rId42" Type="http://schemas.openxmlformats.org/officeDocument/2006/relationships/oleObject" Target="embeddings/oleObject294.bin"/>
  <Relationship Id="rId43" Type="http://schemas.openxmlformats.org/officeDocument/2006/relationships/image" Target="media/image330.wmf"/>
  <Relationship Id="rId44" Type="http://schemas.openxmlformats.org/officeDocument/2006/relationships/oleObject" Target="embeddings/oleObject315.bin"/>
  <Relationship Id="rId45" Type="http://schemas.openxmlformats.org/officeDocument/2006/relationships/image" Target="media/image351.wmf"/>
  <Relationship Id="rId46" Type="http://schemas.openxmlformats.org/officeDocument/2006/relationships/oleObject" Target="embeddings/oleObject336.bin"/>
  <Relationship Id="rId47" Type="http://schemas.openxmlformats.org/officeDocument/2006/relationships/image" Target="media/image443.wmf"/>
  <Relationship Id="rId48" Type="http://schemas.openxmlformats.org/officeDocument/2006/relationships/oleObject" Target="embeddings/oleObject428.bin"/>
  <Relationship Id="rId49" Type="http://schemas.openxmlformats.org/officeDocument/2006/relationships/image" Target="media/image444.wmf"/>
  <Relationship Id="rId5" Type="http://schemas.openxmlformats.org/officeDocument/2006/relationships/settings" Target="settings.xml"/>
  <Relationship Id="rId50" Type="http://schemas.openxmlformats.org/officeDocument/2006/relationships/oleObject" Target="embeddings/oleObject429.bin"/>
  <Relationship Id="rId51" Type="http://schemas.openxmlformats.org/officeDocument/2006/relationships/image" Target="media/image445.wmf"/>
  <Relationship Id="rId52" Type="http://schemas.openxmlformats.org/officeDocument/2006/relationships/oleObject" Target="embeddings/oleObject430.bin"/>
  <Relationship Id="rId53" Type="http://schemas.openxmlformats.org/officeDocument/2006/relationships/image" Target="media/image446.wmf"/>
  <Relationship Id="rId54" Type="http://schemas.openxmlformats.org/officeDocument/2006/relationships/oleObject" Target="embeddings/oleObject431.bin"/>
  <Relationship Id="rId55" Type="http://schemas.openxmlformats.org/officeDocument/2006/relationships/image" Target="media/image487.wmf"/>
  <Relationship Id="rId56" Type="http://schemas.openxmlformats.org/officeDocument/2006/relationships/oleObject" Target="embeddings/oleObject472.bin"/>
  <Relationship Id="rId57" Type="http://schemas.openxmlformats.org/officeDocument/2006/relationships/image" Target="media/image488.wmf"/>
  <Relationship Id="rId58" Type="http://schemas.openxmlformats.org/officeDocument/2006/relationships/oleObject" Target="embeddings/oleObject473.bin"/>
  <Relationship Id="rId59" Type="http://schemas.openxmlformats.org/officeDocument/2006/relationships/image" Target="media/image509.wmf"/>
  <Relationship Id="rId6" Type="http://schemas.openxmlformats.org/officeDocument/2006/relationships/styles" Target="styles.xml"/>
  <Relationship Id="rId60" Type="http://schemas.openxmlformats.org/officeDocument/2006/relationships/oleObject" Target="embeddings/oleObject494.bin"/>
  <Relationship Id="rId61" Type="http://schemas.openxmlformats.org/officeDocument/2006/relationships/image" Target="media/image542.wmf"/>
  <Relationship Id="rId62" Type="http://schemas.openxmlformats.org/officeDocument/2006/relationships/oleObject" Target="embeddings/oleObject527.bin"/>
  <Relationship Id="rId63" Type="http://schemas.openxmlformats.org/officeDocument/2006/relationships/image" Target="media/image563.wmf"/>
  <Relationship Id="rId64" Type="http://schemas.openxmlformats.org/officeDocument/2006/relationships/oleObject" Target="embeddings/oleObject548.bin"/>
  <Relationship Id="rId65" Type="http://schemas.openxmlformats.org/officeDocument/2006/relationships/image" Target="media/image584.wmf"/>
  <Relationship Id="rId66" Type="http://schemas.openxmlformats.org/officeDocument/2006/relationships/oleObject" Target="embeddings/oleObject569.bin"/>
  <Relationship Id="rId67" Type="http://schemas.openxmlformats.org/officeDocument/2006/relationships/image" Target="media/image605.wmf"/>
  <Relationship Id="rId68" Type="http://schemas.openxmlformats.org/officeDocument/2006/relationships/oleObject" Target="embeddings/oleObject590.bin"/>
  <Relationship Id="rId69" Type="http://schemas.openxmlformats.org/officeDocument/2006/relationships/image" Target="media/image626.wmf"/>
  <Relationship Id="rId7" Type="http://schemas.openxmlformats.org/officeDocument/2006/relationships/theme" Target="theme/theme1.xml"/>
  <Relationship Id="rId70" Type="http://schemas.openxmlformats.org/officeDocument/2006/relationships/oleObject" Target="embeddings/oleObject611.bin"/>
  <Relationship Id="rId71" Type="http://schemas.openxmlformats.org/officeDocument/2006/relationships/image" Target="media/image647.wmf"/>
  <Relationship Id="rId72" Type="http://schemas.openxmlformats.org/officeDocument/2006/relationships/oleObject" Target="embeddings/oleObject632.bin"/>
  <Relationship Id="rId73" Type="http://schemas.openxmlformats.org/officeDocument/2006/relationships/image" Target="media/image668.wmf"/>
  <Relationship Id="rId74" Type="http://schemas.openxmlformats.org/officeDocument/2006/relationships/oleObject" Target="embeddings/oleObject653.bin"/>
  <Relationship Id="rId75" Type="http://schemas.openxmlformats.org/officeDocument/2006/relationships/image" Target="media/image689.wmf"/>
  <Relationship Id="rId76" Type="http://schemas.openxmlformats.org/officeDocument/2006/relationships/oleObject" Target="embeddings/oleObject674.bin"/>
  <Relationship Id="rId77" Type="http://schemas.openxmlformats.org/officeDocument/2006/relationships/image" Target="media/image710.wmf"/>
  <Relationship Id="rId78" Type="http://schemas.openxmlformats.org/officeDocument/2006/relationships/oleObject" Target="embeddings/oleObject695.bin"/>
  <Relationship Id="rId79" Type="http://schemas.openxmlformats.org/officeDocument/2006/relationships/image" Target="media/image731.wmf"/>
  <Relationship Id="rId8" Type="http://schemas.openxmlformats.org/officeDocument/2006/relationships/webSettings" Target="webSettings.xml"/>
  <Relationship Id="rId80" Type="http://schemas.openxmlformats.org/officeDocument/2006/relationships/oleObject" Target="embeddings/oleObject716.bin"/>
  <Relationship Id="rId81" Type="http://schemas.openxmlformats.org/officeDocument/2006/relationships/image" Target="media/image752.wmf"/>
  <Relationship Id="rId82" Type="http://schemas.openxmlformats.org/officeDocument/2006/relationships/oleObject" Target="embeddings/oleObject737.bin"/>
  <Relationship Id="rId83" Type="http://schemas.openxmlformats.org/officeDocument/2006/relationships/image" Target="media/image773.wmf"/>
  <Relationship Id="rId84" Type="http://schemas.openxmlformats.org/officeDocument/2006/relationships/oleObject" Target="embeddings/oleObject758.bin"/>
  <Relationship Id="rId85" Type="http://schemas.openxmlformats.org/officeDocument/2006/relationships/image" Target="media/image790.wmf"/>
  <Relationship Id="rId86" Type="http://schemas.openxmlformats.org/officeDocument/2006/relationships/oleObject" Target="embeddings/oleObject775.bin"/>
  <Relationship Id="rId87" Type="http://schemas.openxmlformats.org/officeDocument/2006/relationships/image" Target="media/image791.wmf"/>
  <Relationship Id="rId88" Type="http://schemas.openxmlformats.org/officeDocument/2006/relationships/image" Target="media/image792.wmf"/>
  <Relationship Id="rId89" Type="http://schemas.openxmlformats.org/officeDocument/2006/relationships/header" Target="header88.xml"/>
  <Relationship Id="rId9" Type="http://schemas.openxmlformats.org/officeDocument/2006/relationships/header" Target="header64.xml"/>
  <Relationship Id="rId90" Type="http://schemas.openxmlformats.org/officeDocument/2006/relationships/header" Target="header89.xml"/>
  <Relationship Id="rId91" Type="http://schemas.openxmlformats.org/officeDocument/2006/relationships/footer" Target="footer88.xml"/>
  <Relationship Id="rId92" Type="http://schemas.openxmlformats.org/officeDocument/2006/relationships/footer" Target="footer89.xml"/>
  <Relationship Id="rId93" Type="http://schemas.openxmlformats.org/officeDocument/2006/relationships/header" Target="header90.xml"/>
  <Relationship Id="rId94" Type="http://schemas.openxmlformats.org/officeDocument/2006/relationships/footer" Target="footer90.xml"/>
  <Relationship Id="rId95" Type="http://schemas.openxmlformats.org/officeDocument/2006/relationships/image" Target="media/image806.wmf"/>
  <Relationship Id="rId96" Type="http://schemas.openxmlformats.org/officeDocument/2006/relationships/oleObject" Target="embeddings/oleObject789.bin"/>
  <Relationship Id="rId97" Type="http://schemas.openxmlformats.org/officeDocument/2006/relationships/image" Target="media/image9.emf"/>
  <Relationship Id="rId98" Type="http://schemas.openxmlformats.org/officeDocument/2006/relationships/oleObject" Target="embeddings/Microsoft_Word_97_-_2003_Document3.doc"/>
  <Relationship Id="rId9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6f41947dea24cdf9ca5bdb0d6c4c4b2" PartId="0e4c45dee17b4cb382250b0524124363">
    <Part Type="preambule" DocPartId="5429eb30121b4ac29ac3c836931efb17" PartId="f7ea2305b7f44e458ee3fece1b933052"/>
    <Part Type="punktas" Nr="1" Abbr="1 p." DocPartId="704f20a1f31e4f12b605251f8449bba2" PartId="621cdde6275840f8904db72ad2387899"/>
    <Part Type="punktas" Nr="2" Abbr="2 p." DocPartId="9038baf081584119a1004746f93720f5" PartId="c1cdae2d93aa40298a14507a74910be6"/>
    <Part Type="signatura" DocPartId="5912f0f2d952485abf3d3b1ab8b291f0" PartId="9fbeac79ce414f5db26f9c3499dd5cc8"/>
  </Part>
  <Part Type="patvirtinta" Title="ASMENS SVEIKATOS PRIEŽIŪROS PASLAUGŲ, KURIŲ IŠLAIDOS APMOKAMOS PRIVALOMOJO SVEIKATOS DRAUDIMO FONDO BIUDŽETO LĖŠOMIS, BAZINIŲ KAINŲ NUSTATYMO METODIKA" DocPartId="098d191f94c44166a1584994b4959dde" PartId="bf03225f50274137a7cdf4cdc7155147">
    <Part Type="skyrius" Nr="1" Title="„I SKYRIUS BENDROSIOS NUOSTATOS“." DocPartId="9e039489d9554843870633204e2ed532" PartId="0b9841d256cb461fbbb50c17bbe0e4e2">
      <Part Type="punktas" Nr="1" Abbr="1 p." DocPartId="0a603722afed4f6fb56883e1c96d44d2" PartId="cc08c8514345477d91f9a91b0491d2ce"/>
      <Part Type="punktas" Nr="2" Abbr="2 p." DocPartId="a4f9ded858fe4d538bcc745dfe96bf6c" PartId="bd7a8450a2a14dcba3b0cc054e0cbf76"/>
      <Part Type="punktas" Nr="3" Abbr="3 p." DocPartId="f3be9d7e5a7b4782af198fa871a103a6" PartId="c4ad971c350b4aef83f02d60904518f7"/>
    </Part>
    <Part Type="skyrius" Nr="2" Title="„II SKYRIUS METODIKOJE VARTOJAMOS SĄVOKOS IR JŲ APIBRĖŽIMAI“." DocPartId="5f2a70c1c68e482c9acfa05b344053fc" PartId="5d880546ab954d0c82506b762c98c3b2">
      <Part Type="punktas" Nr="4" Abbr="4 p." DocPartId="94546ba7ddf54fa0ae02eb32f2233510" PartId="f33d455c32cf4c16a71eeb6bd602882a">
        <Part Type="papunktis" Nr="4.1" Abbr="4.1 pp." DocPartId="b78aade5413746da8d938a93a602e317" PartId="886b591b358b47c5b14ae9608732e875"/>
        <Part Type="papunktis" Nr="4.2" Abbr="4.2 pp." DocPartId="a6206de3b8ee4c74b498ddd93868ad6c" PartId="84c4929566364ace922314a00dc0215b"/>
        <Part Type="papunktis" Nr="4.3" Abbr="4.3 pp." DocPartId="2f4deb94b28b4e75a195a1f2e724488a" PartId="41bde33c43dd439280e937481e85dd46"/>
        <Part Type="papunktis" Nr="4.4" Abbr="4.4 pp." DocPartId="4d77dace191a4b68830633b56e1a5a82" PartId="92f83c92f9ee47a5b2e66d7d9490e281"/>
        <Part Type="papunktis" Nr="4.5" Abbr="4.5 pp." DocPartId="19501ff9dbb04510af5fb2cdc63f54c3" PartId="140dfa28db9645b798009b1fcd8b19ac"/>
        <Part Type="papunktis" Nr="4.6" Abbr="4.6 pp." DocPartId="eed2e5598aa24063ac54235a13ebb497" PartId="94be097c40c9465583f23eff05840a7d"/>
        <Part Type="papunktis" Nr="4.7" Abbr="4.7 pp." DocPartId="825174eadcf44b37a45c3706c84d6f27" PartId="aa325e074fdf4137b1553a72b7b7bb86"/>
        <Part Type="papunktis" Nr="4.8" Abbr="4.8 pp." DocPartId="c810384bcf3f4e69a38f902a2be6aa68" PartId="b70458e335a54485bab32c454cb3dd82"/>
        <Part Type="papunktis" Nr="4.9" Abbr="4.9 pp." DocPartId="8898a99dae3c434dace2b8792bf6ee12" PartId="2076edbae3434151a172f7b5b554c119"/>
        <Part Type="papunktis" Nr="4.10" Abbr="4.10 pp." DocPartId="a893b4c8fcb2437b99e7ed2395e511d6" PartId="3949205fe73d40be888ada74a120f4f9"/>
        <Part Type="papunktis" Nr="4.11" Abbr="4.11 pp." DocPartId="eb1105fa860842ea88df4e19fd84b410" PartId="f18d877c32f0489584020a1dc9e75303"/>
        <Part Type="papunktis" Nr="4.12" Abbr="4.12 pp." DocPartId="d9077623250c4b4c8e62bc55aa1ad252" PartId="38bfa0b3095d466fbadd29cdcb261336"/>
        <Part Type="papunktis" Nr="4.13" Abbr="4.13 pp." DocPartId="f609852242594fbebeb50b7a030c2450" PartId="3800b288de74464ea4b96d2c2dc7d163"/>
        <Part Type="papunktis" Nr="4.14" Abbr="4.14 pp." DocPartId="c30853d883de4d4f8ac4602bc1f8b767" PartId="23555cb18ee3453ba6053c73b06158d2"/>
        <Part Type="papunktis" Nr="4.15" Abbr="4.15 pp." DocPartId="7a4089d02b70492cbb8750c3469e20b8" PartId="4fe7fbe3ab014ed48b47ee5f150fb849"/>
        <Part Type="papunktis" Nr="4.16" Abbr="4.16 pp." DocPartId="c872d58c6646449ba50f0b61856b662d" PartId="b45c0a80b8e7410c98685aad8c3962e7"/>
        <Part Type="papunktis" Nr="4.17" Abbr="4.17 pp." DocPartId="22c30a5f46484231911cc9bc96377374" PartId="46b19a9a2b834f04a50977dd46a59cd4"/>
      </Part>
    </Part>
    <Part Type="skyrius" Nr="3" Title="„III SKYRIUS BENDRIEJI ASMENS SVEIKATOS PRIEŽIŪROS PASLAUGŲ BAZINIŲ KAINŲ NUSTATYMO PRINCIPAI IR ASMENS SVEIKATOS PRIEŽIŪROS PASLAUGŲ BAZINIŲ KAINŲ AR JŲ BALO VERČIŲ PERSKAIČIAVIMO KRITERIJAI“." DocPartId="87647ef9b23d497abba8cd9fde9c6425" PartId="fca6cc11aa5a47f4bbc24986a225fb49">
      <Part Type="punktas" Nr="5" Abbr="5 p." DocPartId="236f704afe8b45cca89700c5b2007726" PartId="e40288710f254aaaae0df9516a2fe4e1">
        <Part Type="papunktis" Nr="5.1" Abbr="5.1 pp." DocPartId="dd4e0981f6c14f96bc8e31e327ca0cf6" PartId="13c072769bbe4356916730214abfa105"/>
        <Part Type="papunktis" Nr="5.2" Abbr="5.2 pp." DocPartId="6146a6e504af4d0eb020f202efb7b516" PartId="dee13a8bf20f4e839b33739b8ca99077"/>
        <Part Type="papunktis" Nr="5.3" Abbr="5.3 pp." DocPartId="a9496cb3c34c483aaa186305da445da4" PartId="d0f77f0df8eb49d1b92818d32987f461"/>
        <Part Type="papunktis" Nr="5.4" Abbr="5.4 pp." DocPartId="1669a1f7ded842e6ad7e201cee095b3c" PartId="4065976dcc39402b97073cf4dcd456d6">
          <Part Type="papunktis" Nr="5.4.1" Abbr="5.4.1 pp." DocPartId="c74e8cb6f02a4f9f8eabf1956b29dafa" PartId="572fc559c6d147c5a627aa78014021f0"/>
          <Part Type="papunktis" Nr="5.4.2" Abbr="5.4.2 pp." DocPartId="0d3dcf5ad0d8482685485a6ffa48b00c" PartId="0c3a482bf43a49c2a7efada3fea4f8ea"/>
          <Part Type="papunktis" Nr="5.4.3" Abbr="5.4.3 pp." DocPartId="c95d4886a7fb4c9083c54e0f9639f189" PartId="dc0d70203b0a457fb5e62341fa626cdc">
            <Part Type="papunktis" Nr="5.4.3.1" Abbr="5.4.3.1 pp." DocPartId="978b1c0ebd0246d3bf98e16db7497fce" PartId="800a4514a61c4f6db3ef8ab9546d9524"/>
            <Part Type="papunktis" Nr="5.4.3.2" Abbr="5.4.3.2 pp." DocPartId="50c488561f3a43fcb519a2e41fc64e67" PartId="ef58726d37df47b8aa6c4eaff6739565"/>
            <Part Type="papunktis" Nr="5.4.3.3" Abbr="5.4.3.3 pp." DocPartId="55aa9d5418e94ba0aec1920faf0e5556" PartId="28b5c928041d482da52f671147da0141"/>
            <Part Type="papunktis" Nr="5.4.3.4" Abbr="5.4.3.4 pp." DocPartId="92f663a5f31b422d82c2fd0f48c8bb3c" PartId="1e254e9627ce4371848b7f1187d697d0"/>
            <Part Type="papunktis" Nr="5.4.3.5" Abbr="5.4.3.5 pp." DocPartId="0610a1b1b2ae40adb95b7f26061f6c5b" PartId="db39ac6205a641338433b57c05ccebf3"/>
          </Part>
        </Part>
        <Part Type="papunktis" Nr="5.5" Abbr="5.5 pp." DocPartId="5cc83afbd6474ba3b407a98c8c40436f" PartId="0336191346bf4d92ab4d3ad438907539"/>
      </Part>
    </Part>
    <Part Type="skyrius" Nr="4" Title="PIRMINĖS AMBULATORINĖS ASMENS SVEIKATOS PRIEŽIŪROS PASLAUGŲ BAZINIŲ KAINŲ NUSTATYMAS" DocPartId="e30f7e0969334ea4a9b6e7ee6515f7a9" PartId="6c49bdf510574a15bcc09ebe905df3be">
      <Part Type="punktas" Nr="6" Abbr="6 p." DocPartId="c9b344ba927e437b8a6177559f89bc13" PartId="6a150632cdbc411099665996bb513ca7"/>
      <Part Type="punktas" Nr="7" Abbr="7 p." DocPartId="062ce9298a554db0b52b1e58678f9dfa" PartId="ec1dbdbe4224479cb1e9b9c912d2f538">
        <Part Type="papunktis" Nr="7.1" Abbr="7.1 pp." DocPartId="24dfef5d7c1b4991a11026434b9dc87e" PartId="72cb51531f1f41e0b71acdfe40cd18d2"/>
        <Part Type="papunktis" Nr="7.2" Abbr="7.2 pp." DocPartId="40ec5b74d514471ca95b1414717f6f1f" PartId="f56e71ec7df9438ca75a4efd32098fb8"/>
        <Part Type="papunktis" Nr="7.3" Abbr="7.3 pp." DocPartId="f20ad2f13e364702842d8f1240b9319f" PartId="34d1b63a548647fcbd4e660e0171e517"/>
      </Part>
    </Part>
    <Part Type="skyrius" Nr="5" Title="„V SKYRIUS GREITOSIOS MEDICINOS PAGALBOS PASLAUGŲ BAZINIŲ KAINŲ NUSTATYMAS“." DocPartId="53c4969947d44e72b9e74084852633a0" PartId="4a839470046a4bdebbc2755209a2f76c"/>
    <Part Type="skyrius" Nr="6" Title="„VI SKYRIUS BAZINĖS AKTYVIOJO GYDYMO ATVEJO KAINOS NUSTATYMAS“." DocPartId="3a2388f53ae54ad3b79674aa14ae6945" PartId="cbdfb49a95974a319e63f77c506146a9">
      <Part Type="punktas" Nr="9" Abbr="9 p." DocPartId="ac52676eda4e45108366af2a6c37bd9a" PartId="e443ddee3f144ff3ad39f298ef1d9677">
        <Part Type="papunktis" Nr="9.1" Abbr="9.1 pp." DocPartId="47c522fbb7c041aabd66c924b92cdc25" PartId="db023434fb0647b892aab82711017856"/>
      </Part>
      <Part Type="punktas" Nr="10" Abbr="10 p." DocPartId="e76434b53a8e442da075cdd585db86da" PartId="049c6c23541b416a9972214c43f90792">
        <Part Type="papunktis" Nr="10.1" Abbr="10.1 pp." DocPartId="bfe31874a9064f4a973b6cc4f635cb95" PartId="b4e2bb43712b4084baaa884d60171e36"/>
        <Part Type="papunktis" Nr="10.2" Abbr="10.2 pp." DocPartId="bfeebdad79884941906cc5a906831bb8" PartId="6e64187e5d744a3ba58901951637c1e3">
          <Part Type="papunktis" Nr="10.2.1" Abbr="10.2.1 pp." DocPartId="378588546e3d40b18b52be2d53b45136" PartId="6200259e8b3948a08daf8de3e7d1408e"/>
          <Part Type="papunktis" Nr="10.2.2" Abbr="10.2.2 pp." DocPartId="99061e5f4b1740f98eab0eb70f0959ac" PartId="d05d39061ef24da29db9045f17bd19b0"/>
          <Part Type="papunktis" Nr="10.2.3" Abbr="10.2.3 pp." DocPartId="60e625f887bc4febb3ddb3c6e53e0b09" PartId="16b7d18fac9147348f5fa658145e5fc4"/>
          <Part Type="papunktis" Nr="10.2.4" Abbr="10.2.4 pp." DocPartId="61be56b0e2134984b3ff7b00f7ada2b8" PartId="3376102fbc6c41e1829944ac943d4e7a"/>
          <Part Type="papunktis" Nr="10.2.5" Abbr="10.2.5 pp." DocPartId="6d02c38a7e5a4e81918ff1585587c7eb" PartId="6f42021a06284afca7a48750f93579b4"/>
        </Part>
        <Part Type="papunktis" Nr="10.3" Abbr="10.3 pp." DocPartId="98a954d1be3546bc92d867a95914d6bc" PartId="1b33bccf9358470781e838351b8f6e0d"/>
        <Part Type="papunktis" Nr="10.4" Abbr="10.4 pp." DocPartId="b11695cd66a64ed9a4807fe8366551e1" PartId="ac8175e633344d009e25af30f8bcb9c8"/>
      </Part>
      <Part Type="papunktis" Nr="10.5" Abbr="10.5 pp." DocPartId="2f35a8c37c1648e89820a0594333ce53" PartId="acebd80399544c67825db2a4bf8dfa5f">
        <Part Type="papunktis" Nr="10.5.1" Abbr="10.5.1 pp." DocPartId="1ee4b9e46a044f4baf9c593f6430b7de" PartId="32a4b3de43614c9097f2020a98bd262c"/>
        <Part Type="papunktis" Nr="10.5.2" Abbr="10.5.2 pp." DocPartId="b7eda6fda7fe45989f87720480908bb6" PartId="f22ca4b617fd43c1bc121b17ea7ce51f"/>
      </Part>
      <Part Type="papunktis" Nr="10.6" Abbr="10.6 pp." DocPartId="d679f27f7a4d48f983d8ddfa1ea58316" PartId="11d08afb236441839bf171fcffefb099"/>
      <Part Type="papunktis" Nr="10.7" Abbr="10.7 pp." DocPartId="cd06ff5cdd2f45b59f672b117b2d4a6c" PartId="3257e96116db48b99bd863ede2cee51b"/>
      <Part Type="papunktis" Nr="10.8" Abbr="10.8 pp." DocPartId="152d2e65da25436fa9f3a6e8659241ef" PartId="c198d594ebd247b1beb8a3ccbc17672a"/>
    </Part>
    <Part Type="skyrius" Nr="7" Title="„VII SKYRIUS KITŲ ASMENS SVEIKATOS PRIEŽIŪROS PASLAUGŲ BAZINIŲ KAINŲ NUSTATYMAS“." DocPartId="69be37f5e7c34da7acd63ccc98ea506a" PartId="5852814bad9d496792255297b5c71e31">
      <Part Type="punktas" Nr="11" Abbr="11 p." DocPartId="de9d5b567a784ebe87aa37536ef244e1" PartId="4e3f67335a864086a977718b5294e97d">
        <Part Type="papunktis" Nr="11.1" Abbr="11.1 pp." DocPartId="0a9ebd33979b4337b6f63138fd088cf2" PartId="ce3da40749f24487b6a6e94b2be74c77"/>
        <Part Type="papunktis" Nr="11.2" Abbr="11.2 pp." DocPartId="3568da2cdd3641b2a56e17def7758672" PartId="20237667dd964bbc87c13ed1d6e68d6a"/>
        <Part Type="papunktis" Nr="11.3" Abbr="11.3 pp." DocPartId="3a89b714add44051986b4c84d92d7fb8" PartId="c9d9fef38cd84609b4a1b3c59e45decf"/>
        <Part Type="papunktis" Nr="11.4" Abbr="11.4 pp." DocPartId="4dd7c77cbacb44d29403304666140be8" PartId="c1eb35578a604353a36a8ea80347bdfd"/>
        <Part Type="papunktis" Nr="11.5" Abbr="11.5 pp." DocPartId="7781449c92f04cce8ac0ebbcd0b40eb7" PartId="9e53c1a7bf834dad96df49a075cc7c73"/>
        <Part Type="punktas" Nr="11.6" Abbr="11.6 p." DocPartId="92aadfdb37474947a7c700145f7f5e21" PartId="0d76c62c133e463d96ff20e6d2bfed23"/>
        <Part Type="papunktis" Nr="11.7" Abbr="11.7 pp." DocPartId="588c770c55a1483e86270c4894fb6ff2" PartId="c2520351879f4d3ba80966bb28b8f144"/>
      </Part>
      <Part Type="punktas" Nr="12" Abbr="12 p." DocPartId="1e3f9d60806943ebb799a6ffff40659b" PartId="3cda09edcc444a86aa050cc155024522"/>
      <Part Type="punktas" Nr="13" Abbr="13 p." DocPartId="ef592559750643d1a49df0adb8d01560" PartId="adc9c9a94a1a4471a9c4d04739e67e8c"/>
    </Part>
    <Part Type="skyrius" Nr="8" Title="„VIII SKYRIUS DUOMENŲ ASMENS SVEIKATOS PRIEŽIŪROS PASLAUGŲ BAZINĖMS KAINOMS APSKAIČIUOTI TEIKIMO TVARKA“." DocPartId="6fcc9154b9274b18810bbc91754b4e1e" PartId="92c5e9a6ed334de7ac9e4a0dc78aaf34">
      <Part Type="punktas" Nr="14" Abbr="14 p." DocPartId="c8626754b3aa441ebe919288df364843" PartId="828966c43a944f298087cd7b1e76d098"/>
      <Part Type="punktas" Nr="15" Abbr="15 p." DocPartId="bfe4e82f4e194bf08baa1df36aba1133" PartId="c1c0f22922b54d4aae3c5a00bfadbae6"/>
      <Part Type="punktas" Nr="16" Abbr="16 p." DocPartId="5df47ab988034b83a845284f3c59315b" PartId="3c25780cf2fb4008a0b3d98ac6e1c5ee"/>
    </Part>
    <Part Type="pabaiga" DocPartId="00c0b4e3bf8d4a6c8955b5fc3e374aef" PartId="1180067942724bcd89407dced7c428c8"/>
  </Part>
  <Part Type="priedas" Nr="1" Abbr="1 pr." Title="AKTYVIOJO GYDYMO ATVEJŲ IR LOVADIENIŲ SKAIČIAUS BEI SVERTINIO AKTYVIOJO GYDYMO ATVEJŲ IR LOVADIENIŲ SKAIČIAUS APSKAIČIAVIMO TVARKA" DocPartId="469a313fbaf34c618d98cea245279acf" PartId="f76a4aa2875d46d4b5d8f12061098289">
    <Part Type="skyrius" Nr="1" Title="„I SKYRIUS AKTYVIOJO GYDYMO ATVEJŲ IR LOVADIENIŲ SKAIČIAUS APSKAIČIAVIMO TVARKA“." DocPartId="5d45405888ef45d1abe593ad3df1d050" PartId="3e2c8c88a19b43ebb3abec3f0749babb">
      <Part Type="punktas" Nr="1" Abbr="1 pr. 1 p." DocPartId="2bed2c41393b41f69f550c4ecc789af2" PartId="0db467bf7e55400d98c29b070d58c1b0">
        <Part Type="strPapunktis" Nr="a" Abbr="1 pr. 1 p. a pp." DocPartId="bd4db96ef5bb45d48a745418ef5cf7ea" PartId="db35269a01bc4d64a0ed877bd9f4f483"/>
        <Part Type="strPapunktis" Nr="b" Abbr="1 pr. 1 p. b pp." DocPartId="743963fb5bb94fe6b3c07bdca50b3e6d" PartId="a74b7332093b4df19269fc0e68938ccc"/>
        <Part Type="strPapunktis" Nr="c" Abbr="1 pr. 1 p. c pp." DocPartId="a0373af3a459493193cb00c35547cbd3" PartId="0bca876af2fd4ccca1680f1119ef4152"/>
        <Part Type="strPapunktis" Nr="d" Abbr="1 pr. 1 p. d pp." DocPartId="5a1aefcd3f904066b01e407b992de427" PartId="d4c91d8895654d2ab5bde5eb6acb632c"/>
        <Part Type="strPapunktis" Nr="e" Abbr="1 pr. 1 p. e pp." DocPartId="45d824e03c37479d8e117bef6b12c80d" PartId="712ccc960a4e4c4d9bb11b9f8c49b3a6"/>
        <Part Type="papunktis" Nr="1.1" Abbr="1 pr. 1.1 pp." DocPartId="062af55328fd45b1a694c13515b35f86" PartId="c6ef73a0a4484673a00277901a2da8a1"/>
        <Part Type="papunktis" Nr="1.2" Abbr="1 pr. 1.2 pp." DocPartId="be31d04651c348aeb7d1a5a8007e9c04" PartId="50683848bbbd496eb6003a43594165ed"/>
        <Part Type="papunktis" Nr="1.3" Abbr="1 pr. 1.3 pp." DocPartId="42c21c7f408b4109b97bdeb2b100ca32" PartId="6fd056d879824d6aad79ba781f2e4e02"/>
        <Part Type="papunktis" Nr="1.4" Abbr="1 pr. 1.4 pp." DocPartId="91874192f1724c39a6c72b3afe840f07" PartId="4355d2b08d2349e293a2bbeb5fb4a036"/>
        <Part Type="papunktis" Nr="1.5" Abbr="1 pr. 1.5 pp." DocPartId="d36d95df9dc74266b535cd66f6f3e9c4" PartId="a7f1caee3af542a6b207e9bfe35e3b82"/>
      </Part>
    </Part>
    <Part Type="skyrius" Nr="2" Title="„II SKYRIUS SVERTINIO AKTYVIOJO GYDYMO ATVEJŲ IR LOVADIENIŲ SKAIČIAUS APSKAIČIAVIMO TVARKA“." DocPartId="bd20c2fa8ae940a4a0d66193647af400" PartId="6132d868e378407da556864f8bb7e5da">
      <Part Type="punktas" Nr="2" Abbr="1 pr. 2 p." DocPartId="595b6726bcaf488e999dcca302e98798" PartId="cf3a7be8d9bd4ee4970a16da1a3eb926"/>
    </Part>
    <Part Type="skyrius" Nr="3" Title="„III SKYRIUS AKTYVIOJO GYDYMO ATVEJŲ IR LOVADIENIŲ SKAIČIAUS BEI SVERTINIO AKTYVIOJO GYDYMO ATVEJŲ IR LOVADIENIŲ SKAIČIAUS APSKAIČIAVIMO PAVYZDYS“." DocPartId="76337816c4b3430286229de14fb5d32a" PartId="14756bc0933040db95f125069a7abdb9">
      <Part Type="punktas" Nr="3" Abbr="1 pr. 3 p." DocPartId="85be93929ed1463baca5a1f6517b0cef" PartId="bd10085dfeb14702ac618d09975c7191">
        <Part Type="papunktis" Nr="3.1" Abbr="1 pr. 3.1 pp." DocPartId="6b095072dead4b6f8af49fd956537478" PartId="04b3814364b44491a09ff1f4418979e3"/>
        <Part Type="papunktis" Nr="3.2" Abbr="1 pr. 3.2 pp." DocPartId="8fd7d12f72464bed99d5e72fb5add5d0" PartId="942a6c42925c4ebfbfee31bcbc0dac2e"/>
      </Part>
    </Part>
    <Part Type="pabaiga" DocPartId="11ca2832d84c4f5ca5a629e641ca0dba" PartId="e6ad159a503c43d894247a150950a76a"/>
  </Part>
  <Part Type="priedas" Nr="2" Abbr="2 pr." Title="NORMATYVINĖS AKTYVIOJO GYDYMO TRUKMĖS APSKAIČIAVIMO TVARKA" DocPartId="6c7972b2ca7b4584802663cf110146e2" PartId="4d6e55d48ac345d8b3a7f4fb8702a92d">
    <Part Type="punktas" Nr="1" Abbr="2 pr. 1 p." DocPartId="9805aef4b9a24b87b3c64d548a2c0225" PartId="63fd844cc04b47ddbc88c895e4a4cf09">
      <Part Type="papunktis" Nr="1.1" Abbr="2 pr. 1.1 pp." DocPartId="a4eda6a9e22545b8b30fbd514eb63528" PartId="75c0f59c060948869afb51f8480c57f0"/>
      <Part Type="papunktis" Nr="1.2" Abbr="2 pr. 1.2 pp." DocPartId="dde235e271a74007b33b368c18c556d6" PartId="2df30e04d8594aa5b15a77c8c0d0baaf"/>
    </Part>
    <Part Type="skirsnis" Title="TVIDDRG = TDRG / 1DRG," DocPartId="71393fd996694473afd9119bd028282c" PartId="72de0458076843bd931c1c445447da90">
      <Part Type="papunktis" Nr="1.3" Abbr="2 pr. 1.3 pp." DocPartId="19f68adc809c4ad6a0ee7e0df2038716" PartId="24b7c2a435f14a19bb8a6983056a6716"/>
    </Part>
    <Part Type="skirsnis" Title="TVIDDRG = 1," DocPartId="e774098ce35a4a94ba7cd67a259a9883" PartId="f84f46871f0d427391b11e1d3371ba09">
      <Part Type="punktas" Nr="2" Abbr="2 pr. 2 p." DocPartId="d85e4eee357841ceac12ee79b47a6582" PartId="e3c9391ec42148b8b3b55272275ad877">
        <Part Type="papunktis" Nr="2.1" Abbr="2 pr. 2.1 pp." DocPartId="2037605c83b147539dc2018c86014790" PartId="a21620daf99241b2be923f0964cf9dfb"/>
      </Part>
    </Part>
    <Part Type="skirsnis" Title="TMINDRG = TVIDDRG / 3," DocPartId="5cdb7dc130a44e29a3595bac8777c26d" PartId="61c5e63057e9408280aabd405f549ea8">
      <Part Type="papunktis" Nr="2.2" Abbr="2 pr. 2.2 pp." DocPartId="af542a62fdc64391ab67b6404883e54f" PartId="cb00187510814d82b28dd4abbf0cb5d1"/>
    </Part>
    <Part Type="skirsnis" Title="TMINDRG = 1," DocPartId="64b71502730f4bea832045691e9ccdd7" PartId="ac1755731cf942d5ae9251bebf8df66b">
      <Part Type="punktas" Nr="3" Abbr="2 pr. 3 p." DocPartId="6b00e74069ad4f71aa3abf592e2ff3bd" PartId="eb4f5c00d8d14f768ef514aef6eaf238"/>
    </Part>
    <Part Type="pabaiga" DocPartId="26a547cfdd5f44d4b1d7072c5056c0f8" PartId="54aa0c2f92c54b6cb9463a3177ac1dde"/>
  </Part>
  <Part Type="priedas" Nr="3" Abbr="3 pr." Title="AKTYVIOJO GYDYMO ATVEJO KAINOS KOEFICIENTŲ APSKAIČIAVIMO TVARKA" DocPartId="74bc2eaf2bde44779cd2bc030a7486a4" PartId="4e8f35dffc5d43e094c9c94b27d8fee8">
    <Part Type="punktas" Nr="1" Abbr="3 pr. 1 p." DocPartId="cd6aea36537f43de9e6c8a8560cb1074" PartId="56d091bd61164e4caa280f22397d644a">
      <Part Type="papunktis" Nr="1.1" Abbr="1.1 pp." DocPartId="6f759f7ef9f649f6a7e139edd73c0360" PartId="4cbb746767da4e5ca03d1dae14a64ee0"/>
      <Part Type="papunktis" Nr="1.2" Abbr="1.2 pp." DocPartId="616ada2f5f7e4d51ac3bf06c6956c88d" PartId="3e96f2765532454891c97b4278859f2a"/>
    </Part>
    <Part Type="punktas" Nr="2" Abbr="3 pr. 2 p." DocPartId="44c04b52c6604a7bad6eb692718ad3e7" PartId="810477f3b62d4e2da923210b2e9cb79a">
      <Part Type="papunktis" Nr="2.1" Abbr="3 pr. 2.1 pp." DocPartId="97ca94a9b8be4dc9bd996e552ab63132" PartId="e1edbd9981084a79819633bc5ef19f02"/>
      <Part Type="papunktis" Nr="2.2" Abbr="3 pr. 2.2 pp." DocPartId="816b8843d2414553bf9f45434c477dc6" PartId="174bbbd708ff455db65bc249271d6fcd"/>
      <Part Type="papunktis" Nr="2.3" Abbr="3 pr. 2.3 pp." DocPartId="b1c7c82cba30440bb72ce3461e2957ba" PartId="5a493da8f70f44709d0a3fb61d0e4b0b"/>
      <Part Type="papunktis" Nr="2.4" Abbr="3 pr. 2.4 pp." DocPartId="aa7f0b07863645b687f9b15e459f10da" PartId="491e89d064c0442da07360300e2e3ba7"/>
      <Part Type="papunktis" Nr="2.5" Abbr="3 pr. 2.5 pp." DocPartId="e8fb5a0abcb54446b02a43ddd4d0de6b" PartId="db9dab4b012049b8a1babd05e4fceb51"/>
    </Part>
    <Part Type="punktas" Nr="3" Abbr="3 pr. 3 p." DocPartId="3820731a54c54223b4bd08e43cc0734b" PartId="3008ade6d0e844aea062be5d166b92c8">
      <Part Type="papunktis" Nr="3.1" Abbr="3 pr. 3.1 pp." DocPartId="3e7db2213aed4825910f42e61fe2389e" PartId="a9ce57d86df64c1e90d897d1f2879b2d"/>
    </Part>
    <Part Type="skirsnis" Title="DKSG,DRG = KSG,DRG," DocPartId="41693d5e5b474285809b591e74ee8f4d" PartId="0ebd3012d5274ad194e2becd6419640f">
      <Part Type="papunktis" Nr="3.2" Abbr="3 pr. 3.2 pp." DocPartId="e94481a33649455cb9cde2694e84d695" PartId="6c2c85498ad14389937ebab0b1fa0691"/>
      <Part Type="punktas" Nr="4" Abbr="3 pr. 4 p." DocPartId="8abbdcbf486848b481d04aa23e7489c0" PartId="0df41f1316164e93ac81175eb55f575d">
        <Part Type="papunktis" Nr="4.1" Abbr="3 pr. 4.1 pp." DocPartId="6d4b24df1e93478e91e642eee1c60a04" PartId="2c385f30bc4e4811974f4c768f112cd0"/>
      </Part>
    </Part>
    <Part Type="skirsnis" Title="PKSG,DRG = KSG,DRG," DocPartId="860099c935ea424fb32398f44413d247" PartId="0978a62eedfb4136a9621ca207d3e8a5">
      <Part Type="papunktis" Nr="4.2" Abbr="3 pr. 4.2 pp." DocPartId="76b5b67c046a4dcfbadd648587118676" PartId="8db2524412dc4eada5abf114f9df5db5"/>
      <Part Type="papunktis" Nr="4.3" Abbr="3 pr. 4.3 pp." DocPartId="fb8d85bc2c2a4a3597ba95a203fb387a" PartId="3647616c12aa4abe843a30507d80ef8b"/>
      <Part Type="punktas" Nr="5" Abbr="3 pr. 5 p." DocPartId="1143447d9d414a3fb658e557552f52bb" PartId="5936d5d67c5a438291d973a0736610d5">
        <Part Type="papunktis" Nr="5.1" Abbr="3 pr. 5.1 pp." DocPartId="939ae89d369c41bab75c9a58415e9f6d" PartId="690b190bedc14b6d8a914d7bfc0c718e"/>
      </Part>
    </Part>
    <Part Type="skirsnis" Title="AKSG,DRG = KSG,DRG," DocPartId="e7be4d58ef6c47ebbfeed7b182062414" PartId="4072935d29aa49bab42f908248757a1d">
      <Part Type="papunktis" Nr="5.2" Abbr="3 pr. 5.2 pp." DocPartId="0b54efc3069a4404aeae511599adde36" PartId="4fe3b09dcfaf48cca773560b73e1e2ec"/>
      <Part Type="punktas" Nr="6" Abbr="3 pr. 6 p." DocPartId="1c93fcacd7434927aa5be8f015336cba" PartId="0bf1cddac7b14249a76c272d72e60f79">
        <Part Type="papunktis" Nr="6.1" Abbr="3 pr. 6.1 pp." DocPartId="cc7d40bd99d34acc8895c309ad77c60e" PartId="9b38a385d1f3446f873f5da132981207"/>
        <Part Type="papunktis" Nr="6.2" Abbr="3 pr. 6.2 pp." DocPartId="3b8f03f530a646e19707b949c845b5ea" PartId="0045d3381b7f44a581da983df7ed9a1f"/>
      </Part>
      <Part Type="punktas" Nr="7" Abbr="3 pr. 7 p." DocPartId="627abca203a24f5daa27525b95f9f8db" PartId="4a6ce7fae88042888ac5b1f946362212">
        <Part Type="papunktis" Nr="7.1" Abbr="3 pr. 7.1 pp." DocPartId="d7e38417a8a941c68895f0a3d462e9bc" PartId="6114b5b72f074c1ba9c1a2441d1bbfa3"/>
        <Part Type="papunktis" Nr="7.2" Abbr="3 pr. 7.2 pp." DocPartId="8572a7ff390844e8aadb71526e6aa42d" PartId="446007a7f0c74853a4e2bf912f98b0e4"/>
        <Part Type="papunktis" Nr="7.3" Abbr="3 pr. 7.3 pp." DocPartId="077a5d7e4929499496d4c0210b26ffd2" PartId="9449b1ffa087426eb77888da6bd6aa87"/>
        <Part Type="papunktis" Nr="7.4" Abbr="3 pr. 7.4 pp." DocPartId="1435cad52176436fb5c6eaee2d80739d" PartId="107aed9e35934e35b1d4be0632aa5da6"/>
        <Part Type="papunktis" Nr="7.5" Abbr="3 pr. 7.5 pp." DocPartId="742ba633c6be4ec099e89235cbe98da0" PartId="f886db8ca7dd4a7fb6ed97e472472c61"/>
      </Part>
      <Part Type="punktas" Nr="8" Abbr="3 pr. 8 p." DocPartId="56a0d581e95347e1ac3ad4af51523542" PartId="907dd73d362d401aba6dd97a82fc29fd">
        <Part Type="papunktis" Nr="8.1" Abbr="3 pr. 8.1 pp." DocPartId="5577c135e09144ea987cd2d8e4304fe5" PartId="a443f12c044f476eb29a23ed59786f7a"/>
        <Part Type="papunktis" Nr="8.2" Abbr="3 pr. 8.2 pp." DocPartId="8b2f66fa16214054963e1a296b787977" PartId="9db2a42bf8644b298991845a361ac8f4"/>
        <Part Type="papunktis" Nr="8.3" Abbr="3 pr. 8.3 pp." DocPartId="a72c8ebea861490cb6f766e3a68288f6" PartId="64bacce367a3496883d6d9329227c421"/>
        <Part Type="papunktis" Nr="8.4" Abbr="3 pr. 8.4 pp." DocPartId="ea9aaee751f149cdb7d86a16a9299a30" PartId="abe869c5c7f14a22a0f83bd56ee1ed51"/>
        <Part Type="papunktis" Nr="8.5" Abbr="3 pr. 8.5 pp." DocPartId="0269b259d018452cb3901f2c00654139" PartId="5ae721209a93469b9b5518c5fb5e5f29"/>
      </Part>
    </Part>
    <Part Type="pabaiga" DocPartId="96f62abc179d4e3787e1baa899bca4ab" PartId="adce8976e49a4a66b3fce1009410e29a"/>
  </Part>
  <Part Type="priedas" Nr="4" Abbr="4 pr." Title="ATITINKAMOS AMŽIAUS GRUPĖS GYVENTOJAMS ATLIEKAMŲ TYRIMŲ, POLILIGOTUMO IR APSILANKYMŲ PIRMINĖS AMBULATORINĖS ASMENS SVEIKATOS PRIEŽIŪROS PASLAUGAS TEIKIANČIOSE ĮSTAIGOSE KOEFICIENTŲ APSKAIČIAVIMO TVARKA" DocPartId="efba052721974bd58333e7921aaaa89b" PartId="fde8be57214244089dcabcfe9ed852ad">
    <Part Type="punktas" Nr="1" Abbr="4 pr. 1 p." DocPartId="778534ba79704893a8f4c54985538846" PartId="6468017705f24305a374545227df34af">
      <Part Type="papunktis" Nr="1.1" Abbr="4 pr. 1.1 pp." DocPartId="cfb48048f24443f1929a3abac549312f" PartId="09cee4377f674127afe50c1d7074f173"/>
      <Part Type="papunktis" Nr="1.2" Abbr="4 pr. 1.2 pp." DocPartId="0e76b11a0ce54955b1a3668061208151" PartId="669f00168a0b4dc98627bb4c36848521"/>
    </Part>
    <Part Type="punktas" Nr="2" Abbr="4 pr. 2 p." DocPartId="8f8724bf345644e4890c4afb7c148db3" PartId="c8dbbcc3ae1c43b1a55fa2c73c49abe4">
      <Part Type="papunktis" Nr="2.1" Abbr="4 pr. 2.1 pp." DocPartId="7c9a74ef53c84541b8746918521d58da" PartId="ee9d7bce361f4fd6a1af41492b781ed9"/>
      <Part Type="papunktis" Nr="2.2" Abbr="4 pr. 2.2 pp." DocPartId="b68b752c39f64041a774c81ab74d6ee6" PartId="5dd6af1e8485468e8ed66842550e3a05"/>
    </Part>
    <Part Type="punktas" Nr="3" Abbr="4 pr. 3 p." DocPartId="026b1ca66c804bcd911b84cc22e5aaf9" PartId="93e4c88ebb2e4771a5188594d08172e9">
      <Part Type="papunktis" Nr="3.1" Abbr="4 pr. 3.1 pp." DocPartId="25f5e06815b04f47b31da96baf959d7c" PartId="b94ab926be5f43ccba94fcc95c2926d5"/>
      <Part Type="papunktis" Nr="3.2" Abbr="4 pr. 3.2 pp." DocPartId="3d967cf6f617430aa9f15e96c35c2541" PartId="e626f5f8853e4b5d85b1afbee6599b96"/>
    </Part>
    <Part Type="punktas" Nr="4" Abbr="4 pr. 4 p." DocPartId="2fe80e8648b5445091e8aa12f419371d" PartId="d754f0db47494fbf930326456fafaead">
      <Part Type="papunktis" Nr="4.1" Abbr="4 pr. 4.1 pp." DocPartId="ee27b1d25347477c8727288b91a469e3" PartId="bf97ade5c83242c5a4be3ccd9d645350"/>
      <Part Type="papunktis" Nr="4.2" Abbr="4 pr. 4.2 pp." DocPartId="970178f7934d4ec295b2684e05e6df64" PartId="5531154ded4e4e478d359747c65cf79e"/>
      <Part Type="papunktis" Nr="4.3" Abbr="4 pr. 4.3 pp." DocPartId="e05885edd041435a948b18af0202c168" PartId="a9bd47736bb44f8ebf13884d37264edc"/>
    </Part>
    <Part Type="pabaiga" DocPartId="6abe2055bace4412bfbe2e94af2af7ed" PartId="a10390a6aa154a32b6ce0e1f077fa5c5"/>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5B18C06-C408-4B81-B990-163B6BE19BE7}">
  <ds:schemaRefs>
    <ds:schemaRef ds:uri="http://lrs.lt/TAIS/DocParts"/>
  </ds:schemaRefs>
</ds:datastoreItem>
</file>

<file path=customXml/itemProps2.xml><?xml version="1.0" encoding="utf-8"?>
<ds:datastoreItem xmlns:ds="http://schemas.openxmlformats.org/officeDocument/2006/customXml" ds:itemID="{AC39F3C6-F059-4EFC-B77A-EA02A92D083B}">
  <ds:schemaRefs>
    <ds:schemaRef ds:uri="http://schemas.openxmlformats.org/officeDocument/2006/bibliography"/>
  </ds:schemaRefs>
</ds:datastoreItem>
</file>

<file path=customXml/itemProps3.xml><?xml version="1.0" encoding="utf-8"?>
<ds:datastoreItem xmlns:ds="http://schemas.openxmlformats.org/officeDocument/2006/customXml" ds:itemID="{9E0741A0-ADFA-4AC4-B58D-C9DAF5CC505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66</TotalTime>
  <Pages>28</Pages>
  <Words>42462</Words>
  <Characters>24204</Characters>
  <Application>Microsoft Office Word</Application>
  <DocSecurity>0</DocSecurity>
  <Lines>201</Lines>
  <Paragraphs>133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66533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2018-04-18T08:44:00Z</dcterms:created>
  <dc:creator>Rima</dc:creator>
  <lastModifiedBy>TAMALIŪNIENĖ Vilija</lastModifiedBy>
  <dcterms:modified xsi:type="dcterms:W3CDTF">2025-06-13T12:41:00Z</dcterms:modified>
  <revision>47</revision>
  <dc:title>LIETUVOS RESPUBLIKOS SVEIKATOS APSAUGOS MINISTRO</dc:title>
</coreProperties>
</file>