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bin" ContentType="application/vnd.ms-office.activeX"/>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c8f42a404984b3aa166cfacf560e182"/>
        <w:lock w:val="sdtLocked"/>
        <w:richText/>
      </w:sdtPr>
      <w:sdtContent>
        <w:p>
          <w:pPr>
            <w:jc w:val="both"/>
            <w:rPr>
              <w:rFonts w:ascii="Times New Roman" w:hAnsi="Times New Roman"/>
            </w:rPr>
          </w:pPr>
          <w:r>
            <w:rPr>
              <w:rFonts w:ascii="Times New Roman" w:hAnsi="Times New Roman"/>
              <w:b/>
              <w:i/>
            </w:rPr>
            <w:t>Suvestinė redakcija nuo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2012, Nr. </w:t>
          </w:r>
          <w:fldSimple w:instr="HYPERLINK https://www.e-tar.lt/portal/legalAct.html?documentId=TAR.514EFEA67A27">
            <w:r w:rsidRPr="00532B9F">
              <w:rPr>
                <w:rFonts w:ascii="Times New Roman" w:eastAsia="MS Mincho" w:hAnsi="Times New Roman"/>
                <w:sz w:val="20"/>
                <w:i/>
                <w:iCs/>
                <w:color w:val="0000FF" w:themeColor="hyperlink"/>
                <w:u w:val="single"/>
              </w:rPr>
              <w:t>133-6789</w:t>
            </w:r>
          </w:fldSimple>
          <w:r>
            <w:rPr>
              <w:rFonts w:ascii="Times New Roman" w:eastAsia="MS Mincho" w:hAnsi="Times New Roman"/>
              <w:sz w:val="20"/>
              <w:i/>
              <w:iCs/>
            </w:rPr>
            <w:t>, i. k. 1121100NUTA00001373</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85.05pt;margin-top:-56.7pt;width:.75pt;height:.75pt;z-index:251657728;visibility:hidden;mso-position-horizontal-relative:text;mso-position-vertical-relative:text" stroked="f">
                <v:imagedata r:id="rId8" o:title=""/>
              </v:shape>
              <w:control r:id="rId9" w:name="Control 9" w:shapeid="_x0000_s1033"/>
            </w:pict>
          </w:r>
          <w:r>
            <w:rPr>
              <w:caps/>
            </w:rPr>
            <w:t>Lietuvos Respublikos Vyriausybė</w:t>
          </w:r>
        </w:p>
        <w:p>
          <w:pPr>
            <w:jc w:val="center"/>
            <w:rPr>
              <w:caps/>
              <w:spacing w:val="60"/>
            </w:rPr>
          </w:pPr>
          <w:r>
            <w:rPr>
              <w:caps/>
              <w:spacing w:val="60"/>
            </w:rPr>
            <w:t>NUTARIMAS</w:t>
          </w:r>
        </w:p>
        <w:p>
          <w:pPr>
            <w:jc w:val="center"/>
            <w:rPr>
              <w:b/>
              <w:caps/>
            </w:rPr>
          </w:pPr>
        </w:p>
        <w:p>
          <w:pPr>
            <w:jc w:val="center"/>
            <w:rPr>
              <w:b/>
              <w:caps/>
            </w:rPr>
          </w:pPr>
          <w:r>
            <w:rPr>
              <w:b/>
              <w:caps/>
            </w:rPr>
            <w:t xml:space="preserve">Dėl </w:t>
          </w:r>
          <w:r>
            <w:rPr>
              <w:b/>
            </w:rPr>
            <w:t>KOMPETENCIJŲ VERTINIMO LĖŠŲ SKAIČIAVIMO VIENAM ASMENIUI METODIKOS PATVIRTINIMO</w:t>
          </w:r>
        </w:p>
        <w:p/>
        <w:p>
          <w:pPr>
            <w:jc w:val="center"/>
            <w:rPr>
              <w:color w:val="000000"/>
            </w:rPr>
          </w:pPr>
          <w:r>
            <w:t>2012 m. lapkričio 14 d.</w:t>
          </w:r>
          <w:r>
            <w:rPr>
              <w:color w:val="000000"/>
            </w:rPr>
            <w:t xml:space="preserve"> Nr. </w:t>
          </w:r>
          <w:r>
            <w:t>1373</w:t>
          </w:r>
        </w:p>
        <w:p>
          <w:pPr>
            <w:jc w:val="center"/>
            <w:rPr>
              <w:color w:val="000000"/>
            </w:rPr>
          </w:pPr>
          <w:r>
            <w:rPr>
              <w:color w:val="000000"/>
            </w:rPr>
            <w:t>Vilnius</w:t>
          </w:r>
        </w:p>
        <w:p>
          <w:pPr>
            <w:jc w:val="center"/>
            <w:rPr>
              <w:color w:val="000000"/>
            </w:rPr>
          </w:pPr>
        </w:p>
        <w:sdt>
          <w:sdtPr>
            <w:alias w:val="preambule"/>
            <w:tag w:val="part_33c17dfd750940fca39dbca184f7ce32"/>
            <w:lock w:val="sdtLocked"/>
            <w:richText/>
          </w:sdtPr>
          <w:sdtContent>
            <w:p>
              <w:pPr>
                <w:ind w:firstLine="709"/>
                <w:jc w:val="both"/>
              </w:pPr>
              <w:r>
                <w:rPr>
                  <w:szCs w:val="24"/>
                  <w:lang w:eastAsia="lt-LT"/>
                </w:rPr>
                <w:t xml:space="preserve">Vadovaudamasi Lietuvos Respublikos profesinio mokymo įstatymo 36 straipsnio </w:t>
              </w:r>
              <w:r>
                <w:rPr>
                  <w:bCs/>
                  <w:szCs w:val="24"/>
                  <w:lang w:eastAsia="lt-LT"/>
                </w:rPr>
                <w:t>9 </w:t>
              </w:r>
              <w:r>
                <w:rPr>
                  <w:szCs w:val="24"/>
                  <w:lang w:eastAsia="lt-LT"/>
                </w:rPr>
                <w:t xml:space="preserve">dalimi, Lietuvos Respublikos Vyriausybė </w:t>
              </w:r>
              <w:r>
                <w:rPr>
                  <w:spacing w:val="60"/>
                  <w:szCs w:val="24"/>
                  <w:lang w:eastAsia="lt-LT"/>
                </w:rPr>
                <w:t>nutaria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2e7fe06e3d11ec993ff5ca6e8ba60c">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2022-01-05,
paskelbta TAR 2022-01-05, i. k. 2022-00140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626672c6c111efa5ddd96c482819f5">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2024-12-30,
paskelbta TAR 2024-12-30, i. k. 2024-23515            </w:t>
              </w:r>
            </w:p>
            <w:p/>
          </w:sdtContent>
        </w:sdt>
        <w:sdt>
          <w:sdtPr>
            <w:alias w:val="pastraipa"/>
            <w:tag w:val="part_128c1e8305a8414a9529155c92a1d30c"/>
            <w:lock w:val="sdtLocked"/>
            <w:richText/>
          </w:sdtPr>
          <w:sdtContent>
            <w:p>
              <w:pPr>
                <w:ind w:firstLine="709"/>
                <w:jc w:val="both"/>
              </w:pPr>
              <w:r>
                <w:t>Patvirtinti Kompetencijų vertinimo lėšų skaičiavimo vienam asmeniui metodiką (pridedama).</w:t>
              </w:r>
            </w:p>
          </w:sdtContent>
        </w:sdt>
        <w:sdt>
          <w:sdtPr>
            <w:alias w:val="signatura"/>
            <w:tag w:val="part_9f9799022a1848d2ad02b90f548d971d"/>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ŠVIETIMO IR MOKSLO MINISTRAS</w:t>
                <w:tab/>
                <w:t>GINTARAS STEPONAVIČIUS</w:t>
              </w:r>
            </w:p>
            <w:p/>
          </w:sdtContent>
        </w:sdt>
      </w:sdtContent>
    </w:sdt>
    <w:sdt>
      <w:sdtPr>
        <w:alias w:val="patvirtinta"/>
        <w:tag w:val="part_d95ebbb7bf874e7b9e72f22aebc99db2"/>
        <w:lock w:val="sdtLocked"/>
        <w:richText/>
      </w:sdtPr>
      <w:sdtContent>
        <w:p>
          <w:pPr>
            <w:ind w:left="4536"/>
            <w:jc w:val="both"/>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991" w:bottom="1134" w:left="1701" w:header="567" w:footer="567" w:gutter="0"/>
              <w:pgNumType w:start="1"/>
              <w:cols w:space="1296"/>
              <w:titlePg/>
              <w:docGrid w:linePitch="326"/>
            </w:sectPr>
          </w:pPr>
        </w:p>
        <w:p>
          <w:pPr>
            <w:ind w:left="4536"/>
            <w:jc w:val="both"/>
            <w:rPr>
              <w:szCs w:val="24"/>
            </w:rPr>
          </w:pPr>
          <w:r>
            <w:rPr>
              <w:szCs w:val="24"/>
            </w:rPr>
            <w:t>PATVIRTINTA</w:t>
          </w:r>
        </w:p>
        <w:p>
          <w:pPr>
            <w:ind w:left="4536"/>
            <w:jc w:val="both"/>
            <w:rPr>
              <w:szCs w:val="24"/>
            </w:rPr>
          </w:pPr>
          <w:r>
            <w:rPr>
              <w:szCs w:val="24"/>
            </w:rPr>
            <w:t>Lietuvos Respublikos Vyriausybės</w:t>
          </w:r>
        </w:p>
        <w:p>
          <w:pPr>
            <w:ind w:left="4536"/>
            <w:jc w:val="both"/>
            <w:rPr>
              <w:szCs w:val="24"/>
            </w:rPr>
          </w:pPr>
          <w:r>
            <w:rPr>
              <w:szCs w:val="24"/>
            </w:rPr>
            <w:t>2012 m. lapkričio 14 d. nutarimu Nr. 1373</w:t>
          </w:r>
        </w:p>
        <w:p>
          <w:pPr>
            <w:ind w:left="4536"/>
            <w:jc w:val="both"/>
            <w:rPr>
              <w:szCs w:val="24"/>
            </w:rPr>
          </w:pPr>
          <w:r>
            <w:rPr>
              <w:szCs w:val="24"/>
            </w:rPr>
            <w:t>(Lietuvos Respublikos Vyriausybės</w:t>
          </w:r>
        </w:p>
        <w:p>
          <w:pPr>
            <w:ind w:left="4536"/>
            <w:jc w:val="both"/>
            <w:rPr>
              <w:szCs w:val="24"/>
            </w:rPr>
          </w:pPr>
          <w:r>
            <w:rPr>
              <w:lang w:eastAsia="lt-LT"/>
            </w:rPr>
            <w:t xml:space="preserve">2022 m. sausio 5 d. </w:t>
          </w:r>
          <w:r>
            <w:rPr>
              <w:szCs w:val="24"/>
            </w:rPr>
            <w:t xml:space="preserve">nutarimo Nr. 4      </w:t>
          </w:r>
        </w:p>
        <w:p>
          <w:pPr>
            <w:ind w:left="4536"/>
            <w:jc w:val="both"/>
            <w:rPr>
              <w:szCs w:val="24"/>
            </w:rPr>
          </w:pPr>
          <w:r>
            <w:rPr>
              <w:szCs w:val="24"/>
            </w:rPr>
            <w:t>redakcija)</w:t>
          </w:r>
        </w:p>
        <w:p>
          <w:pPr>
            <w:jc w:val="both"/>
            <w:rPr>
              <w:szCs w:val="24"/>
            </w:rPr>
          </w:pPr>
        </w:p>
        <w:p>
          <w:pPr>
            <w:jc w:val="center"/>
            <w:rPr>
              <w:b/>
              <w:szCs w:val="24"/>
            </w:rPr>
          </w:pPr>
          <w:sdt>
            <w:sdtPr>
              <w:alias w:val="Pavadinimas"/>
              <w:tag w:val="title_d95ebbb7bf874e7b9e72f22aebc99db2"/>
              <w:lock w:val="sdtLocked"/>
              <w:richText/>
            </w:sdtPr>
            <w:sdtContent>
              <w:r>
                <w:rPr>
                  <w:b/>
                  <w:szCs w:val="24"/>
                </w:rPr>
                <w:t>KOMPETENCIJŲ VERTINIMO LĖŠŲ SKAIČIAVIMO VIENAM ASMENIUI METODIKA</w:t>
              </w:r>
            </w:sdtContent>
          </w:sdt>
        </w:p>
        <w:p>
          <w:pPr>
            <w:jc w:val="center"/>
            <w:rPr>
              <w:b/>
              <w:szCs w:val="24"/>
            </w:rPr>
          </w:pPr>
        </w:p>
        <w:sdt>
          <w:sdtPr>
            <w:alias w:val="skyrius"/>
            <w:tag w:val="part_addbdd426cbc4c11951cba3e6e3c9cd1"/>
            <w:lock w:val="sdtLocked"/>
            <w:richText/>
          </w:sdtPr>
          <w:sdtContent>
            <w:p>
              <w:pPr>
                <w:jc w:val="center"/>
                <w:rPr>
                  <w:b/>
                  <w:szCs w:val="24"/>
                </w:rPr>
              </w:pPr>
              <w:sdt>
                <w:sdtPr>
                  <w:alias w:val="Numeris"/>
                  <w:tag w:val="nr_addbdd426cbc4c11951cba3e6e3c9cd1"/>
                  <w:lock w:val="sdtLocked"/>
                  <w:richText/>
                </w:sdtPr>
                <w:sdtContent>
                  <w:r>
                    <w:rPr>
                      <w:b/>
                      <w:szCs w:val="24"/>
                    </w:rPr>
                    <w:t>I</w:t>
                  </w:r>
                </w:sdtContent>
              </w:sdt>
              <w:r>
                <w:rPr>
                  <w:b/>
                  <w:szCs w:val="24"/>
                </w:rPr>
                <w:t xml:space="preserve"> SKYRIUS</w:t>
              </w:r>
            </w:p>
            <w:p>
              <w:pPr>
                <w:jc w:val="center"/>
                <w:rPr>
                  <w:b/>
                  <w:szCs w:val="24"/>
                </w:rPr>
              </w:pPr>
              <w:sdt>
                <w:sdtPr>
                  <w:alias w:val="Pavadinimas"/>
                  <w:tag w:val="title_addbdd426cbc4c11951cba3e6e3c9cd1"/>
                  <w:lock w:val="sdtLocked"/>
                  <w:richText/>
                </w:sdtPr>
                <w:sdtContent>
                  <w:r>
                    <w:rPr>
                      <w:b/>
                      <w:szCs w:val="24"/>
                    </w:rPr>
                    <w:t>BENDROSIOS NUOSTATOS</w:t>
                  </w:r>
                </w:sdtContent>
              </w:sdt>
            </w:p>
            <w:p>
              <w:pPr>
                <w:ind w:firstLine="709"/>
                <w:jc w:val="both"/>
                <w:rPr>
                  <w:b/>
                  <w:szCs w:val="24"/>
                </w:rPr>
              </w:pPr>
            </w:p>
            <w:sdt>
              <w:sdtPr>
                <w:alias w:val="1 p."/>
                <w:tag w:val="part_a70691c796534204ae096ebc90836b01"/>
                <w:lock w:val="sdtLocked"/>
                <w:richText/>
              </w:sdtPr>
              <w:sdtContent>
                <w:p>
                  <w:pPr>
                    <w:ind w:firstLine="709"/>
                    <w:jc w:val="both"/>
                    <w:rPr>
                      <w:szCs w:val="24"/>
                      <w:shd w:val="clear" w:color="auto" w:fill="FFFFFF"/>
                    </w:rPr>
                  </w:pPr>
                  <w:sdt>
                    <w:sdtPr>
                      <w:alias w:val="Numeris"/>
                      <w:tag w:val="nr_a70691c796534204ae096ebc90836b01"/>
                      <w:lock w:val="sdtLocked"/>
                      <w:richText/>
                    </w:sdtPr>
                    <w:sdtContent>
                      <w:r>
                        <w:rPr>
                          <w:szCs w:val="24"/>
                        </w:rPr>
                        <w:t>1</w:t>
                      </w:r>
                    </w:sdtContent>
                  </w:sdt>
                  <w:r>
                    <w:rPr>
                      <w:szCs w:val="24"/>
                    </w:rPr>
                    <w:t xml:space="preserve">. Kompetencijų vertinimo lėšų skaičiavimo vienam asmeniui metodika (toliau – Metodika) reglamentuoja asmens kompetencijų vertinimo lėšų apskaičiavimą, kai, vadovaujantis švietimo, mokslo ir sporto ministro tvirtinamu asmens įgytų kompetencijų vertinimo tvarkos aprašu, yra organizuojamas asmens įgytų I–V lygio kvalifikacijų, </w:t>
                  </w:r>
                  <w:r>
                    <w:rPr>
                      <w:szCs w:val="24"/>
                      <w:shd w:val="clear" w:color="auto" w:fill="FFFFFF"/>
                    </w:rPr>
                    <w:t xml:space="preserve">reglamentuojamų Lietuvos kvalifikacijų sandaros aprašu, patvirtintu Lietuvos Respublikos Vyriausybės 2010 m. gegužės 4 d. nutarimu Nr. 535 </w:t>
                  </w:r>
                  <w:r>
                    <w:rPr>
                      <w:szCs w:val="24"/>
                    </w:rPr>
                    <w:t xml:space="preserve">„Dėl Lietuvos kvalifikacijų sandaros aprašo patvirtinimo“, kompetencijų (toliau – kompetencijos) vertinimas, jei asmuo baigė formaliojo profesinio mokymo programą arba jei jis įgijo kompetencijas, </w:t>
                  </w:r>
                  <w:r>
                    <w:rPr>
                      <w:szCs w:val="24"/>
                      <w:shd w:val="clear" w:color="auto" w:fill="FFFFFF"/>
                    </w:rPr>
                    <w:t xml:space="preserve">mokydamasis pagal neformaliojo profesinio mokymo programas, </w:t>
                  </w:r>
                  <w:r>
                    <w:rPr>
                      <w:szCs w:val="24"/>
                    </w:rPr>
                    <w:t xml:space="preserve">formaliojo profesinio mokymo </w:t>
                  </w:r>
                  <w:r>
                    <w:rPr>
                      <w:szCs w:val="24"/>
                      <w:shd w:val="clear" w:color="auto" w:fill="FFFFFF"/>
                    </w:rPr>
                    <w:t>programos dalį (modulį), darbo patirties arba savišvietos būdu.</w:t>
                  </w:r>
                </w:p>
              </w:sdtContent>
            </w:sdt>
            <w:sdt>
              <w:sdtPr>
                <w:alias w:val="2 p."/>
                <w:tag w:val="part_5349a2d87c6b41fdb090dbe57c570397"/>
                <w:lock w:val="sdtLocked"/>
                <w:richText/>
              </w:sdtPr>
              <w:sdtContent>
                <w:p>
                  <w:pPr>
                    <w:ind w:firstLine="709"/>
                    <w:jc w:val="both"/>
                    <w:rPr>
                      <w:szCs w:val="24"/>
                      <w:shd w:val="clear" w:color="auto" w:fill="FFFFFF"/>
                    </w:rPr>
                  </w:pPr>
                  <w:sdt>
                    <w:sdtPr>
                      <w:alias w:val="Numeris"/>
                      <w:tag w:val="nr_5349a2d87c6b41fdb090dbe57c570397"/>
                      <w:lock w:val="sdtLocked"/>
                      <w:richText/>
                    </w:sdtPr>
                    <w:sdtContent>
                      <w:r>
                        <w:rPr>
                          <w:szCs w:val="24"/>
                          <w:shd w:val="clear" w:color="auto" w:fill="FFFFFF"/>
                        </w:rPr>
                        <w:t>2</w:t>
                      </w:r>
                    </w:sdtContent>
                  </w:sdt>
                  <w:r>
                    <w:rPr>
                      <w:szCs w:val="24"/>
                      <w:shd w:val="clear" w:color="auto" w:fill="FFFFFF"/>
                    </w:rPr>
                    <w:t>. Metodika taikoma apskaičiuojant lėšas asmens kompetencijoms vertinti, kai kompetencijų vertinimas apmokamas:</w:t>
                  </w:r>
                </w:p>
                <w:sdt>
                  <w:sdtPr>
                    <w:alias w:val="2.1 pp."/>
                    <w:tag w:val="part_bceb367148f7495abe5bb33159371d48"/>
                    <w:lock w:val="sdtLocked"/>
                    <w:richText/>
                  </w:sdtPr>
                  <w:sdtContent>
                    <w:p>
                      <w:pPr>
                        <w:ind w:firstLine="709"/>
                        <w:jc w:val="both"/>
                        <w:rPr>
                          <w:szCs w:val="24"/>
                          <w:shd w:val="clear" w:color="auto" w:fill="FFFFFF"/>
                        </w:rPr>
                      </w:pPr>
                      <w:sdt>
                        <w:sdtPr>
                          <w:alias w:val="Numeris"/>
                          <w:tag w:val="nr_bceb367148f7495abe5bb33159371d48"/>
                          <w:lock w:val="sdtLocked"/>
                          <w:richText/>
                        </w:sdtPr>
                        <w:sdtContent>
                          <w:r>
                            <w:rPr>
                              <w:szCs w:val="24"/>
                              <w:shd w:val="clear" w:color="auto" w:fill="FFFFFF"/>
                            </w:rPr>
                            <w:t>2.1</w:t>
                          </w:r>
                        </w:sdtContent>
                      </w:sdt>
                      <w:r>
                        <w:rPr>
                          <w:szCs w:val="24"/>
                          <w:shd w:val="clear" w:color="auto" w:fill="FFFFFF"/>
                        </w:rPr>
                        <w:t xml:space="preserve">. iš Lietuvos Respublikos švietimo, mokslo ir sporto ministerijai patvirtintų valstybės biudžeto asignavimų – už asmenis, kurie </w:t>
                      </w:r>
                      <w:r>
                        <w:rPr>
                          <w:szCs w:val="24"/>
                        </w:rPr>
                        <w:t xml:space="preserve">baigė formaliojo profesinio mokymo programas </w:t>
                      </w:r>
                      <w:r>
                        <w:rPr>
                          <w:szCs w:val="24"/>
                          <w:shd w:val="clear" w:color="auto" w:fill="FFFFFF"/>
                        </w:rPr>
                        <w:t>valstybės finansuojamose profesinio mokymo vietose;</w:t>
                      </w:r>
                    </w:p>
                  </w:sdtContent>
                </w:sdt>
                <w:sdt>
                  <w:sdtPr>
                    <w:alias w:val="2.2 pp."/>
                    <w:tag w:val="part_56dbcb6c896045e2a88a226cb1ea12b0"/>
                    <w:lock w:val="sdtLocked"/>
                    <w:richText/>
                  </w:sdtPr>
                  <w:sdtContent>
                    <w:p>
                      <w:pPr>
                        <w:ind w:firstLine="709"/>
                        <w:jc w:val="both"/>
                        <w:rPr>
                          <w:szCs w:val="24"/>
                          <w:shd w:val="clear" w:color="auto" w:fill="FFFFFF"/>
                        </w:rPr>
                      </w:pPr>
                      <w:sdt>
                        <w:sdtPr>
                          <w:alias w:val="Numeris"/>
                          <w:tag w:val="nr_56dbcb6c896045e2a88a226cb1ea12b0"/>
                          <w:lock w:val="sdtLocked"/>
                          <w:richText/>
                        </w:sdtPr>
                        <w:sdtContent>
                          <w:r>
                            <w:rPr>
                              <w:szCs w:val="24"/>
                              <w:shd w:val="clear" w:color="auto" w:fill="FFFFFF"/>
                            </w:rPr>
                            <w:t>2.2</w:t>
                          </w:r>
                        </w:sdtContent>
                      </w:sdt>
                      <w:r>
                        <w:rPr>
                          <w:szCs w:val="24"/>
                          <w:shd w:val="clear" w:color="auto" w:fill="FFFFFF"/>
                        </w:rPr>
                        <w:t xml:space="preserve">. iš Lietuvos Respublikos socialinės apsaugos ir darbo ministerijai patvirtintų valstybės biudžeto asignavimų – už asmenis, kurie </w:t>
                      </w:r>
                      <w:r>
                        <w:rPr>
                          <w:szCs w:val="24"/>
                        </w:rPr>
                        <w:t xml:space="preserve">baigė formaliojo profesinio mokymo programas </w:t>
                      </w:r>
                      <w:r>
                        <w:rPr>
                          <w:szCs w:val="24"/>
                          <w:shd w:val="clear" w:color="auto" w:fill="FFFFFF"/>
                        </w:rPr>
                        <w:t xml:space="preserve">arba kurie </w:t>
                      </w:r>
                      <w:r>
                        <w:rPr>
                          <w:szCs w:val="24"/>
                        </w:rPr>
                        <w:t xml:space="preserve">įgijo kompetencijas, </w:t>
                      </w:r>
                      <w:r>
                        <w:rPr>
                          <w:szCs w:val="24"/>
                          <w:shd w:val="clear" w:color="auto" w:fill="FFFFFF"/>
                        </w:rPr>
                        <w:t xml:space="preserve">mokydamiesi pagal neformaliojo profesinio mokymo programas, </w:t>
                      </w:r>
                      <w:r>
                        <w:rPr>
                          <w:szCs w:val="24"/>
                        </w:rPr>
                        <w:t xml:space="preserve">formaliojo profesinio mokymo </w:t>
                      </w:r>
                      <w:r>
                        <w:rPr>
                          <w:szCs w:val="24"/>
                          <w:shd w:val="clear" w:color="auto" w:fill="FFFFFF"/>
                        </w:rPr>
                        <w:t xml:space="preserve">programų dalis (modulius), darbo patirties arba savišvietos būdu ir kurių kompetencijos vertinamos, sudarius </w:t>
                      </w:r>
                      <w:r>
                        <w:rPr>
                          <w:rFonts w:eastAsia="Calibri"/>
                          <w:szCs w:val="24"/>
                        </w:rPr>
                        <w:t>sutartį su Užimtumo tarnyba prie Lietuvos Respublikos socialinės apsaugos ir darbo ministerijos;</w:t>
                      </w:r>
                    </w:p>
                  </w:sdtContent>
                </w:sdt>
                <w:sdt>
                  <w:sdtPr>
                    <w:alias w:val="2.3 pp."/>
                    <w:tag w:val="part_a656d91b791b46e5960d4d0359633e0a"/>
                    <w:lock w:val="sdtLocked"/>
                    <w:richText/>
                  </w:sdtPr>
                  <w:sdtContent>
                    <w:p>
                      <w:pPr>
                        <w:ind w:firstLine="709"/>
                        <w:jc w:val="both"/>
                        <w:rPr>
                          <w:szCs w:val="24"/>
                          <w:shd w:val="clear" w:color="auto" w:fill="FFFFFF"/>
                        </w:rPr>
                      </w:pPr>
                      <w:sdt>
                        <w:sdtPr>
                          <w:alias w:val="Numeris"/>
                          <w:tag w:val="nr_a656d91b791b46e5960d4d0359633e0a"/>
                          <w:lock w:val="sdtLocked"/>
                          <w:richText/>
                        </w:sdtPr>
                        <w:sdtContent>
                          <w:r>
                            <w:rPr>
                              <w:szCs w:val="24"/>
                              <w:shd w:val="clear" w:color="auto" w:fill="FFFFFF"/>
                            </w:rPr>
                            <w:t>2.3</w:t>
                          </w:r>
                        </w:sdtContent>
                      </w:sdt>
                      <w:r>
                        <w:rPr>
                          <w:szCs w:val="24"/>
                          <w:shd w:val="clear" w:color="auto" w:fill="FFFFFF"/>
                        </w:rPr>
                        <w:t xml:space="preserve">. privačių asmenų ar kitomis lėšomis – už asmenis, kurie </w:t>
                      </w:r>
                      <w:r>
                        <w:rPr>
                          <w:szCs w:val="24"/>
                        </w:rPr>
                        <w:t xml:space="preserve">baigė formaliojo profesinio mokymo programas </w:t>
                      </w:r>
                      <w:r>
                        <w:rPr>
                          <w:szCs w:val="24"/>
                          <w:shd w:val="clear" w:color="auto" w:fill="FFFFFF"/>
                        </w:rPr>
                        <w:t xml:space="preserve">valstybės nefinansuojamose profesinio mokymo vietose arba kurie </w:t>
                      </w:r>
                      <w:r>
                        <w:rPr>
                          <w:szCs w:val="24"/>
                        </w:rPr>
                        <w:t xml:space="preserve">įgijo kompetencijas, </w:t>
                      </w:r>
                      <w:r>
                        <w:rPr>
                          <w:szCs w:val="24"/>
                          <w:shd w:val="clear" w:color="auto" w:fill="FFFFFF"/>
                        </w:rPr>
                        <w:t xml:space="preserve">mokydamiesi pagal neformaliojo profesinio mokymo programas, </w:t>
                      </w:r>
                      <w:r>
                        <w:rPr>
                          <w:szCs w:val="24"/>
                        </w:rPr>
                        <w:t xml:space="preserve">formaliojo profesinio mokymo </w:t>
                      </w:r>
                      <w:r>
                        <w:rPr>
                          <w:szCs w:val="24"/>
                          <w:shd w:val="clear" w:color="auto" w:fill="FFFFFF"/>
                        </w:rPr>
                        <w:t>programų dalis (modulius), darbo patirties arba savišvietos būdu (išskyrus Metodikos 2.2 papunktyje nurodytą atvejį).</w:t>
                      </w:r>
                    </w:p>
                  </w:sdtContent>
                </w:sdt>
              </w:sdtContent>
            </w:sdt>
            <w:sdt>
              <w:sdtPr>
                <w:alias w:val="3 p."/>
                <w:tag w:val="part_d6dc70faf3134db78af22bfb2c90f285"/>
                <w:lock w:val="sdtLocked"/>
                <w:richText/>
              </w:sdtPr>
              <w:sdtContent>
                <w:p>
                  <w:pPr>
                    <w:ind w:firstLine="709"/>
                    <w:jc w:val="both"/>
                  </w:pPr>
                  <w:sdt>
                    <w:sdtPr>
                      <w:alias w:val="Numeris"/>
                      <w:tag w:val="nr_d6dc70faf3134db78af22bfb2c90f285"/>
                      <w:lock w:val="sdtLocked"/>
                      <w:richText/>
                    </w:sdtPr>
                    <w:sdtContent>
                      <w:r>
                        <w:rPr>
                          <w:szCs w:val="24"/>
                          <w:lang w:eastAsia="lt-LT"/>
                        </w:rPr>
                        <w:t>3</w:t>
                      </w:r>
                    </w:sdtContent>
                  </w:sdt>
                  <w:r>
                    <w:rPr>
                      <w:szCs w:val="24"/>
                      <w:lang w:eastAsia="lt-LT"/>
                    </w:rPr>
                    <w:t xml:space="preserve">. </w:t>
                  </w:r>
                  <w:r>
                    <w:rPr>
                      <w:lang w:eastAsia="lt-LT"/>
                    </w:rPr>
                    <w:t xml:space="preserve">Metodikoje vartojamos sąvokos </w:t>
                  </w:r>
                  <w:r>
                    <w:rPr>
                      <w:szCs w:val="24"/>
                      <w:lang w:eastAsia="lt-LT"/>
                    </w:rPr>
                    <w:t>suprantamos taip, kaip apibrėžiamos</w:t>
                  </w:r>
                  <w:r>
                    <w:rPr>
                      <w:b/>
                      <w:bCs/>
                      <w:szCs w:val="24"/>
                      <w:lang w:eastAsia="lt-LT"/>
                    </w:rPr>
                    <w:t xml:space="preserve"> </w:t>
                  </w:r>
                  <w:r>
                    <w:rPr>
                      <w:lang w:eastAsia="lt-LT"/>
                    </w:rPr>
                    <w:t>Lietuvos Respublikos profesinio mokymo įstatyme ir Lietuvos Respublikos švietimo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626672c6c111efa5ddd96c482819f5">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2024-12-30,
paskelbta TAR 2024-12-30, i. k. 2024-23515            </w:t>
                  </w:r>
                </w:p>
                <w:p/>
              </w:sdtContent>
            </w:sdt>
          </w:sdtContent>
        </w:sdt>
        <w:sdt>
          <w:sdtPr>
            <w:alias w:val="skyrius"/>
            <w:tag w:val="part_ea5fada0720f409f82b9925d96c4b3ea"/>
            <w:lock w:val="sdtLocked"/>
            <w:richText/>
          </w:sdtPr>
          <w:sdtContent>
            <w:p>
              <w:pPr>
                <w:jc w:val="center"/>
                <w:rPr>
                  <w:b/>
                  <w:szCs w:val="24"/>
                </w:rPr>
              </w:pPr>
              <w:sdt>
                <w:sdtPr>
                  <w:alias w:val="Numeris"/>
                  <w:tag w:val="nr_ea5fada0720f409f82b9925d96c4b3ea"/>
                  <w:lock w:val="sdtLocked"/>
                  <w:richText/>
                </w:sdtPr>
                <w:sdtContent>
                  <w:r>
                    <w:rPr>
                      <w:b/>
                      <w:szCs w:val="24"/>
                    </w:rPr>
                    <w:t>II</w:t>
                  </w:r>
                </w:sdtContent>
              </w:sdt>
              <w:r>
                <w:rPr>
                  <w:b/>
                  <w:szCs w:val="24"/>
                </w:rPr>
                <w:t xml:space="preserve"> SKYRIUS</w:t>
              </w:r>
            </w:p>
            <w:p>
              <w:pPr>
                <w:jc w:val="center"/>
                <w:rPr>
                  <w:b/>
                  <w:szCs w:val="24"/>
                </w:rPr>
              </w:pPr>
              <w:sdt>
                <w:sdtPr>
                  <w:alias w:val="Pavadinimas"/>
                  <w:tag w:val="title_ea5fada0720f409f82b9925d96c4b3ea"/>
                  <w:lock w:val="sdtLocked"/>
                  <w:richText/>
                </w:sdtPr>
                <w:sdtContent>
                  <w:r>
                    <w:rPr>
                      <w:b/>
                      <w:szCs w:val="24"/>
                    </w:rPr>
                    <w:t>KOMPETENCIJŲ VERTINIMO LĖŠŲ APSKAIČIAVIMAS</w:t>
                  </w:r>
                </w:sdtContent>
              </w:sdt>
            </w:p>
            <w:p>
              <w:pPr>
                <w:jc w:val="both"/>
                <w:rPr>
                  <w:szCs w:val="24"/>
                  <w:shd w:val="clear" w:color="auto" w:fill="FFFFFF"/>
                </w:rPr>
              </w:pPr>
            </w:p>
            <w:sdt>
              <w:sdtPr>
                <w:alias w:val="4 p."/>
                <w:tag w:val="part_0400c9bca3934b1ea4a6034ce0045614"/>
                <w:lock w:val="sdtLocked"/>
                <w:richText/>
              </w:sdtPr>
              <w:sdtContent>
                <w:p>
                  <w:pPr>
                    <w:ind w:firstLine="709"/>
                    <w:jc w:val="both"/>
                  </w:pPr>
                  <w:sdt>
                    <w:sdtPr>
                      <w:alias w:val="Numeris"/>
                      <w:tag w:val="nr_0400c9bca3934b1ea4a6034ce0045614"/>
                      <w:lock w:val="sdtLocked"/>
                      <w:richText/>
                    </w:sdtPr>
                    <w:sdtContent>
                      <w:r>
                        <w:rPr>
                          <w:szCs w:val="24"/>
                          <w:shd w:val="clear" w:color="auto" w:fill="FFFFFF"/>
                        </w:rPr>
                        <w:t>4</w:t>
                      </w:r>
                    </w:sdtContent>
                  </w:sdt>
                  <w:r>
                    <w:rPr>
                      <w:szCs w:val="24"/>
                      <w:shd w:val="clear" w:color="auto" w:fill="FFFFFF"/>
                    </w:rPr>
                    <w:t xml:space="preserve">. Lėšos asmens kompetencijoms vertinti apskaičiuojamos, sudėjus </w:t>
                  </w:r>
                  <w:r>
                    <w:t>lėšas, skirtas šioms reikmėms:</w:t>
                  </w:r>
                </w:p>
                <w:sdt>
                  <w:sdtPr>
                    <w:alias w:val="4.1 pp."/>
                    <w:tag w:val="part_80088fc2727345cbae51f706d781d8cc"/>
                    <w:lock w:val="sdtLocked"/>
                    <w:richText/>
                  </w:sdtPr>
                  <w:sdtContent>
                    <w:p>
                      <w:pPr>
                        <w:ind w:firstLine="709"/>
                        <w:jc w:val="both"/>
                        <w:rPr>
                          <w:szCs w:val="24"/>
                        </w:rPr>
                      </w:pPr>
                      <w:sdt>
                        <w:sdtPr>
                          <w:alias w:val="Numeris"/>
                          <w:tag w:val="nr_80088fc2727345cbae51f706d781d8cc"/>
                          <w:lock w:val="sdtLocked"/>
                          <w:richText/>
                        </w:sdtPr>
                        <w:sdtContent>
                          <w:r>
                            <w:rPr>
                              <w:szCs w:val="24"/>
                              <w:lang w:eastAsia="lt-LT"/>
                            </w:rPr>
                            <w:t>4.1</w:t>
                          </w:r>
                        </w:sdtContent>
                      </w:sdt>
                      <w:r>
                        <w:rPr>
                          <w:szCs w:val="24"/>
                          <w:lang w:eastAsia="lt-LT"/>
                        </w:rPr>
                        <w:t xml:space="preserve">. </w:t>
                      </w:r>
                      <w:r>
                        <w:rPr>
                          <w:szCs w:val="24"/>
                          <w:shd w:val="clear" w:color="auto" w:fill="FFFFFF"/>
                          <w:lang w:eastAsia="lt-LT"/>
                        </w:rPr>
                        <w:t>elektroninio kompetencijų vertinimo sistemai</w:t>
                      </w:r>
                      <w:r>
                        <w:rPr>
                          <w:szCs w:val="24"/>
                          <w:lang w:eastAsia="lt-LT"/>
                        </w:rPr>
                        <w:t xml:space="preserve"> administruoti – 0,0012 Lietuvos Respublikos </w:t>
                      </w:r>
                      <w:r>
                        <w:rPr>
                          <w:bCs/>
                          <w:lang w:eastAsia="lt-LT"/>
                        </w:rPr>
                        <w:t xml:space="preserve">pareiginės algos (atlyginimo) bazinio dydžio nustatymo ir asignavimų darbo užmokesčiui perskaičiavimo </w:t>
                      </w:r>
                      <w:r>
                        <w:rPr>
                          <w:bCs/>
                          <w:color w:val="000000"/>
                          <w:lang w:eastAsia="lt-LT"/>
                        </w:rPr>
                        <w:t xml:space="preserve">įstatyme </w:t>
                      </w:r>
                      <w:r>
                        <w:rPr>
                          <w:szCs w:val="24"/>
                          <w:lang w:eastAsia="lt-LT"/>
                        </w:rPr>
                        <w:t xml:space="preserve">nustatyto pareiginės algos </w:t>
                      </w:r>
                      <w:r>
                        <w:rPr>
                          <w:color w:val="000000"/>
                          <w:lang w:eastAsia="lt-LT"/>
                        </w:rPr>
                        <w:t xml:space="preserve">(atlyginimo) </w:t>
                      </w:r>
                      <w:r>
                        <w:rPr>
                          <w:szCs w:val="24"/>
                          <w:lang w:eastAsia="lt-LT"/>
                        </w:rPr>
                        <w:t>bazinio dydžio (toliau – bazinis dydis);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568e0aa3311eea5a28c81c82193a8">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2024-01-03,
paskelbta TAR 2024-01-03, i. k. 2024-00079            </w:t>
                      </w:r>
                    </w:p>
                    <w:p/>
                  </w:sdtContent>
                </w:sdt>
                <w:sdt>
                  <w:sdtPr>
                    <w:alias w:val="4.2 pp."/>
                    <w:tag w:val="part_ac0d6217c6734b5ca33699bc2ff92c99"/>
                    <w:lock w:val="sdtLocked"/>
                    <w:richText/>
                  </w:sdtPr>
                  <w:sdtContent>
                    <w:p>
                      <w:pPr>
                        <w:ind w:firstLine="709"/>
                        <w:jc w:val="both"/>
                        <w:rPr>
                          <w:szCs w:val="24"/>
                          <w:lang w:eastAsia="lt-LT"/>
                        </w:rPr>
                      </w:pPr>
                      <w:sdt>
                        <w:sdtPr>
                          <w:alias w:val="Numeris"/>
                          <w:tag w:val="nr_ac0d6217c6734b5ca33699bc2ff92c99"/>
                          <w:lock w:val="sdtLocked"/>
                          <w:richText/>
                        </w:sdtPr>
                        <w:sdtContent>
                          <w:r>
                            <w:rPr>
                              <w:szCs w:val="24"/>
                              <w:lang w:eastAsia="lt-LT"/>
                            </w:rPr>
                            <w:t>4.2</w:t>
                          </w:r>
                        </w:sdtContent>
                      </w:sdt>
                      <w:r>
                        <w:rPr>
                          <w:szCs w:val="24"/>
                          <w:lang w:eastAsia="lt-LT"/>
                        </w:rPr>
                        <w:t xml:space="preserve">. teorinės dalies (žinių) vertinimo testo laikymo eigą prižiūrinčių darbuotojų darbo užmokesčiui (įskaitant valstybinio socialinio draudimo įmokas </w:t>
                      </w:r>
                      <w:r>
                        <w:rPr>
                          <w:lang w:eastAsia="lt-LT"/>
                        </w:rPr>
                        <w:t>(toliau – socialinio draudimo įmokos)</w:t>
                      </w:r>
                      <w:r>
                        <w:rPr>
                          <w:szCs w:val="24"/>
                          <w:lang w:eastAsia="lt-LT"/>
                        </w:rPr>
                        <w:t>, įmokas į Ilgalaikio darbo išmokų fondą ir Garantinį fondą), kurios apskaičiuojamos pagal formulę:</w:t>
                      </w:r>
                    </w:p>
                    <w:p>
                      <w:pPr>
                        <w:ind w:firstLine="709"/>
                        <w:jc w:val="both"/>
                        <w:rPr>
                          <w:szCs w:val="24"/>
                          <w:lang w:eastAsia="lt-LT"/>
                        </w:rPr>
                      </w:pPr>
                    </w:p>
                    <w:p>
                      <w:pPr>
                        <w:ind w:firstLine="709"/>
                        <w:jc w:val="both"/>
                        <w:rPr>
                          <w:szCs w:val="24"/>
                          <w:lang w:eastAsia="lt-LT"/>
                        </w:rPr>
                      </w:pPr>
                      <m:oMathPara>
                        <m:oMath>
                          <m:r>
                            <w:rPr>
                              <w:rFonts w:ascii="Cambria Math" w:hAnsi="Cambria Math"/>
                              <w:szCs w:val="24"/>
                            </w:rPr>
                            <m:t>DU</m:t>
                          </m:r>
                          <m:r>
                            <w:rPr>
                              <w:rFonts w:ascii="Cambria Math" w:hAnsi="Cambria Math"/>
                              <w:szCs w:val="24"/>
                              <w:vertAlign w:val="subscript"/>
                            </w:rPr>
                            <m:t>1</m:t>
                          </m:r>
                          <m:r>
                            <w:rPr>
                              <w:rFonts w:ascii="Cambria Math" w:hAnsi="Cambria Math"/>
                              <w:szCs w:val="24"/>
                            </w:rPr>
                            <m:t xml:space="preserve"> =</m:t>
                          </m:r>
                          <m:f>
                            <m:fPr>
                              <m:ctrlPr>
                                <w:rPr>
                                  <w:rFonts w:ascii="Cambria Math" w:hAnsi="Cambria Math"/>
                                  <w:i/>
                                  <w:szCs w:val="24"/>
                                </w:rPr>
                              </m:ctrlPr>
                            </m:fPr>
                            <m:num>
                              <m:r>
                                <w:rPr>
                                  <w:rFonts w:ascii="Cambria Math" w:hAnsi="Cambria Math"/>
                                  <w:szCs w:val="24"/>
                                </w:rPr>
                                <m:t>d x R x BD x k x h</m:t>
                              </m:r>
                            </m:num>
                            <m:den>
                              <m:r>
                                <w:rPr>
                                  <w:rFonts w:ascii="Cambria Math" w:hAnsi="Cambria Math"/>
                                  <w:szCs w:val="24"/>
                                </w:rPr>
                                <m:t>H x n</m:t>
                              </m:r>
                            </m:den>
                          </m:f>
                          <m:r>
                            <w:rPr>
                              <w:rFonts w:ascii="Cambria Math" w:hAnsi="Cambria Math"/>
                              <w:szCs w:val="24"/>
                            </w:rPr>
                            <m:t>,</m:t>
                          </m:r>
                        </m:oMath>
                      </m:oMathPara>
                    </w:p>
                    <w:p>
                      <w:pPr>
                        <w:ind w:firstLine="709"/>
                        <w:jc w:val="both"/>
                        <w:rPr>
                          <w:szCs w:val="24"/>
                          <w:lang w:eastAsia="lt-LT"/>
                        </w:rPr>
                      </w:pPr>
                    </w:p>
                    <w:p>
                      <w:pPr>
                        <w:ind w:firstLine="709"/>
                        <w:jc w:val="both"/>
                        <w:rPr>
                          <w:szCs w:val="24"/>
                          <w:lang w:eastAsia="lt-LT"/>
                        </w:rPr>
                      </w:pPr>
                      <w:r>
                        <w:rPr>
                          <w:szCs w:val="24"/>
                          <w:lang w:eastAsia="lt-LT"/>
                        </w:rPr>
                        <w:t>čia:</w:t>
                      </w:r>
                    </w:p>
                    <w:p>
                      <w:pPr>
                        <w:ind w:firstLine="709"/>
                        <w:jc w:val="both"/>
                        <w:rPr>
                          <w:szCs w:val="24"/>
                          <w:lang w:eastAsia="lt-LT"/>
                        </w:rPr>
                      </w:pPr>
                      <w:r>
                        <w:rPr>
                          <w:szCs w:val="24"/>
                          <w:lang w:eastAsia="lt-LT"/>
                        </w:rPr>
                        <w:t>DU1 – lėšos teorinės dalies (žinių) vertinimo testo laikymo eigą prižiūrinčių darbuotojų darbo užmokesčiui (įskaitant socialinio draudimo įmokas, įmokas į Ilgalaikio darbo išmokų fondą ir Garantinį fondą);</w:t>
                      </w:r>
                    </w:p>
                    <w:p>
                      <w:pPr>
                        <w:ind w:firstLine="709"/>
                        <w:jc w:val="both"/>
                        <w:rPr>
                          <w:szCs w:val="24"/>
                          <w:lang w:eastAsia="lt-LT"/>
                        </w:rPr>
                      </w:pPr>
                      <w:r>
                        <w:rPr>
                          <w:szCs w:val="24"/>
                          <w:lang w:eastAsia="lt-LT"/>
                        </w:rPr>
                        <w:t>d – minimalus teorinės dalies (žinių) vertinimo testo vykdymo eigą prižiūrinčių darbuotojų skaičius, kuris lygus 2;</w:t>
                      </w:r>
                    </w:p>
                    <w:p>
                      <w:pPr>
                        <w:ind w:firstLine="709"/>
                        <w:jc w:val="both"/>
                        <w:rPr>
                          <w:szCs w:val="24"/>
                          <w:lang w:eastAsia="lt-LT"/>
                        </w:rPr>
                      </w:pPr>
                      <w:r>
                        <w:rPr>
                          <w:szCs w:val="24"/>
                          <w:lang w:eastAsia="lt-LT"/>
                        </w:rPr>
                        <w:t>R – Profesinio mokymo lėšų skaičiavimo vienam mokiniui, kuris mokosi pagal formaliojo profesinio mokymo programą, metodikoje, patvirtintoje Lietuvos Respublikos Vyriausybės 2019 m. rugsėjo 11 d. nutarimu Nr. 934 „Dėl Profesinio mokymo lėšų skaičiavimo vienam mokiniui, kuris mokosi pagal formaliojo profesinio mokymo programą, metodikos patvirtinimo“ (toliau – Profesinio mokymo lėšų skaičiavimo vienam mokiniui, kuris mokosi pagal formaliojo profesinio mokymo programą, metodika), nustatytas vidutinis sąlyginis mokytojo pareiginės algos koeficientas (toliau – vidutinis sąlyginis mokytojo pareiginės algos koeficientas);</w:t>
                      </w:r>
                    </w:p>
                    <w:p>
                      <w:pPr>
                        <w:ind w:firstLine="709"/>
                        <w:jc w:val="both"/>
                        <w:rPr>
                          <w:szCs w:val="24"/>
                          <w:lang w:eastAsia="lt-LT"/>
                        </w:rPr>
                      </w:pPr>
                      <w:r>
                        <w:rPr>
                          <w:szCs w:val="24"/>
                          <w:lang w:eastAsia="lt-LT"/>
                        </w:rPr>
                        <w:t>BD – bazinis dydis;</w:t>
                      </w:r>
                    </w:p>
                    <w:p>
                      <w:pPr>
                        <w:ind w:firstLine="709"/>
                        <w:jc w:val="both"/>
                        <w:rPr>
                          <w:szCs w:val="24"/>
                          <w:lang w:eastAsia="lt-LT"/>
                        </w:rPr>
                      </w:pPr>
                      <w:r>
                        <w:rPr>
                          <w:szCs w:val="24"/>
                          <w:lang w:eastAsia="lt-LT"/>
                        </w:rPr>
                        <w:t>k – socialinio draudimo įmokų,</w:t>
                      </w:r>
                      <w:r>
                        <w:rPr>
                          <w:lang w:eastAsia="lt-LT"/>
                        </w:rPr>
                        <w:t xml:space="preserve"> įmokų į Ilgalaikio darbo išmokų fondą</w:t>
                      </w:r>
                      <w:r>
                        <w:rPr>
                          <w:szCs w:val="24"/>
                          <w:lang w:eastAsia="lt-LT"/>
                        </w:rPr>
                        <w:t xml:space="preserve"> ir į Garantinį fondą koeficientas, apskaičiuojamas taikant socialinio draudimo įmokos tarifą (t</w:t>
                      </w:r>
                      <w:r>
                        <w:rPr>
                          <w:szCs w:val="24"/>
                          <w:vertAlign w:val="subscript"/>
                          <w:lang w:eastAsia="lt-LT"/>
                        </w:rPr>
                        <w:t>soc</w:t>
                      </w:r>
                      <w:r>
                        <w:rPr>
                          <w:szCs w:val="24"/>
                          <w:lang w:eastAsia="lt-LT"/>
                        </w:rPr>
                        <w:t xml:space="preserve">), </w:t>
                      </w:r>
                      <w:r>
                        <w:rPr>
                          <w:lang w:eastAsia="lt-LT"/>
                        </w:rP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nustatytus teisės aktuose, reglamentuojančiuose šių tarifų dydžius, išreikštus vieneto dalimis, pagal formulę: k = 1 + t</w:t>
                      </w:r>
                      <w:r>
                        <w:rPr>
                          <w:szCs w:val="24"/>
                          <w:vertAlign w:val="subscript"/>
                          <w:lang w:eastAsia="lt-LT"/>
                        </w:rPr>
                        <w:t xml:space="preserve">soc </w:t>
                      </w:r>
                      <w:r>
                        <w:rPr>
                          <w:szCs w:val="24"/>
                          <w:lang w:eastAsia="lt-LT"/>
                        </w:rPr>
                        <w:t>+ t</w:t>
                      </w:r>
                      <w:r>
                        <w:rPr>
                          <w:szCs w:val="24"/>
                          <w:vertAlign w:val="subscript"/>
                          <w:lang w:eastAsia="lt-LT"/>
                        </w:rPr>
                        <w:t>dif</w:t>
                      </w:r>
                      <w:r>
                        <w:rPr>
                          <w:szCs w:val="24"/>
                          <w:lang w:eastAsia="lt-LT"/>
                        </w:rPr>
                        <w:t xml:space="preserve"> + t</w:t>
                      </w:r>
                      <w:r>
                        <w:rPr>
                          <w:szCs w:val="24"/>
                          <w:vertAlign w:val="subscript"/>
                          <w:lang w:eastAsia="lt-LT"/>
                        </w:rPr>
                        <w:t>gf</w:t>
                      </w:r>
                      <w:r>
                        <w:rPr>
                          <w:szCs w:val="24"/>
                          <w:lang w:eastAsia="lt-LT"/>
                        </w:rPr>
                        <w:t xml:space="preserve"> (toliau – socialinio draudimo įmokų,</w:t>
                      </w:r>
                      <w:r>
                        <w:rPr>
                          <w:lang w:eastAsia="lt-LT"/>
                        </w:rPr>
                        <w:t xml:space="preserve"> įmokų į Ilgalaikio darbo išmokų fondą</w:t>
                      </w:r>
                      <w:r>
                        <w:rPr>
                          <w:szCs w:val="24"/>
                          <w:lang w:eastAsia="lt-LT"/>
                        </w:rPr>
                        <w:t xml:space="preserve"> ir į Garantinį fondą koeficientas);</w:t>
                      </w:r>
                    </w:p>
                    <w:p>
                      <w:pPr>
                        <w:ind w:firstLine="709"/>
                        <w:jc w:val="both"/>
                        <w:rPr>
                          <w:lang w:eastAsia="lt-LT"/>
                        </w:rPr>
                      </w:pPr>
                      <w:r>
                        <w:rPr>
                          <w:szCs w:val="24"/>
                          <w:lang w:eastAsia="lt-LT"/>
                        </w:rPr>
                        <w:t xml:space="preserve">h – </w:t>
                      </w:r>
                      <w:r>
                        <w:rPr>
                          <w:lang w:eastAsia="lt-LT"/>
                        </w:rPr>
                        <w:t>teorinės dalies (žinių) vertinimo testo trukmė, kuri lygi 2 valandoms;</w:t>
                      </w:r>
                    </w:p>
                    <w:p>
                      <w:pPr>
                        <w:ind w:firstLine="709"/>
                        <w:jc w:val="both"/>
                        <w:rPr>
                          <w:lang w:eastAsia="lt-LT"/>
                        </w:rPr>
                      </w:pPr>
                      <w:r>
                        <w:rPr>
                          <w:lang w:eastAsia="lt-LT"/>
                        </w:rPr>
                        <w:t>H – sąlyginis mėnesio darbo valandų skaičius, kuris apskaičiuojamas, laikant, kad savaitėje yra 5 darbo dienos, 36 darbo valandos, o per mėnesį dirbama 21 dieną (toliau – sąlyginis mėnesio darbo valandų skaičius), ir yra lygus 151,2 valandoms;</w:t>
                      </w:r>
                    </w:p>
                    <w:p>
                      <w:pPr>
                        <w:ind w:firstLine="709"/>
                        <w:jc w:val="both"/>
                      </w:pPr>
                      <w:r>
                        <w:rPr>
                          <w:lang w:eastAsia="lt-LT"/>
                        </w:rPr>
                        <w:t xml:space="preserve">n – sąlyginis </w:t>
                      </w:r>
                      <w:r>
                        <w:rPr>
                          <w:color w:val="000000"/>
                          <w:lang w:eastAsia="lt-LT"/>
                        </w:rPr>
                        <w:t xml:space="preserve">asmenų, kurių kompetencijos yra vertinamos, </w:t>
                      </w:r>
                      <w:r>
                        <w:rPr>
                          <w:lang w:eastAsia="lt-LT"/>
                        </w:rPr>
                        <w:t xml:space="preserve">skaičius grupėje, kuris lygus: 15 – </w:t>
                      </w:r>
                      <w:r>
                        <w:rPr>
                          <w:szCs w:val="24"/>
                          <w:lang w:eastAsia="lt-LT"/>
                        </w:rPr>
                        <w:t xml:space="preserve">jei asmuo baigė formaliojo profesinio mokymo programą, 5 – jei asmuo įgijo kompetencijas, </w:t>
                      </w:r>
                      <w:r>
                        <w:rPr>
                          <w:szCs w:val="24"/>
                          <w:shd w:val="clear" w:color="auto" w:fill="FFFFFF"/>
                          <w:lang w:eastAsia="lt-LT"/>
                        </w:rPr>
                        <w:t xml:space="preserve">mokydamasis pagal neformaliojo profesinio mokymo programas, </w:t>
                      </w:r>
                      <w:r>
                        <w:rPr>
                          <w:szCs w:val="24"/>
                          <w:lang w:eastAsia="lt-LT"/>
                        </w:rPr>
                        <w:t xml:space="preserve">formaliojo profesinio mokymo </w:t>
                      </w:r>
                      <w:r>
                        <w:rPr>
                          <w:szCs w:val="24"/>
                          <w:shd w:val="clear" w:color="auto" w:fill="FFFFFF"/>
                          <w:lang w:eastAsia="lt-LT"/>
                        </w:rPr>
                        <w:t>programos dalį (modulį), darbo patirties arba savišvietos būdu</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8c60828f11ed8df094f359a60216">
                        <w:r w:rsidRPr="00532B9F">
                          <w:rPr>
                            <w:rFonts w:ascii="Times New Roman" w:eastAsia="MS Mincho" w:hAnsi="Times New Roman"/>
                            <w:sz w:val="20"/>
                            <w:i/>
                            <w:iCs/>
                            <w:color w:val="0000FF" w:themeColor="hyperlink"/>
                            <w:u w:val="single"/>
                          </w:rPr>
                          <w:t>1303</w:t>
                        </w:r>
                      </w:fldSimple>
                      <w:r>
                        <w:rPr>
                          <w:rFonts w:ascii="Times New Roman" w:eastAsia="MS Mincho" w:hAnsi="Times New Roman"/>
                          <w:sz w:val="20"/>
                          <w:i/>
                          <w:iCs/>
                        </w:rPr>
                        <w:t>,
2022-12-21,
paskelbta TAR 2022-12-23, i. k. 2022-26632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568e0aa3311eea5a28c81c82193a8">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2024-01-03,
paskelbta TAR 2024-01-03, i. k. 2024-00079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626672c6c111efa5ddd96c482819f5">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2024-12-30,
paskelbta TAR 2024-12-30, i. k. 2024-23515            </w:t>
                      </w:r>
                    </w:p>
                    <w:p/>
                  </w:sdtContent>
                </w:sdt>
                <w:sdt>
                  <w:sdtPr>
                    <w:alias w:val="4.3 pp."/>
                    <w:tag w:val="part_48a3a97e0be04e9c8b11da2a4d40e740"/>
                    <w:lock w:val="sdtLocked"/>
                    <w:richText/>
                  </w:sdtPr>
                  <w:sdtContent>
                    <w:p>
                      <w:pPr>
                        <w:ind w:firstLine="709"/>
                        <w:jc w:val="both"/>
                        <w:rPr>
                          <w:szCs w:val="24"/>
                        </w:rPr>
                      </w:pPr>
                      <w:sdt>
                        <w:sdtPr>
                          <w:alias w:val="Numeris"/>
                          <w:tag w:val="nr_48a3a97e0be04e9c8b11da2a4d40e740"/>
                          <w:lock w:val="sdtLocked"/>
                          <w:richText/>
                        </w:sdtPr>
                        <w:sdtContent>
                          <w:r>
                            <w:rPr>
                              <w:szCs w:val="24"/>
                            </w:rPr>
                            <w:t>4.3</w:t>
                          </w:r>
                        </w:sdtContent>
                      </w:sdt>
                      <w:r>
                        <w:rPr>
                          <w:szCs w:val="24"/>
                        </w:rPr>
                        <w:t xml:space="preserve">. asmens įgytų </w:t>
                      </w:r>
                      <w:r>
                        <w:rPr>
                          <w:color w:val="000000"/>
                          <w:szCs w:val="24"/>
                        </w:rPr>
                        <w:t xml:space="preserve">kompetencijų </w:t>
                      </w:r>
                      <w:r>
                        <w:rPr>
                          <w:szCs w:val="24"/>
                        </w:rPr>
                        <w:t>vertinimo komisijos narių darbo užmokesčiui (įskaitant socialinio draudimo įmokas, įmokas į Ilgalaikio darbo išmokų fondą ir Garantinį fondą), kurios apskaičiuojamos pagal formulę:</w:t>
                      </w:r>
                    </w:p>
                    <w:p>
                      <w:pPr>
                        <w:ind w:firstLine="709"/>
                        <w:jc w:val="both"/>
                        <w:rPr>
                          <w:szCs w:val="24"/>
                        </w:rPr>
                      </w:pPr>
                    </w:p>
                    <w:p>
                      <w:pPr>
                        <w:ind w:firstLine="709"/>
                        <w:jc w:val="both"/>
                        <w:rPr>
                          <w:szCs w:val="24"/>
                        </w:rPr>
                      </w:pPr>
                      <m:oMathPara>
                        <m:oMath>
                          <m:r>
                            <w:rPr>
                              <w:rFonts w:ascii="Cambria Math" w:hAnsi="Cambria Math"/>
                              <w:szCs w:val="24"/>
                            </w:rPr>
                            <m:t>DU</m:t>
                          </m:r>
                          <m:r>
                            <w:rPr>
                              <w:rFonts w:ascii="Cambria Math" w:hAnsi="Cambria Math"/>
                              <w:szCs w:val="24"/>
                              <w:vertAlign w:val="subscript"/>
                            </w:rPr>
                            <m:t>2</m:t>
                          </m:r>
                          <m:r>
                            <w:rPr>
                              <w:rFonts w:ascii="Cambria Math" w:hAnsi="Cambria Math"/>
                              <w:szCs w:val="24"/>
                            </w:rPr>
                            <m:t xml:space="preserve"> =</m:t>
                          </m:r>
                          <m:f>
                            <m:fPr>
                              <m:ctrlPr>
                                <w:rPr>
                                  <w:rFonts w:ascii="Cambria Math" w:hAnsi="Cambria Math"/>
                                  <w:i/>
                                  <w:szCs w:val="24"/>
                                </w:rPr>
                              </m:ctrlPr>
                            </m:fPr>
                            <m:num>
                              <m:r>
                                <w:rPr>
                                  <w:rFonts w:ascii="Cambria Math" w:hAnsi="Cambria Math"/>
                                  <w:szCs w:val="24"/>
                                </w:rPr>
                                <m:t>d x P x BD x k x h</m:t>
                              </m:r>
                            </m:num>
                            <m:den>
                              <m:r>
                                <w:rPr>
                                  <w:rFonts w:ascii="Cambria Math" w:hAnsi="Cambria Math"/>
                                  <w:szCs w:val="24"/>
                                </w:rPr>
                                <m:t>H x n</m:t>
                              </m:r>
                            </m:den>
                          </m:f>
                          <m:r>
                            <w:rPr>
                              <w:rFonts w:ascii="Cambria Math" w:hAnsi="Cambria Math"/>
                              <w:szCs w:val="24"/>
                            </w:rPr>
                            <m:t>,</m:t>
                          </m:r>
                        </m:oMath>
                      </m:oMathPara>
                    </w:p>
                    <w:p>
                      <w:pPr>
                        <w:ind w:firstLine="709"/>
                        <w:jc w:val="both"/>
                        <w:rPr>
                          <w:szCs w:val="24"/>
                        </w:rPr>
                      </w:pPr>
                    </w:p>
                    <w:p>
                      <w:pPr>
                        <w:ind w:firstLine="709"/>
                        <w:jc w:val="both"/>
                        <w:rPr>
                          <w:szCs w:val="24"/>
                        </w:rPr>
                      </w:pPr>
                      <w:r>
                        <w:rPr>
                          <w:szCs w:val="24"/>
                        </w:rPr>
                        <w:t>čia:</w:t>
                      </w:r>
                    </w:p>
                    <w:p>
                      <w:pPr>
                        <w:ind w:firstLine="709"/>
                        <w:jc w:val="both"/>
                        <w:rPr>
                          <w:szCs w:val="24"/>
                        </w:rPr>
                      </w:pPr>
                      <w:r>
                        <w:rPr>
                          <w:szCs w:val="24"/>
                        </w:rPr>
                        <w:t xml:space="preserve">DU2 – lėšos asmens įgytų </w:t>
                      </w:r>
                      <w:r>
                        <w:rPr>
                          <w:color w:val="000000"/>
                          <w:szCs w:val="24"/>
                        </w:rPr>
                        <w:t xml:space="preserve">kompetencijų </w:t>
                      </w:r>
                      <w:r>
                        <w:rPr>
                          <w:szCs w:val="24"/>
                        </w:rPr>
                        <w:t>vertinimo komisijos narių darbo užmokesčiui (įskaitant socialinio draudimo įmokas, įmokas į Ilgalaikio darbo išmokų fondą ir Garantinį fondą);</w:t>
                      </w:r>
                    </w:p>
                    <w:p>
                      <w:pPr>
                        <w:ind w:firstLine="709"/>
                        <w:jc w:val="both"/>
                        <w:rPr>
                          <w:szCs w:val="24"/>
                        </w:rPr>
                      </w:pPr>
                      <w:r>
                        <w:rPr>
                          <w:szCs w:val="24"/>
                        </w:rPr>
                        <w:t xml:space="preserve">d – minimalus asmens įgytų </w:t>
                      </w:r>
                      <w:r>
                        <w:rPr>
                          <w:color w:val="000000"/>
                          <w:szCs w:val="24"/>
                        </w:rPr>
                        <w:t xml:space="preserve">kompetencijų </w:t>
                      </w:r>
                      <w:r>
                        <w:rPr>
                          <w:szCs w:val="24"/>
                        </w:rPr>
                        <w:t>vertinimo komisijos narių skaičius, kuris lygus 3;</w:t>
                      </w:r>
                    </w:p>
                    <w:p>
                      <w:pPr>
                        <w:ind w:firstLine="709"/>
                        <w:jc w:val="both"/>
                        <w:rPr>
                          <w:szCs w:val="24"/>
                        </w:rPr>
                      </w:pPr>
                      <w:r>
                        <w:rPr>
                          <w:szCs w:val="24"/>
                        </w:rPr>
                        <w:t xml:space="preserve">P </w:t>
                      </w:r>
                      <w:r>
                        <w:rPr>
                          <w:color w:val="002060"/>
                          <w:szCs w:val="24"/>
                        </w:rPr>
                        <w:t xml:space="preserve">– </w:t>
                      </w:r>
                      <w:r>
                        <w:rPr>
                          <w:color w:val="000000" w:themeColor="text1"/>
                          <w:szCs w:val="24"/>
                        </w:rPr>
                        <w:t>sąlyginis pareiginės algos koeficientas, kuris lygus 0,8928;</w:t>
                      </w:r>
                    </w:p>
                    <w:p>
                      <w:pPr>
                        <w:ind w:firstLine="709"/>
                        <w:jc w:val="both"/>
                        <w:rPr>
                          <w:szCs w:val="24"/>
                        </w:rPr>
                      </w:pPr>
                      <w:r>
                        <w:rPr>
                          <w:szCs w:val="24"/>
                        </w:rPr>
                        <w:t>BD – bazinis dydis;</w:t>
                      </w:r>
                    </w:p>
                    <w:p>
                      <w:pPr>
                        <w:ind w:firstLine="709"/>
                        <w:jc w:val="both"/>
                        <w:rPr>
                          <w:szCs w:val="24"/>
                        </w:rPr>
                      </w:pPr>
                      <w:r>
                        <w:rPr>
                          <w:szCs w:val="24"/>
                        </w:rPr>
                        <w:t>k – socialinio draudimo įmokų,</w:t>
                      </w:r>
                      <w:r>
                        <w:t xml:space="preserve"> įmokų į Ilgalaikio darbo išmokų fondą</w:t>
                      </w:r>
                      <w:r>
                        <w:rPr>
                          <w:szCs w:val="24"/>
                        </w:rPr>
                        <w:t xml:space="preserve"> ir į Garantinį fondą koeficientas;</w:t>
                      </w:r>
                    </w:p>
                    <w:p>
                      <w:pPr>
                        <w:ind w:firstLine="709"/>
                        <w:jc w:val="both"/>
                      </w:pPr>
                      <w:r>
                        <w:rPr>
                          <w:szCs w:val="24"/>
                        </w:rPr>
                        <w:t>h – praktinės dalies (gebėjimų) vertinimo</w:t>
                      </w:r>
                      <w:r>
                        <w:t xml:space="preserve"> trukmė, kuri lygi 6 valandoms;</w:t>
                      </w:r>
                    </w:p>
                    <w:p>
                      <w:pPr>
                        <w:ind w:firstLine="709"/>
                        <w:jc w:val="both"/>
                      </w:pPr>
                      <w:r>
                        <w:t>H – sąlyginis mėnesio darbo valandų skaičius, kuris yra lygus 151,2 valandoms;</w:t>
                      </w:r>
                    </w:p>
                    <w:p>
                      <w:pPr>
                        <w:ind w:firstLine="709"/>
                        <w:jc w:val="both"/>
                        <w:rPr>
                          <w:szCs w:val="24"/>
                          <w:shd w:val="clear" w:color="auto" w:fill="FFFFFF"/>
                        </w:rPr>
                      </w:pPr>
                      <w:r>
                        <w:t xml:space="preserve">n – sąlyginis </w:t>
                      </w:r>
                      <w:r>
                        <w:rPr>
                          <w:color w:val="000000"/>
                        </w:rPr>
                        <w:t xml:space="preserve">asmenų, kurių kompetencijos yra vertinamos, </w:t>
                      </w:r>
                      <w:r>
                        <w:t xml:space="preserve">skaičius grupėje, kuris lygus: 14 – </w:t>
                      </w:r>
                      <w:r>
                        <w:rPr>
                          <w:szCs w:val="24"/>
                        </w:rPr>
                        <w:t xml:space="preserve">jei asmuo baigė formaliojo profesinio mokymo programą, 1 – jei asmuo įgijo kompetencijas, </w:t>
                      </w:r>
                      <w:r>
                        <w:rPr>
                          <w:szCs w:val="24"/>
                          <w:shd w:val="clear" w:color="auto" w:fill="FFFFFF"/>
                        </w:rPr>
                        <w:t xml:space="preserve">mokydamasis pagal neformaliojo profesinio mokymo programas, </w:t>
                      </w:r>
                      <w:r>
                        <w:rPr>
                          <w:szCs w:val="24"/>
                        </w:rPr>
                        <w:t xml:space="preserve">formaliojo profesinio mokymo </w:t>
                      </w:r>
                      <w:r>
                        <w:rPr>
                          <w:szCs w:val="24"/>
                          <w:shd w:val="clear" w:color="auto" w:fill="FFFFFF"/>
                        </w:rPr>
                        <w:t>programos dalį (modulį), darbo patirties arba savišvietos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568e0aa3311eea5a28c81c82193a8">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2024-01-03,
paskelbta TAR 2024-01-03, i. k. 2024-00079            </w:t>
                      </w:r>
                    </w:p>
                    <w:p/>
                  </w:sdtContent>
                </w:sdt>
                <w:sdt>
                  <w:sdtPr>
                    <w:alias w:val="4.4 pp."/>
                    <w:tag w:val="part_025b4633d08b4f15a6d06caa9b041ad9"/>
                    <w:lock w:val="sdtLocked"/>
                    <w:richText/>
                  </w:sdtPr>
                  <w:sdtContent>
                    <w:p>
                      <w:pPr>
                        <w:ind w:firstLine="709"/>
                        <w:jc w:val="both"/>
                        <w:rPr>
                          <w:szCs w:val="24"/>
                        </w:rPr>
                      </w:pPr>
                      <w:sdt>
                        <w:sdtPr>
                          <w:alias w:val="Numeris"/>
                          <w:tag w:val="nr_025b4633d08b4f15a6d06caa9b041ad9"/>
                          <w:lock w:val="sdtLocked"/>
                          <w:richText/>
                        </w:sdtPr>
                        <w:sdtContent>
                          <w:r>
                            <w:rPr>
                              <w:szCs w:val="24"/>
                              <w:shd w:val="clear" w:color="auto" w:fill="FFFFFF"/>
                            </w:rPr>
                            <w:t>4.4</w:t>
                          </w:r>
                        </w:sdtContent>
                      </w:sdt>
                      <w:r>
                        <w:rPr>
                          <w:szCs w:val="24"/>
                          <w:shd w:val="clear" w:color="auto" w:fill="FFFFFF"/>
                        </w:rPr>
                        <w:t xml:space="preserve">. </w:t>
                      </w:r>
                      <w:r>
                        <w:rPr>
                          <w:szCs w:val="24"/>
                        </w:rPr>
                        <w:t>praktinės dalies (gebėjimų) vertinimui administruoti (įskaitant socialinio draudimo įmokas, įmokas į Ilgalaikio darbo išmokų fondą ir Garantinį fondą), kurios apskaičiuojamos pagal formulę:</w:t>
                      </w:r>
                    </w:p>
                    <w:p>
                      <w:pPr>
                        <w:ind w:firstLine="709"/>
                        <w:jc w:val="both"/>
                        <w:rPr>
                          <w:szCs w:val="24"/>
                        </w:rPr>
                      </w:pPr>
                      <m:oMathPara>
                        <m:oMath>
                          <m:r>
                            <w:rPr>
                              <w:rFonts w:ascii="Cambria Math" w:hAnsi="Cambria Math"/>
                              <w:szCs w:val="24"/>
                            </w:rPr>
                            <m:t>DU</m:t>
                          </m:r>
                          <m:r>
                            <w:rPr>
                              <w:rFonts w:ascii="Cambria Math" w:hAnsi="Cambria Math"/>
                              <w:szCs w:val="24"/>
                              <w:vertAlign w:val="subscript"/>
                            </w:rPr>
                            <m:t>3</m:t>
                          </m:r>
                          <m:r>
                            <w:rPr>
                              <w:rFonts w:ascii="Cambria Math" w:hAnsi="Cambria Math"/>
                              <w:szCs w:val="24"/>
                            </w:rPr>
                            <m:t xml:space="preserve"> =</m:t>
                          </m:r>
                          <m:f>
                            <m:fPr>
                              <m:ctrlPr>
                                <w:rPr>
                                  <w:rFonts w:ascii="Cambria Math" w:hAnsi="Cambria Math"/>
                                  <w:i/>
                                  <w:szCs w:val="24"/>
                                </w:rPr>
                              </m:ctrlPr>
                            </m:fPr>
                            <m:num>
                              <m:r>
                                <w:rPr>
                                  <w:rFonts w:ascii="Cambria Math" w:hAnsi="Cambria Math"/>
                                  <w:szCs w:val="24"/>
                                </w:rPr>
                                <m:t>R x BD x k x m</m:t>
                              </m:r>
                            </m:num>
                            <m:den>
                              <m:r>
                                <w:rPr>
                                  <w:rFonts w:ascii="Cambria Math" w:hAnsi="Cambria Math"/>
                                  <w:szCs w:val="24"/>
                                </w:rPr>
                                <m:t>a</m:t>
                              </m:r>
                            </m:den>
                          </m:f>
                          <m:r>
                            <w:rPr>
                              <w:rFonts w:ascii="Cambria Math" w:hAnsi="Cambria Math"/>
                              <w:szCs w:val="24"/>
                            </w:rPr>
                            <m:t>,</m:t>
                          </m:r>
                        </m:oMath>
                      </m:oMathPara>
                    </w:p>
                    <w:p>
                      <w:pPr>
                        <w:ind w:firstLine="709"/>
                        <w:jc w:val="both"/>
                        <w:rPr>
                          <w:szCs w:val="24"/>
                        </w:rPr>
                      </w:pPr>
                      <w:r>
                        <w:rPr>
                          <w:szCs w:val="24"/>
                        </w:rPr>
                        <w:t>čia:</w:t>
                      </w:r>
                    </w:p>
                    <w:p>
                      <w:pPr>
                        <w:ind w:firstLine="709"/>
                        <w:jc w:val="both"/>
                        <w:rPr>
                          <w:szCs w:val="24"/>
                        </w:rPr>
                      </w:pPr>
                      <w:r>
                        <w:rPr>
                          <w:szCs w:val="24"/>
                        </w:rPr>
                        <w:t>DU3 – lėšos praktinės dalies (gebėjimų) vertinimui administruoti (įskaitant socialinio draudimo įmokas, įmokas į Ilgalaikio darbo išmokų fondą ir Garantinį fondą);</w:t>
                      </w:r>
                    </w:p>
                    <w:p>
                      <w:pPr>
                        <w:ind w:firstLine="709"/>
                        <w:jc w:val="both"/>
                        <w:rPr>
                          <w:szCs w:val="24"/>
                        </w:rPr>
                      </w:pPr>
                      <w:r>
                        <w:rPr>
                          <w:szCs w:val="24"/>
                        </w:rPr>
                        <w:t xml:space="preserve">R </w:t>
                      </w:r>
                      <w:r>
                        <w:rPr>
                          <w:color w:val="002060"/>
                          <w:szCs w:val="24"/>
                        </w:rPr>
                        <w:t xml:space="preserve">– </w:t>
                      </w:r>
                      <w:r>
                        <w:rPr>
                          <w:color w:val="000000" w:themeColor="text1"/>
                          <w:szCs w:val="24"/>
                        </w:rPr>
                        <w:t>vidutinis sąlyginis mokytojo pareiginės algos koeficientas;</w:t>
                      </w:r>
                    </w:p>
                    <w:p>
                      <w:pPr>
                        <w:ind w:firstLine="709"/>
                        <w:jc w:val="both"/>
                        <w:rPr>
                          <w:szCs w:val="24"/>
                        </w:rPr>
                      </w:pPr>
                      <w:r>
                        <w:rPr>
                          <w:szCs w:val="24"/>
                        </w:rPr>
                        <w:t>BD – bazinis dydis;</w:t>
                      </w:r>
                    </w:p>
                    <w:p>
                      <w:pPr>
                        <w:ind w:firstLine="709"/>
                        <w:jc w:val="both"/>
                        <w:rPr>
                          <w:szCs w:val="24"/>
                        </w:rPr>
                      </w:pPr>
                      <w:r>
                        <w:rPr>
                          <w:szCs w:val="24"/>
                        </w:rPr>
                        <w:t xml:space="preserve">k – socialinio draudimo </w:t>
                      </w:r>
                      <w:r>
                        <w:t>įmokų</w:t>
                      </w:r>
                      <w:r>
                        <w:rPr>
                          <w:szCs w:val="24"/>
                        </w:rPr>
                        <w:t>,</w:t>
                      </w:r>
                      <w:r>
                        <w:t xml:space="preserve"> įmokų į Ilgalaikio darbo išmokų fondą</w:t>
                      </w:r>
                      <w:r>
                        <w:rPr>
                          <w:szCs w:val="24"/>
                        </w:rPr>
                        <w:t xml:space="preserve"> ir į Garantinį fondą koeficientas;</w:t>
                      </w:r>
                    </w:p>
                    <w:p>
                      <w:pPr>
                        <w:ind w:firstLine="709"/>
                        <w:jc w:val="both"/>
                        <w:rPr>
                          <w:szCs w:val="24"/>
                        </w:rPr>
                      </w:pPr>
                      <w:r>
                        <w:rPr>
                          <w:szCs w:val="24"/>
                        </w:rPr>
                        <w:t>m – mėnesių skaičius, kuris lygus 12;</w:t>
                      </w:r>
                    </w:p>
                    <w:p>
                      <w:pPr>
                        <w:ind w:firstLine="709"/>
                        <w:jc w:val="both"/>
                      </w:pPr>
                      <w:r>
                        <w:rPr>
                          <w:szCs w:val="24"/>
                        </w:rPr>
                        <w:t xml:space="preserve">a – </w:t>
                      </w:r>
                      <w:r>
                        <w:t xml:space="preserve">sąlyginis </w:t>
                      </w:r>
                      <w:r>
                        <w:rPr>
                          <w:color w:val="000000"/>
                        </w:rPr>
                        <w:t xml:space="preserve">asmenų, kurių kompetencijos yra vertinamos, </w:t>
                      </w:r>
                      <w:r>
                        <w:t>skaičius per metus, tenkantis vienai pareigybei, kuris lygus 1 000;</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568e0aa3311eea5a28c81c82193a8">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2024-01-03,
paskelbta TAR 2024-01-03, i. k. 2024-00079            </w:t>
                      </w:r>
                    </w:p>
                    <w:p/>
                  </w:sdtContent>
                </w:sdt>
                <w:sdt>
                  <w:sdtPr>
                    <w:alias w:val="4.5 pp."/>
                    <w:tag w:val="part_eae144e5b3fc4332a76cf5702518d21d"/>
                    <w:lock w:val="sdtLocked"/>
                    <w:richText/>
                  </w:sdtPr>
                  <w:sdtContent>
                    <w:p>
                      <w:pPr>
                        <w:ind w:firstLine="709"/>
                        <w:jc w:val="both"/>
                        <w:rPr>
                          <w:szCs w:val="24"/>
                        </w:rPr>
                      </w:pPr>
                      <w:sdt>
                        <w:sdtPr>
                          <w:alias w:val="Numeris"/>
                          <w:tag w:val="nr_eae144e5b3fc4332a76cf5702518d21d"/>
                          <w:lock w:val="sdtLocked"/>
                          <w:richText/>
                        </w:sdtPr>
                        <w:sdtContent>
                          <w:r>
                            <w:rPr>
                              <w:szCs w:val="24"/>
                              <w:lang w:eastAsia="lt-LT"/>
                            </w:rPr>
                            <w:t>4.5</w:t>
                          </w:r>
                        </w:sdtContent>
                      </w:sdt>
                      <w:r>
                        <w:rPr>
                          <w:szCs w:val="24"/>
                          <w:lang w:eastAsia="lt-LT"/>
                        </w:rPr>
                        <w:t xml:space="preserve">. </w:t>
                      </w:r>
                      <w:r>
                        <w:rPr>
                          <w:lang w:eastAsia="lt-LT"/>
                        </w:rPr>
                        <w:t>priemonėms praktinei užduočiai atlikti</w:t>
                      </w:r>
                      <w:r>
                        <w:rPr>
                          <w:szCs w:val="24"/>
                          <w:lang w:eastAsia="lt-LT"/>
                        </w:rPr>
                        <w:t xml:space="preserve">, kurios apskaičiuojamos bazinį dydį padauginus iš </w:t>
                      </w:r>
                      <w:r>
                        <w:rPr>
                          <w:color w:val="000000"/>
                          <w:szCs w:val="24"/>
                          <w:lang w:eastAsia="lt-LT"/>
                        </w:rPr>
                        <w:t xml:space="preserve">mokymo priemonių, tenkančių vienam mokymosi kreditui, brangumo koeficiento, nustatyto </w:t>
                      </w:r>
                      <w:r>
                        <w:rPr>
                          <w:szCs w:val="24"/>
                          <w:lang w:eastAsia="lt-LT"/>
                        </w:rPr>
                        <w:t>Profesinio mokymo lėšų skaičiavimo vienam mokiniui, kuris mokosi pagal formaliojo profesinio mokymo programą, metodikoje.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8c60828f11ed8df094f359a60216">
                        <w:r w:rsidRPr="00532B9F">
                          <w:rPr>
                            <w:rFonts w:ascii="Times New Roman" w:eastAsia="MS Mincho" w:hAnsi="Times New Roman"/>
                            <w:sz w:val="20"/>
                            <w:i/>
                            <w:iCs/>
                            <w:color w:val="0000FF" w:themeColor="hyperlink"/>
                            <w:u w:val="single"/>
                          </w:rPr>
                          <w:t>1303</w:t>
                        </w:r>
                      </w:fldSimple>
                      <w:r>
                        <w:rPr>
                          <w:rFonts w:ascii="Times New Roman" w:eastAsia="MS Mincho" w:hAnsi="Times New Roman"/>
                          <w:sz w:val="20"/>
                          <w:i/>
                          <w:iCs/>
                        </w:rPr>
                        <w:t>,
2022-12-21,
paskelbta TAR 2022-12-23, i. k. 2022-26632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626672c6c111efa5ddd96c482819f5">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2024-12-30,
paskelbta TAR 2024-12-30, i. k. 2024-23515            </w:t>
                      </w:r>
                    </w:p>
                    <w:p/>
                  </w:sdtContent>
                </w:sdt>
              </w:sdtContent>
            </w:sdt>
          </w:sdtContent>
        </w:sdt>
        <w:sdt>
          <w:sdtPr>
            <w:alias w:val="skyrius"/>
            <w:tag w:val="part_237d7df8a0214ea68df82b24fd990017"/>
            <w:lock w:val="sdtLocked"/>
            <w:richText/>
          </w:sdtPr>
          <w:sdtContent>
            <w:p>
              <w:pPr>
                <w:jc w:val="center"/>
                <w:rPr>
                  <w:b/>
                  <w:szCs w:val="24"/>
                </w:rPr>
              </w:pPr>
              <w:sdt>
                <w:sdtPr>
                  <w:alias w:val="Numeris"/>
                  <w:tag w:val="nr_237d7df8a0214ea68df82b24fd990017"/>
                  <w:lock w:val="sdtLocked"/>
                  <w:richText/>
                </w:sdtPr>
                <w:sdtContent>
                  <w:r>
                    <w:rPr>
                      <w:b/>
                      <w:szCs w:val="24"/>
                    </w:rPr>
                    <w:t>III</w:t>
                  </w:r>
                </w:sdtContent>
              </w:sdt>
              <w:r>
                <w:rPr>
                  <w:b/>
                  <w:szCs w:val="24"/>
                </w:rPr>
                <w:t xml:space="preserve"> SKYRIUS</w:t>
              </w:r>
            </w:p>
            <w:p>
              <w:pPr>
                <w:jc w:val="center"/>
                <w:rPr>
                  <w:b/>
                  <w:szCs w:val="24"/>
                </w:rPr>
              </w:pPr>
              <w:sdt>
                <w:sdtPr>
                  <w:alias w:val="Pavadinimas"/>
                  <w:tag w:val="title_237d7df8a0214ea68df82b24fd990017"/>
                  <w:lock w:val="sdtLocked"/>
                  <w:richText/>
                </w:sdtPr>
                <w:sdtContent>
                  <w:r>
                    <w:rPr>
                      <w:b/>
                      <w:szCs w:val="24"/>
                    </w:rPr>
                    <w:t>BAIGIAMOSIOS NUOSTATOS</w:t>
                  </w:r>
                </w:sdtContent>
              </w:sdt>
            </w:p>
            <w:p>
              <w:pPr>
                <w:ind w:firstLine="709"/>
                <w:jc w:val="both"/>
                <w:rPr>
                  <w:szCs w:val="24"/>
                </w:rPr>
              </w:pPr>
            </w:p>
            <w:sdt>
              <w:sdtPr>
                <w:alias w:val="5 p."/>
                <w:tag w:val="part_70530c53e424475587ede64b98cd0229"/>
                <w:lock w:val="sdtLocked"/>
                <w:richText/>
              </w:sdtPr>
              <w:sdtContent>
                <w:p>
                  <w:pPr>
                    <w:ind w:firstLine="709"/>
                    <w:jc w:val="both"/>
                  </w:pPr>
                  <w:sdt>
                    <w:sdtPr>
                      <w:alias w:val="Numeris"/>
                      <w:tag w:val="nr_70530c53e424475587ede64b98cd0229"/>
                      <w:lock w:val="sdtLocked"/>
                      <w:richText/>
                    </w:sdtPr>
                    <w:sdtContent>
                      <w:r>
                        <w:rPr>
                          <w:szCs w:val="24"/>
                        </w:rPr>
                        <w:t>5</w:t>
                      </w:r>
                    </w:sdtContent>
                  </w:sdt>
                  <w:r>
                    <w:rPr>
                      <w:szCs w:val="24"/>
                    </w:rPr>
                    <w:t>. L</w:t>
                  </w:r>
                  <w:r>
                    <w:rPr>
                      <w:szCs w:val="24"/>
                      <w:shd w:val="clear" w:color="auto" w:fill="FFFFFF"/>
                    </w:rPr>
                    <w:t xml:space="preserve">ėšas asmens kompetencijoms vertinti </w:t>
                  </w:r>
                  <w:r>
                    <w:rPr>
                      <w:szCs w:val="24"/>
                    </w:rPr>
                    <w:t xml:space="preserve">apskaičiuoja Švietimo, mokslo ir sporto ministerija, </w:t>
                  </w:r>
                  <w:r>
                    <w:t xml:space="preserve">vadovaudamasi Metodikos nuostatomis, </w:t>
                  </w:r>
                  <w:r>
                    <w:rPr>
                      <w:szCs w:val="24"/>
                    </w:rPr>
                    <w:t>ir skelbia Švietimo, mokslo ir sporto ministerijos interneto svetainėje</w:t>
                  </w:r>
                  <w:r>
                    <w:t>. Šių lėšų dydis tikslinamas pasikeitus Metodikos 4 punkte nurodytų kintamųjų reikšmėms.</w:t>
                  </w:r>
                </w:p>
              </w:sdtContent>
            </w:sdt>
          </w:sdtContent>
        </w:sdt>
        <w:sdt>
          <w:sdtPr>
            <w:alias w:val="pabaiga"/>
            <w:tag w:val="part_9c5ffd29b51b439b94e6ed45ef9b55c0"/>
            <w:lock w:val="sdtLocked"/>
            <w:richText/>
          </w:sdtPr>
          <w:sdtContent>
            <w:p>
              <w:pPr>
                <w:jc w:val="cente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2e7fe06e3d11ec993ff5ca6e8ba60c">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2022-01-05,
paskelbta TAR 2022-01-05, i. k. 2022-00140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2e7fe06e3d11ec993ff5ca6e8ba60c">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2022-01-05,
paskelbta TAR 2022-01-05, i. k. 2022-00140                </w:t>
          </w:r>
        </w:p>
        <w:p>
          <w:pPr>
            <w:jc w:val="both"/>
            <w:rPr>
              <w:rFonts w:ascii="Times New Roman" w:hAnsi="Times New Roman"/>
            </w:rPr>
          </w:pPr>
          <w:r>
            <w:rPr>
              <w:rFonts w:ascii="Times New Roman" w:hAnsi="Times New Roman"/>
              <w:sz w:val="20"/>
            </w:rPr>
            <w:t>Dėl Lietuvos Respublikos Vyriausybės 2012 m. lapkričio 14 d. nutarimo Nr. 1373 „Dėl Kompetencijų vertinimo lėšų skaičiavimo vienam asmeniui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8c60828f11ed8df094f359a60216">
            <w:r w:rsidRPr="00532B9F">
              <w:rPr>
                <w:rFonts w:ascii="Times New Roman" w:eastAsia="MS Mincho" w:hAnsi="Times New Roman"/>
                <w:sz w:val="20"/>
                <w:iCs/>
                <w:color w:val="0000FF" w:themeColor="hyperlink"/>
                <w:u w:val="single"/>
              </w:rPr>
              <w:t>1303</w:t>
            </w:r>
          </w:fldSimple>
          <w:r>
            <w:rPr>
              <w:rFonts w:ascii="Times New Roman" w:eastAsia="MS Mincho" w:hAnsi="Times New Roman"/>
              <w:sz w:val="20"/>
              <w:iCs/>
            </w:rPr>
            <w:t>,
2022-12-21,
paskelbta TAR 2022-12-23, i. k. 2022-26632                </w:t>
          </w:r>
        </w:p>
        <w:p>
          <w:pPr>
            <w:jc w:val="both"/>
            <w:rPr>
              <w:rFonts w:ascii="Times New Roman" w:hAnsi="Times New Roman"/>
            </w:rPr>
          </w:pPr>
          <w:r>
            <w:rPr>
              <w:rFonts w:ascii="Times New Roman" w:hAnsi="Times New Roman"/>
              <w:sz w:val="20"/>
            </w:rPr>
            <w:t>Dėl Lietuvos Respublikos Vyriausybės 2012 m. lapkričio 14 d. nutarimo Nr. 1373 „Dėl Kompetencijų vertinimo lėšų skaičiavimo vienam asmeniui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c2568e0aa3311eea5a28c81c82193a8">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2024-01-03,
paskelbta TAR 2024-01-03, i. k. 2024-00079                </w:t>
          </w:r>
        </w:p>
        <w:p>
          <w:pPr>
            <w:jc w:val="both"/>
            <w:rPr>
              <w:rFonts w:ascii="Times New Roman" w:hAnsi="Times New Roman"/>
            </w:rPr>
          </w:pPr>
          <w:r>
            <w:rPr>
              <w:rFonts w:ascii="Times New Roman" w:hAnsi="Times New Roman"/>
              <w:sz w:val="20"/>
            </w:rPr>
            <w:t>Dėl Lietuvos Respublikos Vyriausybės 2012 m. lapkričio 14 d. nutarimo Nr. 1373 „Dėl Kompetencijų vertinimo lėšų skaičiavimo vienam asmeniui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26672c6c111efa5ddd96c482819f5">
            <w:r w:rsidRPr="00532B9F">
              <w:rPr>
                <w:rFonts w:ascii="Times New Roman" w:eastAsia="MS Mincho" w:hAnsi="Times New Roman"/>
                <w:sz w:val="20"/>
                <w:iCs/>
                <w:color w:val="0000FF" w:themeColor="hyperlink"/>
                <w:u w:val="single"/>
              </w:rPr>
              <w:t>1103</w:t>
            </w:r>
          </w:fldSimple>
          <w:r>
            <w:rPr>
              <w:rFonts w:ascii="Times New Roman" w:eastAsia="MS Mincho" w:hAnsi="Times New Roman"/>
              <w:sz w:val="20"/>
              <w:iCs/>
            </w:rPr>
            <w:t>,
2024-12-30,
paskelbta TAR 2024-12-30, i. k. 2024-23515                </w:t>
          </w:r>
        </w:p>
        <w:p>
          <w:pPr>
            <w:jc w:val="both"/>
            <w:rPr>
              <w:rFonts w:ascii="Times New Roman" w:hAnsi="Times New Roman"/>
            </w:rPr>
          </w:pPr>
          <w:r>
            <w:rPr>
              <w:rFonts w:ascii="Times New Roman" w:hAnsi="Times New Roman"/>
              <w:sz w:val="20"/>
            </w:rPr>
            <w:t>Dėl Lietuvos Respublikos Vyriausybės 2012 m. lapkričio 14 d. nutarimo Nr. 1373 „Dėl Kompetencijų vertinimo lėšų skaičiavimo vienam asmeniui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00EEA43E"/>
  <w15:docId w15:val="{C167787F-AB46-4246-85AC-9EB2F8DD05B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6.wmf"/>
  <Relationship Id="rId9" Type="http://schemas.openxmlformats.org/officeDocument/2006/relationships/control" Target="activeX/activeX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8C79FC8C-FCEF-4C23-8325-1B1C7F8D696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BC3"/>
    <w:rsid w:val="00620BC3"/>
    <w:rsid w:val="00BC08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20BC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29cd490d60f466f9aecea471e2fa9c0" PartId="fc8f42a404984b3aa166cfacf560e182">
    <Part Type="preambule" DocPartId="a16c3bebb04d40dba172e1783012d02f" PartId="33c17dfd750940fca39dbca184f7ce32"/>
    <Part Type="pastraipa" DocPartId="d1d81f80276f44ebaad969e990f533cf" PartId="128c1e8305a8414a9529155c92a1d30c"/>
    <Part Type="signatura" DocPartId="8bdf9547658a4477b0cefdef79b523c8" PartId="9f9799022a1848d2ad02b90f548d971d"/>
  </Part>
  <Part Type="patvirtinta" Title="KOMPETENCIJŲ VERTINIMO LĖŠŲ SKAIČIAVIMO VIENAM ASMENIUI METODIKA" DocPartId="74b0abd5f8aa48b789d54dcc3addb6c0" PartId="d95ebbb7bf874e7b9e72f22aebc99db2">
    <Part Type="skyrius" Nr="1" Title="BENDROSIOS NUOSTATOS" DocPartId="30f59d52fbdd4204a274a198aa76060c" PartId="addbdd426cbc4c11951cba3e6e3c9cd1">
      <Part Type="punktas" Nr="1" Abbr="1 p." DocPartId="9a8db51975b54d44b7f1357869aa4169" PartId="a70691c796534204ae096ebc90836b01"/>
      <Part Type="punktas" Nr="2" Abbr="2 p." DocPartId="62aac2cef0c64ef4a8230d76050851fc" PartId="5349a2d87c6b41fdb090dbe57c570397">
        <Part Type="papunktis" Nr="2.1" Abbr="2.1 pp." DocPartId="4db6b15580b44c2eae49881dc22b38fe" PartId="bceb367148f7495abe5bb33159371d48"/>
        <Part Type="papunktis" Nr="2.2" Abbr="2.2 pp." DocPartId="0981a7e281a84f93aeaf7a13adf26413" PartId="56dbcb6c896045e2a88a226cb1ea12b0"/>
        <Part Type="papunktis" Nr="2.3" Abbr="2.3 pp." DocPartId="b3e132c595d046c491954b89abf74c97" PartId="a656d91b791b46e5960d4d0359633e0a"/>
      </Part>
      <Part Type="punktas" Nr="3" Abbr="3 p." DocPartId="12defd879fb0427c8097ed5420b4bb59" PartId="d6dc70faf3134db78af22bfb2c90f285"/>
    </Part>
    <Part Type="skyrius" Nr="2" Title="KOMPETENCIJŲ VERTINIMO LĖŠŲ APSKAIČIAVIMAS" DocPartId="b753964b42df4449b58c0c1702c8928a" PartId="ea5fada0720f409f82b9925d96c4b3ea">
      <Part Type="punktas" Nr="4" Abbr="4 p." DocPartId="a756ef8420f54becb5957baff7d00855" PartId="0400c9bca3934b1ea4a6034ce0045614">
        <Part Type="papunktis" Nr="4.1" Abbr="4.1 pp." DocPartId="2ea211b1f0b44f75aa047854fa0c7c6f" PartId="80088fc2727345cbae51f706d781d8cc"/>
        <Part Type="papunktis" Nr="4.2" Abbr="4.2 pp." DocPartId="8902fad7e55e4f3cb0782236f863cb50" PartId="ac0d6217c6734b5ca33699bc2ff92c99"/>
        <Part Type="papunktis" Nr="4.3" Abbr="4.3 pp." DocPartId="1a0daee934c046b18cfd9f40d52e1fc5" PartId="48a3a97e0be04e9c8b11da2a4d40e740"/>
        <Part Type="papunktis" Nr="4.4" Abbr="4.4 pp." DocPartId="55ad82ea8ae2488ebab3070df0e9327f" PartId="025b4633d08b4f15a6d06caa9b041ad9"/>
        <Part Type="papunktis" Nr="4.5" Abbr="4.5 pp." DocPartId="dd2ecdac41854b03b1bf8cdde5be8865" PartId="eae144e5b3fc4332a76cf5702518d21d"/>
      </Part>
    </Part>
    <Part Type="skyrius" Nr="3" Title="BAIGIAMOSIOS NUOSTATOS" DocPartId="6dadc91dc5614d4db3888e44468bc38d" PartId="237d7df8a0214ea68df82b24fd990017">
      <Part Type="punktas" Nr="5" Abbr="5 p." DocPartId="6049f754ee454b119c0a95f734f91113" PartId="70530c53e424475587ede64b98cd0229"/>
    </Part>
    <Part Type="pabaiga" DocPartId="57c02bf1f69a47e7876bc706641ba030" PartId="9c5ffd29b51b439b94e6ed45ef9b55c0"/>
  </Part>
</Parts>
</file>

<file path=customXml/itemProps1.xml><?xml version="1.0" encoding="utf-8"?>
<ds:datastoreItem xmlns:ds="http://schemas.openxmlformats.org/officeDocument/2006/customXml" ds:itemID="{611BDAD2-6DA1-49E1-99BF-279E683F9DEA}">
  <ds:schemaRefs>
    <ds:schemaRef ds:uri="http://lrs.lt/TAIS/DocParts"/>
  </ds:schemaRefs>
</ds:datastoreItem>
</file>

<file path=docProps/app.xml><?xml version="1.0" encoding="utf-8"?>
<Properties xmlns="http://schemas.openxmlformats.org/officeDocument/2006/extended-properties">
  <Template>Normal.dotm</Template>
  <TotalTime>8</TotalTime>
  <Pages>5</Pages>
  <Words>7708</Words>
  <Characters>4395</Characters>
  <Application>Microsoft Office Word</Application>
  <DocSecurity>0</DocSecurity>
  <Lines>36</Lines>
  <Paragraphs>24</Paragraphs>
  <ScaleCrop>false</ScaleCrop>
  <Company>LRVK</Company>
  <LinksUpToDate>false</LinksUpToDate>
  <CharactersWithSpaces>12079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2015-06-19T22:31:00Z</dcterms:created>
  <dc:creator>lrvk</dc:creator>
  <lastModifiedBy>JŪRĖNIENĖ Jolanta</lastModifiedBy>
  <lastPrinted>2012-07-02T12:41:00Z</lastPrinted>
  <dcterms:modified xsi:type="dcterms:W3CDTF">2025-01-03T07:18:00Z</dcterms:modified>
  <revision>9</revision>
</coreProperties>
</file>