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stylesWithEffects.xml" ContentType="application/vnd.ms-word.stylesWithEffects+xml"/>
  <Override PartName="/word/glossary/webSettings.xml" ContentType="application/vnd.openxmlformats-officedocument.wordprocessingml.webSetting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5a4f024c4d1647aea34c72948c023c52"/>
        <w:lock w:val="sdtLocked"/>
        <w:richText/>
      </w:sdtPr>
      <w:sdtContent>
        <w:p>
          <w:pPr>
            <w:jc w:val="both"/>
            <w:rPr>
              <w:rFonts w:ascii="Times New Roman" w:hAnsi="Times New Roman"/>
            </w:rPr>
          </w:pPr>
          <w:r>
            <w:rPr>
              <w:rFonts w:ascii="Times New Roman" w:hAnsi="Times New Roman"/>
              <w:b/>
              <w:i/>
            </w:rPr>
            <w:t>Suvestinė redakcija nuo 2016-01-01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2012, Nr. </w:t>
          </w:r>
          <w:fldSimple w:instr="HYPERLINK https://www.e-tar.lt/portal/legalAct.html?documentId=TAR.209981F00FAD">
            <w:r w:rsidRPr="00532B9F">
              <w:rPr>
                <w:rFonts w:ascii="Times New Roman" w:eastAsia="MS Mincho" w:hAnsi="Times New Roman"/>
                <w:sz w:val="20"/>
                <w:i/>
                <w:iCs/>
                <w:color w:val="0000FF" w:themeColor="hyperlink"/>
                <w:u w:val="single"/>
              </w:rPr>
              <w:t>121-6090</w:t>
            </w:r>
          </w:fldSimple>
          <w:r>
            <w:rPr>
              <w:rFonts w:ascii="Times New Roman" w:eastAsia="MS Mincho" w:hAnsi="Times New Roman"/>
              <w:sz w:val="20"/>
              <w:i/>
              <w:iCs/>
            </w:rPr>
            <w:t>, i. k. 11220AAISAK00VAS-18</w:t>
          </w:r>
        </w:p>
        <w:p>
          <w:pPr>
            <w:jc w:val="both"/>
            <w:rPr>
              <w:rFonts w:ascii="Times New Roman" w:hAnsi="Times New Roman"/>
              <w:sz w:val="20"/>
            </w:rPr>
          </w:pPr>
        </w:p>
        <w:p>
          <w:pPr>
            <w:widowControl w:val="0"/>
            <w:jc w:val="center"/>
            <w:rPr>
              <w:b/>
              <w:color w:val="000000"/>
            </w:rPr>
          </w:pPr>
          <w:r>
            <w:rPr>
              <w:b/>
              <w:color w:val="000000"/>
              <w:lang w:val="en-US"/>
            </w:rPr>
            <w:pict w14:anchorId="70B7B8F9">
              <v:shapetype id="_x0000_t201" coordsize="21600,21600" o:spt="201" path="m,l,21600r21600,l21600,xe">
                <v:stroke joinstyle="miter"/>
                <v:path shadowok="f" o:extrusionok="f" strokeok="f" fillok="f" o:connecttype="rect"/>
                <o:lock v:ext="edit" shapetype="t"/>
              </v:shapetype>
              <v:shape id="_x0000_s1026" type="#_x0000_t201" style="position:absolute;left:0;text-align:left;margin-left:0;margin-top:0;width:.75pt;height:.75pt;z-index:251657728;visibility:hidden;mso-position-horizontal-relative:text;mso-position-vertical-relative:text" stroked="f">
                <v:imagedata r:id="rId22" o:title=""/>
              </v:shape>
              <w:control r:id="rId23" w:name="Control 2" w:shapeid="_x0000_s1026"/>
            </w:pict>
          </w:r>
          <w:r>
            <w:rPr>
              <w:b/>
              <w:color w:val="000000"/>
            </w:rPr>
            <w:t>AUDITO IR APSKAITOS TARNYBOS DIREKTORIAUS</w:t>
          </w:r>
        </w:p>
        <w:p>
          <w:pPr>
            <w:widowControl w:val="0"/>
            <w:jc w:val="center"/>
            <w:rPr>
              <w:color w:val="000000"/>
            </w:rPr>
          </w:pPr>
        </w:p>
        <w:p>
          <w:pPr>
            <w:widowControl w:val="0"/>
            <w:jc w:val="center"/>
            <w:rPr>
              <w:b/>
              <w:bCs/>
              <w:caps/>
              <w:color w:val="000000"/>
            </w:rPr>
          </w:pPr>
          <w:r>
            <w:rPr>
              <w:b/>
              <w:color w:val="000000"/>
            </w:rPr>
            <w:t>Į S A K Y M A S</w:t>
          </w:r>
        </w:p>
        <w:p>
          <w:pPr>
            <w:widowControl w:val="0"/>
            <w:jc w:val="center"/>
            <w:rPr>
              <w:b/>
              <w:bCs/>
              <w:caps/>
              <w:color w:val="000000"/>
            </w:rPr>
          </w:pPr>
          <w:r>
            <w:rPr>
              <w:b/>
              <w:bCs/>
              <w:caps/>
              <w:color w:val="000000"/>
            </w:rPr>
            <w:t>DĖL 38-OJO VERSLO APSKAITOS STANDARTO „NERIBOTOS CIVILINĖS ATSAKOMYBĖS JURIDINIŲ ASMENŲ IR MAŽŲJŲ BENDRIJŲ BUHALTERINĖ APSKAITA IR FINANSINĖS ATASKAITOS“ TVIRTINIMO</w:t>
          </w:r>
        </w:p>
        <w:p>
          <w:pPr>
            <w:widowControl w:val="0"/>
            <w:ind w:firstLine="567"/>
            <w:jc w:val="both"/>
            <w:rPr>
              <w:color w:val="000000"/>
            </w:rPr>
          </w:pPr>
        </w:p>
        <w:p>
          <w:pPr>
            <w:widowControl w:val="0"/>
            <w:jc w:val="center"/>
            <w:rPr>
              <w:color w:val="000000"/>
            </w:rPr>
          </w:pPr>
          <w:r>
            <w:rPr>
              <w:color w:val="000000"/>
            </w:rPr>
            <w:t>2012 m. spalio 16 d. Nr. VAS-18</w:t>
          </w:r>
        </w:p>
        <w:p>
          <w:pPr>
            <w:widowControl w:val="0"/>
            <w:jc w:val="center"/>
            <w:rPr>
              <w:color w:val="000000"/>
            </w:rPr>
          </w:pPr>
          <w:r>
            <w:rPr>
              <w:color w:val="000000"/>
            </w:rPr>
            <w:t>Vilnius</w:t>
          </w:r>
        </w:p>
        <w:p>
          <w:pPr>
            <w:widowControl w:val="0"/>
            <w:ind w:firstLine="567"/>
            <w:jc w:val="both"/>
            <w:rPr>
              <w:color w:val="000000"/>
            </w:rPr>
          </w:pPr>
        </w:p>
        <w:p>
          <w:pPr>
            <w:widowControl w:val="0"/>
            <w:ind w:firstLine="567"/>
            <w:jc w:val="both"/>
            <w:rPr>
              <w:color w:val="000000"/>
            </w:rPr>
          </w:pPr>
        </w:p>
        <w:sdt>
          <w:sdtPr>
            <w:alias w:val="preambule"/>
            <w:tag w:val="part_351c8b1cba7b486ea35898ee2a6846f1"/>
            <w:lock w:val="sdtLocked"/>
            <w:richText/>
          </w:sdtPr>
          <w:sdtContent>
            <w:p>
              <w:pPr>
                <w:widowControl w:val="0"/>
                <w:ind w:firstLine="567"/>
                <w:jc w:val="both"/>
                <w:rPr>
                  <w:color w:val="000000"/>
                </w:rPr>
              </w:pPr>
              <w:r>
                <w:rPr>
                  <w:color w:val="000000"/>
                </w:rPr>
                <w:t xml:space="preserve">Vadovaudamasis Lietuvos Respublikos buhalterinės apskaitos įstatymo (Žin., 2001, Nr. </w:t>
              </w:r>
              <w:hyperlink r:id="rId24" w:tgtFrame="_blank" w:history="1">
                <w:r>
                  <w:rPr>
                    <w:color w:val="0000FF" w:themeColor="hyperlink"/>
                    <w:u w:val="single"/>
                  </w:rPr>
                  <w:t>99-3515</w:t>
                </w:r>
              </w:hyperlink>
              <w:r>
                <w:rPr>
                  <w:color w:val="000000"/>
                </w:rPr>
                <w:t xml:space="preserve">; 2012, Nr. </w:t>
              </w:r>
              <w:hyperlink r:id="rId25" w:tgtFrame="_blank" w:history="1">
                <w:r>
                  <w:rPr>
                    <w:color w:val="0000FF" w:themeColor="hyperlink"/>
                    <w:u w:val="single"/>
                  </w:rPr>
                  <w:t>51-2531</w:t>
                </w:r>
              </w:hyperlink>
              <w:r>
                <w:rPr>
                  <w:color w:val="000000"/>
                </w:rPr>
                <w:t xml:space="preserve">) 3 straipsnio 4 dalimi, Lietuvos Respublikos Vyriausybės 2002 m. kovo 12 d. nutarimo Nr. 348 „Dėl įgaliojimų suteikimo įgyvendinant Lietuvos Respublikos buhalterinės apskaitos įstatymą ir Lietuvos Respublikos įmonių finansinės atskaitomybės įstatymą“ (Žin., 2002, Nr. </w:t>
              </w:r>
              <w:hyperlink r:id="rId26" w:tgtFrame="_blank" w:history="1">
                <w:r>
                  <w:rPr>
                    <w:color w:val="0000FF" w:themeColor="hyperlink"/>
                    <w:u w:val="single"/>
                  </w:rPr>
                  <w:t>28-992</w:t>
                </w:r>
              </w:hyperlink>
              <w:r>
                <w:rPr>
                  <w:color w:val="000000"/>
                </w:rPr>
                <w:t xml:space="preserve">; 2012, Nr. </w:t>
              </w:r>
              <w:hyperlink r:id="rId27" w:tgtFrame="_blank" w:history="1">
                <w:r>
                  <w:rPr>
                    <w:color w:val="0000FF" w:themeColor="hyperlink"/>
                    <w:u w:val="single"/>
                  </w:rPr>
                  <w:t>47-2300</w:t>
                </w:r>
              </w:hyperlink>
              <w:r>
                <w:rPr>
                  <w:color w:val="000000"/>
                </w:rPr>
                <w:t xml:space="preserve">) 1.1.1 punktu ir atsižvelgdamas į Apskaitos standartų komiteto 2012 m. spalio 10 d. nutarimą Nr. 24-17-1 ir 2012 m. spalio 16 d. nutarimą Nr. 24-18-1: </w:t>
              </w:r>
            </w:p>
          </w:sdtContent>
        </w:sdt>
        <w:sdt>
          <w:sdtPr>
            <w:alias w:val="1 p."/>
            <w:tag w:val="part_573fdfd4442e434db5b5ddd67194f4c5"/>
            <w:lock w:val="sdtLocked"/>
            <w:richText/>
          </w:sdtPr>
          <w:sdtContent>
            <w:p>
              <w:pPr>
                <w:widowControl w:val="0"/>
                <w:ind w:firstLine="567"/>
                <w:jc w:val="both"/>
                <w:rPr>
                  <w:color w:val="000000"/>
                </w:rPr>
              </w:pPr>
              <w:sdt>
                <w:sdtPr>
                  <w:alias w:val="Numeris"/>
                  <w:tag w:val="nr_573fdfd4442e434db5b5ddd67194f4c5"/>
                  <w:lock w:val="sdtLocked"/>
                  <w:richText/>
                </w:sdtPr>
                <w:sdtContent>
                  <w:r>
                    <w:rPr>
                      <w:color w:val="000000"/>
                    </w:rPr>
                    <w:t>1</w:t>
                  </w:r>
                </w:sdtContent>
              </w:sdt>
              <w:r>
                <w:rPr>
                  <w:color w:val="000000"/>
                </w:rPr>
                <w:t xml:space="preserve">. </w:t>
              </w:r>
              <w:r>
                <w:rPr>
                  <w:color w:val="000000"/>
                  <w:spacing w:val="33"/>
                </w:rPr>
                <w:t>Tvirtinu</w:t>
              </w:r>
              <w:r>
                <w:rPr>
                  <w:color w:val="000000"/>
                </w:rPr>
                <w:t xml:space="preserve"> 38-ąjį verslo apskaitos standartą „Neribotos civilinės atsakomybės juridinių asmenų ir mažųjų bendrijų buhalterinė apskaita ir finansinės ataskaitos“ (pridedama).</w:t>
              </w:r>
            </w:p>
          </w:sdtContent>
        </w:sdt>
        <w:sdt>
          <w:sdtPr>
            <w:alias w:val="2 p."/>
            <w:tag w:val="part_f7906c5ef1024386b8a7f1aa956ac9b9"/>
            <w:lock w:val="sdtLocked"/>
            <w:richText/>
          </w:sdtPr>
          <w:sdtContent>
            <w:p>
              <w:pPr>
                <w:widowControl w:val="0"/>
                <w:ind w:firstLine="567"/>
                <w:jc w:val="both"/>
                <w:rPr>
                  <w:color w:val="000000"/>
                </w:rPr>
              </w:pPr>
              <w:sdt>
                <w:sdtPr>
                  <w:alias w:val="Numeris"/>
                  <w:tag w:val="nr_f7906c5ef1024386b8a7f1aa956ac9b9"/>
                  <w:lock w:val="sdtLocked"/>
                  <w:richText/>
                </w:sdtPr>
                <w:sdtContent>
                  <w:r>
                    <w:rPr>
                      <w:color w:val="000000"/>
                    </w:rPr>
                    <w:t>2</w:t>
                  </w:r>
                </w:sdtContent>
              </w:sdt>
              <w:r>
                <w:rPr>
                  <w:color w:val="000000"/>
                </w:rPr>
                <w:t xml:space="preserve">. </w:t>
              </w:r>
              <w:r>
                <w:rPr>
                  <w:color w:val="000000"/>
                  <w:spacing w:val="33"/>
                </w:rPr>
                <w:t>Pripažįstu</w:t>
              </w:r>
              <w:r>
                <w:rPr>
                  <w:color w:val="000000"/>
                </w:rPr>
                <w:t xml:space="preserve"> netekusiu galios viešosios įstaigos Lietuvos Respublikos apskaitos instituto direktoriaus 2005 m. gruodžio 22 d. įsakymą Nr. VAS-9 „Dėl 36-ojo verslo apskaitos standarto „Neribotos civilinės atsakomybės juridinių asmenų buhalterinė apskaita ir finansinė atskaitomybė“ tvirtinimo“ (Žin., 2006, Nr. </w:t>
              </w:r>
              <w:hyperlink r:id="rId28" w:tgtFrame="_blank" w:history="1">
                <w:r>
                  <w:rPr>
                    <w:color w:val="0000FF" w:themeColor="hyperlink"/>
                    <w:u w:val="single"/>
                  </w:rPr>
                  <w:t>2-38</w:t>
                </w:r>
              </w:hyperlink>
              <w:r>
                <w:rPr>
                  <w:color w:val="000000"/>
                </w:rPr>
                <w:t>).</w:t>
              </w:r>
            </w:p>
          </w:sdtContent>
        </w:sdt>
        <w:sdt>
          <w:sdtPr>
            <w:alias w:val="3 p."/>
            <w:tag w:val="part_8b005bef1669488f8a30d97b15262be2"/>
            <w:lock w:val="sdtLocked"/>
            <w:richText/>
          </w:sdtPr>
          <w:sdtContent>
            <w:p>
              <w:pPr>
                <w:widowControl w:val="0"/>
                <w:ind w:firstLine="567"/>
                <w:jc w:val="both"/>
                <w:rPr>
                  <w:color w:val="000000"/>
                </w:rPr>
              </w:pPr>
              <w:sdt>
                <w:sdtPr>
                  <w:alias w:val="Numeris"/>
                  <w:tag w:val="nr_8b005bef1669488f8a30d97b15262be2"/>
                  <w:lock w:val="sdtLocked"/>
                  <w:richText/>
                </w:sdtPr>
                <w:sdtContent>
                  <w:r>
                    <w:rPr>
                      <w:color w:val="000000"/>
                    </w:rPr>
                    <w:t>3</w:t>
                  </w:r>
                </w:sdtContent>
              </w:sdt>
              <w:r>
                <w:rPr>
                  <w:color w:val="000000"/>
                </w:rPr>
                <w:t xml:space="preserve">. </w:t>
              </w:r>
              <w:r>
                <w:rPr>
                  <w:color w:val="000000"/>
                  <w:spacing w:val="33"/>
                </w:rPr>
                <w:t>Nustata</w:t>
              </w:r>
              <w:r>
                <w:rPr>
                  <w:color w:val="000000"/>
                </w:rPr>
                <w:t>u, kad šio įsakymo 2 punktas įsigalioja nuo 2013 m. sausio 1 d.</w:t>
              </w:r>
            </w:p>
            <w:p>
              <w:pPr>
                <w:widowControl w:val="0"/>
                <w:tabs>
                  <w:tab w:val="right" w:pos="9071"/>
                </w:tabs>
              </w:pPr>
            </w:p>
            <w:p>
              <w:pPr>
                <w:widowControl w:val="0"/>
                <w:tabs>
                  <w:tab w:val="right" w:pos="9071"/>
                </w:tabs>
              </w:pPr>
            </w:p>
            <w:p>
              <w:pPr>
                <w:widowControl w:val="0"/>
                <w:tabs>
                  <w:tab w:val="right" w:pos="9071"/>
                </w:tabs>
              </w:pPr>
            </w:p>
          </w:sdtContent>
        </w:sdt>
        <w:sdt>
          <w:sdtPr>
            <w:alias w:val="signatura"/>
            <w:tag w:val="part_84dd29cb26c74c1e968fd10beaa09725"/>
            <w:lock w:val="sdtLocked"/>
            <w:richText/>
          </w:sdtPr>
          <w:sdtContent>
            <w:p>
              <w:pPr>
                <w:widowControl w:val="0"/>
                <w:tabs>
                  <w:tab w:val="right" w:pos="9071"/>
                </w:tabs>
                <w:rPr>
                  <w:caps/>
                  <w:color w:val="000000"/>
                </w:rPr>
              </w:pPr>
              <w:r>
                <w:rPr>
                  <w:caps/>
                  <w:color w:val="000000"/>
                </w:rPr>
                <w:t>Direktorius</w:t>
                <w:tab/>
                <w:t>Audrius Linartas</w:t>
              </w:r>
            </w:p>
            <w:sdt>
              <w:sdtPr>
                <w:alias w:val="patvirtinta"/>
                <w:tag w:val="part_f915f739c69645cb9d453268518973f4"/>
                <w:lock w:val="sdtLocked"/>
                <w:richText/>
              </w:sdtPr>
              <w:sdtContent>
                <w:p>
                  <w:pPr>
                    <w:widowControl w:val="0"/>
                    <w:ind w:left="4535"/>
                    <w:rPr>
                      <w:color w:val="000000"/>
                    </w:rPr>
                  </w:pPr>
                  <w:r>
                    <w:rPr>
                      <w:color w:val="000000"/>
                    </w:rPr>
                    <w:br w:type="page"/>
                    <w:t>PATVIRTINTA</w:t>
                  </w:r>
                </w:p>
                <w:p>
                  <w:pPr>
                    <w:widowControl w:val="0"/>
                    <w:ind w:left="4535"/>
                    <w:rPr>
                      <w:color w:val="000000"/>
                    </w:rPr>
                  </w:pPr>
                  <w:r>
                    <w:rPr>
                      <w:color w:val="000000"/>
                    </w:rPr>
                    <w:t xml:space="preserve">Audito ir apskaitos tarnybos direktoriaus </w:t>
                  </w:r>
                </w:p>
                <w:p>
                  <w:pPr>
                    <w:widowControl w:val="0"/>
                    <w:ind w:left="4535"/>
                    <w:rPr>
                      <w:b/>
                      <w:bCs/>
                      <w:color w:val="000000"/>
                    </w:rPr>
                  </w:pPr>
                  <w:r>
                    <w:rPr>
                      <w:color w:val="000000"/>
                    </w:rPr>
                    <w:t>2012 m. spalio 16 d. įsakymu Nr. VAS-18</w:t>
                  </w:r>
                </w:p>
                <w:p>
                  <w:pPr>
                    <w:widowControl w:val="0"/>
                    <w:ind w:firstLine="567"/>
                    <w:jc w:val="both"/>
                    <w:rPr>
                      <w:color w:val="000000"/>
                    </w:rPr>
                  </w:pPr>
                </w:p>
                <w:p>
                  <w:pPr>
                    <w:widowControl w:val="0"/>
                    <w:jc w:val="center"/>
                    <w:rPr>
                      <w:b/>
                      <w:bCs/>
                      <w:caps/>
                      <w:color w:val="000000"/>
                    </w:rPr>
                  </w:pPr>
                  <w:sdt>
                    <w:sdtPr>
                      <w:alias w:val="Pavadinimas"/>
                      <w:tag w:val="title_f915f739c69645cb9d453268518973f4"/>
                      <w:lock w:val="sdtLocked"/>
                      <w:richText/>
                    </w:sdtPr>
                    <w:sdtContent>
                      <w:r>
                        <w:rPr>
                          <w:b/>
                          <w:bCs/>
                          <w:caps/>
                          <w:color w:val="000000"/>
                        </w:rPr>
                        <w:t>38-ASIS VERSLO APSKAITOS STANDARTAS „NERIBOTOS CIVILINĖS ATSAKOMYBĖS JURIDINIŲ ASMENŲ IR MAŽŲJŲ BENDRIJŲ BUHALTERINĖ APSKAITA IR FINANSINĖS ATASKAITOS“</w:t>
                      </w:r>
                    </w:sdtContent>
                  </w:sdt>
                </w:p>
                <w:p>
                  <w:pPr>
                    <w:widowControl w:val="0"/>
                    <w:jc w:val="center"/>
                    <w:rPr>
                      <w:b/>
                      <w:bCs/>
                      <w:caps/>
                      <w:color w:val="000000"/>
                    </w:rPr>
                  </w:pPr>
                </w:p>
                <w:sdt>
                  <w:sdtPr>
                    <w:alias w:val="skyrius"/>
                    <w:tag w:val="part_08ee42dd705c4ed089485080565f6695"/>
                    <w:lock w:val="sdtLocked"/>
                    <w:richText/>
                  </w:sdtPr>
                  <w:sdtContent>
                    <w:p>
                      <w:pPr>
                        <w:widowControl w:val="0"/>
                        <w:jc w:val="center"/>
                        <w:rPr>
                          <w:b/>
                          <w:bCs/>
                          <w:caps/>
                          <w:color w:val="000000"/>
                        </w:rPr>
                      </w:pPr>
                      <w:sdt>
                        <w:sdtPr>
                          <w:alias w:val="Numeris"/>
                          <w:tag w:val="nr_08ee42dd705c4ed089485080565f6695"/>
                          <w:lock w:val="sdtLocked"/>
                          <w:richText/>
                        </w:sdtPr>
                        <w:sdtContent>
                          <w:r>
                            <w:rPr>
                              <w:b/>
                              <w:bCs/>
                              <w:caps/>
                              <w:color w:val="000000"/>
                            </w:rPr>
                            <w:t>I</w:t>
                          </w:r>
                        </w:sdtContent>
                      </w:sdt>
                      <w:r>
                        <w:rPr>
                          <w:b/>
                          <w:bCs/>
                          <w:caps/>
                          <w:color w:val="000000"/>
                        </w:rPr>
                        <w:t xml:space="preserve">. </w:t>
                      </w:r>
                      <w:sdt>
                        <w:sdtPr>
                          <w:alias w:val="Pavadinimas"/>
                          <w:tag w:val="title_08ee42dd705c4ed089485080565f6695"/>
                          <w:lock w:val="sdtLocked"/>
                          <w:richText/>
                        </w:sdtPr>
                        <w:sdtContent>
                          <w:r>
                            <w:rPr>
                              <w:b/>
                              <w:bCs/>
                              <w:caps/>
                              <w:color w:val="000000"/>
                            </w:rPr>
                            <w:t>BENDROSIOS NUOSTATOS</w:t>
                          </w:r>
                        </w:sdtContent>
                      </w:sdt>
                    </w:p>
                    <w:p>
                      <w:pPr>
                        <w:widowControl w:val="0"/>
                        <w:ind w:firstLine="567"/>
                        <w:jc w:val="both"/>
                        <w:rPr>
                          <w:color w:val="000000"/>
                        </w:rPr>
                      </w:pPr>
                    </w:p>
                    <w:sdt>
                      <w:sdtPr>
                        <w:alias w:val="1 p."/>
                        <w:tag w:val="part_03e737185a054dfeb72e3267e92bcd8b"/>
                        <w:lock w:val="sdtLocked"/>
                        <w:richText/>
                      </w:sdtPr>
                      <w:sdtContent>
                        <w:p>
                          <w:pPr>
                            <w:widowControl w:val="0"/>
                            <w:tabs>
                              <w:tab w:val="left" w:pos="-284"/>
                              <w:tab w:val="left" w:pos="567"/>
                              <w:tab w:val="left" w:pos="1134"/>
                            </w:tabs>
                            <w:ind w:firstLine="567"/>
                            <w:jc w:val="both"/>
                            <w:rPr>
                              <w:color w:val="000000"/>
                            </w:rPr>
                          </w:pPr>
                          <w:sdt>
                            <w:sdtPr>
                              <w:alias w:val="Numeris"/>
                              <w:tag w:val="nr_03e737185a054dfeb72e3267e92bcd8b"/>
                              <w:lock w:val="sdtLocked"/>
                              <w:richText/>
                            </w:sdtPr>
                            <w:sdtContent>
                              <w:r>
                                <w:t>1</w:t>
                              </w:r>
                            </w:sdtContent>
                          </w:sdt>
                          <w:r>
                            <w:rPr>
                              <w:szCs w:val="24"/>
                            </w:rPr>
                            <w:t>. Šio standarto tikslas – nustatyti mažųjų bendrijų ir neribotos civilinės atsakomybės juridinių asmenų, t. y. tikrųjų ūkinių bendrijų ir komanditinių ūkinių bendrijų (toliau – ūkinė bendrija), ir individualių įmonių, buhalterinės apskaitos ir finansinių ataskaitų rinkinio sudėties, turinio ir sudarymo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2367b0674811e58e1ab2c84776483b">
                            <w:r w:rsidRPr="00532B9F">
                              <w:rPr>
                                <w:rFonts w:ascii="Times New Roman" w:eastAsia="MS Mincho" w:hAnsi="Times New Roman"/>
                                <w:sz w:val="20"/>
                                <w:i/>
                                <w:iCs/>
                                <w:color w:val="0000FF" w:themeColor="hyperlink"/>
                                <w:u w:val="single"/>
                              </w:rPr>
                              <w:t>VAS-48</w:t>
                            </w:r>
                          </w:fldSimple>
                          <w:r>
                            <w:rPr>
                              <w:rFonts w:ascii="Times New Roman" w:eastAsia="MS Mincho" w:hAnsi="Times New Roman"/>
                              <w:sz w:val="20"/>
                              <w:i/>
                              <w:iCs/>
                            </w:rPr>
                            <w:t>,
2015-09-24,
paskelbta TAR 2015-09-30, i. k. 2015-14490            </w:t>
                          </w:r>
                        </w:p>
                        <w:p/>
                      </w:sdtContent>
                    </w:sdt>
                    <w:sdt>
                      <w:sdtPr>
                        <w:alias w:val="2 p."/>
                        <w:tag w:val="part_818b2d5258a548ac97ce407ce41a1d41"/>
                        <w:lock w:val="sdtLocked"/>
                        <w:richText/>
                      </w:sdtPr>
                      <w:sdtContent>
                        <w:p>
                          <w:pPr>
                            <w:widowControl w:val="0"/>
                            <w:ind w:firstLine="567"/>
                            <w:jc w:val="both"/>
                            <w:rPr>
                              <w:color w:val="000000"/>
                            </w:rPr>
                          </w:pPr>
                          <w:sdt>
                            <w:sdtPr>
                              <w:alias w:val="Numeris"/>
                              <w:tag w:val="nr_818b2d5258a548ac97ce407ce41a1d41"/>
                              <w:lock w:val="sdtLocked"/>
                              <w:richText/>
                            </w:sdtPr>
                            <w:sdtContent>
                              <w:r>
                                <w:rPr>
                                  <w:color w:val="000000"/>
                                </w:rPr>
                                <w:t>2</w:t>
                              </w:r>
                            </w:sdtContent>
                          </w:sdt>
                          <w:r>
                            <w:rPr>
                              <w:color w:val="000000"/>
                            </w:rPr>
                            <w:t xml:space="preserve">. Neribotos civilinės atsakomybės juridiniai asmenys, išskyrus nurodytus šio standarto 3 punkte, taiko šį standartą tada, kai kitų teisės aktų nustatyta tvarka privalo arba savo nuožiūra nusprendžia sudaryti finansines ataskaitas. </w:t>
                          </w:r>
                        </w:p>
                      </w:sdtContent>
                    </w:sdt>
                    <w:sdt>
                      <w:sdtPr>
                        <w:alias w:val="3 p."/>
                        <w:tag w:val="part_47d9ef90242f4f50b578e43ddbaf8eab"/>
                        <w:lock w:val="sdtLocked"/>
                        <w:richText/>
                      </w:sdtPr>
                      <w:sdtContent>
                        <w:p>
                          <w:pPr>
                            <w:widowControl w:val="0"/>
                            <w:ind w:firstLine="567"/>
                            <w:jc w:val="both"/>
                            <w:rPr>
                              <w:color w:val="000000"/>
                            </w:rPr>
                          </w:pPr>
                          <w:sdt>
                            <w:sdtPr>
                              <w:alias w:val="Numeris"/>
                              <w:tag w:val="nr_47d9ef90242f4f50b578e43ddbaf8eab"/>
                              <w:lock w:val="sdtLocked"/>
                              <w:richText/>
                            </w:sdtPr>
                            <w:sdtContent>
                              <w:r>
                                <w:rPr>
                                  <w:color w:val="000000"/>
                                </w:rPr>
                                <w:t>3</w:t>
                              </w:r>
                            </w:sdtContent>
                          </w:sdt>
                          <w:r>
                            <w:rPr>
                              <w:color w:val="000000"/>
                            </w:rPr>
                            <w:t>. Ūkinės bendrijos, kurių visi tikrieji nariai yra akcinės ar uždarosios akcinės bendrovės, tvarkydamos apskaitą ir sudarydamos finansines ataskaitas, vadovaujasi visais kitais verslo apskaitos standartais.</w:t>
                          </w:r>
                        </w:p>
                      </w:sdtContent>
                    </w:sdt>
                    <w:sdt>
                      <w:sdtPr>
                        <w:alias w:val="4 p."/>
                        <w:tag w:val="part_41c72e7d047a4b5f90912466d7ff892d"/>
                        <w:lock w:val="sdtLocked"/>
                        <w:richText/>
                      </w:sdtPr>
                      <w:sdtContent>
                        <w:p>
                          <w:pPr>
                            <w:widowControl w:val="0"/>
                            <w:ind w:firstLine="567"/>
                            <w:jc w:val="both"/>
                            <w:rPr>
                              <w:color w:val="000000"/>
                            </w:rPr>
                          </w:pPr>
                          <w:sdt>
                            <w:sdtPr>
                              <w:alias w:val="Numeris"/>
                              <w:tag w:val="nr_41c72e7d047a4b5f90912466d7ff892d"/>
                              <w:lock w:val="sdtLocked"/>
                              <w:richText/>
                            </w:sdtPr>
                            <w:sdtContent>
                              <w:r>
                                <w:rPr>
                                  <w:color w:val="000000"/>
                                </w:rPr>
                                <w:t>4</w:t>
                              </w:r>
                            </w:sdtContent>
                          </w:sdt>
                          <w:r>
                            <w:rPr>
                              <w:color w:val="000000"/>
                            </w:rPr>
                            <w:t>. Mažosios bendrijos ir neribotos civilinės atsakomybės juridiniai asmenys, išskyrus nurodytus šio standarto 3 punkte, turi teisę pasirinkti, ar tvarkydamos apskaitą ir sudarydamos finansines ataskaitas vadovausis:</w:t>
                          </w:r>
                        </w:p>
                        <w:sdt>
                          <w:sdtPr>
                            <w:alias w:val="4.1 p."/>
                            <w:tag w:val="part_cf03c48f9e4b480fb81b3c398fdce935"/>
                            <w:lock w:val="sdtLocked"/>
                            <w:richText/>
                          </w:sdtPr>
                          <w:sdtContent>
                            <w:p>
                              <w:pPr>
                                <w:widowControl w:val="0"/>
                                <w:ind w:firstLine="567"/>
                                <w:jc w:val="both"/>
                                <w:rPr>
                                  <w:color w:val="000000"/>
                                </w:rPr>
                              </w:pPr>
                              <w:sdt>
                                <w:sdtPr>
                                  <w:alias w:val="Numeris"/>
                                  <w:tag w:val="nr_cf03c48f9e4b480fb81b3c398fdce935"/>
                                  <w:lock w:val="sdtLocked"/>
                                  <w:richText/>
                                </w:sdtPr>
                                <w:sdtContent>
                                  <w:r>
                                    <w:rPr>
                                      <w:color w:val="000000"/>
                                    </w:rPr>
                                    <w:t>4.1</w:t>
                                  </w:r>
                                </w:sdtContent>
                              </w:sdt>
                              <w:r>
                                <w:rPr>
                                  <w:color w:val="000000"/>
                                </w:rPr>
                                <w:t>. tik šio standarto nuostatomis;</w:t>
                              </w:r>
                            </w:p>
                          </w:sdtContent>
                        </w:sdt>
                        <w:sdt>
                          <w:sdtPr>
                            <w:alias w:val="4.2 p."/>
                            <w:tag w:val="part_7f3c42aca2714dedbdac25b86a523a32"/>
                            <w:lock w:val="sdtLocked"/>
                            <w:richText/>
                          </w:sdtPr>
                          <w:sdtContent>
                            <w:p>
                              <w:pPr>
                                <w:widowControl w:val="0"/>
                                <w:ind w:firstLine="567"/>
                                <w:jc w:val="both"/>
                                <w:rPr>
                                  <w:color w:val="000000"/>
                                </w:rPr>
                              </w:pPr>
                              <w:sdt>
                                <w:sdtPr>
                                  <w:alias w:val="Numeris"/>
                                  <w:tag w:val="nr_7f3c42aca2714dedbdac25b86a523a32"/>
                                  <w:lock w:val="sdtLocked"/>
                                  <w:richText/>
                                </w:sdtPr>
                                <w:sdtContent>
                                  <w:r>
                                    <w:rPr>
                                      <w:color w:val="000000"/>
                                    </w:rPr>
                                    <w:t>4.2</w:t>
                                  </w:r>
                                </w:sdtContent>
                              </w:sdt>
                              <w:r>
                                <w:rPr>
                                  <w:color w:val="000000"/>
                                </w:rPr>
                                <w:t xml:space="preserve">. visais kitais verslo apskaitos standartais. </w:t>
                              </w:r>
                            </w:p>
                          </w:sdtContent>
                        </w:sdt>
                      </w:sdtContent>
                    </w:sdt>
                    <w:sdt>
                      <w:sdtPr>
                        <w:alias w:val="4-1 p."/>
                        <w:tag w:val="part_ce3a82ac4d7a4dab89fa155d2797d53a"/>
                        <w:lock w:val="sdtLocked"/>
                        <w:richText/>
                      </w:sdtPr>
                      <w:sdtContent>
                        <w:p>
                          <w:pPr>
                            <w:widowControl w:val="0"/>
                            <w:ind w:firstLine="567"/>
                            <w:jc w:val="both"/>
                            <w:rPr>
                              <w:color w:val="000000"/>
                            </w:rPr>
                          </w:pPr>
                          <w:sdt>
                            <w:sdtPr>
                              <w:alias w:val="Numeris"/>
                              <w:tag w:val="nr_ce3a82ac4d7a4dab89fa155d2797d53a"/>
                              <w:lock w:val="sdtLocked"/>
                              <w:richText/>
                            </w:sdtPr>
                            <w:sdtContent>
                              <w:r>
                                <w:t>4</w:t>
                              </w:r>
                              <w:r>
                                <w:rPr>
                                  <w:vertAlign w:val="superscript"/>
                                </w:rPr>
                                <w:t>1</w:t>
                              </w:r>
                            </w:sdtContent>
                          </w:sdt>
                          <w:r>
                            <w:t xml:space="preserve">. Tikrųjų ūkinių bendrijų ir komanditinių ūkinių bendrijų, teisės aktų nustatyta tvarka veikiančių kaip kolektyvinio investavimo subjektai, apskaitai tvarkyti ir finansinėms ataskaitoms sudaryti skirtas 39-asis verslo apskaitos standartas „Kolektyvinio investavimo subjektų ir pensijų fondų apskaita, finansinės ataskaitos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729fb60aadb11e48ebccd46991dfff9">
                            <w:r w:rsidRPr="00532B9F">
                              <w:rPr>
                                <w:rFonts w:ascii="Times New Roman" w:eastAsia="MS Mincho" w:hAnsi="Times New Roman"/>
                                <w:sz w:val="20"/>
                                <w:i/>
                                <w:iCs/>
                                <w:color w:val="0000FF" w:themeColor="hyperlink"/>
                                <w:u w:val="single"/>
                              </w:rPr>
                              <w:t>VAS-1</w:t>
                            </w:r>
                          </w:fldSimple>
                          <w:r>
                            <w:rPr>
                              <w:rFonts w:ascii="Times New Roman" w:eastAsia="MS Mincho" w:hAnsi="Times New Roman"/>
                              <w:sz w:val="20"/>
                              <w:i/>
                              <w:iCs/>
                            </w:rPr>
                            <w:t>,
2015-02-02,
paskelbta TAR 2015-02-04, i. k. 2015-01688        </w:t>
                          </w:r>
                        </w:p>
                        <w:p/>
                      </w:sdtContent>
                    </w:sdt>
                    <w:sdt>
                      <w:sdtPr>
                        <w:alias w:val="5 p."/>
                        <w:tag w:val="part_8c32e6e0c12d441db52f605643928169"/>
                        <w:lock w:val="sdtLocked"/>
                        <w:richText/>
                      </w:sdtPr>
                      <w:sdtContent>
                        <w:p>
                          <w:pPr>
                            <w:tabs>
                              <w:tab w:val="left" w:pos="1134"/>
                            </w:tabs>
                            <w:ind w:firstLine="567"/>
                            <w:jc w:val="both"/>
                            <w:rPr>
                              <w:color w:val="000000"/>
                            </w:rPr>
                          </w:pPr>
                          <w:sdt>
                            <w:sdtPr>
                              <w:alias w:val="Numeris"/>
                              <w:tag w:val="nr_8c32e6e0c12d441db52f605643928169"/>
                              <w:lock w:val="sdtLocked"/>
                              <w:richText/>
                            </w:sdtPr>
                            <w:sdtContent>
                              <w:r>
                                <w:rPr>
                                  <w:rFonts w:eastAsia="Calibri"/>
                                  <w:szCs w:val="24"/>
                                </w:rPr>
                                <w:t>5</w:t>
                              </w:r>
                            </w:sdtContent>
                          </w:sdt>
                          <w:r>
                            <w:rPr>
                              <w:rFonts w:eastAsia="Calibri"/>
                              <w:szCs w:val="24"/>
                            </w:rPr>
                            <w:t xml:space="preserve">. </w:t>
                          </w:r>
                          <w:r>
                            <w:rPr>
                              <w:rFonts w:eastAsia="Calibri"/>
                              <w:szCs w:val="24"/>
                              <w:lang w:eastAsia="lt-LT"/>
                            </w:rPr>
                            <w:t>Šis standartas nustato finansinių ataskaitų formas neribotos civilinės atsakomybės juridiniams asmenims ir mažosioms bendrijoms, kurie apskaitą tvarkyti ir finansines ataskaitas sudaryti pasirinko pagal šio standarto nuostatas</w:t>
                          </w:r>
                          <w:r>
                            <w:rPr>
                              <w:rFonts w:eastAsia="Calibri"/>
                              <w:szCs w:val="24"/>
                              <w:lang w:val="fr-FR"/>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2367b0674811e58e1ab2c84776483b">
                            <w:r w:rsidRPr="00532B9F">
                              <w:rPr>
                                <w:rFonts w:ascii="Times New Roman" w:eastAsia="MS Mincho" w:hAnsi="Times New Roman"/>
                                <w:sz w:val="20"/>
                                <w:i/>
                                <w:iCs/>
                                <w:color w:val="0000FF" w:themeColor="hyperlink"/>
                                <w:u w:val="single"/>
                              </w:rPr>
                              <w:t>VAS-48</w:t>
                            </w:r>
                          </w:fldSimple>
                          <w:r>
                            <w:rPr>
                              <w:rFonts w:ascii="Times New Roman" w:eastAsia="MS Mincho" w:hAnsi="Times New Roman"/>
                              <w:sz w:val="20"/>
                              <w:i/>
                              <w:iCs/>
                            </w:rPr>
                            <w:t>,
2015-09-24,
paskelbta TAR 2015-09-30, i. k. 2015-14490            </w:t>
                          </w:r>
                        </w:p>
                        <w:p/>
                      </w:sdtContent>
                    </w:sdt>
                    <w:sdt>
                      <w:sdtPr>
                        <w:alias w:val="6 p."/>
                        <w:tag w:val="part_63b1068df6a8406eb0f926f13329866a"/>
                        <w:lock w:val="sdtLocked"/>
                        <w:richText/>
                      </w:sdtPr>
                      <w:sdtContent>
                        <w:p>
                          <w:pPr>
                            <w:widowControl w:val="0"/>
                            <w:ind w:firstLine="567"/>
                            <w:jc w:val="both"/>
                            <w:rPr>
                              <w:b/>
                              <w:bCs/>
                              <w:color w:val="000000"/>
                            </w:rPr>
                          </w:pPr>
                          <w:sdt>
                            <w:sdtPr>
                              <w:alias w:val="Numeris"/>
                              <w:tag w:val="nr_63b1068df6a8406eb0f926f13329866a"/>
                              <w:lock w:val="sdtLocked"/>
                              <w:richText/>
                            </w:sdtPr>
                            <w:sdtContent>
                              <w:r>
                                <w:rPr>
                                  <w:color w:val="000000"/>
                                </w:rPr>
                                <w:t>6</w:t>
                              </w:r>
                            </w:sdtContent>
                          </w:sdt>
                          <w:r>
                            <w:rPr>
                              <w:color w:val="000000"/>
                            </w:rPr>
                            <w:t xml:space="preserve">. Šiame standarte sąvoka „savininkai“ vadinami individualios įmonės savininkas, tikrosios ūkinės bendrijos tikrieji nariai, komanditinės ūkinės bendrijos tikrieji nariai ir komanditoriai, mažosios bendrijos nariai. </w:t>
                          </w:r>
                        </w:p>
                      </w:sdtContent>
                    </w:sdt>
                    <w:sdt>
                      <w:sdtPr>
                        <w:alias w:val="7 p."/>
                        <w:tag w:val="part_288eec286432443ca8472e906da89534"/>
                        <w:lock w:val="sdtLocked"/>
                        <w:richText/>
                      </w:sdtPr>
                      <w:sdtContent>
                        <w:p>
                          <w:pPr>
                            <w:widowControl w:val="0"/>
                            <w:ind w:firstLine="567"/>
                            <w:jc w:val="both"/>
                            <w:rPr>
                              <w:color w:val="000000"/>
                            </w:rPr>
                          </w:pPr>
                          <w:sdt>
                            <w:sdtPr>
                              <w:alias w:val="Numeris"/>
                              <w:tag w:val="nr_288eec286432443ca8472e906da89534"/>
                              <w:lock w:val="sdtLocked"/>
                              <w:richText/>
                            </w:sdtPr>
                            <w:sdtContent>
                              <w:r>
                                <w:rPr>
                                  <w:color w:val="000000"/>
                                </w:rPr>
                                <w:t>7</w:t>
                              </w:r>
                            </w:sdtContent>
                          </w:sdt>
                          <w:r>
                            <w:rPr>
                              <w:color w:val="000000"/>
                            </w:rPr>
                            <w:t>. Šiame standarte vartojama sąvoka „įmonė“, kai standarto nuostatos yra taikomos ir mažosioms bendrijoms, ir neribotos civilinės atsakomybės juridiniams asmenims. Kai standarto nuostatos taikomos mažosioms bendrijoms, vartojama sąvoka „mažoji bendrija“, kai standarto nuostatos taikomos individualioms įmonėms, tikrosioms ūkinėms bendrijoms ir komanditinėms ūkinėms bendrijoms, vartojama sąvoka „neribotos civilinės atsakomybės juridiniai asmenys“.</w:t>
                          </w:r>
                        </w:p>
                      </w:sdtContent>
                    </w:sdt>
                    <w:sdt>
                      <w:sdtPr>
                        <w:alias w:val="8 p."/>
                        <w:tag w:val="part_6c98b26bce6040f4967a291647ede438"/>
                        <w:lock w:val="sdtLocked"/>
                        <w:richText/>
                      </w:sdtPr>
                      <w:sdtContent>
                        <w:p>
                          <w:pPr>
                            <w:tabs>
                              <w:tab w:val="left" w:pos="1134"/>
                            </w:tabs>
                            <w:ind w:firstLine="567"/>
                            <w:jc w:val="both"/>
                            <w:rPr>
                              <w:color w:val="000000"/>
                            </w:rPr>
                          </w:pPr>
                          <w:sdt>
                            <w:sdtPr>
                              <w:alias w:val="Numeris"/>
                              <w:tag w:val="nr_6c98b26bce6040f4967a291647ede438"/>
                              <w:lock w:val="sdtLocked"/>
                              <w:richText/>
                            </w:sdtPr>
                            <w:sdtContent>
                              <w:r>
                                <w:rPr>
                                  <w:rFonts w:eastAsia="Calibri"/>
                                  <w:szCs w:val="24"/>
                                </w:rPr>
                                <w:t>8</w:t>
                              </w:r>
                            </w:sdtContent>
                          </w:sdt>
                          <w:r>
                            <w:rPr>
                              <w:rFonts w:eastAsia="Calibri"/>
                              <w:szCs w:val="22"/>
                            </w:rPr>
                            <w:t>. Kitos šiame standarte vartojamos sąvokos turi tą pačią reikšmę, kaip Lietuvos Respublikos buhalterinės apskaitos, Lietuvos Respublikos įmonių finansinės atskaitomybės, Lietuvos Respublikos mažųjų bendrijų, Lietuvos Respublikos ūkinių bendrijų ir Lietuvos Respublikos individualių įmonių įstatymuose</w:t>
                          </w:r>
                          <w:r>
                            <w:rPr>
                              <w:rFonts w:eastAsia="Calibri"/>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2367b0674811e58e1ab2c84776483b">
                            <w:r w:rsidRPr="00532B9F">
                              <w:rPr>
                                <w:rFonts w:ascii="Times New Roman" w:eastAsia="MS Mincho" w:hAnsi="Times New Roman"/>
                                <w:sz w:val="20"/>
                                <w:i/>
                                <w:iCs/>
                                <w:color w:val="0000FF" w:themeColor="hyperlink"/>
                                <w:u w:val="single"/>
                              </w:rPr>
                              <w:t>VAS-48</w:t>
                            </w:r>
                          </w:fldSimple>
                          <w:r>
                            <w:rPr>
                              <w:rFonts w:ascii="Times New Roman" w:eastAsia="MS Mincho" w:hAnsi="Times New Roman"/>
                              <w:sz w:val="20"/>
                              <w:i/>
                              <w:iCs/>
                            </w:rPr>
                            <w:t>,
2015-09-24,
paskelbta TAR 2015-09-30, i. k. 2015-14490            </w:t>
                          </w:r>
                        </w:p>
                        <w:p/>
                      </w:sdtContent>
                    </w:sdt>
                  </w:sdtContent>
                </w:sdt>
                <w:sdt>
                  <w:sdtPr>
                    <w:alias w:val="skyrius"/>
                    <w:tag w:val="part_a3e4bae28b4e46f0ba7dd4f0f988bfac"/>
                    <w:lock w:val="sdtLocked"/>
                    <w:richText/>
                  </w:sdtPr>
                  <w:sdtContent>
                    <w:p>
                      <w:pPr>
                        <w:widowControl w:val="0"/>
                        <w:jc w:val="center"/>
                        <w:rPr>
                          <w:b/>
                          <w:bCs/>
                          <w:caps/>
                          <w:color w:val="000000"/>
                        </w:rPr>
                      </w:pPr>
                      <w:sdt>
                        <w:sdtPr>
                          <w:alias w:val="Numeris"/>
                          <w:tag w:val="nr_a3e4bae28b4e46f0ba7dd4f0f988bfac"/>
                          <w:lock w:val="sdtLocked"/>
                          <w:richText/>
                        </w:sdtPr>
                        <w:sdtContent>
                          <w:r>
                            <w:rPr>
                              <w:b/>
                              <w:bCs/>
                              <w:caps/>
                              <w:color w:val="000000"/>
                            </w:rPr>
                            <w:t>II</w:t>
                          </w:r>
                        </w:sdtContent>
                      </w:sdt>
                      <w:r>
                        <w:rPr>
                          <w:b/>
                          <w:bCs/>
                          <w:caps/>
                          <w:color w:val="000000"/>
                        </w:rPr>
                        <w:t xml:space="preserve">. </w:t>
                      </w:r>
                      <w:sdt>
                        <w:sdtPr>
                          <w:alias w:val="Pavadinimas"/>
                          <w:tag w:val="title_a3e4bae28b4e46f0ba7dd4f0f988bfac"/>
                          <w:lock w:val="sdtLocked"/>
                          <w:richText/>
                        </w:sdtPr>
                        <w:sdtContent>
                          <w:r>
                            <w:rPr>
                              <w:b/>
                              <w:bCs/>
                              <w:caps/>
                              <w:color w:val="000000"/>
                            </w:rPr>
                            <w:t>PAGRINDINIAI FINANSINIŲ ATASKAITŲ REIKALAVIMAI</w:t>
                          </w:r>
                        </w:sdtContent>
                      </w:sdt>
                    </w:p>
                    <w:p>
                      <w:pPr>
                        <w:widowControl w:val="0"/>
                        <w:ind w:firstLine="567"/>
                        <w:jc w:val="both"/>
                        <w:rPr>
                          <w:color w:val="000000"/>
                        </w:rPr>
                      </w:pPr>
                    </w:p>
                    <w:sdt>
                      <w:sdtPr>
                        <w:alias w:val="9 p."/>
                        <w:tag w:val="part_4c61763401494adf885e8f950d2ff4b4"/>
                        <w:lock w:val="sdtLocked"/>
                        <w:richText/>
                      </w:sdtPr>
                      <w:sdtContent>
                        <w:p>
                          <w:pPr>
                            <w:pStyle w:val="PlainText"/>
                            <w:ind w:firstLine="567"/>
                            <w:jc w:val="both"/>
                            <w:rPr>
                              <w:rFonts w:ascii="Times New Roman" w:hAnsi="Times New Roman"/>
                              <w:b/>
                              <w:bCs/>
                              <w:sz w:val="22"/>
                            </w:rPr>
                          </w:pPr>
                          <w:r>
                            <w:rPr>
                              <w:rFonts w:ascii="Times New Roman" w:hAnsi="Times New Roman"/>
                              <w:sz w:val="22"/>
                            </w:rPr>
                            <w:t>9</w:t>
                          </w:r>
                          <w:r>
                            <w:rPr>
                              <w:rFonts w:ascii="Times New Roman" w:hAnsi="Times New Roman"/>
                              <w:sz w:val="22"/>
                            </w:rPr>
                            <w:t>.</w:t>
                          </w:r>
                          <w:r>
                            <w:rPr>
                              <w:rFonts w:ascii="Times New Roman" w:eastAsia="MS Mincho" w:hAnsi="Times New Roman"/>
                              <w:sz w:val="20"/>
                              <w:i/>
                              <w:iCs/>
                            </w:rPr>
                            <w:t xml:space="preserve"> Neteko galios nuo 2016-01-01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2367b0674811e58e1ab2c84776483b">
                            <w:r w:rsidRPr="00532B9F">
                              <w:rPr>
                                <w:rFonts w:ascii="Times New Roman" w:eastAsia="MS Mincho" w:hAnsi="Times New Roman"/>
                                <w:sz w:val="20"/>
                                <w:i/>
                                <w:iCs/>
                                <w:color w:val="0000FF" w:themeColor="hyperlink"/>
                                <w:u w:val="single"/>
                              </w:rPr>
                              <w:t>VAS-48</w:t>
                            </w:r>
                          </w:fldSimple>
                          <w:r>
                            <w:rPr>
                              <w:rFonts w:ascii="Times New Roman" w:eastAsia="MS Mincho" w:hAnsi="Times New Roman"/>
                              <w:sz w:val="20"/>
                              <w:i/>
                              <w:iCs/>
                            </w:rPr>
                            <w:t>,
2015-09-24,
paskelbta TAR 2015-09-30, i. k. 2015-14490        </w:t>
                          </w:r>
                        </w:p>
                        <w:p/>
                      </w:sdtContent>
                    </w:sdt>
                    <w:sdt>
                      <w:sdtPr>
                        <w:alias w:val="10 p."/>
                        <w:tag w:val="part_9437ea25dd494e92be07ce32d44e4e1b"/>
                        <w:lock w:val="sdtLocked"/>
                        <w:richText/>
                      </w:sdtPr>
                      <w:sdtContent>
                        <w:p>
                          <w:pPr>
                            <w:ind w:firstLine="567"/>
                            <w:jc w:val="both"/>
                            <w:rPr>
                              <w:szCs w:val="24"/>
                            </w:rPr>
                          </w:pPr>
                          <w:sdt>
                            <w:sdtPr>
                              <w:alias w:val="Numeris"/>
                              <w:tag w:val="nr_9437ea25dd494e92be07ce32d44e4e1b"/>
                              <w:lock w:val="sdtLocked"/>
                              <w:richText/>
                            </w:sdtPr>
                            <w:sdtContent>
                              <w:r>
                                <w:rPr>
                                  <w:szCs w:val="24"/>
                                </w:rPr>
                                <w:t>10</w:t>
                              </w:r>
                            </w:sdtContent>
                          </w:sdt>
                          <w:r>
                            <w:rPr>
                              <w:szCs w:val="24"/>
                            </w:rPr>
                            <w:t>. Neribotos civilinės atsakomybės juridinių asmenų ir mažosios bendrijos metinių finansinių ataskaitų rinkinį sudaro:</w:t>
                          </w:r>
                        </w:p>
                        <w:sdt>
                          <w:sdtPr>
                            <w:alias w:val="10.1 p."/>
                            <w:tag w:val="part_b77d1b6f118f4611b1f40cb81c17d7ff"/>
                            <w:lock w:val="sdtLocked"/>
                            <w:richText/>
                          </w:sdtPr>
                          <w:sdtContent>
                            <w:p>
                              <w:pPr>
                                <w:ind w:firstLine="567"/>
                                <w:jc w:val="both"/>
                                <w:rPr>
                                  <w:szCs w:val="24"/>
                                </w:rPr>
                              </w:pPr>
                              <w:sdt>
                                <w:sdtPr>
                                  <w:alias w:val="Numeris"/>
                                  <w:tag w:val="nr_b77d1b6f118f4611b1f40cb81c17d7ff"/>
                                  <w:lock w:val="sdtLocked"/>
                                  <w:richText/>
                                </w:sdtPr>
                                <w:sdtContent>
                                  <w:r>
                                    <w:rPr>
                                      <w:szCs w:val="24"/>
                                    </w:rPr>
                                    <w:t>10.1</w:t>
                                  </w:r>
                                </w:sdtContent>
                              </w:sdt>
                              <w:r>
                                <w:rPr>
                                  <w:szCs w:val="24"/>
                                </w:rPr>
                                <w:t>. balansas;</w:t>
                              </w:r>
                            </w:p>
                          </w:sdtContent>
                        </w:sdt>
                        <w:sdt>
                          <w:sdtPr>
                            <w:alias w:val="10.2 p."/>
                            <w:tag w:val="part_ecdd06e50de24dedb5c0d89e488fa6e2"/>
                            <w:lock w:val="sdtLocked"/>
                            <w:richText/>
                          </w:sdtPr>
                          <w:sdtContent>
                            <w:p>
                              <w:pPr>
                                <w:ind w:firstLine="567"/>
                                <w:jc w:val="both"/>
                                <w:rPr>
                                  <w:szCs w:val="24"/>
                                </w:rPr>
                              </w:pPr>
                              <w:sdt>
                                <w:sdtPr>
                                  <w:alias w:val="Numeris"/>
                                  <w:tag w:val="nr_ecdd06e50de24dedb5c0d89e488fa6e2"/>
                                  <w:lock w:val="sdtLocked"/>
                                  <w:richText/>
                                </w:sdtPr>
                                <w:sdtContent>
                                  <w:r>
                                    <w:rPr>
                                      <w:szCs w:val="24"/>
                                    </w:rPr>
                                    <w:t>10.2</w:t>
                                  </w:r>
                                </w:sdtContent>
                              </w:sdt>
                              <w:r>
                                <w:rPr>
                                  <w:szCs w:val="24"/>
                                </w:rPr>
                                <w:t>. pelno (nuostolių) ataskaita;</w:t>
                              </w:r>
                            </w:p>
                          </w:sdtContent>
                        </w:sdt>
                        <w:sdt>
                          <w:sdtPr>
                            <w:alias w:val="10.3 p."/>
                            <w:tag w:val="part_992e53b6e67c4e839c17fdd1d9dfb178"/>
                            <w:lock w:val="sdtLocked"/>
                            <w:richText/>
                          </w:sdtPr>
                          <w:sdtContent>
                            <w:p>
                              <w:pPr>
                                <w:ind w:firstLine="567"/>
                                <w:jc w:val="both"/>
                                <w:rPr>
                                  <w:color w:val="000000"/>
                                </w:rPr>
                              </w:pPr>
                              <w:sdt>
                                <w:sdtPr>
                                  <w:alias w:val="Numeris"/>
                                  <w:tag w:val="nr_992e53b6e67c4e839c17fdd1d9dfb178"/>
                                  <w:lock w:val="sdtLocked"/>
                                  <w:richText/>
                                </w:sdtPr>
                                <w:sdtContent>
                                  <w:r>
                                    <w:rPr>
                                      <w:szCs w:val="24"/>
                                    </w:rPr>
                                    <w:t>10.3</w:t>
                                  </w:r>
                                </w:sdtContent>
                              </w:sdt>
                              <w:r>
                                <w:rPr>
                                  <w:szCs w:val="24"/>
                                </w:rPr>
                                <w:t>. finansinių ataskaitų aiškinamasis raštas.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2367b0674811e58e1ab2c84776483b">
                            <w:r w:rsidRPr="00532B9F">
                              <w:rPr>
                                <w:rFonts w:ascii="Times New Roman" w:eastAsia="MS Mincho" w:hAnsi="Times New Roman"/>
                                <w:sz w:val="20"/>
                                <w:i/>
                                <w:iCs/>
                                <w:color w:val="0000FF" w:themeColor="hyperlink"/>
                                <w:u w:val="single"/>
                              </w:rPr>
                              <w:t>VAS-48</w:t>
                            </w:r>
                          </w:fldSimple>
                          <w:r>
                            <w:rPr>
                              <w:rFonts w:ascii="Times New Roman" w:eastAsia="MS Mincho" w:hAnsi="Times New Roman"/>
                              <w:sz w:val="20"/>
                              <w:i/>
                              <w:iCs/>
                            </w:rPr>
                            <w:t>,
2015-09-24,
paskelbta TAR 2015-09-30, i. k. 2015-14490            </w:t>
                          </w:r>
                        </w:p>
                        <w:p/>
                      </w:sdtContent>
                    </w:sdt>
                    <w:sdt>
                      <w:sdtPr>
                        <w:alias w:val="11 p."/>
                        <w:tag w:val="part_1646f7d4fbce4811bb07e1b61e3b25cd"/>
                        <w:lock w:val="sdtLocked"/>
                        <w:richText/>
                      </w:sdtPr>
                      <w:sdtContent>
                        <w:p>
                          <w:pPr>
                            <w:widowControl w:val="0"/>
                            <w:ind w:firstLine="567"/>
                            <w:jc w:val="both"/>
                            <w:rPr>
                              <w:color w:val="000000"/>
                            </w:rPr>
                          </w:pPr>
                          <w:sdt>
                            <w:sdtPr>
                              <w:alias w:val="Numeris"/>
                              <w:tag w:val="nr_1646f7d4fbce4811bb07e1b61e3b25cd"/>
                              <w:lock w:val="sdtLocked"/>
                              <w:richText/>
                            </w:sdtPr>
                            <w:sdtContent>
                              <w:r>
                                <w:rPr>
                                  <w:color w:val="000000"/>
                                </w:rPr>
                                <w:t>11</w:t>
                              </w:r>
                            </w:sdtContent>
                          </w:sdt>
                          <w:r>
                            <w:rPr>
                              <w:color w:val="000000"/>
                            </w:rPr>
                            <w:t>. Įmonėse vykdomos ūkinės operacijos ir ūkiniai įvykiai pagal ekonominę prasmę jungiami į stambesnes grupes, kurios vadinamos finansinių ataskaitų elementais. Įvertinant įmonės finansinę būklę ir veiklos rezultatus, naudojami šie finansinių ataskaitų elementai:</w:t>
                          </w:r>
                        </w:p>
                        <w:sdt>
                          <w:sdtPr>
                            <w:alias w:val="11.1 p."/>
                            <w:tag w:val="part_cd2e66178cbe477d8e1e8e501e1a6157"/>
                            <w:lock w:val="sdtLocked"/>
                            <w:richText/>
                          </w:sdtPr>
                          <w:sdtContent>
                            <w:p>
                              <w:pPr>
                                <w:widowControl w:val="0"/>
                                <w:ind w:firstLine="567"/>
                                <w:jc w:val="both"/>
                                <w:rPr>
                                  <w:color w:val="000000"/>
                                </w:rPr>
                              </w:pPr>
                              <w:sdt>
                                <w:sdtPr>
                                  <w:alias w:val="Numeris"/>
                                  <w:tag w:val="nr_cd2e66178cbe477d8e1e8e501e1a6157"/>
                                  <w:lock w:val="sdtLocked"/>
                                  <w:richText/>
                                </w:sdtPr>
                                <w:sdtContent>
                                  <w:r>
                                    <w:rPr>
                                      <w:color w:val="000000"/>
                                    </w:rPr>
                                    <w:t>11.1</w:t>
                                  </w:r>
                                </w:sdtContent>
                              </w:sdt>
                              <w:r>
                                <w:rPr>
                                  <w:color w:val="000000"/>
                                </w:rPr>
                                <w:t>. Balanse – turtas, įsipareigojimai ir nuosavas kapitalas, apibūdinantys įmonės finansinę būklę.</w:t>
                              </w:r>
                            </w:p>
                          </w:sdtContent>
                        </w:sdt>
                        <w:sdt>
                          <w:sdtPr>
                            <w:alias w:val="11.2 p."/>
                            <w:tag w:val="part_93e2d356a0804a209a27fb05d6c3fe48"/>
                            <w:lock w:val="sdtLocked"/>
                            <w:richText/>
                          </w:sdtPr>
                          <w:sdtContent>
                            <w:p>
                              <w:pPr>
                                <w:widowControl w:val="0"/>
                                <w:ind w:firstLine="567"/>
                                <w:jc w:val="both"/>
                                <w:rPr>
                                  <w:color w:val="000000"/>
                                </w:rPr>
                              </w:pPr>
                              <w:sdt>
                                <w:sdtPr>
                                  <w:alias w:val="Numeris"/>
                                  <w:tag w:val="nr_93e2d356a0804a209a27fb05d6c3fe48"/>
                                  <w:lock w:val="sdtLocked"/>
                                  <w:richText/>
                                </w:sdtPr>
                                <w:sdtContent>
                                  <w:r>
                                    <w:rPr>
                                      <w:color w:val="000000"/>
                                    </w:rPr>
                                    <w:t>11.2</w:t>
                                  </w:r>
                                </w:sdtContent>
                              </w:sdt>
                              <w:r>
                                <w:rPr>
                                  <w:color w:val="000000"/>
                                </w:rPr>
                                <w:t>. Pelno (nuostolių) ataskaitoje – pajamos ir sąnaudos, naudojamos įmonės veiklos rezultatams nustatyti.</w:t>
                              </w:r>
                            </w:p>
                          </w:sdtContent>
                        </w:sdt>
                      </w:sdtContent>
                    </w:sdt>
                    <w:sdt>
                      <w:sdtPr>
                        <w:alias w:val="12 p."/>
                        <w:tag w:val="part_bc0fbf43ebd4452083017d8959e40a98"/>
                        <w:lock w:val="sdtLocked"/>
                        <w:richText/>
                      </w:sdtPr>
                      <w:sdtContent>
                        <w:p>
                          <w:pPr>
                            <w:pStyle w:val="PlainText"/>
                            <w:ind w:firstLine="567"/>
                            <w:jc w:val="both"/>
                            <w:rPr>
                              <w:rFonts w:ascii="Times New Roman" w:hAnsi="Times New Roman"/>
                              <w:b/>
                              <w:bCs/>
                              <w:sz w:val="22"/>
                            </w:rPr>
                          </w:pPr>
                          <w:r>
                            <w:rPr>
                              <w:rFonts w:ascii="Times New Roman" w:hAnsi="Times New Roman"/>
                              <w:sz w:val="22"/>
                            </w:rPr>
                            <w:t>12</w:t>
                          </w:r>
                          <w:r>
                            <w:rPr>
                              <w:rFonts w:ascii="Times New Roman" w:hAnsi="Times New Roman"/>
                              <w:sz w:val="22"/>
                            </w:rPr>
                            <w:t>.</w:t>
                          </w:r>
                          <w:r>
                            <w:rPr>
                              <w:rFonts w:ascii="Times New Roman" w:eastAsia="MS Mincho" w:hAnsi="Times New Roman"/>
                              <w:sz w:val="20"/>
                              <w:i/>
                              <w:iCs/>
                            </w:rPr>
                            <w:t xml:space="preserve"> Neteko galios nuo 2016-01-01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2367b0674811e58e1ab2c84776483b">
                            <w:r w:rsidRPr="00532B9F">
                              <w:rPr>
                                <w:rFonts w:ascii="Times New Roman" w:eastAsia="MS Mincho" w:hAnsi="Times New Roman"/>
                                <w:sz w:val="20"/>
                                <w:i/>
                                <w:iCs/>
                                <w:color w:val="0000FF" w:themeColor="hyperlink"/>
                                <w:u w:val="single"/>
                              </w:rPr>
                              <w:t>VAS-48</w:t>
                            </w:r>
                          </w:fldSimple>
                          <w:r>
                            <w:rPr>
                              <w:rFonts w:ascii="Times New Roman" w:eastAsia="MS Mincho" w:hAnsi="Times New Roman"/>
                              <w:sz w:val="20"/>
                              <w:i/>
                              <w:iCs/>
                            </w:rPr>
                            <w:t>,
2015-09-24,
paskelbta TAR 2015-09-30, i. k. 2015-14490        </w:t>
                          </w:r>
                        </w:p>
                        <w:p/>
                      </w:sdtContent>
                    </w:sdt>
                    <w:sdt>
                      <w:sdtPr>
                        <w:alias w:val="13 p."/>
                        <w:tag w:val="part_d43af71feab74922825c4855b94af62d"/>
                        <w:lock w:val="sdtLocked"/>
                        <w:richText/>
                      </w:sdtPr>
                      <w:sdtContent>
                        <w:p>
                          <w:pPr>
                            <w:widowControl w:val="0"/>
                            <w:ind w:firstLine="567"/>
                            <w:jc w:val="both"/>
                            <w:rPr>
                              <w:color w:val="000000"/>
                            </w:rPr>
                          </w:pPr>
                          <w:sdt>
                            <w:sdtPr>
                              <w:alias w:val="Numeris"/>
                              <w:tag w:val="nr_d43af71feab74922825c4855b94af62d"/>
                              <w:lock w:val="sdtLocked"/>
                              <w:richText/>
                            </w:sdtPr>
                            <w:sdtContent>
                              <w:r>
                                <w:rPr>
                                  <w:color w:val="000000"/>
                                </w:rPr>
                                <w:t>13</w:t>
                              </w:r>
                            </w:sdtContent>
                          </w:sdt>
                          <w:r>
                            <w:rPr>
                              <w:color w:val="000000"/>
                            </w:rPr>
                            <w:t>. Finansinių ataskaitų aiškinamajame rašte (toliau – aiškinamasis raštas) pateikiama papildoma informacija, susijusi su įmonės veikla per ataskaitinį laikotarpį.</w:t>
                          </w:r>
                        </w:p>
                      </w:sdtContent>
                    </w:sdt>
                    <w:sdt>
                      <w:sdtPr>
                        <w:alias w:val="14 p."/>
                        <w:tag w:val="part_a2bd1067ae644ed3b67a318d0cd70a12"/>
                        <w:lock w:val="sdtLocked"/>
                        <w:richText/>
                      </w:sdtPr>
                      <w:sdtContent>
                        <w:p>
                          <w:pPr>
                            <w:widowControl w:val="0"/>
                            <w:ind w:firstLine="567"/>
                            <w:jc w:val="both"/>
                            <w:rPr>
                              <w:color w:val="000000"/>
                            </w:rPr>
                          </w:pPr>
                          <w:sdt>
                            <w:sdtPr>
                              <w:alias w:val="Numeris"/>
                              <w:tag w:val="nr_a2bd1067ae644ed3b67a318d0cd70a12"/>
                              <w:lock w:val="sdtLocked"/>
                              <w:richText/>
                            </w:sdtPr>
                            <w:sdtContent>
                              <w:r>
                                <w:rPr>
                                  <w:color w:val="000000"/>
                                </w:rPr>
                                <w:t>14</w:t>
                              </w:r>
                            </w:sdtContent>
                          </w:sdt>
                          <w:r>
                            <w:rPr>
                              <w:color w:val="000000"/>
                            </w:rPr>
                            <w:t xml:space="preserve">. Balanse pateikiami ataskaitinio laikotarpio pabaigos ir lyginamieji – praėjusių finansinių metų pabaigos – duomenys. Pelno (nuostolių) ataskaitoje pateikiami ataskaitinio laikotarpio duomenys ir tokio paties praėjusio ataskaitinio laikotarpio (lyginamoji) informacija. </w:t>
                          </w:r>
                        </w:p>
                      </w:sdtContent>
                    </w:sdt>
                    <w:sdt>
                      <w:sdtPr>
                        <w:alias w:val="15 p."/>
                        <w:tag w:val="part_0aefd7a0b9b645ce919c17e0fcd470c4"/>
                        <w:lock w:val="sdtLocked"/>
                        <w:richText/>
                      </w:sdtPr>
                      <w:sdtContent>
                        <w:p>
                          <w:pPr>
                            <w:widowControl w:val="0"/>
                            <w:ind w:firstLine="567"/>
                            <w:jc w:val="both"/>
                            <w:rPr>
                              <w:color w:val="000000"/>
                            </w:rPr>
                          </w:pPr>
                          <w:sdt>
                            <w:sdtPr>
                              <w:alias w:val="Numeris"/>
                              <w:tag w:val="nr_0aefd7a0b9b645ce919c17e0fcd470c4"/>
                              <w:lock w:val="sdtLocked"/>
                              <w:richText/>
                            </w:sdtPr>
                            <w:sdtContent>
                              <w:r>
                                <w:rPr>
                                  <w:color w:val="000000"/>
                                </w:rPr>
                                <w:t>15</w:t>
                              </w:r>
                            </w:sdtContent>
                          </w:sdt>
                          <w:r>
                            <w:rPr>
                              <w:color w:val="000000"/>
                            </w:rPr>
                            <w:t>. Įmonė gali sudaryti tarpinių finansinių ataskaitų rinkinį, kurio sudėtis tokia pati, kaip ir metinių finansinių ataskaitų rinkinio. Tarpinės finansinės ataskaitos rengiamos pagal tą pačią apskaitos politiką, kaip ir metinės finansinės ataskaitos.</w:t>
                          </w:r>
                        </w:p>
                      </w:sdtContent>
                    </w:sdt>
                    <w:sdt>
                      <w:sdtPr>
                        <w:alias w:val="16 p."/>
                        <w:tag w:val="part_cbcf9c6a463c4318a97475fe34f47126"/>
                        <w:lock w:val="sdtLocked"/>
                        <w:richText/>
                      </w:sdtPr>
                      <w:sdtContent>
                        <w:p>
                          <w:pPr>
                            <w:widowControl w:val="0"/>
                            <w:ind w:firstLine="567"/>
                            <w:jc w:val="both"/>
                            <w:rPr>
                              <w:color w:val="000000"/>
                            </w:rPr>
                          </w:pPr>
                          <w:sdt>
                            <w:sdtPr>
                              <w:alias w:val="Numeris"/>
                              <w:tag w:val="nr_cbcf9c6a463c4318a97475fe34f47126"/>
                              <w:lock w:val="sdtLocked"/>
                              <w:richText/>
                            </w:sdtPr>
                            <w:sdtContent>
                              <w:r>
                                <w:rPr>
                                  <w:color w:val="000000"/>
                                </w:rPr>
                                <w:t>16</w:t>
                              </w:r>
                            </w:sdtContent>
                          </w:sdt>
                          <w:r>
                            <w:rPr>
                              <w:color w:val="000000"/>
                            </w:rPr>
                            <w:t>. Įmonės savininkų turtiniai įnašai apskaitoje registruojami pagal teisės aktus nustatyta verte.</w:t>
                          </w:r>
                        </w:p>
                      </w:sdtContent>
                    </w:sdt>
                    <w:sdt>
                      <w:sdtPr>
                        <w:alias w:val="17 p."/>
                        <w:tag w:val="part_6eb2aa8bf22045288ff5763522ca7096"/>
                        <w:lock w:val="sdtLocked"/>
                        <w:richText/>
                      </w:sdtPr>
                      <w:sdtContent>
                        <w:p>
                          <w:pPr>
                            <w:widowControl w:val="0"/>
                            <w:ind w:firstLine="567"/>
                            <w:jc w:val="both"/>
                            <w:rPr>
                              <w:color w:val="000000"/>
                            </w:rPr>
                          </w:pPr>
                          <w:sdt>
                            <w:sdtPr>
                              <w:alias w:val="Numeris"/>
                              <w:tag w:val="nr_6eb2aa8bf22045288ff5763522ca7096"/>
                              <w:lock w:val="sdtLocked"/>
                              <w:richText/>
                            </w:sdtPr>
                            <w:sdtContent>
                              <w:r>
                                <w:rPr>
                                  <w:color w:val="000000"/>
                                </w:rPr>
                                <w:t>17</w:t>
                              </w:r>
                            </w:sdtContent>
                          </w:sdt>
                          <w:r>
                            <w:rPr>
                              <w:color w:val="000000"/>
                            </w:rPr>
                            <w:t>. Finansinėse ataskaitose negalima daryti turto ir įsipareigojimų tarpusavio užskaitos, išskyrus tuos atvejus, kai turtas ir įsipareigojimai yra susiję su tuo pačiu asmeniu ir kai turto ir įsipareigojimų užskaitą leidžiama daryti teisės aktų nustatyta tvarka arba yra susitarimas dėl tokio turto ir įsipareigojimo užskaitos ir toks susitarimas teisės aktų nėra draudžiamas.</w:t>
                          </w:r>
                        </w:p>
                      </w:sdtContent>
                    </w:sdt>
                    <w:sdt>
                      <w:sdtPr>
                        <w:alias w:val="18 p."/>
                        <w:tag w:val="part_c6f58f3ac49f40a1bc5d31e88ad1a386"/>
                        <w:lock w:val="sdtLocked"/>
                        <w:richText/>
                      </w:sdtPr>
                      <w:sdtContent>
                        <w:p>
                          <w:pPr>
                            <w:widowControl w:val="0"/>
                            <w:ind w:firstLine="567"/>
                            <w:jc w:val="both"/>
                            <w:rPr>
                              <w:color w:val="000000"/>
                            </w:rPr>
                          </w:pPr>
                          <w:sdt>
                            <w:sdtPr>
                              <w:alias w:val="Numeris"/>
                              <w:tag w:val="nr_c6f58f3ac49f40a1bc5d31e88ad1a386"/>
                              <w:lock w:val="sdtLocked"/>
                              <w:richText/>
                            </w:sdtPr>
                            <w:sdtContent>
                              <w:r>
                                <w:rPr>
                                  <w:color w:val="000000"/>
                                </w:rPr>
                                <w:t>18</w:t>
                              </w:r>
                            </w:sdtContent>
                          </w:sdt>
                          <w:r>
                            <w:rPr>
                              <w:color w:val="000000"/>
                            </w:rPr>
                            <w:t>. Pajamos ir sąnaudos finansinėse ataskaitose pateikiamos atskirai, tačiau kituose šio standarto punktuose nustatytais atvejais daroma pajamų ir sąnaudų tarpusavio užskaita ir pateikiamas grynasis rezultatas (pelnas ar nuostolis), pavyzdžiui, perleidus ilgalaikį turtą, gavus kompensaciją už patirtus nuostolius arba parodant užsienio valiutos kurso pokyčio įtaką.</w:t>
                          </w:r>
                        </w:p>
                      </w:sdtContent>
                    </w:sdt>
                    <w:sdt>
                      <w:sdtPr>
                        <w:alias w:val="19 p."/>
                        <w:tag w:val="part_195bc252b0b443b88be4ff59aad27d65"/>
                        <w:lock w:val="sdtLocked"/>
                        <w:richText/>
                      </w:sdtPr>
                      <w:sdtContent>
                        <w:p>
                          <w:pPr>
                            <w:widowControl w:val="0"/>
                            <w:ind w:firstLine="567"/>
                            <w:jc w:val="both"/>
                            <w:rPr>
                              <w:color w:val="000000"/>
                            </w:rPr>
                          </w:pPr>
                          <w:sdt>
                            <w:sdtPr>
                              <w:alias w:val="Numeris"/>
                              <w:tag w:val="nr_195bc252b0b443b88be4ff59aad27d65"/>
                              <w:lock w:val="sdtLocked"/>
                              <w:richText/>
                            </w:sdtPr>
                            <w:sdtContent>
                              <w:r>
                                <w:rPr>
                                  <w:color w:val="000000"/>
                                </w:rPr>
                                <w:t>19</w:t>
                              </w:r>
                            </w:sdtContent>
                          </w:sdt>
                          <w:r>
                            <w:rPr>
                              <w:color w:val="000000"/>
                            </w:rPr>
                            <w:t>. Ankstesnių ataskaitinių laikotarpių apskaitos klaidos, kurių gali atsirasti dėl neteisingo skaičiavimo, netinkamo apskaitos metodo taikymo, neteisingo ūkinės operacijos ar ūkinio įvykio registravimo ar dėl apsirikimo, taisomos ataskaitinį laikotarpį, kad ataskaitinio laikotarpio finansinėse ataskaitose būtų parodyti teisingi duomenys ir kad klaida neturėtų poveikio būsimų ataskaitinių laikotarpių duomenims. Ištaisytos klaidos rezultatas įtraukiamas į tą pačią balanso ir pelno (nuostolių) ataskaitos eilutę, kurioje ji ir buvo padaryta.</w:t>
                          </w:r>
                        </w:p>
                      </w:sdtContent>
                    </w:sdt>
                    <w:sdt>
                      <w:sdtPr>
                        <w:alias w:val="20 p."/>
                        <w:tag w:val="part_3a06913794a24dc086482517aa6a71d8"/>
                        <w:lock w:val="sdtLocked"/>
                        <w:richText/>
                      </w:sdtPr>
                      <w:sdtContent>
                        <w:p>
                          <w:pPr>
                            <w:widowControl w:val="0"/>
                            <w:ind w:firstLine="567"/>
                            <w:jc w:val="both"/>
                            <w:rPr>
                              <w:color w:val="000000"/>
                            </w:rPr>
                          </w:pPr>
                          <w:sdt>
                            <w:sdtPr>
                              <w:alias w:val="Numeris"/>
                              <w:tag w:val="nr_3a06913794a24dc086482517aa6a71d8"/>
                              <w:lock w:val="sdtLocked"/>
                              <w:richText/>
                            </w:sdtPr>
                            <w:sdtContent>
                              <w:r>
                                <w:rPr>
                                  <w:color w:val="000000"/>
                                </w:rPr>
                                <w:t>20</w:t>
                              </w:r>
                            </w:sdtContent>
                          </w:sdt>
                          <w:r>
                            <w:rPr>
                              <w:color w:val="000000"/>
                            </w:rPr>
                            <w:t>. Jei per ataskaitinius finansinius metus buvo pakeista apskaitos politika, tai pagal naują apskaitos politiką perskaičiuojami ataskaitinio laikotarpio duomenys, o lyginamieji finansinių ataskaitų duomenys neperskaičiuojami.</w:t>
                          </w:r>
                        </w:p>
                      </w:sdtContent>
                    </w:sdt>
                    <w:sdt>
                      <w:sdtPr>
                        <w:alias w:val="21 p."/>
                        <w:tag w:val="part_d659aa0b044e4ff2b0fc034144482490"/>
                        <w:lock w:val="sdtLocked"/>
                        <w:richText/>
                      </w:sdtPr>
                      <w:sdtContent>
                        <w:p>
                          <w:pPr>
                            <w:ind w:firstLine="567"/>
                            <w:jc w:val="both"/>
                            <w:rPr>
                              <w:color w:val="000000"/>
                            </w:rPr>
                          </w:pPr>
                          <w:sdt>
                            <w:sdtPr>
                              <w:alias w:val="Numeris"/>
                              <w:tag w:val="nr_d659aa0b044e4ff2b0fc034144482490"/>
                              <w:lock w:val="sdtLocked"/>
                              <w:richText/>
                            </w:sdtPr>
                            <w:sdtContent>
                              <w:r>
                                <w:rPr>
                                  <w:color w:val="000000"/>
                                  <w:szCs w:val="24"/>
                                  <w:lang w:eastAsia="lt-LT"/>
                                </w:rPr>
                                <w:t>21</w:t>
                              </w:r>
                            </w:sdtContent>
                          </w:sdt>
                          <w:r>
                            <w:rPr>
                              <w:color w:val="000000"/>
                              <w:szCs w:val="24"/>
                              <w:lang w:eastAsia="lt-LT"/>
                            </w:rPr>
                            <w:t xml:space="preserve">. Sandoris, sudarytas užsienio valiuta, pirminio pripažinimo metu įvertinamas ir apskaitoje registruojamas finansinių ataskaitų valiuta, </w:t>
                          </w:r>
                          <w:r>
                            <w:rPr>
                              <w:szCs w:val="24"/>
                              <w:lang w:eastAsia="lt-LT"/>
                            </w:rPr>
                            <w:t>taikant sandorio dieną galiojusį a</w:t>
                          </w:r>
                          <w:r>
                            <w:rPr>
                              <w:szCs w:val="24"/>
                              <w:shd w:val="clear" w:color="auto" w:fill="FFFFFF"/>
                              <w:lang w:eastAsia="lt-LT"/>
                            </w:rPr>
                            <w:t>pskaitoje taikomą euro ir užsienio valiutos santykį, nustatytą vadovaujantis Lietuvos Respublikos buhalterinės apskaitos įstatymu (toliau – užsienio valiutos kursas)</w:t>
                          </w:r>
                          <w:r>
                            <w:rPr>
                              <w:szCs w:val="24"/>
                              <w:lang w:eastAsia="lt-LT"/>
                            </w:rPr>
                            <w:t>. Sa</w:t>
                          </w:r>
                          <w:r>
                            <w:rPr>
                              <w:color w:val="000000"/>
                              <w:szCs w:val="24"/>
                              <w:lang w:eastAsia="lt-LT"/>
                            </w:rPr>
                            <w:t>ndorio diena laikoma diena, kai pardavėjas ar paslaugos teikėjas su prekėmis ar paslaugomis susijusią riziką ir naudą perduoda pirkėjui ar paslaugos gavėjui.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c6dd1309a3211e3bdd0a9c9ad8ce1bf">
                            <w:r w:rsidRPr="00532B9F">
                              <w:rPr>
                                <w:rFonts w:ascii="Times New Roman" w:eastAsia="MS Mincho" w:hAnsi="Times New Roman"/>
                                <w:sz w:val="20"/>
                                <w:i/>
                                <w:iCs/>
                                <w:color w:val="0000FF" w:themeColor="hyperlink"/>
                                <w:u w:val="single"/>
                              </w:rPr>
                              <w:t>VAS-19</w:t>
                            </w:r>
                          </w:fldSimple>
                          <w:r>
                            <w:rPr>
                              <w:rFonts w:ascii="Times New Roman" w:eastAsia="MS Mincho" w:hAnsi="Times New Roman"/>
                              <w:sz w:val="20"/>
                              <w:i/>
                              <w:iCs/>
                            </w:rPr>
                            <w:t>,
2014-02-18,
paskelbta TAR 2014-02-21, i. k. 2014-01974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de91a6089ac11e4a98a9f2247652cf4">
                            <w:r w:rsidRPr="00532B9F">
                              <w:rPr>
                                <w:rFonts w:ascii="Times New Roman" w:eastAsia="MS Mincho" w:hAnsi="Times New Roman"/>
                                <w:sz w:val="20"/>
                                <w:i/>
                                <w:iCs/>
                                <w:color w:val="0000FF" w:themeColor="hyperlink"/>
                                <w:u w:val="single"/>
                              </w:rPr>
                              <w:t>VAS-35</w:t>
                            </w:r>
                          </w:fldSimple>
                          <w:r>
                            <w:rPr>
                              <w:rFonts w:ascii="Times New Roman" w:eastAsia="MS Mincho" w:hAnsi="Times New Roman"/>
                              <w:sz w:val="20"/>
                              <w:i/>
                              <w:iCs/>
                            </w:rPr>
                            <w:t>,
2014-12-18,
paskelbta TAR 2014-12-22, i. k. 2014-20444            </w:t>
                          </w:r>
                        </w:p>
                        <w:p/>
                      </w:sdtContent>
                    </w:sdt>
                    <w:sdt>
                      <w:sdtPr>
                        <w:alias w:val="22 p."/>
                        <w:tag w:val="part_4162d4954e2b4edf928c31dcdaa916c7"/>
                        <w:lock w:val="sdtLocked"/>
                        <w:richText/>
                      </w:sdtPr>
                      <w:sdtContent>
                        <w:p>
                          <w:pPr>
                            <w:tabs>
                              <w:tab w:val="left" w:pos="0"/>
                            </w:tabs>
                            <w:ind w:firstLine="567"/>
                            <w:jc w:val="both"/>
                            <w:rPr>
                              <w:color w:val="000000"/>
                            </w:rPr>
                          </w:pPr>
                          <w:sdt>
                            <w:sdtPr>
                              <w:alias w:val="Numeris"/>
                              <w:tag w:val="nr_4162d4954e2b4edf928c31dcdaa916c7"/>
                              <w:lock w:val="sdtLocked"/>
                              <w:richText/>
                            </w:sdtPr>
                            <w:sdtContent>
                              <w:r>
                                <w:rPr>
                                  <w:color w:val="000000"/>
                                  <w:szCs w:val="24"/>
                                  <w:lang w:eastAsia="lt-LT"/>
                                </w:rPr>
                                <w:t>22</w:t>
                              </w:r>
                            </w:sdtContent>
                          </w:sdt>
                          <w:r>
                            <w:rPr>
                              <w:color w:val="000000"/>
                              <w:szCs w:val="24"/>
                              <w:lang w:eastAsia="lt-LT"/>
                            </w:rPr>
                            <w:t>. Sudarant finansines ataskaitas, pinigai užsienio valiuta, kitas finansinis turtas ir finansiniai įsipareigojimai, pagal kuriuos bus gauta ar sumokėta fiksuota ar aiškiai nustatoma užsienio valiutos suma, įvertinami finansinių ataskaitų valiuta, taikant paskutinę ataskaitinio laikotarpio dieną galiojusį užsienio valiutos kursą</w:t>
                          </w:r>
                          <w:r>
                            <w:rPr>
                              <w:color w:val="000000"/>
                              <w:szCs w:val="24"/>
                              <w:shd w:val="clear" w:color="auto" w:fill="FFFFFF"/>
                              <w:lang w:eastAsia="lt-LT"/>
                            </w:rPr>
                            <w:t>.</w:t>
                          </w:r>
                          <w:r>
                            <w:rPr>
                              <w:color w:val="000000"/>
                              <w:szCs w:val="24"/>
                              <w:lang w:eastAsia="lt-LT"/>
                            </w:rPr>
                            <w:t xml:space="preserve"> U</w:t>
                          </w:r>
                          <w:r>
                            <w:rPr>
                              <w:color w:val="000000"/>
                              <w:szCs w:val="24"/>
                              <w:shd w:val="clear" w:color="auto" w:fill="FFFFFF"/>
                              <w:lang w:eastAsia="lt-LT"/>
                            </w:rPr>
                            <w:t xml:space="preserve">žsienio valiutų kursų pokyčiai, </w:t>
                          </w:r>
                          <w:r>
                            <w:rPr>
                              <w:color w:val="000000"/>
                              <w:szCs w:val="24"/>
                              <w:lang w:eastAsia="lt-LT"/>
                            </w:rPr>
                            <w:t>atsiradę atliekant valiutines operacijas ir sudarant finansines ataskaitas, pripažįstami ataskaitinio laikotarpio, per kurį jie susidarė, finansinės ir investicinės veiklos pajamomis arba sąnaudomis.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de91a6089ac11e4a98a9f2247652cf4">
                            <w:r w:rsidRPr="00532B9F">
                              <w:rPr>
                                <w:rFonts w:ascii="Times New Roman" w:eastAsia="MS Mincho" w:hAnsi="Times New Roman"/>
                                <w:sz w:val="20"/>
                                <w:i/>
                                <w:iCs/>
                                <w:color w:val="0000FF" w:themeColor="hyperlink"/>
                                <w:u w:val="single"/>
                              </w:rPr>
                              <w:t>VAS-35</w:t>
                            </w:r>
                          </w:fldSimple>
                          <w:r>
                            <w:rPr>
                              <w:rFonts w:ascii="Times New Roman" w:eastAsia="MS Mincho" w:hAnsi="Times New Roman"/>
                              <w:sz w:val="20"/>
                              <w:i/>
                              <w:iCs/>
                            </w:rPr>
                            <w:t>,
2014-12-18,
paskelbta TAR 2014-12-22, i. k. 2014-20444            </w:t>
                          </w:r>
                        </w:p>
                        <w:p/>
                      </w:sdtContent>
                    </w:sdt>
                    <w:sdt>
                      <w:sdtPr>
                        <w:alias w:val="23 p."/>
                        <w:tag w:val="part_06a7fc2fbbfb475b82779437d88aef44"/>
                        <w:lock w:val="sdtLocked"/>
                        <w:richText/>
                      </w:sdtPr>
                      <w:sdtContent>
                        <w:p>
                          <w:pPr>
                            <w:ind w:firstLine="567"/>
                            <w:jc w:val="both"/>
                            <w:rPr>
                              <w:color w:val="000000"/>
                            </w:rPr>
                          </w:pPr>
                          <w:sdt>
                            <w:sdtPr>
                              <w:alias w:val="Numeris"/>
                              <w:tag w:val="nr_06a7fc2fbbfb475b82779437d88aef44"/>
                              <w:lock w:val="sdtLocked"/>
                              <w:richText/>
                            </w:sdtPr>
                            <w:sdtContent>
                              <w:r>
                                <w:rPr>
                                  <w:szCs w:val="24"/>
                                </w:rPr>
                                <w:t>23</w:t>
                              </w:r>
                            </w:sdtContent>
                          </w:sdt>
                          <w:r>
                            <w:rPr>
                              <w:szCs w:val="24"/>
                            </w:rPr>
                            <w:t>. Jei nuo paskutinės ataskaitinio laikotarpio dienos iki finansinių ataskaitų parengimo ir jų pasirašymo įvyksta poataskaitinių ūkinių įvykių, kurie turi reikšmingos įtakos dar nepasirašytų ataskaitų duomenims, finansinės ataskaitos turi būti koreguojamos.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2367b0674811e58e1ab2c84776483b">
                            <w:r w:rsidRPr="00532B9F">
                              <w:rPr>
                                <w:rFonts w:ascii="Times New Roman" w:eastAsia="MS Mincho" w:hAnsi="Times New Roman"/>
                                <w:sz w:val="20"/>
                                <w:i/>
                                <w:iCs/>
                                <w:color w:val="0000FF" w:themeColor="hyperlink"/>
                                <w:u w:val="single"/>
                              </w:rPr>
                              <w:t>VAS-48</w:t>
                            </w:r>
                          </w:fldSimple>
                          <w:r>
                            <w:rPr>
                              <w:rFonts w:ascii="Times New Roman" w:eastAsia="MS Mincho" w:hAnsi="Times New Roman"/>
                              <w:sz w:val="20"/>
                              <w:i/>
                              <w:iCs/>
                            </w:rPr>
                            <w:t>,
2015-09-24,
paskelbta TAR 2015-09-30, i. k. 2015-14490            </w:t>
                          </w:r>
                        </w:p>
                        <w:p/>
                      </w:sdtContent>
                    </w:sdt>
                    <w:sdt>
                      <w:sdtPr>
                        <w:alias w:val="24 p."/>
                        <w:tag w:val="part_03eb55a0268b484685a9c566baf9e0bb"/>
                        <w:lock w:val="sdtLocked"/>
                        <w:richText/>
                      </w:sdtPr>
                      <w:sdtContent>
                        <w:p>
                          <w:pPr>
                            <w:widowControl w:val="0"/>
                            <w:ind w:firstLine="567"/>
                            <w:jc w:val="both"/>
                            <w:rPr>
                              <w:szCs w:val="24"/>
                            </w:rPr>
                          </w:pPr>
                          <w:sdt>
                            <w:sdtPr>
                              <w:alias w:val="Numeris"/>
                              <w:tag w:val="nr_03eb55a0268b484685a9c566baf9e0bb"/>
                              <w:lock w:val="sdtLocked"/>
                              <w:richText/>
                            </w:sdtPr>
                            <w:sdtContent>
                              <w:r>
                                <w:rPr>
                                  <w:szCs w:val="24"/>
                                </w:rPr>
                                <w:t>24</w:t>
                              </w:r>
                            </w:sdtContent>
                          </w:sdt>
                          <w:r>
                            <w:rPr>
                              <w:szCs w:val="24"/>
                            </w:rPr>
                            <w:t>. Standarte nustatytos finansinių ataskaitų formos ir jose pateikti straipsniai yra privalomi, kai teisės aktų nustatytais atvejais ir tvarka finansinės ataskaitos skelbiamos viešai Juridinių asmenų registre. Įmonės savo nuožiūra negali keisti nustatytų finansinių ataskaitų formų, įrašyti kitokius straipsnių pavadinimus, įterpti naujus ar išbraukti esamus straipsnius, juos pergrupuoti net ir tuo atveju, kai juose nurodytos sumos lygios nuliui. Finansinių ataskaitų formose privalomų straipsnių sumas galima išskaidyti į smulkesnes sudėtines dalis ir parodyti atskirose eilutėse ir stulpeliuose tik tuo atveju, jei yra šios dvi sąlygos:</w:t>
                          </w:r>
                        </w:p>
                        <w:sdt>
                          <w:sdtPr>
                            <w:alias w:val="24.1 p."/>
                            <w:tag w:val="part_69dfa0b9ab884b3c8864527b3f3b565d"/>
                            <w:lock w:val="sdtLocked"/>
                            <w:richText/>
                          </w:sdtPr>
                          <w:sdtContent>
                            <w:p>
                              <w:pPr>
                                <w:widowControl w:val="0"/>
                                <w:ind w:firstLine="567"/>
                                <w:jc w:val="both"/>
                                <w:rPr>
                                  <w:szCs w:val="24"/>
                                </w:rPr>
                              </w:pPr>
                              <w:sdt>
                                <w:sdtPr>
                                  <w:alias w:val="Numeris"/>
                                  <w:tag w:val="nr_69dfa0b9ab884b3c8864527b3f3b565d"/>
                                  <w:lock w:val="sdtLocked"/>
                                  <w:richText/>
                                </w:sdtPr>
                                <w:sdtContent>
                                  <w:r>
                                    <w:rPr>
                                      <w:szCs w:val="24"/>
                                    </w:rPr>
                                    <w:t>24.1</w:t>
                                  </w:r>
                                </w:sdtContent>
                              </w:sdt>
                              <w:r>
                                <w:rPr>
                                  <w:szCs w:val="24"/>
                                </w:rPr>
                                <w:t>. to reikia dėl įmonės veiklos specifikos;</w:t>
                              </w:r>
                            </w:p>
                          </w:sdtContent>
                        </w:sdt>
                        <w:sdt>
                          <w:sdtPr>
                            <w:alias w:val="24.2 p."/>
                            <w:tag w:val="part_c78b7dfcb7c543278817cac13c75f217"/>
                            <w:lock w:val="sdtLocked"/>
                            <w:richText/>
                          </w:sdtPr>
                          <w:sdtContent>
                            <w:p>
                              <w:pPr>
                                <w:widowControl w:val="0"/>
                                <w:ind w:firstLine="567"/>
                                <w:jc w:val="both"/>
                                <w:rPr>
                                  <w:color w:val="000000"/>
                                </w:rPr>
                              </w:pPr>
                              <w:sdt>
                                <w:sdtPr>
                                  <w:alias w:val="Numeris"/>
                                  <w:tag w:val="nr_c78b7dfcb7c543278817cac13c75f217"/>
                                  <w:lock w:val="sdtLocked"/>
                                  <w:richText/>
                                </w:sdtPr>
                                <w:sdtContent>
                                  <w:r>
                                    <w:rPr>
                                      <w:szCs w:val="24"/>
                                    </w:rPr>
                                    <w:t>24.2</w:t>
                                  </w:r>
                                </w:sdtContent>
                              </w:sdt>
                              <w:r>
                                <w:rPr>
                                  <w:szCs w:val="24"/>
                                </w:rPr>
                                <w:t>. būtina norint pateikti tikrą ir teisingą informaciją apie įmonės finansinę būklę ir veiklos rezultatus.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2367b0674811e58e1ab2c84776483b">
                            <w:r w:rsidRPr="00532B9F">
                              <w:rPr>
                                <w:rFonts w:ascii="Times New Roman" w:eastAsia="MS Mincho" w:hAnsi="Times New Roman"/>
                                <w:sz w:val="20"/>
                                <w:i/>
                                <w:iCs/>
                                <w:color w:val="0000FF" w:themeColor="hyperlink"/>
                                <w:u w:val="single"/>
                              </w:rPr>
                              <w:t>VAS-48</w:t>
                            </w:r>
                          </w:fldSimple>
                          <w:r>
                            <w:rPr>
                              <w:rFonts w:ascii="Times New Roman" w:eastAsia="MS Mincho" w:hAnsi="Times New Roman"/>
                              <w:sz w:val="20"/>
                              <w:i/>
                              <w:iCs/>
                            </w:rPr>
                            <w:t>,
2015-09-24,
paskelbta TAR 2015-09-30, i. k. 2015-14490            </w:t>
                          </w:r>
                        </w:p>
                        <w:p/>
                      </w:sdtContent>
                    </w:sdt>
                    <w:sdt>
                      <w:sdtPr>
                        <w:alias w:val="25 p."/>
                        <w:tag w:val="part_f1dff493b52142cca4403159bc766b2b"/>
                        <w:lock w:val="sdtLocked"/>
                        <w:richText/>
                      </w:sdtPr>
                      <w:sdtContent>
                        <w:p>
                          <w:pPr>
                            <w:spacing w:line="360" w:lineRule="auto"/>
                            <w:ind w:firstLine="567"/>
                            <w:jc w:val="both"/>
                            <w:rPr>
                              <w:color w:val="000000"/>
                            </w:rPr>
                          </w:pPr>
                          <w:sdt>
                            <w:sdtPr>
                              <w:alias w:val="Numeris"/>
                              <w:tag w:val="nr_f1dff493b52142cca4403159bc766b2b"/>
                              <w:lock w:val="sdtLocked"/>
                              <w:richText/>
                            </w:sdtPr>
                            <w:sdtContent>
                              <w:r>
                                <w:rPr>
                                  <w:szCs w:val="24"/>
                                </w:rPr>
                                <w:t>25</w:t>
                              </w:r>
                            </w:sdtContent>
                          </w:sdt>
                          <w:r>
                            <w:rPr>
                              <w:szCs w:val="24"/>
                            </w:rPr>
                            <w:t xml:space="preserve">. Finansinių ataskaitų formos pateikiamos šio standarto prieduose.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2367b0674811e58e1ab2c84776483b">
                            <w:r w:rsidRPr="00532B9F">
                              <w:rPr>
                                <w:rFonts w:ascii="Times New Roman" w:eastAsia="MS Mincho" w:hAnsi="Times New Roman"/>
                                <w:sz w:val="20"/>
                                <w:i/>
                                <w:iCs/>
                                <w:color w:val="0000FF" w:themeColor="hyperlink"/>
                                <w:u w:val="single"/>
                              </w:rPr>
                              <w:t>VAS-48</w:t>
                            </w:r>
                          </w:fldSimple>
                          <w:r>
                            <w:rPr>
                              <w:rFonts w:ascii="Times New Roman" w:eastAsia="MS Mincho" w:hAnsi="Times New Roman"/>
                              <w:sz w:val="20"/>
                              <w:i/>
                              <w:iCs/>
                            </w:rPr>
                            <w:t>,
2015-09-24,
paskelbta TAR 2015-09-30, i. k. 2015-14490            </w:t>
                          </w:r>
                        </w:p>
                        <w:p/>
                      </w:sdtContent>
                    </w:sdt>
                  </w:sdtContent>
                </w:sdt>
                <w:sdt>
                  <w:sdtPr>
                    <w:alias w:val="skyrius"/>
                    <w:tag w:val="part_34d992b9b78a4af99af3d9761a41090a"/>
                    <w:lock w:val="sdtLocked"/>
                    <w:richText/>
                  </w:sdtPr>
                  <w:sdtContent>
                    <w:p>
                      <w:pPr>
                        <w:widowControl w:val="0"/>
                        <w:jc w:val="center"/>
                        <w:rPr>
                          <w:b/>
                          <w:bCs/>
                          <w:caps/>
                          <w:color w:val="000000"/>
                        </w:rPr>
                      </w:pPr>
                      <w:sdt>
                        <w:sdtPr>
                          <w:alias w:val="Numeris"/>
                          <w:tag w:val="nr_34d992b9b78a4af99af3d9761a41090a"/>
                          <w:lock w:val="sdtLocked"/>
                          <w:richText/>
                        </w:sdtPr>
                        <w:sdtContent>
                          <w:r>
                            <w:rPr>
                              <w:b/>
                              <w:bCs/>
                              <w:caps/>
                              <w:color w:val="000000"/>
                            </w:rPr>
                            <w:t>III</w:t>
                          </w:r>
                        </w:sdtContent>
                      </w:sdt>
                      <w:r>
                        <w:rPr>
                          <w:b/>
                          <w:bCs/>
                          <w:caps/>
                          <w:color w:val="000000"/>
                        </w:rPr>
                        <w:t xml:space="preserve">. </w:t>
                      </w:r>
                      <w:sdt>
                        <w:sdtPr>
                          <w:alias w:val="Pavadinimas"/>
                          <w:tag w:val="title_34d992b9b78a4af99af3d9761a41090a"/>
                          <w:lock w:val="sdtLocked"/>
                          <w:richText/>
                        </w:sdtPr>
                        <w:sdtContent>
                          <w:r>
                            <w:rPr>
                              <w:b/>
                              <w:bCs/>
                              <w:caps/>
                              <w:color w:val="000000"/>
                            </w:rPr>
                            <w:t>BALANSAS</w:t>
                          </w:r>
                        </w:sdtContent>
                      </w:sdt>
                    </w:p>
                    <w:p>
                      <w:pPr>
                        <w:widowControl w:val="0"/>
                        <w:ind w:firstLine="567"/>
                        <w:jc w:val="both"/>
                        <w:rPr>
                          <w:color w:val="000000"/>
                        </w:rPr>
                      </w:pPr>
                    </w:p>
                    <w:sdt>
                      <w:sdtPr>
                        <w:alias w:val="26 p."/>
                        <w:tag w:val="part_a2881aaa7c344772bdc6264de6f9bd4a"/>
                        <w:lock w:val="sdtLocked"/>
                        <w:richText/>
                      </w:sdtPr>
                      <w:sdtContent>
                        <w:p>
                          <w:pPr>
                            <w:ind w:firstLine="567"/>
                            <w:jc w:val="both"/>
                            <w:rPr>
                              <w:sz w:val="6"/>
                              <w:szCs w:val="6"/>
                            </w:rPr>
                          </w:pPr>
                          <w:sdt>
                            <w:sdtPr>
                              <w:alias w:val="Numeris"/>
                              <w:tag w:val="nr_a2881aaa7c344772bdc6264de6f9bd4a"/>
                              <w:lock w:val="sdtLocked"/>
                              <w:richText/>
                            </w:sdtPr>
                            <w:sdtContent>
                              <w:r>
                                <w:rPr>
                                  <w:szCs w:val="24"/>
                                </w:rPr>
                                <w:t>26</w:t>
                              </w:r>
                            </w:sdtContent>
                          </w:sdt>
                          <w:r>
                            <w:rPr>
                              <w:szCs w:val="24"/>
                            </w:rPr>
                            <w:t>. Balanse informacija išdėstoma tokia tvarka:</w:t>
                          </w:r>
                        </w:p>
                        <w:sdt>
                          <w:sdtPr>
                            <w:alias w:val="26.1 p."/>
                            <w:tag w:val="part_347f0a7073ba46b8b60e79d86294f1dc"/>
                            <w:lock w:val="sdtLocked"/>
                            <w:richText/>
                          </w:sdtPr>
                          <w:sdtContent>
                            <w:p>
                              <w:pPr>
                                <w:tabs>
                                  <w:tab w:val="left" w:pos="1843"/>
                                </w:tabs>
                                <w:ind w:firstLine="567"/>
                                <w:jc w:val="both"/>
                                <w:rPr>
                                  <w:sz w:val="6"/>
                                  <w:szCs w:val="6"/>
                                </w:rPr>
                              </w:pPr>
                              <w:sdt>
                                <w:sdtPr>
                                  <w:alias w:val="Numeris"/>
                                  <w:tag w:val="nr_347f0a7073ba46b8b60e79d86294f1dc"/>
                                  <w:lock w:val="sdtLocked"/>
                                  <w:richText/>
                                </w:sdtPr>
                                <w:sdtContent>
                                  <w:r>
                                    <w:rPr>
                                      <w:szCs w:val="24"/>
                                    </w:rPr>
                                    <w:t>26.1</w:t>
                                  </w:r>
                                </w:sdtContent>
                              </w:sdt>
                              <w:r>
                                <w:rPr>
                                  <w:szCs w:val="24"/>
                                </w:rPr>
                                <w:t>. A. Ilgalaikis turtas;</w:t>
                              </w:r>
                            </w:p>
                          </w:sdtContent>
                        </w:sdt>
                        <w:sdt>
                          <w:sdtPr>
                            <w:alias w:val="26.2 p."/>
                            <w:tag w:val="part_47a17837cd1b47a197bc80ffc76ece24"/>
                            <w:lock w:val="sdtLocked"/>
                            <w:richText/>
                          </w:sdtPr>
                          <w:sdtContent>
                            <w:p>
                              <w:pPr>
                                <w:tabs>
                                  <w:tab w:val="left" w:pos="1843"/>
                                </w:tabs>
                                <w:ind w:firstLine="567"/>
                                <w:jc w:val="both"/>
                                <w:rPr>
                                  <w:sz w:val="6"/>
                                  <w:szCs w:val="6"/>
                                </w:rPr>
                              </w:pPr>
                              <w:sdt>
                                <w:sdtPr>
                                  <w:alias w:val="Numeris"/>
                                  <w:tag w:val="nr_47a17837cd1b47a197bc80ffc76ece24"/>
                                  <w:lock w:val="sdtLocked"/>
                                  <w:richText/>
                                </w:sdtPr>
                                <w:sdtContent>
                                  <w:r>
                                    <w:rPr>
                                      <w:szCs w:val="24"/>
                                    </w:rPr>
                                    <w:t>26.2</w:t>
                                  </w:r>
                                </w:sdtContent>
                              </w:sdt>
                              <w:r>
                                <w:rPr>
                                  <w:szCs w:val="24"/>
                                </w:rPr>
                                <w:t>. 1. Nematerialusis turtas;</w:t>
                              </w:r>
                            </w:p>
                          </w:sdtContent>
                        </w:sdt>
                        <w:sdt>
                          <w:sdtPr>
                            <w:alias w:val="26.3 p."/>
                            <w:tag w:val="part_bbd059bc1fd2475d95640d3e223f372e"/>
                            <w:lock w:val="sdtLocked"/>
                            <w:richText/>
                          </w:sdtPr>
                          <w:sdtContent>
                            <w:p>
                              <w:pPr>
                                <w:tabs>
                                  <w:tab w:val="left" w:pos="1843"/>
                                </w:tabs>
                                <w:ind w:firstLine="567"/>
                                <w:jc w:val="both"/>
                                <w:rPr>
                                  <w:sz w:val="6"/>
                                  <w:szCs w:val="6"/>
                                </w:rPr>
                              </w:pPr>
                              <w:sdt>
                                <w:sdtPr>
                                  <w:alias w:val="Numeris"/>
                                  <w:tag w:val="nr_bbd059bc1fd2475d95640d3e223f372e"/>
                                  <w:lock w:val="sdtLocked"/>
                                  <w:richText/>
                                </w:sdtPr>
                                <w:sdtContent>
                                  <w:r>
                                    <w:rPr>
                                      <w:szCs w:val="24"/>
                                    </w:rPr>
                                    <w:t>26.3</w:t>
                                  </w:r>
                                </w:sdtContent>
                              </w:sdt>
                              <w:r>
                                <w:rPr>
                                  <w:szCs w:val="24"/>
                                </w:rPr>
                                <w:t>. 2. Materialusis turtas;</w:t>
                              </w:r>
                            </w:p>
                          </w:sdtContent>
                        </w:sdt>
                        <w:sdt>
                          <w:sdtPr>
                            <w:alias w:val="26.4 p."/>
                            <w:tag w:val="part_bf137a2f89c84cd59a3f4c137cdcf67f"/>
                            <w:lock w:val="sdtLocked"/>
                            <w:richText/>
                          </w:sdtPr>
                          <w:sdtContent>
                            <w:p>
                              <w:pPr>
                                <w:tabs>
                                  <w:tab w:val="left" w:pos="1843"/>
                                </w:tabs>
                                <w:ind w:firstLine="567"/>
                                <w:jc w:val="both"/>
                                <w:rPr>
                                  <w:sz w:val="6"/>
                                  <w:szCs w:val="6"/>
                                </w:rPr>
                              </w:pPr>
                              <w:sdt>
                                <w:sdtPr>
                                  <w:alias w:val="Numeris"/>
                                  <w:tag w:val="nr_bf137a2f89c84cd59a3f4c137cdcf67f"/>
                                  <w:lock w:val="sdtLocked"/>
                                  <w:richText/>
                                </w:sdtPr>
                                <w:sdtContent>
                                  <w:r>
                                    <w:rPr>
                                      <w:szCs w:val="24"/>
                                    </w:rPr>
                                    <w:t>26.4</w:t>
                                  </w:r>
                                </w:sdtContent>
                              </w:sdt>
                              <w:r>
                                <w:rPr>
                                  <w:szCs w:val="24"/>
                                </w:rPr>
                                <w:t>. 3. Finansinis turtas;</w:t>
                              </w:r>
                            </w:p>
                          </w:sdtContent>
                        </w:sdt>
                        <w:sdt>
                          <w:sdtPr>
                            <w:alias w:val="26.5 p."/>
                            <w:tag w:val="part_b03ddde605ac4625943f94092a4d10a9"/>
                            <w:lock w:val="sdtLocked"/>
                            <w:richText/>
                          </w:sdtPr>
                          <w:sdtContent>
                            <w:p>
                              <w:pPr>
                                <w:tabs>
                                  <w:tab w:val="left" w:pos="1843"/>
                                </w:tabs>
                                <w:ind w:firstLine="567"/>
                                <w:jc w:val="both"/>
                                <w:rPr>
                                  <w:sz w:val="6"/>
                                  <w:szCs w:val="6"/>
                                </w:rPr>
                              </w:pPr>
                              <w:sdt>
                                <w:sdtPr>
                                  <w:alias w:val="Numeris"/>
                                  <w:tag w:val="nr_b03ddde605ac4625943f94092a4d10a9"/>
                                  <w:lock w:val="sdtLocked"/>
                                  <w:richText/>
                                </w:sdtPr>
                                <w:sdtContent>
                                  <w:r>
                                    <w:rPr>
                                      <w:szCs w:val="24"/>
                                    </w:rPr>
                                    <w:t>26.5</w:t>
                                  </w:r>
                                </w:sdtContent>
                              </w:sdt>
                              <w:r>
                                <w:rPr>
                                  <w:szCs w:val="24"/>
                                </w:rPr>
                                <w:t>. 4. Kitas ilgalaikis turtas;</w:t>
                              </w:r>
                            </w:p>
                          </w:sdtContent>
                        </w:sdt>
                        <w:sdt>
                          <w:sdtPr>
                            <w:alias w:val="26.6 p."/>
                            <w:tag w:val="part_8eb31ecce6b94f08bd4c60544860d31c"/>
                            <w:lock w:val="sdtLocked"/>
                            <w:richText/>
                          </w:sdtPr>
                          <w:sdtContent>
                            <w:p>
                              <w:pPr>
                                <w:tabs>
                                  <w:tab w:val="left" w:pos="1843"/>
                                </w:tabs>
                                <w:ind w:firstLine="567"/>
                                <w:jc w:val="both"/>
                                <w:rPr>
                                  <w:sz w:val="6"/>
                                  <w:szCs w:val="6"/>
                                </w:rPr>
                              </w:pPr>
                              <w:sdt>
                                <w:sdtPr>
                                  <w:alias w:val="Numeris"/>
                                  <w:tag w:val="nr_8eb31ecce6b94f08bd4c60544860d31c"/>
                                  <w:lock w:val="sdtLocked"/>
                                  <w:richText/>
                                </w:sdtPr>
                                <w:sdtContent>
                                  <w:r>
                                    <w:rPr>
                                      <w:szCs w:val="24"/>
                                    </w:rPr>
                                    <w:t>26.6</w:t>
                                  </w:r>
                                </w:sdtContent>
                              </w:sdt>
                              <w:r>
                                <w:rPr>
                                  <w:szCs w:val="24"/>
                                </w:rPr>
                                <w:t>. B. Trumpalaikis turtas;</w:t>
                              </w:r>
                            </w:p>
                          </w:sdtContent>
                        </w:sdt>
                        <w:sdt>
                          <w:sdtPr>
                            <w:alias w:val="26.7 p."/>
                            <w:tag w:val="part_5739a610fe0c47998f5bc83c3db329f2"/>
                            <w:lock w:val="sdtLocked"/>
                            <w:richText/>
                          </w:sdtPr>
                          <w:sdtContent>
                            <w:p>
                              <w:pPr>
                                <w:tabs>
                                  <w:tab w:val="left" w:pos="1843"/>
                                </w:tabs>
                                <w:ind w:firstLine="567"/>
                                <w:jc w:val="both"/>
                                <w:rPr>
                                  <w:sz w:val="6"/>
                                  <w:szCs w:val="6"/>
                                </w:rPr>
                              </w:pPr>
                              <w:sdt>
                                <w:sdtPr>
                                  <w:alias w:val="Numeris"/>
                                  <w:tag w:val="nr_5739a610fe0c47998f5bc83c3db329f2"/>
                                  <w:lock w:val="sdtLocked"/>
                                  <w:richText/>
                                </w:sdtPr>
                                <w:sdtContent>
                                  <w:r>
                                    <w:rPr>
                                      <w:szCs w:val="24"/>
                                    </w:rPr>
                                    <w:t>26.7</w:t>
                                  </w:r>
                                </w:sdtContent>
                              </w:sdt>
                              <w:r>
                                <w:rPr>
                                  <w:szCs w:val="24"/>
                                </w:rPr>
                                <w:t>. 1. Atsargos, sumokėti avansai ir vykdomi darbai;</w:t>
                              </w:r>
                            </w:p>
                          </w:sdtContent>
                        </w:sdt>
                        <w:sdt>
                          <w:sdtPr>
                            <w:alias w:val="26.8 p."/>
                            <w:tag w:val="part_aa75913ecff7459e8690174d5400eb36"/>
                            <w:lock w:val="sdtLocked"/>
                            <w:richText/>
                          </w:sdtPr>
                          <w:sdtContent>
                            <w:p>
                              <w:pPr>
                                <w:tabs>
                                  <w:tab w:val="left" w:pos="1843"/>
                                </w:tabs>
                                <w:ind w:firstLine="567"/>
                                <w:jc w:val="both"/>
                                <w:rPr>
                                  <w:sz w:val="6"/>
                                  <w:szCs w:val="6"/>
                                </w:rPr>
                              </w:pPr>
                              <w:sdt>
                                <w:sdtPr>
                                  <w:alias w:val="Numeris"/>
                                  <w:tag w:val="nr_aa75913ecff7459e8690174d5400eb36"/>
                                  <w:lock w:val="sdtLocked"/>
                                  <w:richText/>
                                </w:sdtPr>
                                <w:sdtContent>
                                  <w:r>
                                    <w:rPr>
                                      <w:szCs w:val="24"/>
                                    </w:rPr>
                                    <w:t>26.8</w:t>
                                  </w:r>
                                </w:sdtContent>
                              </w:sdt>
                              <w:r>
                                <w:rPr>
                                  <w:szCs w:val="24"/>
                                </w:rPr>
                                <w:t>. 2. Per vienus metus gautinos sumos;</w:t>
                              </w:r>
                            </w:p>
                          </w:sdtContent>
                        </w:sdt>
                        <w:sdt>
                          <w:sdtPr>
                            <w:alias w:val="26.9 p."/>
                            <w:tag w:val="part_2689ade2dcfc4b9a8d4c772cc6cd0a4d"/>
                            <w:lock w:val="sdtLocked"/>
                            <w:richText/>
                          </w:sdtPr>
                          <w:sdtContent>
                            <w:p>
                              <w:pPr>
                                <w:tabs>
                                  <w:tab w:val="left" w:pos="1843"/>
                                </w:tabs>
                                <w:ind w:firstLine="567"/>
                                <w:jc w:val="both"/>
                                <w:rPr>
                                  <w:sz w:val="6"/>
                                  <w:szCs w:val="6"/>
                                </w:rPr>
                              </w:pPr>
                              <w:sdt>
                                <w:sdtPr>
                                  <w:alias w:val="Numeris"/>
                                  <w:tag w:val="nr_2689ade2dcfc4b9a8d4c772cc6cd0a4d"/>
                                  <w:lock w:val="sdtLocked"/>
                                  <w:richText/>
                                </w:sdtPr>
                                <w:sdtContent>
                                  <w:r>
                                    <w:rPr>
                                      <w:szCs w:val="24"/>
                                    </w:rPr>
                                    <w:t>26.9</w:t>
                                  </w:r>
                                </w:sdtContent>
                              </w:sdt>
                              <w:r>
                                <w:rPr>
                                  <w:szCs w:val="24"/>
                                </w:rPr>
                                <w:t>. 3. Kitas trumpalaikis turtas;</w:t>
                              </w:r>
                            </w:p>
                          </w:sdtContent>
                        </w:sdt>
                        <w:sdt>
                          <w:sdtPr>
                            <w:alias w:val="26.10 p."/>
                            <w:tag w:val="part_fd875df2ed8b48188a75be179429effb"/>
                            <w:lock w:val="sdtLocked"/>
                            <w:richText/>
                          </w:sdtPr>
                          <w:sdtContent>
                            <w:p>
                              <w:pPr>
                                <w:tabs>
                                  <w:tab w:val="left" w:pos="1843"/>
                                </w:tabs>
                                <w:ind w:firstLine="567"/>
                                <w:jc w:val="both"/>
                                <w:rPr>
                                  <w:sz w:val="6"/>
                                  <w:szCs w:val="6"/>
                                </w:rPr>
                              </w:pPr>
                              <w:sdt>
                                <w:sdtPr>
                                  <w:alias w:val="Numeris"/>
                                  <w:tag w:val="nr_fd875df2ed8b48188a75be179429effb"/>
                                  <w:lock w:val="sdtLocked"/>
                                  <w:richText/>
                                </w:sdtPr>
                                <w:sdtContent>
                                  <w:r>
                                    <w:rPr>
                                      <w:szCs w:val="24"/>
                                    </w:rPr>
                                    <w:t>26.10</w:t>
                                  </w:r>
                                </w:sdtContent>
                              </w:sdt>
                              <w:r>
                                <w:rPr>
                                  <w:szCs w:val="24"/>
                                </w:rPr>
                                <w:t>. 4. Pinigai;</w:t>
                              </w:r>
                            </w:p>
                          </w:sdtContent>
                        </w:sdt>
                        <w:sdt>
                          <w:sdtPr>
                            <w:alias w:val="26.11 p."/>
                            <w:tag w:val="part_21d95549228140998b350c6cef116425"/>
                            <w:lock w:val="sdtLocked"/>
                            <w:richText/>
                          </w:sdtPr>
                          <w:sdtContent>
                            <w:p>
                              <w:pPr>
                                <w:tabs>
                                  <w:tab w:val="left" w:pos="1843"/>
                                </w:tabs>
                                <w:ind w:firstLine="567"/>
                                <w:jc w:val="both"/>
                                <w:rPr>
                                  <w:sz w:val="6"/>
                                  <w:szCs w:val="6"/>
                                </w:rPr>
                              </w:pPr>
                              <w:sdt>
                                <w:sdtPr>
                                  <w:alias w:val="Numeris"/>
                                  <w:tag w:val="nr_21d95549228140998b350c6cef116425"/>
                                  <w:lock w:val="sdtLocked"/>
                                  <w:richText/>
                                </w:sdtPr>
                                <w:sdtContent>
                                  <w:r>
                                    <w:rPr>
                                      <w:szCs w:val="24"/>
                                    </w:rPr>
                                    <w:t>26.11</w:t>
                                  </w:r>
                                </w:sdtContent>
                              </w:sdt>
                              <w:r>
                                <w:rPr>
                                  <w:szCs w:val="24"/>
                                </w:rPr>
                                <w:t>. C. Nuosavas kapitalas;</w:t>
                              </w:r>
                            </w:p>
                          </w:sdtContent>
                        </w:sdt>
                        <w:sdt>
                          <w:sdtPr>
                            <w:alias w:val="26.12 p."/>
                            <w:tag w:val="part_c6dcb6652d99448b97724e52153968f1"/>
                            <w:lock w:val="sdtLocked"/>
                            <w:richText/>
                          </w:sdtPr>
                          <w:sdtContent>
                            <w:p>
                              <w:pPr>
                                <w:tabs>
                                  <w:tab w:val="left" w:pos="1843"/>
                                </w:tabs>
                                <w:ind w:firstLine="567"/>
                                <w:jc w:val="both"/>
                                <w:rPr>
                                  <w:sz w:val="6"/>
                                  <w:szCs w:val="6"/>
                                </w:rPr>
                              </w:pPr>
                              <w:sdt>
                                <w:sdtPr>
                                  <w:alias w:val="Numeris"/>
                                  <w:tag w:val="nr_c6dcb6652d99448b97724e52153968f1"/>
                                  <w:lock w:val="sdtLocked"/>
                                  <w:richText/>
                                </w:sdtPr>
                                <w:sdtContent>
                                  <w:r>
                                    <w:rPr>
                                      <w:szCs w:val="24"/>
                                    </w:rPr>
                                    <w:t>26.12</w:t>
                                  </w:r>
                                </w:sdtContent>
                              </w:sdt>
                              <w:r>
                                <w:rPr>
                                  <w:szCs w:val="24"/>
                                </w:rPr>
                                <w:t>. 1. Savininkų įnašai;</w:t>
                              </w:r>
                            </w:p>
                          </w:sdtContent>
                        </w:sdt>
                        <w:sdt>
                          <w:sdtPr>
                            <w:alias w:val="26.13 p."/>
                            <w:tag w:val="part_99ee2539dcbf49c38e05e9cf61320bad"/>
                            <w:lock w:val="sdtLocked"/>
                            <w:richText/>
                          </w:sdtPr>
                          <w:sdtContent>
                            <w:p>
                              <w:pPr>
                                <w:tabs>
                                  <w:tab w:val="left" w:pos="1843"/>
                                </w:tabs>
                                <w:ind w:firstLine="567"/>
                                <w:jc w:val="both"/>
                                <w:rPr>
                                  <w:sz w:val="6"/>
                                  <w:szCs w:val="6"/>
                                </w:rPr>
                              </w:pPr>
                              <w:sdt>
                                <w:sdtPr>
                                  <w:alias w:val="Numeris"/>
                                  <w:tag w:val="nr_99ee2539dcbf49c38e05e9cf61320bad"/>
                                  <w:lock w:val="sdtLocked"/>
                                  <w:richText/>
                                </w:sdtPr>
                                <w:sdtContent>
                                  <w:r>
                                    <w:rPr>
                                      <w:szCs w:val="24"/>
                                    </w:rPr>
                                    <w:t>26.13</w:t>
                                  </w:r>
                                </w:sdtContent>
                              </w:sdt>
                              <w:r>
                                <w:rPr>
                                  <w:szCs w:val="24"/>
                                </w:rPr>
                                <w:t>. 2. Nepaskirstytasis pelnas (nuostoliai);</w:t>
                              </w:r>
                            </w:p>
                          </w:sdtContent>
                        </w:sdt>
                        <w:sdt>
                          <w:sdtPr>
                            <w:alias w:val="26.14 p."/>
                            <w:tag w:val="part_d3f5b8ca64ff4a7b977f2f897461f488"/>
                            <w:lock w:val="sdtLocked"/>
                            <w:richText/>
                          </w:sdtPr>
                          <w:sdtContent>
                            <w:p>
                              <w:pPr>
                                <w:tabs>
                                  <w:tab w:val="left" w:pos="1843"/>
                                </w:tabs>
                                <w:ind w:firstLine="567"/>
                                <w:jc w:val="both"/>
                                <w:rPr>
                                  <w:sz w:val="6"/>
                                  <w:szCs w:val="6"/>
                                </w:rPr>
                              </w:pPr>
                              <w:sdt>
                                <w:sdtPr>
                                  <w:alias w:val="Numeris"/>
                                  <w:tag w:val="nr_d3f5b8ca64ff4a7b977f2f897461f488"/>
                                  <w:lock w:val="sdtLocked"/>
                                  <w:richText/>
                                </w:sdtPr>
                                <w:sdtContent>
                                  <w:r>
                                    <w:rPr>
                                      <w:szCs w:val="24"/>
                                    </w:rPr>
                                    <w:t>26.14</w:t>
                                  </w:r>
                                </w:sdtContent>
                              </w:sdt>
                              <w:r>
                                <w:rPr>
                                  <w:szCs w:val="24"/>
                                </w:rPr>
                                <w:t>. D. Dotacijos, subsidijos;</w:t>
                              </w:r>
                            </w:p>
                          </w:sdtContent>
                        </w:sdt>
                        <w:sdt>
                          <w:sdtPr>
                            <w:alias w:val="26.15 p."/>
                            <w:tag w:val="part_10eafa9494b04f74b8a4bcaac617a196"/>
                            <w:lock w:val="sdtLocked"/>
                            <w:richText/>
                          </w:sdtPr>
                          <w:sdtContent>
                            <w:p>
                              <w:pPr>
                                <w:tabs>
                                  <w:tab w:val="left" w:pos="1843"/>
                                </w:tabs>
                                <w:ind w:firstLine="567"/>
                                <w:jc w:val="both"/>
                                <w:rPr>
                                  <w:sz w:val="6"/>
                                  <w:szCs w:val="6"/>
                                </w:rPr>
                              </w:pPr>
                              <w:sdt>
                                <w:sdtPr>
                                  <w:alias w:val="Numeris"/>
                                  <w:tag w:val="nr_10eafa9494b04f74b8a4bcaac617a196"/>
                                  <w:lock w:val="sdtLocked"/>
                                  <w:richText/>
                                </w:sdtPr>
                                <w:sdtContent>
                                  <w:r>
                                    <w:rPr>
                                      <w:szCs w:val="24"/>
                                    </w:rPr>
                                    <w:t>26.15</w:t>
                                  </w:r>
                                </w:sdtContent>
                              </w:sdt>
                              <w:r>
                                <w:rPr>
                                  <w:szCs w:val="24"/>
                                </w:rPr>
                                <w:t>. E. Įsipareigojimai;</w:t>
                              </w:r>
                            </w:p>
                          </w:sdtContent>
                        </w:sdt>
                        <w:sdt>
                          <w:sdtPr>
                            <w:alias w:val="26.16 p."/>
                            <w:tag w:val="part_21d04c873e9e41b3bae1395d3bbb2069"/>
                            <w:lock w:val="sdtLocked"/>
                            <w:richText/>
                          </w:sdtPr>
                          <w:sdtContent>
                            <w:p>
                              <w:pPr>
                                <w:tabs>
                                  <w:tab w:val="left" w:pos="1843"/>
                                </w:tabs>
                                <w:ind w:firstLine="567"/>
                                <w:jc w:val="both"/>
                                <w:rPr>
                                  <w:sz w:val="6"/>
                                  <w:szCs w:val="6"/>
                                </w:rPr>
                              </w:pPr>
                              <w:sdt>
                                <w:sdtPr>
                                  <w:alias w:val="Numeris"/>
                                  <w:tag w:val="nr_21d04c873e9e41b3bae1395d3bbb2069"/>
                                  <w:lock w:val="sdtLocked"/>
                                  <w:richText/>
                                </w:sdtPr>
                                <w:sdtContent>
                                  <w:r>
                                    <w:rPr>
                                      <w:szCs w:val="24"/>
                                    </w:rPr>
                                    <w:t>26.16</w:t>
                                  </w:r>
                                </w:sdtContent>
                              </w:sdt>
                              <w:r>
                                <w:rPr>
                                  <w:szCs w:val="24"/>
                                </w:rPr>
                                <w:t>. 1. Ilgalaikiai įsipareigojimai;</w:t>
                              </w:r>
                            </w:p>
                          </w:sdtContent>
                        </w:sdt>
                        <w:sdt>
                          <w:sdtPr>
                            <w:alias w:val="26.17 p."/>
                            <w:tag w:val="part_c90602c8c545498ca7e67317e4732e99"/>
                            <w:lock w:val="sdtLocked"/>
                            <w:richText/>
                          </w:sdtPr>
                          <w:sdtContent>
                            <w:p>
                              <w:pPr>
                                <w:tabs>
                                  <w:tab w:val="left" w:pos="1843"/>
                                </w:tabs>
                                <w:ind w:firstLine="567"/>
                                <w:jc w:val="both"/>
                                <w:rPr>
                                  <w:color w:val="000000"/>
                                </w:rPr>
                              </w:pPr>
                              <w:sdt>
                                <w:sdtPr>
                                  <w:alias w:val="Numeris"/>
                                  <w:tag w:val="nr_c90602c8c545498ca7e67317e4732e99"/>
                                  <w:lock w:val="sdtLocked"/>
                                  <w:richText/>
                                </w:sdtPr>
                                <w:sdtContent>
                                  <w:r>
                                    <w:rPr>
                                      <w:szCs w:val="24"/>
                                    </w:rPr>
                                    <w:t>26.17</w:t>
                                  </w:r>
                                </w:sdtContent>
                              </w:sdt>
                              <w:r>
                                <w:rPr>
                                  <w:szCs w:val="24"/>
                                </w:rPr>
                                <w:t>. 2. Trumpalaikiai įsipareigojimai.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2367b0674811e58e1ab2c84776483b">
                            <w:r w:rsidRPr="00532B9F">
                              <w:rPr>
                                <w:rFonts w:ascii="Times New Roman" w:eastAsia="MS Mincho" w:hAnsi="Times New Roman"/>
                                <w:sz w:val="20"/>
                                <w:i/>
                                <w:iCs/>
                                <w:color w:val="0000FF" w:themeColor="hyperlink"/>
                                <w:u w:val="single"/>
                              </w:rPr>
                              <w:t>VAS-48</w:t>
                            </w:r>
                          </w:fldSimple>
                          <w:r>
                            <w:rPr>
                              <w:rFonts w:ascii="Times New Roman" w:eastAsia="MS Mincho" w:hAnsi="Times New Roman"/>
                              <w:sz w:val="20"/>
                              <w:i/>
                              <w:iCs/>
                            </w:rPr>
                            <w:t>,
2015-09-24,
paskelbta TAR 2015-09-30, i. k. 2015-14490            </w:t>
                          </w:r>
                        </w:p>
                        <w:p/>
                      </w:sdtContent>
                    </w:sdt>
                    <w:sdt>
                      <w:sdtPr>
                        <w:alias w:val="27 p."/>
                        <w:tag w:val="part_f1dd73bfea36455db19b972a23dabea7"/>
                        <w:lock w:val="sdtLocked"/>
                        <w:richText/>
                      </w:sdtPr>
                      <w:sdtContent>
                        <w:p>
                          <w:pPr>
                            <w:widowControl w:val="0"/>
                            <w:ind w:firstLine="567"/>
                            <w:jc w:val="both"/>
                            <w:rPr>
                              <w:color w:val="000000"/>
                            </w:rPr>
                          </w:pPr>
                          <w:sdt>
                            <w:sdtPr>
                              <w:alias w:val="Numeris"/>
                              <w:tag w:val="nr_f1dd73bfea36455db19b972a23dabea7"/>
                              <w:lock w:val="sdtLocked"/>
                              <w:richText/>
                            </w:sdtPr>
                            <w:sdtContent>
                              <w:r>
                                <w:rPr>
                                  <w:color w:val="000000"/>
                                </w:rPr>
                                <w:t>27</w:t>
                              </w:r>
                            </w:sdtContent>
                          </w:sdt>
                          <w:r>
                            <w:rPr>
                              <w:color w:val="000000"/>
                            </w:rPr>
                            <w:t xml:space="preserve">. Balanso A dalyje pateikiama informacija apie ilgalaikį turtą: nematerialųjį, materialųjį, finansinį, kitą turtą, kuris naudojamas įmonės ekonominei naudai gauti ilgiau kaip vienus metus, įskaitant už šį turtą sumokėtus avansus. </w:t>
                          </w:r>
                        </w:p>
                      </w:sdtContent>
                    </w:sdt>
                    <w:sdt>
                      <w:sdtPr>
                        <w:alias w:val="28 p."/>
                        <w:tag w:val="part_f3802edb2965436385b1052bba91830e"/>
                        <w:lock w:val="sdtLocked"/>
                        <w:richText/>
                      </w:sdtPr>
                      <w:sdtContent>
                        <w:p>
                          <w:pPr>
                            <w:widowControl w:val="0"/>
                            <w:ind w:firstLine="567"/>
                            <w:jc w:val="both"/>
                            <w:rPr>
                              <w:color w:val="000000"/>
                            </w:rPr>
                          </w:pPr>
                          <w:sdt>
                            <w:sdtPr>
                              <w:alias w:val="Numeris"/>
                              <w:tag w:val="nr_f3802edb2965436385b1052bba91830e"/>
                              <w:lock w:val="sdtLocked"/>
                              <w:richText/>
                            </w:sdtPr>
                            <w:sdtContent>
                              <w:r>
                                <w:rPr>
                                  <w:color w:val="000000"/>
                                </w:rPr>
                                <w:t>28</w:t>
                              </w:r>
                            </w:sdtContent>
                          </w:sdt>
                          <w:r>
                            <w:rPr>
                              <w:color w:val="000000"/>
                            </w:rPr>
                            <w:t>. Nematerialiojo turto straipsnyje parodomas materialios formos neturintis nefinansinis turtas. Nematerialusis turtas pripažįstamas, jei patirtos išlaidos atitinka visus šiuos pripažinimo požymius:</w:t>
                          </w:r>
                        </w:p>
                        <w:sdt>
                          <w:sdtPr>
                            <w:alias w:val="28.1 p."/>
                            <w:tag w:val="part_dbe1ec3abaa44884a402eb5c4ea7b448"/>
                            <w:lock w:val="sdtLocked"/>
                            <w:richText/>
                          </w:sdtPr>
                          <w:sdtContent>
                            <w:p>
                              <w:pPr>
                                <w:widowControl w:val="0"/>
                                <w:ind w:firstLine="567"/>
                                <w:jc w:val="both"/>
                                <w:rPr>
                                  <w:color w:val="000000"/>
                                </w:rPr>
                              </w:pPr>
                              <w:sdt>
                                <w:sdtPr>
                                  <w:alias w:val="Numeris"/>
                                  <w:tag w:val="nr_dbe1ec3abaa44884a402eb5c4ea7b448"/>
                                  <w:lock w:val="sdtLocked"/>
                                  <w:richText/>
                                </w:sdtPr>
                                <w:sdtContent>
                                  <w:r>
                                    <w:rPr>
                                      <w:color w:val="000000"/>
                                    </w:rPr>
                                    <w:t>28.1</w:t>
                                  </w:r>
                                </w:sdtContent>
                              </w:sdt>
                              <w:r>
                                <w:rPr>
                                  <w:color w:val="000000"/>
                                </w:rPr>
                                <w:t>. Pagrįstai tikėtina, kad įmonė ateityje naudodama turtą gaus tiesioginės ir (arba) netiesioginės ekonominės naudos.</w:t>
                              </w:r>
                            </w:p>
                          </w:sdtContent>
                        </w:sdt>
                        <w:sdt>
                          <w:sdtPr>
                            <w:alias w:val="28.2 p."/>
                            <w:tag w:val="part_5dbbd84ffeb64c87bfce222dbc064ac1"/>
                            <w:lock w:val="sdtLocked"/>
                            <w:richText/>
                          </w:sdtPr>
                          <w:sdtContent>
                            <w:p>
                              <w:pPr>
                                <w:widowControl w:val="0"/>
                                <w:ind w:firstLine="567"/>
                                <w:jc w:val="both"/>
                                <w:rPr>
                                  <w:color w:val="000000"/>
                                </w:rPr>
                              </w:pPr>
                              <w:sdt>
                                <w:sdtPr>
                                  <w:alias w:val="Numeris"/>
                                  <w:tag w:val="nr_5dbbd84ffeb64c87bfce222dbc064ac1"/>
                                  <w:lock w:val="sdtLocked"/>
                                  <w:richText/>
                                </w:sdtPr>
                                <w:sdtContent>
                                  <w:r>
                                    <w:rPr>
                                      <w:color w:val="000000"/>
                                    </w:rPr>
                                    <w:t>28.2</w:t>
                                  </w:r>
                                </w:sdtContent>
                              </w:sdt>
                              <w:r>
                                <w:rPr>
                                  <w:color w:val="000000"/>
                                </w:rPr>
                                <w:t>. Turto įsigijimo ar pasigaminimo savikaina gali būti patikimai įvertinta ir atskirta nuo kito turto vertės.</w:t>
                              </w:r>
                            </w:p>
                          </w:sdtContent>
                        </w:sdt>
                        <w:sdt>
                          <w:sdtPr>
                            <w:alias w:val="28.3 p."/>
                            <w:tag w:val="part_505c5a1ac20a46a59eb459f6f8d82d43"/>
                            <w:lock w:val="sdtLocked"/>
                            <w:richText/>
                          </w:sdtPr>
                          <w:sdtContent>
                            <w:p>
                              <w:pPr>
                                <w:widowControl w:val="0"/>
                                <w:ind w:firstLine="567"/>
                                <w:jc w:val="both"/>
                                <w:rPr>
                                  <w:color w:val="000000"/>
                                </w:rPr>
                              </w:pPr>
                              <w:sdt>
                                <w:sdtPr>
                                  <w:alias w:val="Numeris"/>
                                  <w:tag w:val="nr_505c5a1ac20a46a59eb459f6f8d82d43"/>
                                  <w:lock w:val="sdtLocked"/>
                                  <w:richText/>
                                </w:sdtPr>
                                <w:sdtContent>
                                  <w:r>
                                    <w:rPr>
                                      <w:color w:val="000000"/>
                                    </w:rPr>
                                    <w:t>28.3</w:t>
                                  </w:r>
                                </w:sdtContent>
                              </w:sdt>
                              <w:r>
                                <w:rPr>
                                  <w:color w:val="000000"/>
                                </w:rPr>
                                <w:t>. Įmonė gali tuo turtu disponuoti, jį kontroliuoti arba apriboti kitų teisę juo naudotis.</w:t>
                              </w:r>
                            </w:p>
                          </w:sdtContent>
                        </w:sdt>
                        <w:sdt>
                          <w:sdtPr>
                            <w:alias w:val="28.4 p."/>
                            <w:tag w:val="part_a85be0a83fee4b1ebfe7c560716df028"/>
                            <w:lock w:val="sdtLocked"/>
                            <w:richText/>
                          </w:sdtPr>
                          <w:sdtContent>
                            <w:p>
                              <w:pPr>
                                <w:widowControl w:val="0"/>
                                <w:ind w:firstLine="567"/>
                                <w:jc w:val="both"/>
                                <w:rPr>
                                  <w:color w:val="000000"/>
                                </w:rPr>
                              </w:pPr>
                              <w:sdt>
                                <w:sdtPr>
                                  <w:alias w:val="Numeris"/>
                                  <w:tag w:val="nr_a85be0a83fee4b1ebfe7c560716df028"/>
                                  <w:lock w:val="sdtLocked"/>
                                  <w:richText/>
                                </w:sdtPr>
                                <w:sdtContent>
                                  <w:r>
                                    <w:rPr>
                                      <w:color w:val="000000"/>
                                    </w:rPr>
                                    <w:t>28.4</w:t>
                                  </w:r>
                                </w:sdtContent>
                              </w:sdt>
                              <w:r>
                                <w:rPr>
                                  <w:color w:val="000000"/>
                                </w:rPr>
                                <w:t>. Turto įsigijimo ar pasigaminimo savikaina yra ne mažesnė už įmonės nustatytą minimalią nematerialiojo turto vertę.</w:t>
                              </w:r>
                            </w:p>
                          </w:sdtContent>
                        </w:sdt>
                      </w:sdtContent>
                    </w:sdt>
                    <w:sdt>
                      <w:sdtPr>
                        <w:alias w:val="29 p."/>
                        <w:tag w:val="part_8c521b94e40c4c88860d3b6cf080a201"/>
                        <w:lock w:val="sdtLocked"/>
                        <w:richText/>
                      </w:sdtPr>
                      <w:sdtContent>
                        <w:p>
                          <w:pPr>
                            <w:widowControl w:val="0"/>
                            <w:ind w:firstLine="567"/>
                            <w:jc w:val="both"/>
                            <w:rPr>
                              <w:color w:val="000000"/>
                            </w:rPr>
                          </w:pPr>
                          <w:sdt>
                            <w:sdtPr>
                              <w:alias w:val="Numeris"/>
                              <w:tag w:val="nr_8c521b94e40c4c88860d3b6cf080a201"/>
                              <w:lock w:val="sdtLocked"/>
                              <w:richText/>
                            </w:sdtPr>
                            <w:sdtContent>
                              <w:r>
                                <w:rPr>
                                  <w:color w:val="000000"/>
                                </w:rPr>
                                <w:t>29</w:t>
                              </w:r>
                            </w:sdtContent>
                          </w:sdt>
                          <w:r>
                            <w:rPr>
                              <w:color w:val="000000"/>
                            </w:rPr>
                            <w:t>. Jei išlaidos neatitinka nematerialiojo turto pripažinimo požymių, jos pripažįstamos to laikotarpio, kada susidaro, sąnaudomis.</w:t>
                          </w:r>
                        </w:p>
                      </w:sdtContent>
                    </w:sdt>
                    <w:sdt>
                      <w:sdtPr>
                        <w:alias w:val="30 p."/>
                        <w:tag w:val="part_22769019bd9a4a259a5d6c939f18581c"/>
                        <w:lock w:val="sdtLocked"/>
                        <w:richText/>
                      </w:sdtPr>
                      <w:sdtContent>
                        <w:p>
                          <w:pPr>
                            <w:widowControl w:val="0"/>
                            <w:ind w:firstLine="567"/>
                            <w:jc w:val="both"/>
                            <w:rPr>
                              <w:b/>
                              <w:bCs/>
                              <w:color w:val="000000"/>
                            </w:rPr>
                          </w:pPr>
                          <w:sdt>
                            <w:sdtPr>
                              <w:alias w:val="Numeris"/>
                              <w:tag w:val="nr_22769019bd9a4a259a5d6c939f18581c"/>
                              <w:lock w:val="sdtLocked"/>
                              <w:richText/>
                            </w:sdtPr>
                            <w:sdtContent>
                              <w:r>
                                <w:rPr>
                                  <w:color w:val="000000"/>
                                </w:rPr>
                                <w:t>30</w:t>
                              </w:r>
                            </w:sdtContent>
                          </w:sdt>
                          <w:r>
                            <w:rPr>
                              <w:color w:val="000000"/>
                            </w:rPr>
                            <w:t>. Nematerialiojo turto pavyzdžiai gali būti patentai, licencijos, kompiuterių programos.</w:t>
                          </w:r>
                        </w:p>
                      </w:sdtContent>
                    </w:sdt>
                    <w:sdt>
                      <w:sdtPr>
                        <w:alias w:val="31 p."/>
                        <w:tag w:val="part_f82d28450fc148be9b7d16b0c152df9d"/>
                        <w:lock w:val="sdtLocked"/>
                        <w:richText/>
                      </w:sdtPr>
                      <w:sdtContent>
                        <w:p>
                          <w:pPr>
                            <w:widowControl w:val="0"/>
                            <w:ind w:firstLine="567"/>
                            <w:jc w:val="both"/>
                            <w:rPr>
                              <w:color w:val="000000"/>
                            </w:rPr>
                          </w:pPr>
                          <w:sdt>
                            <w:sdtPr>
                              <w:alias w:val="Numeris"/>
                              <w:tag w:val="nr_f82d28450fc148be9b7d16b0c152df9d"/>
                              <w:lock w:val="sdtLocked"/>
                              <w:richText/>
                            </w:sdtPr>
                            <w:sdtContent>
                              <w:r>
                                <w:rPr>
                                  <w:color w:val="000000"/>
                                </w:rPr>
                                <w:t>31</w:t>
                              </w:r>
                            </w:sdtContent>
                          </w:sdt>
                          <w:r>
                            <w:rPr>
                              <w:color w:val="000000"/>
                            </w:rPr>
                            <w:t>. Nematerialusis turtas apskaitoje registruojamas įsigijimo savikaina, kurią sudaro už šį turtą sumokėta ar mokėtina pinigų suma. Turto įsigijimo savikainai priskiriamos tiesiogiai su turto įsigijimu ir paruošimu naudoti susijusios išlaidos. Į šio turto įsigijimo savikainą neįskaičiuojamas grąžinamas pridėtinės vertės mokestis. Negrąžinamas pridėtinės vertės mokestis gali būti įskaičiuojamas į turto įsigijimo savikainą arba iš karto pripažįstamas veiklos sąnaudomis. Nematerialiajam turtui įsigyti pasiskolintų lėšų palūkanos į nematerialiojo turto įsigijimo savikainą neįskaičiuojamos, o pripažįstamos atitinkamų ataskaitinių laikotarpių palūkanų sąnaudomis.</w:t>
                          </w:r>
                        </w:p>
                      </w:sdtContent>
                    </w:sdt>
                    <w:sdt>
                      <w:sdtPr>
                        <w:alias w:val="32 p."/>
                        <w:tag w:val="part_a6df0b5f07ec4ecb9072338c152903a0"/>
                        <w:lock w:val="sdtLocked"/>
                        <w:richText/>
                      </w:sdtPr>
                      <w:sdtContent>
                        <w:p>
                          <w:pPr>
                            <w:widowControl w:val="0"/>
                            <w:ind w:firstLine="567"/>
                            <w:jc w:val="both"/>
                            <w:rPr>
                              <w:color w:val="000000"/>
                            </w:rPr>
                          </w:pPr>
                          <w:sdt>
                            <w:sdtPr>
                              <w:alias w:val="Numeris"/>
                              <w:tag w:val="nr_a6df0b5f07ec4ecb9072338c152903a0"/>
                              <w:lock w:val="sdtLocked"/>
                              <w:richText/>
                            </w:sdtPr>
                            <w:sdtContent>
                              <w:r>
                                <w:rPr>
                                  <w:color w:val="000000"/>
                                </w:rPr>
                                <w:t>32</w:t>
                              </w:r>
                            </w:sdtContent>
                          </w:sdt>
                          <w:r>
                            <w:rPr>
                              <w:color w:val="000000"/>
                            </w:rPr>
                            <w:t>. Nematerialiojo turto įsigijimo ar pasigaminimo savikainos priskyrimas sąnaudoms ar kito turto savikainai ir paskirstymas per visą planuojamą turto naudingo tarnavimo laiką, atsižvelgiant į realų to turto ekonominės vertės kitimą, vadinama amortizacija. Parengus nematerialųjį turtą naudoti, jo amortizacija pradedama skaičiuoti nuo pirmos kito mėnesio dienos. Amortizavus, pardavus, ar dėl kitų priežasčių nurašius nematerialųjį turtą, jo amortizacija neskaičiuojama nuo pirmos kito mėnesio dienos. Amortizuojama nematerialiojo turto vertė turi būti nuosekliai paskirstoma per visą jo naudingo tarnavimo laiką. Amortizacijos suma pripažįstama sąnaudomis kiekvieną ataskaitinį laikotarpį. Nematerialiojo turto amortizacija skaičiuojama taikant tiesiogiai proporcingą (tiesinį) metodą, pagal kurį metinė amortizacijos suma apskaičiuojama pagal formulę:</w:t>
                          </w:r>
                        </w:p>
                        <w:p>
                          <w:pPr>
                            <w:widowControl w:val="0"/>
                            <w:ind w:firstLine="1200"/>
                            <w:jc w:val="both"/>
                            <w:rPr>
                              <w:color w:val="000000"/>
                            </w:rPr>
                          </w:pPr>
                          <w:r>
                            <w:rPr>
                              <w:color w:val="000000"/>
                            </w:rPr>
                            <w:t>V</w:t>
                          </w:r>
                        </w:p>
                        <w:p>
                          <w:pPr>
                            <w:widowControl w:val="0"/>
                            <w:ind w:firstLine="567"/>
                            <w:jc w:val="both"/>
                            <w:rPr>
                              <w:color w:val="000000"/>
                            </w:rPr>
                          </w:pPr>
                          <w:r>
                            <w:rPr>
                              <w:color w:val="000000"/>
                            </w:rPr>
                            <w:t>N = ––––– , kur</w:t>
                          </w:r>
                        </w:p>
                        <w:p>
                          <w:pPr>
                            <w:widowControl w:val="0"/>
                            <w:ind w:firstLine="1200"/>
                            <w:jc w:val="both"/>
                            <w:rPr>
                              <w:color w:val="000000"/>
                            </w:rPr>
                          </w:pPr>
                          <w:r>
                            <w:rPr>
                              <w:color w:val="000000"/>
                            </w:rPr>
                            <w:t>T</w:t>
                          </w:r>
                        </w:p>
                        <w:p>
                          <w:pPr>
                            <w:widowControl w:val="0"/>
                            <w:ind w:firstLine="567"/>
                            <w:jc w:val="both"/>
                            <w:rPr>
                              <w:color w:val="000000"/>
                            </w:rPr>
                          </w:pPr>
                          <w:r>
                            <w:rPr>
                              <w:color w:val="000000"/>
                            </w:rPr>
                            <w:t>N – metinė amortizacijos suma;</w:t>
                          </w:r>
                        </w:p>
                        <w:p>
                          <w:pPr>
                            <w:widowControl w:val="0"/>
                            <w:ind w:firstLine="567"/>
                            <w:jc w:val="both"/>
                            <w:rPr>
                              <w:color w:val="000000"/>
                            </w:rPr>
                          </w:pPr>
                          <w:r>
                            <w:rPr>
                              <w:color w:val="000000"/>
                            </w:rPr>
                            <w:t>V – nematerialiojo turto įsigijimo savikaina;</w:t>
                          </w:r>
                        </w:p>
                        <w:p>
                          <w:pPr>
                            <w:widowControl w:val="0"/>
                            <w:ind w:firstLine="567"/>
                            <w:jc w:val="both"/>
                            <w:rPr>
                              <w:color w:val="000000"/>
                            </w:rPr>
                          </w:pPr>
                          <w:r>
                            <w:rPr>
                              <w:color w:val="000000"/>
                            </w:rPr>
                            <w:t>T – naudingo tarnavimo laikas (metais).</w:t>
                          </w:r>
                        </w:p>
                      </w:sdtContent>
                    </w:sdt>
                    <w:sdt>
                      <w:sdtPr>
                        <w:alias w:val="33 p."/>
                        <w:tag w:val="part_e5d6cf18b649414582242b01c6c4edf4"/>
                        <w:lock w:val="sdtLocked"/>
                        <w:richText/>
                      </w:sdtPr>
                      <w:sdtContent>
                        <w:p>
                          <w:pPr>
                            <w:widowControl w:val="0"/>
                            <w:ind w:firstLine="567"/>
                            <w:jc w:val="both"/>
                            <w:rPr>
                              <w:color w:val="000000"/>
                            </w:rPr>
                          </w:pPr>
                          <w:sdt>
                            <w:sdtPr>
                              <w:alias w:val="Numeris"/>
                              <w:tag w:val="nr_e5d6cf18b649414582242b01c6c4edf4"/>
                              <w:lock w:val="sdtLocked"/>
                              <w:richText/>
                            </w:sdtPr>
                            <w:sdtContent>
                              <w:r>
                                <w:rPr>
                                  <w:color w:val="000000"/>
                                </w:rPr>
                                <w:t>33</w:t>
                              </w:r>
                            </w:sdtContent>
                          </w:sdt>
                          <w:r>
                            <w:rPr>
                              <w:color w:val="000000"/>
                            </w:rPr>
                            <w:t>. Įmonė pati nustato nematerialiojo turto naudingo tarnavimo laiką. Jei, gavus papildomos informacijos, tikslinamas nematerialiojo turto naudingo tarnavimo laikas, tai to turto likutinė vertė turi būti amortizuota per patikslintą naudingo tarnavimo laiką.</w:t>
                          </w:r>
                        </w:p>
                      </w:sdtContent>
                    </w:sdt>
                    <w:sdt>
                      <w:sdtPr>
                        <w:alias w:val="34 p."/>
                        <w:tag w:val="part_8137776a1c984b1a8421779247e65c36"/>
                        <w:lock w:val="sdtLocked"/>
                        <w:richText/>
                      </w:sdtPr>
                      <w:sdtContent>
                        <w:p>
                          <w:pPr>
                            <w:widowControl w:val="0"/>
                            <w:ind w:firstLine="567"/>
                            <w:jc w:val="both"/>
                            <w:rPr>
                              <w:color w:val="000000"/>
                            </w:rPr>
                          </w:pPr>
                          <w:sdt>
                            <w:sdtPr>
                              <w:alias w:val="Numeris"/>
                              <w:tag w:val="nr_8137776a1c984b1a8421779247e65c36"/>
                              <w:lock w:val="sdtLocked"/>
                              <w:richText/>
                            </w:sdtPr>
                            <w:sdtContent>
                              <w:r>
                                <w:rPr>
                                  <w:color w:val="000000"/>
                                </w:rPr>
                                <w:t>34</w:t>
                              </w:r>
                            </w:sdtContent>
                          </w:sdt>
                          <w:r>
                            <w:rPr>
                              <w:color w:val="000000"/>
                            </w:rPr>
                            <w:t>. Balanse nematerialusis turtas pateikiamas likutine verte, kuri apskaičiuojama iš nematerialiojo turto įsigijimo savikainos atimant sukauptą amortizacijos sumą.</w:t>
                          </w:r>
                        </w:p>
                      </w:sdtContent>
                    </w:sdt>
                    <w:sdt>
                      <w:sdtPr>
                        <w:alias w:val="35 p."/>
                        <w:tag w:val="part_5f45a38f328d409685d50ddc0073d66a"/>
                        <w:lock w:val="sdtLocked"/>
                        <w:richText/>
                      </w:sdtPr>
                      <w:sdtContent>
                        <w:p>
                          <w:pPr>
                            <w:widowControl w:val="0"/>
                            <w:ind w:firstLine="567"/>
                            <w:jc w:val="both"/>
                            <w:rPr>
                              <w:color w:val="000000"/>
                            </w:rPr>
                          </w:pPr>
                          <w:sdt>
                            <w:sdtPr>
                              <w:alias w:val="Numeris"/>
                              <w:tag w:val="nr_5f45a38f328d409685d50ddc0073d66a"/>
                              <w:lock w:val="sdtLocked"/>
                              <w:richText/>
                            </w:sdtPr>
                            <w:sdtContent>
                              <w:r>
                                <w:rPr>
                                  <w:color w:val="000000"/>
                                </w:rPr>
                                <w:t>35</w:t>
                              </w:r>
                            </w:sdtContent>
                          </w:sdt>
                          <w:r>
                            <w:rPr>
                              <w:color w:val="000000"/>
                            </w:rPr>
                            <w:t xml:space="preserve">. Nematerialusis turtas nurašomas, jei jis perleidžiamas, dovanojamas, prarandamas dėl įvairių priežasčių arba jei ateityje jį naudojant ar parduodant nesitikima gauti jokios ekonominės naudos. Nurašius nematerialųjį turtą, apskaitoje turi būti nurašoma ir įsigijimo savikaina, ir sukaupta amortizacijos suma. Perleidus ar iškeitus nematerialųjį turtą, apskaičiuotas sandorio rezultatas parodomas pelno (nuostolių) ataskaitos kitos veiklos straipsnyje. Kitais atvejais nurašius nevisiškai amortizuotą nematerialųjį turtą, nurašyta to turto likutinė vertė parodoma pelno (nuostolių) ataskaitos veiklos sąnaudų straipsnyje. </w:t>
                          </w:r>
                        </w:p>
                      </w:sdtContent>
                    </w:sdt>
                    <w:sdt>
                      <w:sdtPr>
                        <w:alias w:val="36 p."/>
                        <w:tag w:val="part_e3ae4ef7dc534568a83fcddc59247d8c"/>
                        <w:lock w:val="sdtLocked"/>
                        <w:richText/>
                      </w:sdtPr>
                      <w:sdtContent>
                        <w:p>
                          <w:pPr>
                            <w:widowControl w:val="0"/>
                            <w:ind w:firstLine="567"/>
                            <w:jc w:val="both"/>
                            <w:rPr>
                              <w:b/>
                              <w:bCs/>
                              <w:color w:val="000000"/>
                            </w:rPr>
                          </w:pPr>
                          <w:sdt>
                            <w:sdtPr>
                              <w:alias w:val="Numeris"/>
                              <w:tag w:val="nr_e3ae4ef7dc534568a83fcddc59247d8c"/>
                              <w:lock w:val="sdtLocked"/>
                              <w:richText/>
                            </w:sdtPr>
                            <w:sdtContent>
                              <w:r>
                                <w:rPr>
                                  <w:color w:val="000000"/>
                                </w:rPr>
                                <w:t>36</w:t>
                              </w:r>
                            </w:sdtContent>
                          </w:sdt>
                          <w:r>
                            <w:rPr>
                              <w:color w:val="000000"/>
                            </w:rPr>
                            <w:t>. Nematerialiojo turto atnaujinimo, eksploatavimo ar tobulinimo išlaidos priskiriamos sąnaudoms tą ataskaitinį laikotarpį, kada jos buvo patirtos.</w:t>
                          </w:r>
                        </w:p>
                      </w:sdtContent>
                    </w:sdt>
                    <w:sdt>
                      <w:sdtPr>
                        <w:alias w:val="37 p."/>
                        <w:tag w:val="part_b45b48b2df60458d99362af6f0974b95"/>
                        <w:lock w:val="sdtLocked"/>
                        <w:richText/>
                      </w:sdtPr>
                      <w:sdtContent>
                        <w:p>
                          <w:pPr>
                            <w:widowControl w:val="0"/>
                            <w:ind w:firstLine="567"/>
                            <w:jc w:val="both"/>
                            <w:rPr>
                              <w:color w:val="000000"/>
                            </w:rPr>
                          </w:pPr>
                          <w:sdt>
                            <w:sdtPr>
                              <w:alias w:val="Numeris"/>
                              <w:tag w:val="nr_b45b48b2df60458d99362af6f0974b95"/>
                              <w:lock w:val="sdtLocked"/>
                              <w:richText/>
                            </w:sdtPr>
                            <w:sdtContent>
                              <w:r>
                                <w:rPr>
                                  <w:color w:val="000000"/>
                                </w:rPr>
                                <w:t>37</w:t>
                              </w:r>
                            </w:sdtContent>
                          </w:sdt>
                          <w:r>
                            <w:rPr>
                              <w:color w:val="000000"/>
                            </w:rPr>
                            <w:t>. Ilgalaikio materialiojo turto straipsnyje parodomas fizinę formą turintis turtas, kuris naudojamas prekėms gaminti, paslaugoms teikti, administraciniams tikslams ar nuomai ir atitinka visus šiuos požymius:</w:t>
                          </w:r>
                        </w:p>
                        <w:sdt>
                          <w:sdtPr>
                            <w:alias w:val="37.1 p."/>
                            <w:tag w:val="part_d37185674c10496b9ef035e2335190e0"/>
                            <w:lock w:val="sdtLocked"/>
                            <w:richText/>
                          </w:sdtPr>
                          <w:sdtContent>
                            <w:p>
                              <w:pPr>
                                <w:widowControl w:val="0"/>
                                <w:ind w:firstLine="567"/>
                                <w:jc w:val="both"/>
                                <w:rPr>
                                  <w:color w:val="000000"/>
                                </w:rPr>
                              </w:pPr>
                              <w:sdt>
                                <w:sdtPr>
                                  <w:alias w:val="Numeris"/>
                                  <w:tag w:val="nr_d37185674c10496b9ef035e2335190e0"/>
                                  <w:lock w:val="sdtLocked"/>
                                  <w:richText/>
                                </w:sdtPr>
                                <w:sdtContent>
                                  <w:r>
                                    <w:rPr>
                                      <w:color w:val="000000"/>
                                    </w:rPr>
                                    <w:t>37.1</w:t>
                                  </w:r>
                                </w:sdtContent>
                              </w:sdt>
                              <w:r>
                                <w:rPr>
                                  <w:color w:val="000000"/>
                                </w:rPr>
                                <w:t>. Įmonė ketina jį naudoti ilgiau kaip vienus metus.</w:t>
                              </w:r>
                            </w:p>
                          </w:sdtContent>
                        </w:sdt>
                        <w:sdt>
                          <w:sdtPr>
                            <w:alias w:val="37.2 p."/>
                            <w:tag w:val="part_b826c61f773a4cfda7a941062bc2000a"/>
                            <w:lock w:val="sdtLocked"/>
                            <w:richText/>
                          </w:sdtPr>
                          <w:sdtContent>
                            <w:p>
                              <w:pPr>
                                <w:widowControl w:val="0"/>
                                <w:ind w:firstLine="567"/>
                                <w:jc w:val="both"/>
                                <w:rPr>
                                  <w:color w:val="000000"/>
                                </w:rPr>
                              </w:pPr>
                              <w:sdt>
                                <w:sdtPr>
                                  <w:alias w:val="Numeris"/>
                                  <w:tag w:val="nr_b826c61f773a4cfda7a941062bc2000a"/>
                                  <w:lock w:val="sdtLocked"/>
                                  <w:richText/>
                                </w:sdtPr>
                                <w:sdtContent>
                                  <w:r>
                                    <w:rPr>
                                      <w:color w:val="000000"/>
                                    </w:rPr>
                                    <w:t>37.2</w:t>
                                  </w:r>
                                </w:sdtContent>
                              </w:sdt>
                              <w:r>
                                <w:rPr>
                                  <w:color w:val="000000"/>
                                </w:rPr>
                                <w:t>. Įmonė pagrįstai tikisi ateityje gauti iš turto ekonominės naudos.</w:t>
                              </w:r>
                            </w:p>
                          </w:sdtContent>
                        </w:sdt>
                        <w:sdt>
                          <w:sdtPr>
                            <w:alias w:val="37.3 p."/>
                            <w:tag w:val="part_8305360801834dd68ebd65a864d2c45c"/>
                            <w:lock w:val="sdtLocked"/>
                            <w:richText/>
                          </w:sdtPr>
                          <w:sdtContent>
                            <w:p>
                              <w:pPr>
                                <w:widowControl w:val="0"/>
                                <w:ind w:firstLine="567"/>
                                <w:jc w:val="both"/>
                                <w:rPr>
                                  <w:color w:val="000000"/>
                                </w:rPr>
                              </w:pPr>
                              <w:sdt>
                                <w:sdtPr>
                                  <w:alias w:val="Numeris"/>
                                  <w:tag w:val="nr_8305360801834dd68ebd65a864d2c45c"/>
                                  <w:lock w:val="sdtLocked"/>
                                  <w:richText/>
                                </w:sdtPr>
                                <w:sdtContent>
                                  <w:r>
                                    <w:rPr>
                                      <w:color w:val="000000"/>
                                    </w:rPr>
                                    <w:t>37.3</w:t>
                                  </w:r>
                                </w:sdtContent>
                              </w:sdt>
                              <w:r>
                                <w:rPr>
                                  <w:color w:val="000000"/>
                                </w:rPr>
                                <w:t>. Įmonė gali patikimai nustatyti turto įsigijimo ar pasigaminimo savikainą.</w:t>
                              </w:r>
                            </w:p>
                          </w:sdtContent>
                        </w:sdt>
                        <w:sdt>
                          <w:sdtPr>
                            <w:alias w:val="37.4 p."/>
                            <w:tag w:val="part_8e7e86d1e35b437882d66b306719cc82"/>
                            <w:lock w:val="sdtLocked"/>
                            <w:richText/>
                          </w:sdtPr>
                          <w:sdtContent>
                            <w:p>
                              <w:pPr>
                                <w:widowControl w:val="0"/>
                                <w:ind w:firstLine="567"/>
                                <w:jc w:val="both"/>
                                <w:rPr>
                                  <w:color w:val="000000"/>
                                </w:rPr>
                              </w:pPr>
                              <w:sdt>
                                <w:sdtPr>
                                  <w:alias w:val="Numeris"/>
                                  <w:tag w:val="nr_8e7e86d1e35b437882d66b306719cc82"/>
                                  <w:lock w:val="sdtLocked"/>
                                  <w:richText/>
                                </w:sdtPr>
                                <w:sdtContent>
                                  <w:r>
                                    <w:rPr>
                                      <w:color w:val="000000"/>
                                    </w:rPr>
                                    <w:t>37.4</w:t>
                                  </w:r>
                                </w:sdtContent>
                              </w:sdt>
                              <w:r>
                                <w:rPr>
                                  <w:color w:val="000000"/>
                                </w:rPr>
                                <w:t>. Turto įsigijimo ar pasigaminimo savikaina yra ne mažesnė už įmonės nustatytą minimalią ilgalaikio materialiojo turto vieneto ar vienetų grupės vertę.</w:t>
                              </w:r>
                            </w:p>
                          </w:sdtContent>
                        </w:sdt>
                        <w:sdt>
                          <w:sdtPr>
                            <w:alias w:val="37.5 p."/>
                            <w:tag w:val="part_56859f8a25024fc8b9c98a85214d170b"/>
                            <w:lock w:val="sdtLocked"/>
                            <w:richText/>
                          </w:sdtPr>
                          <w:sdtContent>
                            <w:p>
                              <w:pPr>
                                <w:widowControl w:val="0"/>
                                <w:ind w:firstLine="567"/>
                                <w:jc w:val="both"/>
                                <w:rPr>
                                  <w:color w:val="000000"/>
                                </w:rPr>
                              </w:pPr>
                              <w:sdt>
                                <w:sdtPr>
                                  <w:alias w:val="Numeris"/>
                                  <w:tag w:val="nr_56859f8a25024fc8b9c98a85214d170b"/>
                                  <w:lock w:val="sdtLocked"/>
                                  <w:richText/>
                                </w:sdtPr>
                                <w:sdtContent>
                                  <w:r>
                                    <w:rPr>
                                      <w:color w:val="000000"/>
                                    </w:rPr>
                                    <w:t>37.5</w:t>
                                  </w:r>
                                </w:sdtContent>
                              </w:sdt>
                              <w:r>
                                <w:rPr>
                                  <w:color w:val="000000"/>
                                </w:rPr>
                                <w:t>. Įmonė gali tuo turtu disponuoti, jį kontroliuoti arba apriboti kitų teisę juo naudotis.</w:t>
                              </w:r>
                            </w:p>
                          </w:sdtContent>
                        </w:sdt>
                      </w:sdtContent>
                    </w:sdt>
                    <w:sdt>
                      <w:sdtPr>
                        <w:alias w:val="38 p."/>
                        <w:tag w:val="part_890ccf167d5c459b85502c87dc756016"/>
                        <w:lock w:val="sdtLocked"/>
                        <w:richText/>
                      </w:sdtPr>
                      <w:sdtContent>
                        <w:p>
                          <w:pPr>
                            <w:widowControl w:val="0"/>
                            <w:ind w:firstLine="567"/>
                            <w:jc w:val="both"/>
                            <w:rPr>
                              <w:b/>
                              <w:bCs/>
                              <w:color w:val="000000"/>
                            </w:rPr>
                          </w:pPr>
                          <w:sdt>
                            <w:sdtPr>
                              <w:alias w:val="Numeris"/>
                              <w:tag w:val="nr_890ccf167d5c459b85502c87dc756016"/>
                              <w:lock w:val="sdtLocked"/>
                              <w:richText/>
                            </w:sdtPr>
                            <w:sdtContent>
                              <w:r>
                                <w:rPr>
                                  <w:color w:val="000000"/>
                                </w:rPr>
                                <w:t>38</w:t>
                              </w:r>
                            </w:sdtContent>
                          </w:sdt>
                          <w:r>
                            <w:rPr>
                              <w:color w:val="000000"/>
                            </w:rPr>
                            <w:t>. Ilgalaikiam materialiajam turtui priskiriami įsigyti arba pačios įmonės statomi nebaigti statyti objektai, kurie bus naudojami įmonės veikloje, montuojami įrengimai ir ataskaitinio laikotarpio pabaigoje dar nebaigtų jų montavimo darbų vertė.</w:t>
                          </w:r>
                        </w:p>
                      </w:sdtContent>
                    </w:sdt>
                    <w:sdt>
                      <w:sdtPr>
                        <w:alias w:val="39 p."/>
                        <w:tag w:val="part_d6bc1244c7eb471b876ad216f719aa60"/>
                        <w:lock w:val="sdtLocked"/>
                        <w:richText/>
                      </w:sdtPr>
                      <w:sdtContent>
                        <w:p>
                          <w:pPr>
                            <w:widowControl w:val="0"/>
                            <w:ind w:firstLine="567"/>
                            <w:jc w:val="both"/>
                            <w:rPr>
                              <w:color w:val="000000"/>
                            </w:rPr>
                          </w:pPr>
                          <w:sdt>
                            <w:sdtPr>
                              <w:alias w:val="Numeris"/>
                              <w:tag w:val="nr_d6bc1244c7eb471b876ad216f719aa60"/>
                              <w:lock w:val="sdtLocked"/>
                              <w:richText/>
                            </w:sdtPr>
                            <w:sdtContent>
                              <w:r>
                                <w:rPr>
                                  <w:color w:val="000000"/>
                                </w:rPr>
                                <w:t>39</w:t>
                              </w:r>
                            </w:sdtContent>
                          </w:sdt>
                          <w:r>
                            <w:rPr>
                              <w:color w:val="000000"/>
                            </w:rPr>
                            <w:t>. Ilgalaikis materialusis turtas apskaitoje registruojamas įsigijimo ar pasigaminimo savikaina, kurią sudaro už šį turtą sumokėta ar mokėtina pinigų suma ar kitokio sunaudoto turto vertė, įskaitant su turto įsigijimu ir paruošimu naudoti tiesiogiai susijusias išlaidas, patirtas iki jo naudojimo pradžios. Į ilgalaikio materialiojo turto įsigijimo savikainą neįskaičiuojamas grąžinamas pridėtinės vertės mokestis. Negrąžinamas pridėtinės vertės mokestis gali būti įskaičiuojamas į turto įsigijimo savikainą arba iš karto pripažįstamas veiklos sąnaudomis. Ilgalaikiam turtui įsigyti arba pasigaminti pasiskolintų lėšų palūkanos į ilgalaikio materialiojo turto įsigijimo ar pasigaminimo savikainą neįskaičiuojamos, o pripažįstamos atitinkamų ataskaitinių laikotarpių palūkanų sąnaudomis.</w:t>
                          </w:r>
                        </w:p>
                      </w:sdtContent>
                    </w:sdt>
                    <w:sdt>
                      <w:sdtPr>
                        <w:alias w:val="40 p."/>
                        <w:tag w:val="part_372809f7c8084346b7245b7295ce445f"/>
                        <w:lock w:val="sdtLocked"/>
                        <w:richText/>
                      </w:sdtPr>
                      <w:sdtContent>
                        <w:p>
                          <w:pPr>
                            <w:widowControl w:val="0"/>
                            <w:ind w:firstLine="567"/>
                            <w:jc w:val="both"/>
                            <w:rPr>
                              <w:b/>
                              <w:bCs/>
                              <w:color w:val="000000"/>
                            </w:rPr>
                          </w:pPr>
                          <w:sdt>
                            <w:sdtPr>
                              <w:alias w:val="Numeris"/>
                              <w:tag w:val="nr_372809f7c8084346b7245b7295ce445f"/>
                              <w:lock w:val="sdtLocked"/>
                              <w:richText/>
                            </w:sdtPr>
                            <w:sdtContent>
                              <w:r>
                                <w:rPr>
                                  <w:color w:val="000000"/>
                                </w:rPr>
                                <w:t>40</w:t>
                              </w:r>
                            </w:sdtContent>
                          </w:sdt>
                          <w:r>
                            <w:rPr>
                              <w:color w:val="000000"/>
                            </w:rPr>
                            <w:t>. Ilgalaikis materialusis turtas apskaitoje skirstomas į grupes pagal savo pobūdį ir paskirtį, pavyzdžiui, žemė, pastatai ir statiniai, technologiniai įrengimai, transporto priemonės, kitas ilgalaikis materialusis turtas, statomas ar rekonstruojamas turtas. Turto grupių skaičių įmonė nusistato savo nuožiūra. Įmonė gali nustatyti skirtingas minimalias kiekvienos turto grupės vertes.</w:t>
                          </w:r>
                        </w:p>
                      </w:sdtContent>
                    </w:sdt>
                    <w:sdt>
                      <w:sdtPr>
                        <w:alias w:val="41 p."/>
                        <w:tag w:val="part_24b9a818866b461a9874bf7e49b5521b"/>
                        <w:lock w:val="sdtLocked"/>
                        <w:richText/>
                      </w:sdtPr>
                      <w:sdtContent>
                        <w:p>
                          <w:pPr>
                            <w:widowControl w:val="0"/>
                            <w:ind w:firstLine="567"/>
                            <w:jc w:val="both"/>
                            <w:rPr>
                              <w:color w:val="000000"/>
                            </w:rPr>
                          </w:pPr>
                          <w:sdt>
                            <w:sdtPr>
                              <w:alias w:val="Numeris"/>
                              <w:tag w:val="nr_24b9a818866b461a9874bf7e49b5521b"/>
                              <w:lock w:val="sdtLocked"/>
                              <w:richText/>
                            </w:sdtPr>
                            <w:sdtContent>
                              <w:r>
                                <w:rPr>
                                  <w:color w:val="000000"/>
                                </w:rPr>
                                <w:t>41</w:t>
                              </w:r>
                            </w:sdtContent>
                          </w:sdt>
                          <w:r>
                            <w:rPr>
                              <w:color w:val="000000"/>
                            </w:rPr>
                            <w:t xml:space="preserve">. Ilgalaikio materialiojo turto pasigaminimo savikaina apskaičiuojama prie pagrindinių žaliavų, medžiagų, komplektuojamųjų gaminių, sunaudotų gaminant ar statant ilgalaikį turtą, įsigijimo savikainos pridedant tiesiogines darbo ir pridėtines gamybos ar statybos išlaidas, patirtas iki jo naudojimo pradžios. Įmonės veiklos administracinės ir bendrosios sąnaudos turto pasigaminimo savikainai nepriskiriamos. </w:t>
                          </w:r>
                        </w:p>
                      </w:sdtContent>
                    </w:sdt>
                    <w:sdt>
                      <w:sdtPr>
                        <w:alias w:val="42 p."/>
                        <w:tag w:val="part_8b69eb99323448c1805b29fcff58edef"/>
                        <w:lock w:val="sdtLocked"/>
                        <w:richText/>
                      </w:sdtPr>
                      <w:sdtContent>
                        <w:p>
                          <w:pPr>
                            <w:widowControl w:val="0"/>
                            <w:ind w:firstLine="567"/>
                            <w:jc w:val="both"/>
                            <w:rPr>
                              <w:b/>
                              <w:bCs/>
                              <w:color w:val="000000"/>
                            </w:rPr>
                          </w:pPr>
                          <w:sdt>
                            <w:sdtPr>
                              <w:alias w:val="Numeris"/>
                              <w:tag w:val="nr_8b69eb99323448c1805b29fcff58edef"/>
                              <w:lock w:val="sdtLocked"/>
                              <w:richText/>
                            </w:sdtPr>
                            <w:sdtContent>
                              <w:r>
                                <w:rPr>
                                  <w:color w:val="000000"/>
                                </w:rPr>
                                <w:t>42</w:t>
                              </w:r>
                            </w:sdtContent>
                          </w:sdt>
                          <w:r>
                            <w:rPr>
                              <w:color w:val="000000"/>
                            </w:rPr>
                            <w:t>. Ilgalaikis materialusis turtas gali būti riboto ir neriboto naudojimo laiko. Skaičiuojamas tik riboto naudojimo laiko turto nusidėvėjimas. Neriboto naudojimo laiko turto, pavyzdžiui, žemės, nusidėvėjimas neskaičiuojamas.</w:t>
                          </w:r>
                        </w:p>
                      </w:sdtContent>
                    </w:sdt>
                    <w:sdt>
                      <w:sdtPr>
                        <w:alias w:val="43 p."/>
                        <w:tag w:val="part_e7ef9ecbda634143a6df9417b67b8e00"/>
                        <w:lock w:val="sdtLocked"/>
                        <w:richText/>
                      </w:sdtPr>
                      <w:sdtContent>
                        <w:p>
                          <w:pPr>
                            <w:widowControl w:val="0"/>
                            <w:ind w:firstLine="567"/>
                            <w:jc w:val="both"/>
                            <w:rPr>
                              <w:color w:val="000000"/>
                            </w:rPr>
                          </w:pPr>
                          <w:sdt>
                            <w:sdtPr>
                              <w:alias w:val="Numeris"/>
                              <w:tag w:val="nr_e7ef9ecbda634143a6df9417b67b8e00"/>
                              <w:lock w:val="sdtLocked"/>
                              <w:richText/>
                            </w:sdtPr>
                            <w:sdtContent>
                              <w:r>
                                <w:rPr>
                                  <w:color w:val="000000"/>
                                </w:rPr>
                                <w:t>43</w:t>
                              </w:r>
                            </w:sdtContent>
                          </w:sdt>
                          <w:r>
                            <w:rPr>
                              <w:color w:val="000000"/>
                            </w:rPr>
                            <w:t>. Parengto naudoti ilgalaikio materialiojo turto nusidėvėjimas pradedamas skaičiuoti nuo pirmos kito mėnesio dienos. Ilgalaikio materialiojo turto nusidėvėjimas neskaičiuojamas nuo pirmos kito mėnesio dienos, kai turtas perleidžiamas ar kitaip perduodamas, nurašomas dėl kitų priežasčių arba kai visa naudojamo ilgalaikio turto vertė (atėmus likvidacinę vertę) perkeliama į veiklos sąnaudas arba gaminamo turto, teikiamų paslaugų savikainą.</w:t>
                          </w:r>
                        </w:p>
                      </w:sdtContent>
                    </w:sdt>
                    <w:sdt>
                      <w:sdtPr>
                        <w:alias w:val="44 p."/>
                        <w:tag w:val="part_d01b5be14de24938a9a60d2607aa17d3"/>
                        <w:lock w:val="sdtLocked"/>
                        <w:richText/>
                      </w:sdtPr>
                      <w:sdtContent>
                        <w:p>
                          <w:pPr>
                            <w:widowControl w:val="0"/>
                            <w:ind w:firstLine="567"/>
                            <w:jc w:val="both"/>
                            <w:rPr>
                              <w:color w:val="000000"/>
                            </w:rPr>
                          </w:pPr>
                          <w:sdt>
                            <w:sdtPr>
                              <w:alias w:val="Numeris"/>
                              <w:tag w:val="nr_d01b5be14de24938a9a60d2607aa17d3"/>
                              <w:lock w:val="sdtLocked"/>
                              <w:richText/>
                            </w:sdtPr>
                            <w:sdtContent>
                              <w:r>
                                <w:rPr>
                                  <w:color w:val="000000"/>
                                </w:rPr>
                                <w:t>44</w:t>
                              </w:r>
                            </w:sdtContent>
                          </w:sdt>
                          <w:r>
                            <w:rPr>
                              <w:color w:val="000000"/>
                            </w:rPr>
                            <w:t>. Ilgalaikio materialiojo turto nusidėvėjimu laikomas sistemingas turto nudėvimosios vertės paskirstymas per jo naudingo tarnavimo laiką. Nudėvimoji ilgalaikio materialiojo turto vertė apskaičiuojama iš jo įsigijimo ar pasigaminimo savikainos atimant nustatytą likvidacinę vertę. Likvidacinę vertę, kurią pasibaigus naudingo tarnavimo laikui tikisi gauti už turtą, atėmusi būsimas likvidavimo ar perleidimo išlaidas, įmonė nustato pati. Likvidacinė vertė gali būti lygi nuliui.</w:t>
                          </w:r>
                        </w:p>
                      </w:sdtContent>
                    </w:sdt>
                    <w:sdt>
                      <w:sdtPr>
                        <w:alias w:val="45 p."/>
                        <w:tag w:val="part_f8b75e6569f945e8b6685c25c192baa0"/>
                        <w:lock w:val="sdtLocked"/>
                        <w:richText/>
                      </w:sdtPr>
                      <w:sdtContent>
                        <w:p>
                          <w:pPr>
                            <w:widowControl w:val="0"/>
                            <w:ind w:firstLine="567"/>
                            <w:jc w:val="both"/>
                            <w:rPr>
                              <w:color w:val="000000"/>
                            </w:rPr>
                          </w:pPr>
                          <w:sdt>
                            <w:sdtPr>
                              <w:alias w:val="Numeris"/>
                              <w:tag w:val="nr_f8b75e6569f945e8b6685c25c192baa0"/>
                              <w:lock w:val="sdtLocked"/>
                              <w:richText/>
                            </w:sdtPr>
                            <w:sdtContent>
                              <w:r>
                                <w:rPr>
                                  <w:color w:val="000000"/>
                                </w:rPr>
                                <w:t>45</w:t>
                              </w:r>
                            </w:sdtContent>
                          </w:sdt>
                          <w:r>
                            <w:rPr>
                              <w:color w:val="000000"/>
                            </w:rPr>
                            <w:t>. Nusidėvėjimui apskaičiuoti taikomas tiesiogiai proporcingas (tiesinis) ilgalaikio materialiojo turto nusidėvėjimo metodas. Taikant tiesiogiai proporcingą (tiesinį) metodą, metinė nusidėvėjimo suma apskaičiuojama pagal formulę:</w:t>
                          </w:r>
                        </w:p>
                        <w:p>
                          <w:pPr>
                            <w:widowControl w:val="0"/>
                            <w:ind w:firstLine="960"/>
                            <w:jc w:val="both"/>
                            <w:rPr>
                              <w:color w:val="000000"/>
                            </w:rPr>
                          </w:pPr>
                          <w:r>
                            <w:rPr>
                              <w:color w:val="000000"/>
                            </w:rPr>
                            <w:t>(V1 - V2)</w:t>
                          </w:r>
                        </w:p>
                        <w:p>
                          <w:pPr>
                            <w:widowControl w:val="0"/>
                            <w:ind w:firstLine="567"/>
                            <w:jc w:val="both"/>
                            <w:rPr>
                              <w:color w:val="000000"/>
                            </w:rPr>
                          </w:pPr>
                          <w:r>
                            <w:rPr>
                              <w:color w:val="000000"/>
                            </w:rPr>
                            <w:t>N = –––––––––, kur</w:t>
                          </w:r>
                        </w:p>
                        <w:p>
                          <w:pPr>
                            <w:widowControl w:val="0"/>
                            <w:ind w:firstLine="1320"/>
                            <w:jc w:val="both"/>
                            <w:rPr>
                              <w:color w:val="000000"/>
                            </w:rPr>
                          </w:pPr>
                          <w:r>
                            <w:rPr>
                              <w:color w:val="000000"/>
                            </w:rPr>
                            <w:t>T</w:t>
                          </w:r>
                        </w:p>
                        <w:p>
                          <w:pPr>
                            <w:widowControl w:val="0"/>
                            <w:ind w:firstLine="567"/>
                            <w:jc w:val="both"/>
                            <w:rPr>
                              <w:color w:val="000000"/>
                            </w:rPr>
                          </w:pPr>
                          <w:r>
                            <w:rPr>
                              <w:color w:val="000000"/>
                            </w:rPr>
                            <w:t>N – metinė nusidėvėjimo suma;</w:t>
                          </w:r>
                        </w:p>
                        <w:p>
                          <w:pPr>
                            <w:widowControl w:val="0"/>
                            <w:ind w:firstLine="567"/>
                            <w:jc w:val="both"/>
                            <w:rPr>
                              <w:color w:val="000000"/>
                            </w:rPr>
                          </w:pPr>
                          <w:r>
                            <w:rPr>
                              <w:color w:val="000000"/>
                            </w:rPr>
                            <w:t>V1 – ilgalaikio materialiojo turto įsigijimo (pasigaminimo) savikaina;</w:t>
                          </w:r>
                        </w:p>
                        <w:p>
                          <w:pPr>
                            <w:widowControl w:val="0"/>
                            <w:ind w:firstLine="567"/>
                            <w:jc w:val="both"/>
                            <w:rPr>
                              <w:color w:val="000000"/>
                            </w:rPr>
                          </w:pPr>
                          <w:r>
                            <w:rPr>
                              <w:color w:val="000000"/>
                            </w:rPr>
                            <w:t>V2 – ilgalaikio materialiojo turto likvidacinė vertė;</w:t>
                          </w:r>
                        </w:p>
                        <w:p>
                          <w:pPr>
                            <w:widowControl w:val="0"/>
                            <w:ind w:firstLine="567"/>
                            <w:jc w:val="both"/>
                            <w:rPr>
                              <w:color w:val="000000"/>
                            </w:rPr>
                          </w:pPr>
                          <w:r>
                            <w:rPr>
                              <w:color w:val="000000"/>
                            </w:rPr>
                            <w:t>T – naudingo tarnavimo laikas (metais).</w:t>
                          </w:r>
                        </w:p>
                      </w:sdtContent>
                    </w:sdt>
                    <w:sdt>
                      <w:sdtPr>
                        <w:alias w:val="46 p."/>
                        <w:tag w:val="part_362308509c824ca594b69eaa8ada24a5"/>
                        <w:lock w:val="sdtLocked"/>
                        <w:richText/>
                      </w:sdtPr>
                      <w:sdtContent>
                        <w:p>
                          <w:pPr>
                            <w:widowControl w:val="0"/>
                            <w:ind w:firstLine="567"/>
                            <w:jc w:val="both"/>
                            <w:rPr>
                              <w:color w:val="000000"/>
                            </w:rPr>
                          </w:pPr>
                          <w:sdt>
                            <w:sdtPr>
                              <w:alias w:val="Numeris"/>
                              <w:tag w:val="nr_362308509c824ca594b69eaa8ada24a5"/>
                              <w:lock w:val="sdtLocked"/>
                              <w:richText/>
                            </w:sdtPr>
                            <w:sdtContent>
                              <w:r>
                                <w:rPr>
                                  <w:color w:val="000000"/>
                                </w:rPr>
                                <w:t>46</w:t>
                              </w:r>
                            </w:sdtContent>
                          </w:sdt>
                          <w:r>
                            <w:rPr>
                              <w:color w:val="000000"/>
                            </w:rPr>
                            <w:t>. Įmonė pati nustato ilgalaikio materialiojo turto naudingo tarnavimo laiką. Gavus papildomos informacijos, ilgalaikio materialiojo turto naudingo tarnavimo laikas, likvidacinė vertė ir (ar) apskaičiuota metinė nusidėvėjimo suma gali būti tikslinami. Pakeitus naudingo tarnavimo laiką, ilgalaikio materialiojo turto nudėvimoji vertė nudėvima per patikslintą turto naudingo tarnavimo laiką.</w:t>
                          </w:r>
                        </w:p>
                      </w:sdtContent>
                    </w:sdt>
                    <w:sdt>
                      <w:sdtPr>
                        <w:alias w:val="47 p."/>
                        <w:tag w:val="part_0161ed87c30441ac9684f4dfa52662cb"/>
                        <w:lock w:val="sdtLocked"/>
                        <w:richText/>
                      </w:sdtPr>
                      <w:sdtContent>
                        <w:p>
                          <w:pPr>
                            <w:widowControl w:val="0"/>
                            <w:ind w:firstLine="567"/>
                            <w:jc w:val="both"/>
                            <w:rPr>
                              <w:color w:val="000000"/>
                            </w:rPr>
                          </w:pPr>
                          <w:sdt>
                            <w:sdtPr>
                              <w:alias w:val="Numeris"/>
                              <w:tag w:val="nr_0161ed87c30441ac9684f4dfa52662cb"/>
                              <w:lock w:val="sdtLocked"/>
                              <w:richText/>
                            </w:sdtPr>
                            <w:sdtContent>
                              <w:r>
                                <w:rPr>
                                  <w:color w:val="000000"/>
                                </w:rPr>
                                <w:t>47</w:t>
                              </w:r>
                            </w:sdtContent>
                          </w:sdt>
                          <w:r>
                            <w:rPr>
                              <w:color w:val="000000"/>
                            </w:rPr>
                            <w:t>. Balanse pateikiama likutinė ilgalaikio materialiojo turto vertė, kuri apskaičiuojama iš ilgalaikio materialiojo turto įsigijimo savikainos atimant sukauptą nusidėvėjimo sumą.</w:t>
                          </w:r>
                        </w:p>
                      </w:sdtContent>
                    </w:sdt>
                    <w:sdt>
                      <w:sdtPr>
                        <w:alias w:val="48 p."/>
                        <w:tag w:val="part_0e89fdb0d62d47d8bf74cea126ced64b"/>
                        <w:lock w:val="sdtLocked"/>
                        <w:richText/>
                      </w:sdtPr>
                      <w:sdtContent>
                        <w:p>
                          <w:pPr>
                            <w:widowControl w:val="0"/>
                            <w:ind w:firstLine="567"/>
                            <w:jc w:val="both"/>
                            <w:rPr>
                              <w:color w:val="000000"/>
                            </w:rPr>
                          </w:pPr>
                          <w:sdt>
                            <w:sdtPr>
                              <w:alias w:val="Numeris"/>
                              <w:tag w:val="nr_0e89fdb0d62d47d8bf74cea126ced64b"/>
                              <w:lock w:val="sdtLocked"/>
                              <w:richText/>
                            </w:sdtPr>
                            <w:sdtContent>
                              <w:r>
                                <w:rPr>
                                  <w:color w:val="000000"/>
                                </w:rPr>
                                <w:t>48</w:t>
                              </w:r>
                            </w:sdtContent>
                          </w:sdt>
                          <w:r>
                            <w:rPr>
                              <w:color w:val="000000"/>
                            </w:rPr>
                            <w:t xml:space="preserve">. Ilgalaikio materialiojo turto eksploatavimo, remonto išlaidos priskiriamos to ataskaitinio laikotarpio, per kurį susidarė, veiklos sąnaudoms, jei jos nebuvo priskirtos gaminamos produkcijos savikainai. </w:t>
                          </w:r>
                        </w:p>
                      </w:sdtContent>
                    </w:sdt>
                    <w:sdt>
                      <w:sdtPr>
                        <w:alias w:val="49 p."/>
                        <w:tag w:val="part_cd23f61df1844839b254290e1e691c52"/>
                        <w:lock w:val="sdtLocked"/>
                        <w:richText/>
                      </w:sdtPr>
                      <w:sdtContent>
                        <w:p>
                          <w:pPr>
                            <w:widowControl w:val="0"/>
                            <w:ind w:firstLine="567"/>
                            <w:jc w:val="both"/>
                            <w:rPr>
                              <w:b/>
                              <w:bCs/>
                              <w:color w:val="000000"/>
                            </w:rPr>
                          </w:pPr>
                          <w:sdt>
                            <w:sdtPr>
                              <w:alias w:val="Numeris"/>
                              <w:tag w:val="nr_cd23f61df1844839b254290e1e691c52"/>
                              <w:lock w:val="sdtLocked"/>
                              <w:richText/>
                            </w:sdtPr>
                            <w:sdtContent>
                              <w:r>
                                <w:rPr>
                                  <w:color w:val="000000"/>
                                </w:rPr>
                                <w:t>49</w:t>
                              </w:r>
                            </w:sdtContent>
                          </w:sdt>
                          <w:r>
                            <w:rPr>
                              <w:color w:val="000000"/>
                            </w:rPr>
                            <w:t>. Atlikus ilgalaikio materialiojo turto remontą ar rekonstrukciją, kuri pagerino jo naudingąsias savybes ir (ar) pailgino naudingo tarnavimo laiką, remonto ar rekonstrukcijos išlaidų suma didinama šio turto įsigijimo savikaina, pakeičiamas naudingo tarnavimo laikas, jei jis pailgėja, ir tikslinama būsimų ataskaitinių laikotarpių metinė nusidėvėjimo suma.</w:t>
                          </w:r>
                        </w:p>
                      </w:sdtContent>
                    </w:sdt>
                    <w:sdt>
                      <w:sdtPr>
                        <w:alias w:val="50 p."/>
                        <w:tag w:val="part_bb99cfe1554142c08631081a1192478a"/>
                        <w:lock w:val="sdtLocked"/>
                        <w:richText/>
                      </w:sdtPr>
                      <w:sdtContent>
                        <w:p>
                          <w:pPr>
                            <w:widowControl w:val="0"/>
                            <w:ind w:firstLine="567"/>
                            <w:jc w:val="both"/>
                            <w:rPr>
                              <w:b/>
                              <w:bCs/>
                              <w:color w:val="000000"/>
                            </w:rPr>
                          </w:pPr>
                          <w:sdt>
                            <w:sdtPr>
                              <w:alias w:val="Numeris"/>
                              <w:tag w:val="nr_bb99cfe1554142c08631081a1192478a"/>
                              <w:lock w:val="sdtLocked"/>
                              <w:richText/>
                            </w:sdtPr>
                            <w:sdtContent>
                              <w:r>
                                <w:rPr>
                                  <w:color w:val="000000"/>
                                </w:rPr>
                                <w:t>50</w:t>
                              </w:r>
                            </w:sdtContent>
                          </w:sdt>
                          <w:r>
                            <w:rPr>
                              <w:color w:val="000000"/>
                            </w:rPr>
                            <w:t xml:space="preserve">. Ilgalaikis materialusis turtas nurašomas, jei jis perleidžiamas, dovanojamas, prarandamas dėl įvairių priežasčių arba jei ateityje jį naudojant ar parduodant nesitikima gauti jokios ekonominės naudos. Nurašius ilgalaikį materialųjį turtą, apskaitoje turi būti nurašoma ir įsigijimo savikaina, ir sukaupta nusidėvėjimo suma. </w:t>
                          </w:r>
                        </w:p>
                      </w:sdtContent>
                    </w:sdt>
                    <w:sdt>
                      <w:sdtPr>
                        <w:alias w:val="51 p."/>
                        <w:tag w:val="part_c3ba0423a95d416890ebb6761a890178"/>
                        <w:lock w:val="sdtLocked"/>
                        <w:richText/>
                      </w:sdtPr>
                      <w:sdtContent>
                        <w:p>
                          <w:pPr>
                            <w:widowControl w:val="0"/>
                            <w:ind w:firstLine="567"/>
                            <w:jc w:val="both"/>
                            <w:rPr>
                              <w:b/>
                              <w:bCs/>
                              <w:color w:val="000000"/>
                            </w:rPr>
                          </w:pPr>
                          <w:sdt>
                            <w:sdtPr>
                              <w:alias w:val="Numeris"/>
                              <w:tag w:val="nr_c3ba0423a95d416890ebb6761a890178"/>
                              <w:lock w:val="sdtLocked"/>
                              <w:richText/>
                            </w:sdtPr>
                            <w:sdtContent>
                              <w:r>
                                <w:rPr>
                                  <w:color w:val="000000"/>
                                </w:rPr>
                                <w:t>51</w:t>
                              </w:r>
                            </w:sdtContent>
                          </w:sdt>
                          <w:r>
                            <w:rPr>
                              <w:color w:val="000000"/>
                            </w:rPr>
                            <w:t xml:space="preserve">. Ilgalaikio materialiojo turto perleidimas apskaitoje registruojamas nurašant turto įsigijimo ar pasigaminimo savikainą ir sukauptą nusidėvėjimą ir pripažįstant perleidimo sandorio rezultatą (pelną ar nuostolį), kuris parodomas pelno (nuostolių) ataskaitos kitos veiklos straipsnyje. Perleidimo sandorio rezultatas gaunamas iš pardavimo kainos atėmus perleisto turto likutinę vertę. </w:t>
                          </w:r>
                        </w:p>
                      </w:sdtContent>
                    </w:sdt>
                    <w:sdt>
                      <w:sdtPr>
                        <w:alias w:val="52 p."/>
                        <w:tag w:val="part_6bb08122d2644481a86c33aef9049cc3"/>
                        <w:lock w:val="sdtLocked"/>
                        <w:richText/>
                      </w:sdtPr>
                      <w:sdtContent>
                        <w:p>
                          <w:pPr>
                            <w:widowControl w:val="0"/>
                            <w:ind w:firstLine="567"/>
                            <w:jc w:val="both"/>
                            <w:rPr>
                              <w:color w:val="000000"/>
                            </w:rPr>
                          </w:pPr>
                          <w:sdt>
                            <w:sdtPr>
                              <w:alias w:val="Numeris"/>
                              <w:tag w:val="nr_6bb08122d2644481a86c33aef9049cc3"/>
                              <w:lock w:val="sdtLocked"/>
                              <w:richText/>
                            </w:sdtPr>
                            <w:sdtContent>
                              <w:r>
                                <w:rPr>
                                  <w:color w:val="000000"/>
                                </w:rPr>
                                <w:t>52</w:t>
                              </w:r>
                            </w:sdtContent>
                          </w:sdt>
                          <w:r>
                            <w:rPr>
                              <w:color w:val="000000"/>
                            </w:rPr>
                            <w:t xml:space="preserve">. Kitais atvejais nurašius nevisiškai nudėvėtą ilgalaikį materialųjį turtą, nurašyta to turto likutinė vertė parodoma pelno (nuostolių) ataskaitos veiklos sąnaudų straipsnyje, jei nėra galimybės jos kompensuoti. </w:t>
                          </w:r>
                        </w:p>
                      </w:sdtContent>
                    </w:sdt>
                    <w:sdt>
                      <w:sdtPr>
                        <w:alias w:val="53 p."/>
                        <w:tag w:val="part_7afa809bf652413babe25e2fab7e7891"/>
                        <w:lock w:val="sdtLocked"/>
                        <w:richText/>
                      </w:sdtPr>
                      <w:sdtContent>
                        <w:p>
                          <w:pPr>
                            <w:widowControl w:val="0"/>
                            <w:ind w:firstLine="567"/>
                            <w:jc w:val="both"/>
                            <w:rPr>
                              <w:b/>
                              <w:bCs/>
                              <w:color w:val="000000"/>
                            </w:rPr>
                          </w:pPr>
                          <w:sdt>
                            <w:sdtPr>
                              <w:alias w:val="Numeris"/>
                              <w:tag w:val="nr_7afa809bf652413babe25e2fab7e7891"/>
                              <w:lock w:val="sdtLocked"/>
                              <w:richText/>
                            </w:sdtPr>
                            <w:sdtContent>
                              <w:r>
                                <w:rPr>
                                  <w:color w:val="000000"/>
                                </w:rPr>
                                <w:t>53</w:t>
                              </w:r>
                            </w:sdtContent>
                          </w:sdt>
                          <w:r>
                            <w:rPr>
                              <w:color w:val="000000"/>
                            </w:rPr>
                            <w:t>. Jei turtas prarandamas dėl vagystės ar kitų priežasčių, tai susidarę nuostoliai, jei nėra galimybės jų atlyginti, pripažįstami nuostoliais dėl turto ar jo dalies praradimo per ataskaitinį laikotarpį ir parodomi pelno (nuostolių) ataskaitos veiklos sąnaudų straipsnyje. Jei pagrįstai tikimasi, kad nuostoliai bus atlyginti, numatoma atgauti suma registruojama kaip gautina suma. Jei numatoma atgauti suma yra mažesnė už prarasto turto vertę, jų skirtumas turi būti pripažįstamas nuostoliais, kurie parodomi pelno (nuostolių) ataskaitos veiklos sąnaudų straipsnyje. Jei numatoma atgauti suma yra didesnė už prarasto turto vertę, jų skirtumas turi būti pripažįstamas ataskaitinio laikotarpio kitos veiklos pajamomis.</w:t>
                          </w:r>
                        </w:p>
                      </w:sdtContent>
                    </w:sdt>
                    <w:sdt>
                      <w:sdtPr>
                        <w:alias w:val="54 p."/>
                        <w:tag w:val="part_16d52d69350441feb86c094743b14659"/>
                        <w:lock w:val="sdtLocked"/>
                        <w:richText/>
                      </w:sdtPr>
                      <w:sdtContent>
                        <w:p>
                          <w:pPr>
                            <w:widowControl w:val="0"/>
                            <w:ind w:firstLine="567"/>
                            <w:jc w:val="both"/>
                            <w:rPr>
                              <w:color w:val="000000"/>
                            </w:rPr>
                          </w:pPr>
                          <w:sdt>
                            <w:sdtPr>
                              <w:alias w:val="Numeris"/>
                              <w:tag w:val="nr_16d52d69350441feb86c094743b14659"/>
                              <w:lock w:val="sdtLocked"/>
                              <w:richText/>
                            </w:sdtPr>
                            <w:sdtContent>
                              <w:r>
                                <w:rPr>
                                  <w:color w:val="000000"/>
                                </w:rPr>
                                <w:t>54</w:t>
                              </w:r>
                            </w:sdtContent>
                          </w:sdt>
                          <w:r>
                            <w:rPr>
                              <w:color w:val="000000"/>
                            </w:rPr>
                            <w:t>. Pagal finansinės nuomos sutartį gautas ilgalaikis materialusis turtas parodomas ilgalaikio materialiojo turto straipsnyje. Šio turto įsigijimo savikaina yra finansinės nuomos sutartyje nurodyta turto vertės padengimo suma, išskyrus palūkanas, jei jos numatytos sutartyje. Su sutarties sudarymu ir turto paruošimu naudoti tiesiogiai susijusios išlaidos taip pat įtraukiamos į šio turto įsigijimo savikainą.</w:t>
                          </w:r>
                        </w:p>
                      </w:sdtContent>
                    </w:sdt>
                    <w:sdt>
                      <w:sdtPr>
                        <w:alias w:val="55 p."/>
                        <w:tag w:val="part_7b8c614e4a5e4def91d4e874007c2725"/>
                        <w:lock w:val="sdtLocked"/>
                        <w:richText/>
                      </w:sdtPr>
                      <w:sdtContent>
                        <w:p>
                          <w:pPr>
                            <w:widowControl w:val="0"/>
                            <w:ind w:firstLine="567"/>
                            <w:jc w:val="both"/>
                            <w:rPr>
                              <w:b/>
                              <w:bCs/>
                              <w:color w:val="000000"/>
                            </w:rPr>
                          </w:pPr>
                          <w:sdt>
                            <w:sdtPr>
                              <w:alias w:val="Numeris"/>
                              <w:tag w:val="nr_7b8c614e4a5e4def91d4e874007c2725"/>
                              <w:lock w:val="sdtLocked"/>
                              <w:richText/>
                            </w:sdtPr>
                            <w:sdtContent>
                              <w:r>
                                <w:rPr>
                                  <w:color w:val="000000"/>
                                </w:rPr>
                                <w:t>55</w:t>
                              </w:r>
                            </w:sdtContent>
                          </w:sdt>
                          <w:r>
                            <w:rPr>
                              <w:color w:val="000000"/>
                            </w:rPr>
                            <w:t>. Pagal nuomos sutartį išsinuomotas ar pagal panaudos sutartį gautas ilgalaikis materialusis turtas įmonės apskaitoje neregistruojamas ir jo nusidėvėjimas neskaičiuojamas. Nuomos mokestis ir pagal nuomos ar panaudos sutartį naudojamo turto eksploatacijos išlaidos pripažįstamos sąnaudomis arba įtraukiamos į gaminamos produkcijos savikainą.</w:t>
                          </w:r>
                        </w:p>
                      </w:sdtContent>
                    </w:sdt>
                    <w:sdt>
                      <w:sdtPr>
                        <w:alias w:val="56 p."/>
                        <w:tag w:val="part_e2761da787194336b07aed7d4ede21fb"/>
                        <w:lock w:val="sdtLocked"/>
                        <w:richText/>
                      </w:sdtPr>
                      <w:sdtContent>
                        <w:p>
                          <w:pPr>
                            <w:widowControl w:val="0"/>
                            <w:ind w:firstLine="567"/>
                            <w:jc w:val="both"/>
                            <w:rPr>
                              <w:b/>
                              <w:bCs/>
                              <w:color w:val="000000"/>
                            </w:rPr>
                          </w:pPr>
                          <w:sdt>
                            <w:sdtPr>
                              <w:alias w:val="Numeris"/>
                              <w:tag w:val="nr_e2761da787194336b07aed7d4ede21fb"/>
                              <w:lock w:val="sdtLocked"/>
                              <w:richText/>
                            </w:sdtPr>
                            <w:sdtContent>
                              <w:r>
                                <w:rPr>
                                  <w:color w:val="000000"/>
                                </w:rPr>
                                <w:t>56</w:t>
                              </w:r>
                            </w:sdtContent>
                          </w:sdt>
                          <w:r>
                            <w:rPr>
                              <w:color w:val="000000"/>
                            </w:rPr>
                            <w:t>. Jei pagal nuomos ar panaudos sutartį naudojamo ilgalaikio materialiojo turto remonto ar rekonstrukcijos, pailginančių turto naudingo tarnavimo laiką ar pagerinančių jo naudingąsias savybes, įmonės patirtų išlaidų turto savininkas nekompensuoja, jos apskaitoje registruojamos kaip turtas ir per likusį nuomos arba panaudos laiką pripažįstamos įmonės veiklos sąnaudomis arba priskiriamos gaminamos produkcijos savikainai.</w:t>
                          </w:r>
                        </w:p>
                      </w:sdtContent>
                    </w:sdt>
                    <w:sdt>
                      <w:sdtPr>
                        <w:alias w:val="57 p."/>
                        <w:tag w:val="part_194e481d386544ff9e3ffc3754e33a69"/>
                        <w:lock w:val="sdtLocked"/>
                        <w:richText/>
                      </w:sdtPr>
                      <w:sdtContent>
                        <w:p>
                          <w:pPr>
                            <w:widowControl w:val="0"/>
                            <w:ind w:firstLine="567"/>
                            <w:jc w:val="both"/>
                            <w:rPr>
                              <w:b/>
                              <w:bCs/>
                              <w:color w:val="000000"/>
                            </w:rPr>
                          </w:pPr>
                          <w:sdt>
                            <w:sdtPr>
                              <w:alias w:val="Numeris"/>
                              <w:tag w:val="nr_194e481d386544ff9e3ffc3754e33a69"/>
                              <w:lock w:val="sdtLocked"/>
                              <w:richText/>
                            </w:sdtPr>
                            <w:sdtContent>
                              <w:r>
                                <w:rPr>
                                  <w:color w:val="000000"/>
                                </w:rPr>
                                <w:t>57</w:t>
                              </w:r>
                            </w:sdtContent>
                          </w:sdt>
                          <w:r>
                            <w:rPr>
                              <w:color w:val="000000"/>
                            </w:rPr>
                            <w:t>. Finansinio turto straipsniuose pateikiama informacija apie įmonės pinigus, gautinas sumas ar suteiktas paskolas ir įsigytus vertybinius popierius. Už ilgalaikį materialųjį, nematerialųjį turtą, atsargas ar paslaugas iš anksto sumokėtos sumos finansiniam turtui nepriskiriamos.</w:t>
                          </w:r>
                        </w:p>
                      </w:sdtContent>
                    </w:sdt>
                    <w:sdt>
                      <w:sdtPr>
                        <w:alias w:val="58 p."/>
                        <w:tag w:val="part_d6628420c32e4bb89bda5fd30a7941a9"/>
                        <w:lock w:val="sdtLocked"/>
                        <w:richText/>
                      </w:sdtPr>
                      <w:sdtContent>
                        <w:p>
                          <w:pPr>
                            <w:widowControl w:val="0"/>
                            <w:ind w:firstLine="567"/>
                            <w:jc w:val="both"/>
                            <w:rPr>
                              <w:b/>
                              <w:bCs/>
                              <w:color w:val="000000"/>
                            </w:rPr>
                          </w:pPr>
                          <w:sdt>
                            <w:sdtPr>
                              <w:alias w:val="Numeris"/>
                              <w:tag w:val="nr_d6628420c32e4bb89bda5fd30a7941a9"/>
                              <w:lock w:val="sdtLocked"/>
                              <w:richText/>
                            </w:sdtPr>
                            <w:sdtContent>
                              <w:r>
                                <w:rPr>
                                  <w:color w:val="000000"/>
                                </w:rPr>
                                <w:t>58</w:t>
                              </w:r>
                            </w:sdtContent>
                          </w:sdt>
                          <w:r>
                            <w:rPr>
                              <w:color w:val="000000"/>
                            </w:rPr>
                            <w:t>. Finansinis turtas skirstomas į ilgalaikį ir trumpalaikį, atsižvelgiant į laiką, kurį įmonė numato naudoti šį turtą, ir turto paskirtį.</w:t>
                          </w:r>
                        </w:p>
                      </w:sdtContent>
                    </w:sdt>
                    <w:sdt>
                      <w:sdtPr>
                        <w:alias w:val="59 p."/>
                        <w:tag w:val="part_535b73b6aef44ca79bd392f46befec34"/>
                        <w:lock w:val="sdtLocked"/>
                        <w:richText/>
                      </w:sdtPr>
                      <w:sdtContent>
                        <w:p>
                          <w:pPr>
                            <w:widowControl w:val="0"/>
                            <w:ind w:firstLine="567"/>
                            <w:jc w:val="both"/>
                            <w:rPr>
                              <w:color w:val="000000"/>
                            </w:rPr>
                          </w:pPr>
                          <w:sdt>
                            <w:sdtPr>
                              <w:alias w:val="Numeris"/>
                              <w:tag w:val="nr_535b73b6aef44ca79bd392f46befec34"/>
                              <w:lock w:val="sdtLocked"/>
                              <w:richText/>
                            </w:sdtPr>
                            <w:sdtContent>
                              <w:r>
                                <w:rPr>
                                  <w:color w:val="000000"/>
                                </w:rPr>
                                <w:t>59</w:t>
                              </w:r>
                            </w:sdtContent>
                          </w:sdt>
                          <w:r>
                            <w:rPr>
                              <w:color w:val="000000"/>
                            </w:rPr>
                            <w:t>. Ilgalaikiam finansiniam turtui priskiriamas turtas, kurį įmonė planuoja laikyti ilgiau kaip vienus metus nuo paskutinės ataskaitinio laikotarpio dienos. Ilgalaikį finansinį turtą sudaro ilgalaikės investicijos į kitas įmones, suteiktos ilgalaikės paskolos, po vienų metų gautinos sumos, išskyrus gautinų sumų ir suteiktų paskolų einamųjų metų dalį, pinigų likutis indėlių sąskaitoje, kai indėlio terminas baigsis po 12 mėnesių nuo paskutinės ataskaitinio laikotarpio dienos, obligacijos, laikomos iki išpirkimo termino ilgiau kaip vienus metus, kitas ilgalaikis finansinis turtas.</w:t>
                          </w:r>
                        </w:p>
                      </w:sdtContent>
                    </w:sdt>
                    <w:sdt>
                      <w:sdtPr>
                        <w:alias w:val="60 p."/>
                        <w:tag w:val="part_477ace7ea5064121b6d238abe01511b3"/>
                        <w:lock w:val="sdtLocked"/>
                        <w:richText/>
                      </w:sdtPr>
                      <w:sdtContent>
                        <w:p>
                          <w:pPr>
                            <w:widowControl w:val="0"/>
                            <w:ind w:firstLine="567"/>
                            <w:jc w:val="both"/>
                            <w:rPr>
                              <w:b/>
                              <w:bCs/>
                              <w:color w:val="000000"/>
                            </w:rPr>
                          </w:pPr>
                          <w:sdt>
                            <w:sdtPr>
                              <w:alias w:val="Numeris"/>
                              <w:tag w:val="nr_477ace7ea5064121b6d238abe01511b3"/>
                              <w:lock w:val="sdtLocked"/>
                              <w:richText/>
                            </w:sdtPr>
                            <w:sdtContent>
                              <w:r>
                                <w:rPr>
                                  <w:color w:val="000000"/>
                                </w:rPr>
                                <w:t>60</w:t>
                              </w:r>
                            </w:sdtContent>
                          </w:sdt>
                          <w:r>
                            <w:rPr>
                              <w:color w:val="000000"/>
                            </w:rPr>
                            <w:t>. Trumpalaikiam finansiniam turtui priskiriama pinigai, įskaitant terminuotuosius indėlius, kurių terminas baigsis greičiau kaip per vienus metus nuo paskutinės ataskaitinio laikotarpio dienos, gautinos sumos ir numatomos atgauti paskolos, įskaitant gautinų sumų ir suteiktų paskolų einamųjų metų dalį, įsigyti vertybiniai popieriai, kuriuos numatoma parduoti arba kitaip perleisti per vienus metus, kitas trumpalaikis finansinis turtas.</w:t>
                          </w:r>
                        </w:p>
                      </w:sdtContent>
                    </w:sdt>
                    <w:sdt>
                      <w:sdtPr>
                        <w:alias w:val="61 p."/>
                        <w:tag w:val="part_7b67beabd81d4bc5b778d275f28a6303"/>
                        <w:lock w:val="sdtLocked"/>
                        <w:richText/>
                      </w:sdtPr>
                      <w:sdtContent>
                        <w:p>
                          <w:pPr>
                            <w:widowControl w:val="0"/>
                            <w:ind w:firstLine="567"/>
                            <w:jc w:val="both"/>
                            <w:rPr>
                              <w:b/>
                              <w:bCs/>
                              <w:color w:val="000000"/>
                            </w:rPr>
                          </w:pPr>
                          <w:sdt>
                            <w:sdtPr>
                              <w:alias w:val="Numeris"/>
                              <w:tag w:val="nr_7b67beabd81d4bc5b778d275f28a6303"/>
                              <w:lock w:val="sdtLocked"/>
                              <w:richText/>
                            </w:sdtPr>
                            <w:sdtContent>
                              <w:r>
                                <w:rPr>
                                  <w:color w:val="000000"/>
                                </w:rPr>
                                <w:t>61</w:t>
                              </w:r>
                            </w:sdtContent>
                          </w:sdt>
                          <w:r>
                            <w:rPr>
                              <w:color w:val="000000"/>
                            </w:rPr>
                            <w:t>. Finansinis turtas apskaitoje registruojamas tik tada, kai įmonė gauna arba pagal vykdomą sutartį įgyja teisę gauti pinigus ar kitą finansinį turtą. Planuojami sandoriai, gautos garantijos įmonės turtu nepripažįstami.</w:t>
                          </w:r>
                        </w:p>
                      </w:sdtContent>
                    </w:sdt>
                    <w:sdt>
                      <w:sdtPr>
                        <w:alias w:val="62 p."/>
                        <w:tag w:val="part_7a2c58b33e654c318f88f7490f84313c"/>
                        <w:lock w:val="sdtLocked"/>
                        <w:richText/>
                      </w:sdtPr>
                      <w:sdtContent>
                        <w:p>
                          <w:pPr>
                            <w:widowControl w:val="0"/>
                            <w:ind w:firstLine="567"/>
                            <w:jc w:val="both"/>
                            <w:rPr>
                              <w:b/>
                              <w:bCs/>
                              <w:color w:val="000000"/>
                            </w:rPr>
                          </w:pPr>
                          <w:sdt>
                            <w:sdtPr>
                              <w:alias w:val="Numeris"/>
                              <w:tag w:val="nr_7a2c58b33e654c318f88f7490f84313c"/>
                              <w:lock w:val="sdtLocked"/>
                              <w:richText/>
                            </w:sdtPr>
                            <w:sdtContent>
                              <w:r>
                                <w:rPr>
                                  <w:color w:val="000000"/>
                                </w:rPr>
                                <w:t>62</w:t>
                              </w:r>
                            </w:sdtContent>
                          </w:sdt>
                          <w:r>
                            <w:rPr>
                              <w:color w:val="000000"/>
                            </w:rPr>
                            <w:t>. Pripažindama finansinį turtą, įmonė turi jį įvertinti įsigijimo savikaina. Įsigijimo savikaina nustatoma pagal už finansinį turtą sumokėtą ar mokėtiną pinigų sumą ar kito perduoto turto vertę. Į finansinio turto įsigijimo savikainą įtraukiamos ir tiesioginės sandorių sudarymo išlaidos.</w:t>
                          </w:r>
                        </w:p>
                      </w:sdtContent>
                    </w:sdt>
                    <w:sdt>
                      <w:sdtPr>
                        <w:alias w:val="63 p."/>
                        <w:tag w:val="part_a49f2d8571994929839a1d8d7242f636"/>
                        <w:lock w:val="sdtLocked"/>
                        <w:richText/>
                      </w:sdtPr>
                      <w:sdtContent>
                        <w:p>
                          <w:pPr>
                            <w:widowControl w:val="0"/>
                            <w:ind w:firstLine="567"/>
                            <w:jc w:val="both"/>
                            <w:rPr>
                              <w:b/>
                              <w:bCs/>
                              <w:color w:val="000000"/>
                            </w:rPr>
                          </w:pPr>
                          <w:sdt>
                            <w:sdtPr>
                              <w:alias w:val="Numeris"/>
                              <w:tag w:val="nr_a49f2d8571994929839a1d8d7242f636"/>
                              <w:lock w:val="sdtLocked"/>
                              <w:richText/>
                            </w:sdtPr>
                            <w:sdtContent>
                              <w:r>
                                <w:rPr>
                                  <w:color w:val="000000"/>
                                </w:rPr>
                                <w:t>63</w:t>
                              </w:r>
                            </w:sdtContent>
                          </w:sdt>
                          <w:r>
                            <w:rPr>
                              <w:color w:val="000000"/>
                            </w:rPr>
                            <w:t>. Jei finansinis turtas suteikia teisę gauti palūkanų ir jų suma reikšminga, to turto balansinė vertė didinama sukauptomis, bet dar negautomis, palūkanomis. Palūkanos kaupiamos visą sutarties laiką ir pripažįstamos finansinės ir investicinės veiklos pajamomis.</w:t>
                          </w:r>
                        </w:p>
                      </w:sdtContent>
                    </w:sdt>
                    <w:sdt>
                      <w:sdtPr>
                        <w:alias w:val="64 p."/>
                        <w:tag w:val="part_553ff29d7b2848978f2bbcfb9e24782d"/>
                        <w:lock w:val="sdtLocked"/>
                        <w:richText/>
                      </w:sdtPr>
                      <w:sdtContent>
                        <w:p>
                          <w:pPr>
                            <w:widowControl w:val="0"/>
                            <w:ind w:firstLine="567"/>
                            <w:jc w:val="both"/>
                            <w:rPr>
                              <w:b/>
                              <w:bCs/>
                              <w:color w:val="000000"/>
                            </w:rPr>
                          </w:pPr>
                          <w:sdt>
                            <w:sdtPr>
                              <w:alias w:val="Numeris"/>
                              <w:tag w:val="nr_553ff29d7b2848978f2bbcfb9e24782d"/>
                              <w:lock w:val="sdtLocked"/>
                              <w:richText/>
                            </w:sdtPr>
                            <w:sdtContent>
                              <w:r>
                                <w:rPr>
                                  <w:color w:val="000000"/>
                                </w:rPr>
                                <w:t>64</w:t>
                              </w:r>
                            </w:sdtContent>
                          </w:sdt>
                          <w:r>
                            <w:rPr>
                              <w:color w:val="000000"/>
                            </w:rPr>
                            <w:t xml:space="preserve">. Įmonė turi nurašyti finansinį turtą ar jo dalį, kai netenka teisės viso turto ar jo dalies kontroliuoti. Įmonė netenka teisės kontroliuoti turto, kai gauna visą sutartyje numatytą naudą, baigiasi teisių galiojimo laikas arba kai šias teises ji perleidžia kitiems ūkio subjektams. </w:t>
                          </w:r>
                        </w:p>
                      </w:sdtContent>
                    </w:sdt>
                    <w:sdt>
                      <w:sdtPr>
                        <w:alias w:val="65 p."/>
                        <w:tag w:val="part_22c2c6546aee4bbd84847713ef4220b6"/>
                        <w:lock w:val="sdtLocked"/>
                        <w:richText/>
                      </w:sdtPr>
                      <w:sdtContent>
                        <w:p>
                          <w:pPr>
                            <w:widowControl w:val="0"/>
                            <w:ind w:firstLine="567"/>
                            <w:jc w:val="both"/>
                            <w:rPr>
                              <w:b/>
                              <w:bCs/>
                              <w:color w:val="000000"/>
                            </w:rPr>
                          </w:pPr>
                          <w:sdt>
                            <w:sdtPr>
                              <w:alias w:val="Numeris"/>
                              <w:tag w:val="nr_22c2c6546aee4bbd84847713ef4220b6"/>
                              <w:lock w:val="sdtLocked"/>
                              <w:richText/>
                            </w:sdtPr>
                            <w:sdtContent>
                              <w:r>
                                <w:rPr>
                                  <w:color w:val="000000"/>
                                </w:rPr>
                                <w:t>65</w:t>
                              </w:r>
                            </w:sdtContent>
                          </w:sdt>
                          <w:r>
                            <w:rPr>
                              <w:color w:val="000000"/>
                            </w:rPr>
                            <w:t>. Perleidus finansinį turtą ar jo dalį, pelno (nuostolių) ataskaitoje parodomas sandorio rezultatas – finansinės ir investicinės veiklos pelnas arba nuostolis, jei toks yra. Nurašius finansinį turtą ar jo dalį dėl kitų priežasčių, apskaitoje registruojamos ir pelno (nuostolių) ataskaitoje parodomos veiklos sąnaudos.</w:t>
                          </w:r>
                        </w:p>
                      </w:sdtContent>
                    </w:sdt>
                    <w:sdt>
                      <w:sdtPr>
                        <w:alias w:val="66 p."/>
                        <w:tag w:val="part_41738002bf6843a0aa23085e63d9aa32"/>
                        <w:lock w:val="sdtLocked"/>
                        <w:richText/>
                      </w:sdtPr>
                      <w:sdtContent>
                        <w:p>
                          <w:pPr>
                            <w:widowControl w:val="0"/>
                            <w:ind w:firstLine="567"/>
                            <w:jc w:val="both"/>
                            <w:rPr>
                              <w:b/>
                              <w:bCs/>
                              <w:color w:val="000000"/>
                            </w:rPr>
                          </w:pPr>
                          <w:sdt>
                            <w:sdtPr>
                              <w:alias w:val="Numeris"/>
                              <w:tag w:val="nr_41738002bf6843a0aa23085e63d9aa32"/>
                              <w:lock w:val="sdtLocked"/>
                              <w:richText/>
                            </w:sdtPr>
                            <w:sdtContent>
                              <w:r>
                                <w:rPr>
                                  <w:color w:val="000000"/>
                                </w:rPr>
                                <w:t>66</w:t>
                              </w:r>
                            </w:sdtContent>
                          </w:sdt>
                          <w:r>
                            <w:rPr>
                              <w:color w:val="000000"/>
                            </w:rPr>
                            <w:t>. Balanse finansinis turtas parodomas įsigijimo savikaina.</w:t>
                          </w:r>
                        </w:p>
                      </w:sdtContent>
                    </w:sdt>
                    <w:sdt>
                      <w:sdtPr>
                        <w:alias w:val="67 p."/>
                        <w:tag w:val="part_8bb2889a89844da397db90181a2a846d"/>
                        <w:lock w:val="sdtLocked"/>
                        <w:richText/>
                      </w:sdtPr>
                      <w:sdtContent>
                        <w:p>
                          <w:pPr>
                            <w:widowControl w:val="0"/>
                            <w:ind w:firstLine="567"/>
                            <w:jc w:val="both"/>
                            <w:rPr>
                              <w:b/>
                              <w:bCs/>
                              <w:color w:val="000000"/>
                            </w:rPr>
                          </w:pPr>
                          <w:sdt>
                            <w:sdtPr>
                              <w:alias w:val="Numeris"/>
                              <w:tag w:val="nr_8bb2889a89844da397db90181a2a846d"/>
                              <w:lock w:val="sdtLocked"/>
                              <w:richText/>
                            </w:sdtPr>
                            <w:sdtContent>
                              <w:r>
                                <w:rPr>
                                  <w:color w:val="000000"/>
                                </w:rPr>
                                <w:t>67</w:t>
                              </w:r>
                            </w:sdtContent>
                          </w:sdt>
                          <w:r>
                            <w:rPr>
                              <w:color w:val="000000"/>
                            </w:rPr>
                            <w:t>. Kito ilgalaikio turto straipsnyje parodomas toks ilgalaikis turtas, kuris nebuvo parodytas nematerialiojo, ilgalaikio materialiojo ir finansinio turto straipsniuose.</w:t>
                          </w:r>
                        </w:p>
                      </w:sdtContent>
                    </w:sdt>
                    <w:sdt>
                      <w:sdtPr>
                        <w:alias w:val="68 p."/>
                        <w:tag w:val="part_d8e2f7d95cf24f8fbd69edba6fea3a3e"/>
                        <w:lock w:val="sdtLocked"/>
                        <w:richText/>
                      </w:sdtPr>
                      <w:sdtContent>
                        <w:p>
                          <w:pPr>
                            <w:ind w:firstLine="567"/>
                            <w:jc w:val="both"/>
                            <w:rPr>
                              <w:b/>
                              <w:bCs/>
                              <w:color w:val="000000"/>
                            </w:rPr>
                          </w:pPr>
                          <w:sdt>
                            <w:sdtPr>
                              <w:alias w:val="Numeris"/>
                              <w:tag w:val="nr_d8e2f7d95cf24f8fbd69edba6fea3a3e"/>
                              <w:lock w:val="sdtLocked"/>
                              <w:richText/>
                            </w:sdtPr>
                            <w:sdtContent>
                              <w:r>
                                <w:rPr>
                                  <w:szCs w:val="24"/>
                                </w:rPr>
                                <w:t>68</w:t>
                              </w:r>
                            </w:sdtContent>
                          </w:sdt>
                          <w:r>
                            <w:rPr>
                              <w:szCs w:val="24"/>
                            </w:rPr>
                            <w:t>. Balanso B dalyje pateikiama informacija apie įmonės trumpalaikį turtą: atsargas, sumokėtus avansus, išskyrus sumokėtus avansus už ilgalaikį turtą, per vienus metus gautinas sumas, pinigus ir kitą trumpalaikį finansinį turtą, kurį įmonė sunaudoja ekonominei naudai gauti per vienus metus arba per vieną veiklos ciklą, pagal statybos ir kitas ilgalaikes sutartis vykdomų darbų vertę.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2367b0674811e58e1ab2c84776483b">
                            <w:r w:rsidRPr="00532B9F">
                              <w:rPr>
                                <w:rFonts w:ascii="Times New Roman" w:eastAsia="MS Mincho" w:hAnsi="Times New Roman"/>
                                <w:sz w:val="20"/>
                                <w:i/>
                                <w:iCs/>
                                <w:color w:val="0000FF" w:themeColor="hyperlink"/>
                                <w:u w:val="single"/>
                              </w:rPr>
                              <w:t>VAS-48</w:t>
                            </w:r>
                          </w:fldSimple>
                          <w:r>
                            <w:rPr>
                              <w:rFonts w:ascii="Times New Roman" w:eastAsia="MS Mincho" w:hAnsi="Times New Roman"/>
                              <w:sz w:val="20"/>
                              <w:i/>
                              <w:iCs/>
                            </w:rPr>
                            <w:t>,
2015-09-24,
paskelbta TAR 2015-09-30, i. k. 2015-14490            </w:t>
                          </w:r>
                        </w:p>
                        <w:p/>
                      </w:sdtContent>
                    </w:sdt>
                    <w:sdt>
                      <w:sdtPr>
                        <w:alias w:val="69 p."/>
                        <w:tag w:val="part_3f4bf69144754d4a9b4e0e0f6a3ca67a"/>
                        <w:lock w:val="sdtLocked"/>
                        <w:richText/>
                      </w:sdtPr>
                      <w:sdtContent>
                        <w:p>
                          <w:pPr>
                            <w:widowControl w:val="0"/>
                            <w:ind w:firstLine="567"/>
                            <w:jc w:val="both"/>
                            <w:rPr>
                              <w:b/>
                              <w:bCs/>
                              <w:color w:val="000000"/>
                            </w:rPr>
                          </w:pPr>
                          <w:sdt>
                            <w:sdtPr>
                              <w:alias w:val="Numeris"/>
                              <w:tag w:val="nr_3f4bf69144754d4a9b4e0e0f6a3ca67a"/>
                              <w:lock w:val="sdtLocked"/>
                              <w:richText/>
                            </w:sdtPr>
                            <w:sdtContent>
                              <w:r>
                                <w:rPr>
                                  <w:color w:val="000000"/>
                                </w:rPr>
                                <w:t>69</w:t>
                              </w:r>
                            </w:sdtContent>
                          </w:sdt>
                          <w:r>
                            <w:rPr>
                              <w:color w:val="000000"/>
                            </w:rPr>
                            <w:t>. Atsargos</w:t>
                          </w:r>
                          <w:r>
                            <w:rPr>
                              <w:b/>
                              <w:bCs/>
                              <w:color w:val="000000"/>
                            </w:rPr>
                            <w:t xml:space="preserve"> </w:t>
                          </w:r>
                          <w:r>
                            <w:rPr>
                              <w:i/>
                              <w:iCs/>
                              <w:color w:val="000000"/>
                            </w:rPr>
                            <w:t xml:space="preserve">– </w:t>
                          </w:r>
                          <w:r>
                            <w:rPr>
                              <w:color w:val="000000"/>
                            </w:rPr>
                            <w:t>trumpalaikis turtas (žaliavos ir komplektuojamieji gaminiai, nebaigta gamyba, pagaminta produkcija ir pirktos prekės, skirtos perparduoti), kurį įmonė sunaudoja pajamoms uždirbti per vienus metus arba per vieną įmonės veiklos ciklą. Registruojant apskaitoje ir sudarant finansines ataskaitas, atsargos įvertinamos įsigijimo ar pasigaminimo savikaina. Atsargų įsigijimo savikainą sudaro pirkimo kaina, sumažinta gautų nuolaidų suma ir padidinta su atsargų įsigijimu tiesiogiai susijusiomis išlaidomis. Jei atsargų pirkimo kainos nuolaidos gaunamos pardavus atsargas, koreguojama parduotų prekių savikaina, mažinant ją nuolaidų ir nukainojimo suma. Grąžinamas pridėtinės vertės mokestis į atsargų įsigijimo savikainą neįskaičiuojamas. Negrąžinamas pridėtinės vertės mokestis gali būti įskaičiuojamas į atsargų įsigijimo savikainą arba iš karto pripažįstamas veiklos sąnaudomis.</w:t>
                          </w:r>
                        </w:p>
                      </w:sdtContent>
                    </w:sdt>
                    <w:sdt>
                      <w:sdtPr>
                        <w:alias w:val="70 p."/>
                        <w:tag w:val="part_b8610ef00f1841b1aa949dd28569e5b7"/>
                        <w:lock w:val="sdtLocked"/>
                        <w:richText/>
                      </w:sdtPr>
                      <w:sdtContent>
                        <w:p>
                          <w:pPr>
                            <w:widowControl w:val="0"/>
                            <w:ind w:firstLine="567"/>
                            <w:jc w:val="both"/>
                            <w:rPr>
                              <w:b/>
                              <w:bCs/>
                              <w:color w:val="000000"/>
                            </w:rPr>
                          </w:pPr>
                          <w:sdt>
                            <w:sdtPr>
                              <w:alias w:val="Numeris"/>
                              <w:tag w:val="nr_b8610ef00f1841b1aa949dd28569e5b7"/>
                              <w:lock w:val="sdtLocked"/>
                              <w:richText/>
                            </w:sdtPr>
                            <w:sdtContent>
                              <w:r>
                                <w:rPr>
                                  <w:color w:val="000000"/>
                                </w:rPr>
                                <w:t>70</w:t>
                              </w:r>
                            </w:sdtContent>
                          </w:sdt>
                          <w:r>
                            <w:rPr>
                              <w:color w:val="000000"/>
                            </w:rPr>
                            <w:t>. Per ataskaitinį laikotarpį pagamintos produkcijos savikainą sudaro tiesioginės ir netiesioginės gamybos išlaidos. Tiesioginės gamybos išlaidos yra tokios, kurias be reikšmingų sąnaudų galima tiesiogiai priskirti gaminamai produkcijai. Tiesioginėmis gamybos išlaidomis paprastai laikomos pagrindinių žaliavų ir medžiagų, komplektuojamųjų gaminių ir tiesioginės darbo užmokesčio išlaidos. Netiesioginės gamybos išlaidos – tai netiesiogiai su produkcijos gamyba susijusios išlaidos, kaip pagalbinių žaliavų ir medžiagų, netiesioginės darbo užmokesčio, nusidėvėjimo ir kitos gamybos išlaidos, kurių be reikšmingų sąnaudų neįmanoma priskirti konkretiems gaminiams ar jų grupėms. Konkrečių gamybos išlaidų priskyrimo tiesioginėms ar netiesioginėms ir netiesioginių gamybos išlaidų paskirstymo kriterijus įmonė pasirenka atsižvelgdama į gamybos specifiką.</w:t>
                          </w:r>
                        </w:p>
                      </w:sdtContent>
                    </w:sdt>
                    <w:sdt>
                      <w:sdtPr>
                        <w:alias w:val="71 p."/>
                        <w:tag w:val="part_9e56de7b224a402a8e519fc8cc3d6477"/>
                        <w:lock w:val="sdtLocked"/>
                        <w:richText/>
                      </w:sdtPr>
                      <w:sdtContent>
                        <w:p>
                          <w:pPr>
                            <w:widowControl w:val="0"/>
                            <w:ind w:firstLine="567"/>
                            <w:jc w:val="both"/>
                            <w:rPr>
                              <w:b/>
                              <w:bCs/>
                              <w:color w:val="000000"/>
                            </w:rPr>
                          </w:pPr>
                          <w:sdt>
                            <w:sdtPr>
                              <w:alias w:val="Numeris"/>
                              <w:tag w:val="nr_9e56de7b224a402a8e519fc8cc3d6477"/>
                              <w:lock w:val="sdtLocked"/>
                              <w:richText/>
                            </w:sdtPr>
                            <w:sdtContent>
                              <w:r>
                                <w:rPr>
                                  <w:color w:val="000000"/>
                                </w:rPr>
                                <w:t>71</w:t>
                              </w:r>
                            </w:sdtContent>
                          </w:sdt>
                          <w:r>
                            <w:rPr>
                              <w:color w:val="000000"/>
                            </w:rPr>
                            <w:t>. Atsargas pardavus, iškeitus į kitą turtą, padovanojus, sunaudojus įmonės reikmėms, praradus arba kai ateityje iš jų nesitikima gauti jokios ekonominės naudos, jų įsigijimo savikaina nurašoma. Atsargas pardavus, apskaitoje registruojama ir pelno (nuostolių) ataskaitoje parodomos pardavimo pajamos ir pardavimo savikaina. Jei atsargos nurašomos dėl kitų priežasčių, pripažįstamos veiklos sąnaudos.</w:t>
                          </w:r>
                        </w:p>
                      </w:sdtContent>
                    </w:sdt>
                    <w:sdt>
                      <w:sdtPr>
                        <w:alias w:val="72 p."/>
                        <w:tag w:val="part_141a06afdbbf471cbd1df80177f2f637"/>
                        <w:lock w:val="sdtLocked"/>
                        <w:richText/>
                      </w:sdtPr>
                      <w:sdtContent>
                        <w:p>
                          <w:pPr>
                            <w:widowControl w:val="0"/>
                            <w:ind w:firstLine="567"/>
                            <w:jc w:val="both"/>
                            <w:rPr>
                              <w:b/>
                              <w:bCs/>
                              <w:color w:val="000000"/>
                            </w:rPr>
                          </w:pPr>
                          <w:sdt>
                            <w:sdtPr>
                              <w:alias w:val="Numeris"/>
                              <w:tag w:val="nr_141a06afdbbf471cbd1df80177f2f637"/>
                              <w:lock w:val="sdtLocked"/>
                              <w:richText/>
                            </w:sdtPr>
                            <w:sdtContent>
                              <w:r>
                                <w:rPr>
                                  <w:color w:val="000000"/>
                                </w:rPr>
                                <w:t>72</w:t>
                              </w:r>
                            </w:sdtContent>
                          </w:sdt>
                          <w:r>
                            <w:rPr>
                              <w:color w:val="000000"/>
                            </w:rPr>
                            <w:t>. Apskaičiuodama gamyboje sunaudotų ar parduotų atsargų savikainą, įmonė gali taikyti FIFO arba konkrečių kainų būdą, atsižvelgdama į atsargų apyvartą ir kitas sąlygas.</w:t>
                          </w:r>
                        </w:p>
                      </w:sdtContent>
                    </w:sdt>
                    <w:sdt>
                      <w:sdtPr>
                        <w:alias w:val="73 p."/>
                        <w:tag w:val="part_9e5a6190c0c2498f96ca0bdc1f2719a9"/>
                        <w:lock w:val="sdtLocked"/>
                        <w:richText/>
                      </w:sdtPr>
                      <w:sdtContent>
                        <w:p>
                          <w:pPr>
                            <w:widowControl w:val="0"/>
                            <w:ind w:firstLine="567"/>
                            <w:jc w:val="both"/>
                            <w:rPr>
                              <w:b/>
                              <w:bCs/>
                              <w:color w:val="000000"/>
                            </w:rPr>
                          </w:pPr>
                          <w:sdt>
                            <w:sdtPr>
                              <w:alias w:val="Numeris"/>
                              <w:tag w:val="nr_9e5a6190c0c2498f96ca0bdc1f2719a9"/>
                              <w:lock w:val="sdtLocked"/>
                              <w:richText/>
                            </w:sdtPr>
                            <w:sdtContent>
                              <w:r>
                                <w:rPr>
                                  <w:color w:val="000000"/>
                                </w:rPr>
                                <w:t>73</w:t>
                              </w:r>
                            </w:sdtContent>
                          </w:sdt>
                          <w:r>
                            <w:rPr>
                              <w:color w:val="000000"/>
                            </w:rPr>
                            <w:t>. Taikant FIFO būdą, daroma prielaida, kad pirmiausiai parduodamos arba sunaudojamos atsargos, kurios buvo įsigytos anksčiausiai, tai yra laikotarpio pabaigoje likusios atsargos buvo vėliausiai įsigytos ar pagamintos.</w:t>
                          </w:r>
                        </w:p>
                      </w:sdtContent>
                    </w:sdt>
                    <w:sdt>
                      <w:sdtPr>
                        <w:alias w:val="74 p."/>
                        <w:tag w:val="part_2e665802d45540d8a73fd1a01a916f15"/>
                        <w:lock w:val="sdtLocked"/>
                        <w:richText/>
                      </w:sdtPr>
                      <w:sdtContent>
                        <w:p>
                          <w:pPr>
                            <w:widowControl w:val="0"/>
                            <w:ind w:firstLine="567"/>
                            <w:jc w:val="both"/>
                            <w:rPr>
                              <w:b/>
                              <w:bCs/>
                              <w:color w:val="000000"/>
                            </w:rPr>
                          </w:pPr>
                          <w:sdt>
                            <w:sdtPr>
                              <w:alias w:val="Numeris"/>
                              <w:tag w:val="nr_2e665802d45540d8a73fd1a01a916f15"/>
                              <w:lock w:val="sdtLocked"/>
                              <w:richText/>
                            </w:sdtPr>
                            <w:sdtContent>
                              <w:r>
                                <w:rPr>
                                  <w:color w:val="000000"/>
                                </w:rPr>
                                <w:t>74</w:t>
                              </w:r>
                            </w:sdtContent>
                          </w:sdt>
                          <w:r>
                            <w:rPr>
                              <w:color w:val="000000"/>
                            </w:rPr>
                            <w:t>. Konkrečiam tikslui gaminamų stambių vienetinių atsargų, prekių ir teikiamų paslaugų savikaina gali būti nustatoma taikant konkrečių kainų būdą. Taikant šį būdą, konkretūs atsargų vienetai turi būti įvertinami savikaina. Konkrečių kainų būdas gali būti taikomas konkretiems projektams skirtoms atsargoms. Šis būdas netaikomas, jeigu yra daug atsargų vienetų, kurie lengvai gali būti pakeičiami vieni kitais.</w:t>
                          </w:r>
                        </w:p>
                      </w:sdtContent>
                    </w:sdt>
                    <w:sdt>
                      <w:sdtPr>
                        <w:alias w:val="75 p."/>
                        <w:tag w:val="part_3acabcff02054e7891a3bfadc37405c7"/>
                        <w:lock w:val="sdtLocked"/>
                        <w:richText/>
                      </w:sdtPr>
                      <w:sdtContent>
                        <w:p>
                          <w:pPr>
                            <w:widowControl w:val="0"/>
                            <w:ind w:firstLine="567"/>
                            <w:jc w:val="both"/>
                            <w:rPr>
                              <w:b/>
                              <w:bCs/>
                              <w:color w:val="000000"/>
                            </w:rPr>
                          </w:pPr>
                          <w:sdt>
                            <w:sdtPr>
                              <w:alias w:val="Numeris"/>
                              <w:tag w:val="nr_3acabcff02054e7891a3bfadc37405c7"/>
                              <w:lock w:val="sdtLocked"/>
                              <w:richText/>
                            </w:sdtPr>
                            <w:sdtContent>
                              <w:r>
                                <w:rPr>
                                  <w:color w:val="000000"/>
                                </w:rPr>
                                <w:t>75</w:t>
                              </w:r>
                            </w:sdtContent>
                          </w:sdt>
                          <w:r>
                            <w:rPr>
                              <w:color w:val="000000"/>
                            </w:rPr>
                            <w:t>. Registruojant apskaitoje sunaudotas ar parduotas atsargas, gali būti taikomas nuolatinis arba periodiškas atsargų apskaitos būdas. Taikant nuolatinį atsargų apskaitos būdą, buhalterinės apskaitos sąskaitose registruojama kiekviena su atsargų sunaudojimu arba pardavimu susijusi operacija. Jeigu nuolatinį atsargų apskaitos būdą taikyti sudėtinga, gali būti taikomas periodiškas atsargų apskaitos būdas, kai atsargų likučių savikaina ir parduotų prekių savikaina buhalterinės apskaitos sąskaitose užregistruojama ataskaitinio laikotarpio pabaigoje atlikus atsargų likučių inventorizaciją.</w:t>
                          </w:r>
                        </w:p>
                      </w:sdtContent>
                    </w:sdt>
                    <w:sdt>
                      <w:sdtPr>
                        <w:alias w:val="76 p."/>
                        <w:tag w:val="part_2011b41bdfb546ef82a3251b2270cf5e"/>
                        <w:lock w:val="sdtLocked"/>
                        <w:richText/>
                      </w:sdtPr>
                      <w:sdtContent>
                        <w:p>
                          <w:pPr>
                            <w:widowControl w:val="0"/>
                            <w:ind w:firstLine="567"/>
                            <w:jc w:val="both"/>
                            <w:rPr>
                              <w:b/>
                              <w:bCs/>
                              <w:color w:val="000000"/>
                            </w:rPr>
                          </w:pPr>
                          <w:sdt>
                            <w:sdtPr>
                              <w:alias w:val="Numeris"/>
                              <w:tag w:val="nr_2011b41bdfb546ef82a3251b2270cf5e"/>
                              <w:lock w:val="sdtLocked"/>
                              <w:richText/>
                            </w:sdtPr>
                            <w:sdtContent>
                              <w:r>
                                <w:rPr>
                                  <w:color w:val="000000"/>
                                </w:rPr>
                                <w:t>76</w:t>
                              </w:r>
                            </w:sdtContent>
                          </w:sdt>
                          <w:r>
                            <w:rPr>
                              <w:color w:val="000000"/>
                            </w:rPr>
                            <w:t>. Balanse atsargos parodomos įsigijimo ar pasigaminimo savikaina.</w:t>
                          </w:r>
                        </w:p>
                      </w:sdtContent>
                    </w:sdt>
                    <w:sdt>
                      <w:sdtPr>
                        <w:alias w:val="77 p."/>
                        <w:tag w:val="part_7d6a05afbe74463facc9069ebaf16c9c"/>
                        <w:lock w:val="sdtLocked"/>
                        <w:richText/>
                      </w:sdtPr>
                      <w:sdtContent>
                        <w:p>
                          <w:pPr>
                            <w:ind w:firstLine="567"/>
                            <w:jc w:val="both"/>
                            <w:rPr>
                              <w:b/>
                              <w:bCs/>
                              <w:color w:val="000000"/>
                            </w:rPr>
                          </w:pPr>
                          <w:sdt>
                            <w:sdtPr>
                              <w:alias w:val="Numeris"/>
                              <w:tag w:val="nr_7d6a05afbe74463facc9069ebaf16c9c"/>
                              <w:lock w:val="sdtLocked"/>
                              <w:richText/>
                            </w:sdtPr>
                            <w:sdtContent>
                              <w:r>
                                <w:rPr>
                                  <w:szCs w:val="24"/>
                                </w:rPr>
                                <w:t>77</w:t>
                              </w:r>
                            </w:sdtContent>
                          </w:sdt>
                          <w:r>
                            <w:rPr>
                              <w:szCs w:val="24"/>
                            </w:rPr>
                            <w:t>. Balanso atsargų, sumokėtų avansų ir vykdomų darbų straipsnyje parodoma ir pagal statybos sutartis statomo parduoti skirto ilgalaikio materialiojo turto vertė.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2367b0674811e58e1ab2c84776483b">
                            <w:r w:rsidRPr="00532B9F">
                              <w:rPr>
                                <w:rFonts w:ascii="Times New Roman" w:eastAsia="MS Mincho" w:hAnsi="Times New Roman"/>
                                <w:sz w:val="20"/>
                                <w:i/>
                                <w:iCs/>
                                <w:color w:val="0000FF" w:themeColor="hyperlink"/>
                                <w:u w:val="single"/>
                              </w:rPr>
                              <w:t>VAS-48</w:t>
                            </w:r>
                          </w:fldSimple>
                          <w:r>
                            <w:rPr>
                              <w:rFonts w:ascii="Times New Roman" w:eastAsia="MS Mincho" w:hAnsi="Times New Roman"/>
                              <w:sz w:val="20"/>
                              <w:i/>
                              <w:iCs/>
                            </w:rPr>
                            <w:t>,
2015-09-24,
paskelbta TAR 2015-09-30, i. k. 2015-14490            </w:t>
                          </w:r>
                        </w:p>
                        <w:p/>
                      </w:sdtContent>
                    </w:sdt>
                    <w:sdt>
                      <w:sdtPr>
                        <w:alias w:val="78 p."/>
                        <w:tag w:val="part_dc64d5424cfa419c802514aa7f093468"/>
                        <w:lock w:val="sdtLocked"/>
                        <w:richText/>
                      </w:sdtPr>
                      <w:sdtContent>
                        <w:p>
                          <w:pPr>
                            <w:widowControl w:val="0"/>
                            <w:ind w:firstLine="567"/>
                            <w:jc w:val="both"/>
                            <w:rPr>
                              <w:b/>
                              <w:bCs/>
                              <w:color w:val="000000"/>
                            </w:rPr>
                          </w:pPr>
                          <w:sdt>
                            <w:sdtPr>
                              <w:alias w:val="Numeris"/>
                              <w:tag w:val="nr_dc64d5424cfa419c802514aa7f093468"/>
                              <w:lock w:val="sdtLocked"/>
                              <w:richText/>
                            </w:sdtPr>
                            <w:sdtContent>
                              <w:r>
                                <w:rPr>
                                  <w:color w:val="000000"/>
                                </w:rPr>
                                <w:t>78</w:t>
                              </w:r>
                            </w:sdtContent>
                          </w:sdt>
                          <w:r>
                            <w:rPr>
                              <w:color w:val="000000"/>
                            </w:rPr>
                            <w:t>. Balanso trumpalaikio turto dalyje taip pat parodoma iš anksto už trumpalaikį turtą ir paslaugas sumokėta suma.</w:t>
                          </w:r>
                        </w:p>
                      </w:sdtContent>
                    </w:sdt>
                    <w:sdt>
                      <w:sdtPr>
                        <w:alias w:val="79 p."/>
                        <w:tag w:val="part_b6f33775e99246e6a9416bcf20e12621"/>
                        <w:lock w:val="sdtLocked"/>
                        <w:richText/>
                      </w:sdtPr>
                      <w:sdtContent>
                        <w:p>
                          <w:pPr>
                            <w:widowControl w:val="0"/>
                            <w:ind w:firstLine="567"/>
                            <w:jc w:val="both"/>
                            <w:rPr>
                              <w:b/>
                              <w:bCs/>
                              <w:color w:val="000000"/>
                            </w:rPr>
                          </w:pPr>
                          <w:sdt>
                            <w:sdtPr>
                              <w:alias w:val="Numeris"/>
                              <w:tag w:val="nr_b6f33775e99246e6a9416bcf20e12621"/>
                              <w:lock w:val="sdtLocked"/>
                              <w:richText/>
                            </w:sdtPr>
                            <w:sdtContent>
                              <w:r>
                                <w:rPr>
                                  <w:color w:val="000000"/>
                                </w:rPr>
                                <w:t>79</w:t>
                              </w:r>
                            </w:sdtContent>
                          </w:sdt>
                          <w:r>
                            <w:rPr>
                              <w:color w:val="000000"/>
                            </w:rPr>
                            <w:t>. Per vienus metus gautinų sumų straipsnyje, neatsižvelgiant į jų pobūdį ir šaltinius, įrašomos visos gautinos sumos ir suteiktos paskolos, kurias įmonė turi atgauti per 12 mėnesių nuo paskutinės ataskaitinio laikotarpio dienos, įskaitant po vienų metų gautinų sumų ir suteiktų paskolų einamųjų metų dalį.</w:t>
                          </w:r>
                        </w:p>
                      </w:sdtContent>
                    </w:sdt>
                    <w:sdt>
                      <w:sdtPr>
                        <w:alias w:val="80 p."/>
                        <w:tag w:val="part_f54a083595b04c71a15f0fbce8770fac"/>
                        <w:lock w:val="sdtLocked"/>
                        <w:richText/>
                      </w:sdtPr>
                      <w:sdtContent>
                        <w:p>
                          <w:pPr>
                            <w:ind w:firstLine="567"/>
                            <w:jc w:val="both"/>
                            <w:rPr>
                              <w:b/>
                              <w:bCs/>
                              <w:color w:val="000000"/>
                            </w:rPr>
                          </w:pPr>
                          <w:sdt>
                            <w:sdtPr>
                              <w:alias w:val="Numeris"/>
                              <w:tag w:val="nr_f54a083595b04c71a15f0fbce8770fac"/>
                              <w:lock w:val="sdtLocked"/>
                              <w:richText/>
                            </w:sdtPr>
                            <w:sdtContent>
                              <w:r>
                                <w:rPr>
                                  <w:szCs w:val="24"/>
                                </w:rPr>
                                <w:t>80</w:t>
                              </w:r>
                            </w:sdtContent>
                          </w:sdt>
                          <w:r>
                            <w:rPr>
                              <w:szCs w:val="24"/>
                            </w:rPr>
                            <w:t>. Kito trumpalaikio turto straipsnyje parodomas toks trumpalaikis turtas, kuris nebuvo parodytas atsargų, sumokėtų avansų ir vykdomų darbų, per vienus metus gautinų sumų ir pinigų straipsniuose. Šiame straipsnyje taip pat parodomi terminuotieji indėliai, kurių terminas baigsis greičiau kaip per vienus metus nuo paskutinės ataskaitinio laikotarpio dienos, ir įsigyti vertybiniai popieriai, kuriuos numatoma parduoti arba kitaip perleisti per vienus metus nuo paskutinės ataskaitinio laikotarpio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2367b0674811e58e1ab2c84776483b">
                            <w:r w:rsidRPr="00532B9F">
                              <w:rPr>
                                <w:rFonts w:ascii="Times New Roman" w:eastAsia="MS Mincho" w:hAnsi="Times New Roman"/>
                                <w:sz w:val="20"/>
                                <w:i/>
                                <w:iCs/>
                                <w:color w:val="0000FF" w:themeColor="hyperlink"/>
                                <w:u w:val="single"/>
                              </w:rPr>
                              <w:t>VAS-48</w:t>
                            </w:r>
                          </w:fldSimple>
                          <w:r>
                            <w:rPr>
                              <w:rFonts w:ascii="Times New Roman" w:eastAsia="MS Mincho" w:hAnsi="Times New Roman"/>
                              <w:sz w:val="20"/>
                              <w:i/>
                              <w:iCs/>
                            </w:rPr>
                            <w:t>,
2015-09-24,
paskelbta TAR 2015-09-30, i. k. 2015-14490            </w:t>
                          </w:r>
                        </w:p>
                        <w:p/>
                      </w:sdtContent>
                    </w:sdt>
                    <w:sdt>
                      <w:sdtPr>
                        <w:alias w:val="81 p."/>
                        <w:tag w:val="part_caeee4e64b684bb58c9a1dc91b390748"/>
                        <w:lock w:val="sdtLocked"/>
                        <w:richText/>
                      </w:sdtPr>
                      <w:sdtContent>
                        <w:p>
                          <w:pPr>
                            <w:widowControl w:val="0"/>
                            <w:ind w:firstLine="567"/>
                            <w:jc w:val="both"/>
                            <w:rPr>
                              <w:b/>
                              <w:bCs/>
                              <w:color w:val="000000"/>
                            </w:rPr>
                          </w:pPr>
                          <w:sdt>
                            <w:sdtPr>
                              <w:alias w:val="Numeris"/>
                              <w:tag w:val="nr_caeee4e64b684bb58c9a1dc91b390748"/>
                              <w:lock w:val="sdtLocked"/>
                              <w:richText/>
                            </w:sdtPr>
                            <w:sdtContent>
                              <w:r>
                                <w:rPr>
                                  <w:color w:val="000000"/>
                                </w:rPr>
                                <w:t>81</w:t>
                              </w:r>
                            </w:sdtContent>
                          </w:sdt>
                          <w:r>
                            <w:rPr>
                              <w:color w:val="000000"/>
                            </w:rPr>
                            <w:t>. Pinigų straipsnyje parodomi įvairia valiuta banke ir kasoje esantys pinigai.</w:t>
                          </w:r>
                        </w:p>
                      </w:sdtContent>
                    </w:sdt>
                    <w:sdt>
                      <w:sdtPr>
                        <w:alias w:val="82 p."/>
                        <w:tag w:val="part_741fa0a5bf844ffd91d24265d3221899"/>
                        <w:lock w:val="sdtLocked"/>
                        <w:richText/>
                      </w:sdtPr>
                      <w:sdtContent>
                        <w:p>
                          <w:pPr>
                            <w:widowControl w:val="0"/>
                            <w:ind w:firstLine="567"/>
                            <w:jc w:val="both"/>
                            <w:rPr>
                              <w:color w:val="000000"/>
                            </w:rPr>
                          </w:pPr>
                          <w:sdt>
                            <w:sdtPr>
                              <w:alias w:val="Numeris"/>
                              <w:tag w:val="nr_741fa0a5bf844ffd91d24265d3221899"/>
                              <w:lock w:val="sdtLocked"/>
                              <w:richText/>
                            </w:sdtPr>
                            <w:sdtContent>
                              <w:r>
                                <w:rPr>
                                  <w:color w:val="000000"/>
                                </w:rPr>
                                <w:t>82</w:t>
                              </w:r>
                            </w:sdtContent>
                          </w:sdt>
                          <w:r>
                            <w:rPr>
                              <w:color w:val="000000"/>
                            </w:rPr>
                            <w:t xml:space="preserve">. Mainais gautas turtas ar paslaugos apskaitoje registruojami kaip atitinkamo turto ar paslaugų pirkimas ir perleidimas. </w:t>
                          </w:r>
                        </w:p>
                      </w:sdtContent>
                    </w:sdt>
                    <w:sdt>
                      <w:sdtPr>
                        <w:alias w:val="83 p."/>
                        <w:tag w:val="part_385ec9a58ad74cb7bb52bc80eaaac5e0"/>
                        <w:lock w:val="sdtLocked"/>
                        <w:richText/>
                      </w:sdtPr>
                      <w:sdtContent>
                        <w:p>
                          <w:pPr>
                            <w:widowControl w:val="0"/>
                            <w:ind w:firstLine="567"/>
                            <w:jc w:val="both"/>
                            <w:rPr>
                              <w:b/>
                              <w:bCs/>
                              <w:color w:val="000000"/>
                            </w:rPr>
                          </w:pPr>
                          <w:sdt>
                            <w:sdtPr>
                              <w:alias w:val="Numeris"/>
                              <w:tag w:val="nr_385ec9a58ad74cb7bb52bc80eaaac5e0"/>
                              <w:lock w:val="sdtLocked"/>
                              <w:richText/>
                            </w:sdtPr>
                            <w:sdtContent>
                              <w:r>
                                <w:rPr>
                                  <w:color w:val="000000"/>
                                </w:rPr>
                                <w:t>83</w:t>
                              </w:r>
                            </w:sdtContent>
                          </w:sdt>
                          <w:r>
                            <w:rPr>
                              <w:color w:val="000000"/>
                            </w:rPr>
                            <w:t>. Neatlygintinai gauto (dovanoto) turto įsigijimo savikainą sudaro dovanojimo sutartyje ar kitame dokumente nurodyta to turto vertė. Jei sutartyje neatlygintinai gauto turto vertė nenurodyta, nemokamai gauto turto įsigijimo savikaina laikoma išlaidų, kurios tiesiogiai susijusios su to turto įsigijimu ir paruošimu naudoti, suma. Jei neatlygintinai gaunant turtą nepatiriama jokių išlaidų, šio turto įsigijimo savikaina yra lygi nuliui.</w:t>
                          </w:r>
                        </w:p>
                      </w:sdtContent>
                    </w:sdt>
                    <w:sdt>
                      <w:sdtPr>
                        <w:alias w:val="84 p."/>
                        <w:tag w:val="part_44ad3cda05d74d2a8f5d033c8e0e3a14"/>
                        <w:lock w:val="sdtLocked"/>
                        <w:richText/>
                      </w:sdtPr>
                      <w:sdtContent>
                        <w:p>
                          <w:pPr>
                            <w:widowControl w:val="0"/>
                            <w:ind w:firstLine="567"/>
                            <w:jc w:val="both"/>
                            <w:rPr>
                              <w:color w:val="000000"/>
                            </w:rPr>
                          </w:pPr>
                          <w:sdt>
                            <w:sdtPr>
                              <w:alias w:val="Numeris"/>
                              <w:tag w:val="nr_44ad3cda05d74d2a8f5d033c8e0e3a14"/>
                              <w:lock w:val="sdtLocked"/>
                              <w:richText/>
                            </w:sdtPr>
                            <w:sdtContent>
                              <w:r>
                                <w:rPr>
                                  <w:color w:val="000000"/>
                                </w:rPr>
                                <w:t>84</w:t>
                              </w:r>
                            </w:sdtContent>
                          </w:sdt>
                          <w:r>
                            <w:rPr>
                              <w:color w:val="000000"/>
                            </w:rPr>
                            <w:t>. Balanso D dalyje rodomos dotacijos ir subsidijos, t. y. iš valstybės, savivaldybės ar įvairių užsienio valstybių ir savivaldybių (ar joms prilygintų) institucijų gauta, bet dar nepanaudota, parama (toliau – dotacija).</w:t>
                          </w:r>
                        </w:p>
                      </w:sdtContent>
                    </w:sdt>
                    <w:sdt>
                      <w:sdtPr>
                        <w:alias w:val="85 p."/>
                        <w:tag w:val="part_f9cded5eac194961ad6990b6a85738f4"/>
                        <w:lock w:val="sdtLocked"/>
                        <w:richText/>
                      </w:sdtPr>
                      <w:sdtContent>
                        <w:p>
                          <w:pPr>
                            <w:widowControl w:val="0"/>
                            <w:ind w:firstLine="567"/>
                            <w:jc w:val="both"/>
                            <w:rPr>
                              <w:b/>
                              <w:bCs/>
                              <w:color w:val="000000"/>
                            </w:rPr>
                          </w:pPr>
                          <w:sdt>
                            <w:sdtPr>
                              <w:alias w:val="Numeris"/>
                              <w:tag w:val="nr_f9cded5eac194961ad6990b6a85738f4"/>
                              <w:lock w:val="sdtLocked"/>
                              <w:richText/>
                            </w:sdtPr>
                            <w:sdtContent>
                              <w:r>
                                <w:rPr>
                                  <w:color w:val="000000"/>
                                </w:rPr>
                                <w:t>85</w:t>
                              </w:r>
                            </w:sdtContent>
                          </w:sdt>
                          <w:r>
                            <w:rPr>
                              <w:color w:val="000000"/>
                            </w:rPr>
                            <w:t>. Dotacija pripažįstama, registruojama apskaitoje ir parodoma balanse, jeigu ji yra faktiškai gauta.</w:t>
                          </w:r>
                        </w:p>
                      </w:sdtContent>
                    </w:sdt>
                    <w:sdt>
                      <w:sdtPr>
                        <w:alias w:val="86 p."/>
                        <w:tag w:val="part_51f38847063e4a80bc6cb0cd2ca05aa5"/>
                        <w:lock w:val="sdtLocked"/>
                        <w:richText/>
                      </w:sdtPr>
                      <w:sdtContent>
                        <w:p>
                          <w:pPr>
                            <w:widowControl w:val="0"/>
                            <w:ind w:firstLine="567"/>
                            <w:jc w:val="both"/>
                            <w:rPr>
                              <w:b/>
                              <w:bCs/>
                              <w:color w:val="000000"/>
                            </w:rPr>
                          </w:pPr>
                          <w:sdt>
                            <w:sdtPr>
                              <w:alias w:val="Numeris"/>
                              <w:tag w:val="nr_51f38847063e4a80bc6cb0cd2ca05aa5"/>
                              <w:lock w:val="sdtLocked"/>
                              <w:richText/>
                            </w:sdtPr>
                            <w:sdtContent>
                              <w:r>
                                <w:rPr>
                                  <w:color w:val="000000"/>
                                </w:rPr>
                                <w:t>86</w:t>
                              </w:r>
                            </w:sdtContent>
                          </w:sdt>
                          <w:r>
                            <w:rPr>
                              <w:color w:val="000000"/>
                            </w:rPr>
                            <w:t xml:space="preserve">. Jei dotacija gaunama pinigais ilgalaikiam turtui įsigyti, ji pripažįstama panaudota, kai pradedamas skaičiuoti įsigyto turto nusidėvėjimas. Pinigais gauta dotacija pripažįstama panaudota proporcingai turto nusidėvėjimo sumai, t. y. balanso straipsnio </w:t>
                          </w:r>
                          <w:r>
                            <w:rPr>
                              <w:i/>
                              <w:iCs/>
                              <w:color w:val="000000"/>
                            </w:rPr>
                            <w:t>Dotacijos, subsidijos</w:t>
                          </w:r>
                          <w:r>
                            <w:rPr>
                              <w:color w:val="000000"/>
                            </w:rPr>
                            <w:t xml:space="preserve"> suma mažinama tokia dotacijos dalimi, kokia apskaičiuojama už dotaciją įsigytos turto dalies nusidėvėjimo suma. Jei dotacija gauta ilgalaikiu turtu, pripažįstama panaudota tokia jos dalis, kokia apskaičiuojama gauto ilgalaikio turto nusidėvėjimo suma.</w:t>
                          </w:r>
                        </w:p>
                      </w:sdtContent>
                    </w:sdt>
                    <w:sdt>
                      <w:sdtPr>
                        <w:alias w:val="87 p."/>
                        <w:tag w:val="part_f712b96562c84404922d3a1ff43bc94d"/>
                        <w:lock w:val="sdtLocked"/>
                        <w:richText/>
                      </w:sdtPr>
                      <w:sdtContent>
                        <w:p>
                          <w:pPr>
                            <w:widowControl w:val="0"/>
                            <w:ind w:firstLine="567"/>
                            <w:jc w:val="both"/>
                            <w:rPr>
                              <w:b/>
                              <w:bCs/>
                              <w:color w:val="000000"/>
                            </w:rPr>
                          </w:pPr>
                          <w:sdt>
                            <w:sdtPr>
                              <w:alias w:val="Numeris"/>
                              <w:tag w:val="nr_f712b96562c84404922d3a1ff43bc94d"/>
                              <w:lock w:val="sdtLocked"/>
                              <w:richText/>
                            </w:sdtPr>
                            <w:sdtContent>
                              <w:r>
                                <w:rPr>
                                  <w:color w:val="000000"/>
                                </w:rPr>
                                <w:t>87</w:t>
                              </w:r>
                            </w:sdtContent>
                          </w:sdt>
                          <w:r>
                            <w:rPr>
                              <w:color w:val="000000"/>
                            </w:rPr>
                            <w:t>. Jeigu dotacija skirta negautoms pajamoms arba patirtoms sąnaudoms kompensuoti, tai panaudota dotacijos dalimi didinama pelno (nuostolių) ataskaitos negautų pajamų straipsnio suma arba mažinama kompensuojamų sąnaudų straipsnių suma. Šių dotacijų panaudojimas parodomas tų laikotarpių ataskaitose, kada patiriamos susijusios sąnaudos ar negaunama pajamų, kurioms kompensuoti dotacija ar jos dalis buvo skirta. Jei patirtų arba būsimų laikotarpių sąnaudų ar negautų pajamų negalima susieti su dotacija arba jei ji gauta nekeliant jokių sąlygų, dotacija pripažįstama panaudota tą laikotarpį, kada buvo gauta.</w:t>
                          </w:r>
                        </w:p>
                      </w:sdtContent>
                    </w:sdt>
                    <w:sdt>
                      <w:sdtPr>
                        <w:alias w:val="88 p."/>
                        <w:tag w:val="part_ac164f5fa9464320a18447faf1b43df9"/>
                        <w:lock w:val="sdtLocked"/>
                        <w:richText/>
                      </w:sdtPr>
                      <w:sdtContent>
                        <w:p>
                          <w:pPr>
                            <w:widowControl w:val="0"/>
                            <w:ind w:firstLine="567"/>
                            <w:jc w:val="both"/>
                            <w:rPr>
                              <w:b/>
                              <w:bCs/>
                              <w:color w:val="000000"/>
                            </w:rPr>
                          </w:pPr>
                          <w:sdt>
                            <w:sdtPr>
                              <w:alias w:val="Numeris"/>
                              <w:tag w:val="nr_ac164f5fa9464320a18447faf1b43df9"/>
                              <w:lock w:val="sdtLocked"/>
                              <w:richText/>
                            </w:sdtPr>
                            <w:sdtContent>
                              <w:r>
                                <w:rPr>
                                  <w:color w:val="000000"/>
                                </w:rPr>
                                <w:t>88</w:t>
                              </w:r>
                            </w:sdtContent>
                          </w:sdt>
                          <w:r>
                            <w:rPr>
                              <w:color w:val="000000"/>
                            </w:rPr>
                            <w:t>. Jei kiti asmenys įmonei neatlygintinai perleidžia turtą, gavusi tokį turtą ir atsižvelgusi į jo perleidimo sąlygas ir dovanojimo sutartyje ar kitame dokumente nurodytą to turto vertę, įmonė apskaitoje registruoja kitos veiklos pajamas arba įsipareigojimus, bet ne dotaciją.</w:t>
                          </w:r>
                        </w:p>
                      </w:sdtContent>
                    </w:sdt>
                    <w:sdt>
                      <w:sdtPr>
                        <w:alias w:val="89 p."/>
                        <w:tag w:val="part_9a3b50c6430f4f5890a2994f48fc0d8d"/>
                        <w:lock w:val="sdtLocked"/>
                        <w:richText/>
                      </w:sdtPr>
                      <w:sdtContent>
                        <w:p>
                          <w:pPr>
                            <w:widowControl w:val="0"/>
                            <w:ind w:firstLine="567"/>
                            <w:jc w:val="both"/>
                            <w:rPr>
                              <w:b/>
                              <w:bCs/>
                              <w:color w:val="000000"/>
                            </w:rPr>
                          </w:pPr>
                          <w:sdt>
                            <w:sdtPr>
                              <w:alias w:val="Numeris"/>
                              <w:tag w:val="nr_9a3b50c6430f4f5890a2994f48fc0d8d"/>
                              <w:lock w:val="sdtLocked"/>
                              <w:richText/>
                            </w:sdtPr>
                            <w:sdtContent>
                              <w:r>
                                <w:rPr>
                                  <w:color w:val="000000"/>
                                </w:rPr>
                                <w:t>89</w:t>
                              </w:r>
                            </w:sdtContent>
                          </w:sdt>
                          <w:r>
                            <w:rPr>
                              <w:color w:val="000000"/>
                            </w:rPr>
                            <w:t>. Balanso E dalyje pateikiama informacija apie įmonės sutartinius įsipareigojimus sumokėti pinigus ar atsiskaityti kitu turtu.</w:t>
                          </w:r>
                        </w:p>
                      </w:sdtContent>
                    </w:sdt>
                    <w:sdt>
                      <w:sdtPr>
                        <w:alias w:val="90 p."/>
                        <w:tag w:val="part_9a29f057431a4bf3b25072c202dcb51d"/>
                        <w:lock w:val="sdtLocked"/>
                        <w:richText/>
                      </w:sdtPr>
                      <w:sdtContent>
                        <w:p>
                          <w:pPr>
                            <w:widowControl w:val="0"/>
                            <w:ind w:firstLine="567"/>
                            <w:jc w:val="both"/>
                            <w:rPr>
                              <w:color w:val="000000"/>
                            </w:rPr>
                          </w:pPr>
                          <w:sdt>
                            <w:sdtPr>
                              <w:alias w:val="Numeris"/>
                              <w:tag w:val="nr_9a29f057431a4bf3b25072c202dcb51d"/>
                              <w:lock w:val="sdtLocked"/>
                              <w:richText/>
                            </w:sdtPr>
                            <w:sdtContent>
                              <w:r>
                                <w:rPr>
                                  <w:color w:val="000000"/>
                                </w:rPr>
                                <w:t>90</w:t>
                              </w:r>
                            </w:sdtContent>
                          </w:sdt>
                          <w:r>
                            <w:rPr>
                              <w:color w:val="000000"/>
                            </w:rPr>
                            <w:t>. Ilgalaikių įsipareigojimų straipsnyje rodomi įsipareigojimai, kuriuos įmonė turės įvykdyti vėliau kaip per vienus metus nuo paskutinės ataskaitinio laikotarpio dienos. Ilgalaikiai įsipareigojimai yra įmonės skolos ir įsipareigojimai prekybos partneriams, kredito įstaigoms, valstybės institucijoms, kitiems juridiniams ir fiziniams asmenims. Ilgalaikiams įsipareigojimams taip pat priskiriamos trumpalaikės paskolos, jei jų grąžinimo terminas pratęstas arba yra sudaryta pakartotinio finansavimo sutartis ilgesniam kaip vienų metų laikotarpiui.</w:t>
                          </w:r>
                        </w:p>
                      </w:sdtContent>
                    </w:sdt>
                    <w:sdt>
                      <w:sdtPr>
                        <w:alias w:val="91 p."/>
                        <w:tag w:val="part_2d3b376e24664ac4b3bb680bff2cf8ae"/>
                        <w:lock w:val="sdtLocked"/>
                        <w:richText/>
                      </w:sdtPr>
                      <w:sdtContent>
                        <w:p>
                          <w:pPr>
                            <w:widowControl w:val="0"/>
                            <w:ind w:firstLine="567"/>
                            <w:jc w:val="both"/>
                            <w:rPr>
                              <w:b/>
                              <w:bCs/>
                              <w:color w:val="000000"/>
                            </w:rPr>
                          </w:pPr>
                          <w:sdt>
                            <w:sdtPr>
                              <w:alias w:val="Numeris"/>
                              <w:tag w:val="nr_2d3b376e24664ac4b3bb680bff2cf8ae"/>
                              <w:lock w:val="sdtLocked"/>
                              <w:richText/>
                            </w:sdtPr>
                            <w:sdtContent>
                              <w:r>
                                <w:rPr>
                                  <w:color w:val="000000"/>
                                </w:rPr>
                                <w:t>91</w:t>
                              </w:r>
                            </w:sdtContent>
                          </w:sdt>
                          <w:r>
                            <w:rPr>
                              <w:color w:val="000000"/>
                            </w:rPr>
                            <w:t>. Trumpalaikių įsipareigojimų straipsnyje rodomi trumpalaikiai įsipareigojimai, kurie turi būti įvykdyti per vienus metus nuo paskutinės ataskaitinio laikotarpio dienos. Trumpalaikiai įsipareigojimai yra įmonės skolos ir įsipareigojimai prekybos partneriams, kredito įstaigoms, valstybės institucijoms, kitiems juridiniams ir fiziniams asmenims. Trumpalaikiams įsipareigojimams taip pat priskiriama ilgalaikių skolų ir įsipareigojimų dalis, kuri turės būti sumokėta ar įvykdyta per vienus metus.</w:t>
                          </w:r>
                        </w:p>
                      </w:sdtContent>
                    </w:sdt>
                    <w:sdt>
                      <w:sdtPr>
                        <w:alias w:val="92 p."/>
                        <w:tag w:val="part_e6380651f3d14470a1b300403ea8ec06"/>
                        <w:lock w:val="sdtLocked"/>
                        <w:richText/>
                      </w:sdtPr>
                      <w:sdtContent>
                        <w:p>
                          <w:pPr>
                            <w:widowControl w:val="0"/>
                            <w:ind w:firstLine="567"/>
                            <w:jc w:val="both"/>
                            <w:rPr>
                              <w:b/>
                              <w:bCs/>
                              <w:color w:val="000000"/>
                            </w:rPr>
                          </w:pPr>
                          <w:sdt>
                            <w:sdtPr>
                              <w:alias w:val="Numeris"/>
                              <w:tag w:val="nr_e6380651f3d14470a1b300403ea8ec06"/>
                              <w:lock w:val="sdtLocked"/>
                              <w:richText/>
                            </w:sdtPr>
                            <w:sdtContent>
                              <w:r>
                                <w:rPr>
                                  <w:color w:val="000000"/>
                                </w:rPr>
                                <w:t>92</w:t>
                              </w:r>
                            </w:sdtContent>
                          </w:sdt>
                          <w:r>
                            <w:rPr>
                              <w:color w:val="000000"/>
                            </w:rPr>
                            <w:t>. Įsipareigojimai apskaitoje registruojami, kai įmonė įsipareigoja sumokėti pinigus ar atsiskaityti kitu turtu. Planuojami sandoriai, suteiktos garantijos, kurių dar nereikia vykdyti, įmonės įsipareigojimais nepripažįstami.</w:t>
                          </w:r>
                        </w:p>
                      </w:sdtContent>
                    </w:sdt>
                    <w:sdt>
                      <w:sdtPr>
                        <w:alias w:val="93 p."/>
                        <w:tag w:val="part_52107aad5a354caabd49c50cd531c6eb"/>
                        <w:lock w:val="sdtLocked"/>
                        <w:richText/>
                      </w:sdtPr>
                      <w:sdtContent>
                        <w:p>
                          <w:pPr>
                            <w:widowControl w:val="0"/>
                            <w:ind w:firstLine="567"/>
                            <w:jc w:val="both"/>
                            <w:rPr>
                              <w:b/>
                              <w:bCs/>
                              <w:color w:val="000000"/>
                            </w:rPr>
                          </w:pPr>
                          <w:sdt>
                            <w:sdtPr>
                              <w:alias w:val="Numeris"/>
                              <w:tag w:val="nr_52107aad5a354caabd49c50cd531c6eb"/>
                              <w:lock w:val="sdtLocked"/>
                              <w:richText/>
                            </w:sdtPr>
                            <w:sdtContent>
                              <w:r>
                                <w:rPr>
                                  <w:color w:val="000000"/>
                                </w:rPr>
                                <w:t>93</w:t>
                              </w:r>
                            </w:sdtContent>
                          </w:sdt>
                          <w:r>
                            <w:rPr>
                              <w:color w:val="000000"/>
                            </w:rPr>
                            <w:t>. Pirmą kartą pripažindama įsipareigojimą, įmonė turi jį įvertinti savikaina. Jeigu su įsipareigojimu susijusių mokėtinų palūkanų suma reikšminga, įsipareigojimo vertė didinama sukaupta šio įsipareigojimo palūkanų suma. Jo vertė mažinama sumokėtomis pagrindinės sumos ir palūkanų dalimis. Balanse parodoma įsipareigojimo vertė, atėmus sumokėtą pagrindinės sumos ir palūkanų dalį ir pridėjus sukauptas mokėtinas šio įsipareigojimo palūkanas. Palūkanos ir su sandorių sudarymu susijusios išlaidos pripažįstamos finansinės ir investicinės veiklos sąnaudomis tą laikotarpį, kai jos susidaro.</w:t>
                          </w:r>
                        </w:p>
                      </w:sdtContent>
                    </w:sdt>
                    <w:sdt>
                      <w:sdtPr>
                        <w:alias w:val="94 p."/>
                        <w:tag w:val="part_0969287907a143f5ac9ea35bf2703a34"/>
                        <w:lock w:val="sdtLocked"/>
                        <w:richText/>
                      </w:sdtPr>
                      <w:sdtContent>
                        <w:p>
                          <w:pPr>
                            <w:widowControl w:val="0"/>
                            <w:ind w:firstLine="567"/>
                            <w:jc w:val="both"/>
                            <w:rPr>
                              <w:b/>
                              <w:bCs/>
                              <w:color w:val="000000"/>
                            </w:rPr>
                          </w:pPr>
                          <w:sdt>
                            <w:sdtPr>
                              <w:alias w:val="Numeris"/>
                              <w:tag w:val="nr_0969287907a143f5ac9ea35bf2703a34"/>
                              <w:lock w:val="sdtLocked"/>
                              <w:richText/>
                            </w:sdtPr>
                            <w:sdtContent>
                              <w:r>
                                <w:rPr>
                                  <w:color w:val="000000"/>
                                </w:rPr>
                                <w:t>94</w:t>
                              </w:r>
                            </w:sdtContent>
                          </w:sdt>
                          <w:r>
                            <w:rPr>
                              <w:color w:val="000000"/>
                            </w:rPr>
                            <w:t>. Įmonė nurašo įsipareigojimą ar jo dalį tik tada, kai jis įvykdomas, anuliuojamas ar nustoja galioti. Jei įsipareigojimas perleidžiamas ar dėl tam tikrų priežasčių jo nereikia vykdyti, tai įsipareigojimo perleidimo ar panaikinimo rezultatas (pelnas arba nuostolis), jei toks yra, parodomas pelno (nuostolių) ataskaitos finansinės ir investicinės ar kitos veiklos straipsnyje.</w:t>
                          </w:r>
                        </w:p>
                      </w:sdtContent>
                    </w:sdt>
                    <w:sdt>
                      <w:sdtPr>
                        <w:alias w:val="95 p."/>
                        <w:tag w:val="part_c1163ccfff7a4c39bbed074079803212"/>
                        <w:lock w:val="sdtLocked"/>
                        <w:richText/>
                      </w:sdtPr>
                      <w:sdtContent>
                        <w:p>
                          <w:pPr>
                            <w:widowControl w:val="0"/>
                            <w:ind w:firstLine="567"/>
                            <w:jc w:val="both"/>
                            <w:rPr>
                              <w:b/>
                              <w:bCs/>
                              <w:color w:val="000000"/>
                            </w:rPr>
                          </w:pPr>
                          <w:sdt>
                            <w:sdtPr>
                              <w:alias w:val="Numeris"/>
                              <w:tag w:val="nr_c1163ccfff7a4c39bbed074079803212"/>
                              <w:lock w:val="sdtLocked"/>
                              <w:richText/>
                            </w:sdtPr>
                            <w:sdtContent>
                              <w:r>
                                <w:rPr>
                                  <w:color w:val="000000"/>
                                </w:rPr>
                                <w:t>95</w:t>
                              </w:r>
                            </w:sdtContent>
                          </w:sdt>
                          <w:r>
                            <w:rPr>
                              <w:color w:val="000000"/>
                            </w:rPr>
                            <w:t>. Jei įmonė perleidžia dalį ar visą finansinį įsipareigojimą kitiems ir prisiima naują finansinį įsipareigojimą, perleistasis finansinis įsipareigojimas arba jo dalis nurašoma.</w:t>
                          </w:r>
                        </w:p>
                      </w:sdtContent>
                    </w:sdt>
                    <w:sdt>
                      <w:sdtPr>
                        <w:alias w:val="96 p."/>
                        <w:tag w:val="part_3b0d3236758d476bb6d7b918b1f78130"/>
                        <w:lock w:val="sdtLocked"/>
                        <w:richText/>
                      </w:sdtPr>
                      <w:sdtContent>
                        <w:p>
                          <w:pPr>
                            <w:widowControl w:val="0"/>
                            <w:ind w:firstLine="567"/>
                            <w:jc w:val="both"/>
                            <w:rPr>
                              <w:color w:val="000000"/>
                            </w:rPr>
                          </w:pPr>
                          <w:sdt>
                            <w:sdtPr>
                              <w:alias w:val="Numeris"/>
                              <w:tag w:val="nr_3b0d3236758d476bb6d7b918b1f78130"/>
                              <w:lock w:val="sdtLocked"/>
                              <w:richText/>
                            </w:sdtPr>
                            <w:sdtContent>
                              <w:r>
                                <w:rPr>
                                  <w:color w:val="000000"/>
                                </w:rPr>
                                <w:t>96</w:t>
                              </w:r>
                            </w:sdtContent>
                          </w:sdt>
                          <w:r>
                            <w:rPr>
                              <w:color w:val="000000"/>
                            </w:rPr>
                            <w:t>. Įsipareigojimas per sutartyje numatytą laikotarpį sumokėti pinigus ir palūkanas už gautą turtą apskaitoje registruojamas kaip finansinė nuoma, jei sutartyje yra finansinės nuomos požymių. Įmonė finansinės nuomos sutarties įmokas suskaido, išskirdama turto vertės padengimo sumą, palūkanas, jei jos numatytos sutartyje, ir kitus mokesčius (kompensuotinus mokesčius, neapibrėžtus nuompinigius). Turto vertės padengimo sumos dalis, gauta atėmus sumokėtą avansą ir einamųjų metų įsipareigojimo dalį, apskaitoje registruojama kaip ilgalaikis įsipareigojimas. Ilgalaikio įsipareigojimo einamųjų metų dalis registruojama kaip trumpalaikis įsipareigojimas. Palūkanos priskiriamos įmonės finansinės ir investicinės veiklos sąnaudoms ir įtraukiamos į apskaitą kaupimo principu. Kompensuotini mokesčiai ir neapibrėžti nuompinigiai priskiriami ataskaitinio laikotarpio veiklos sąnaudoms.</w:t>
                          </w:r>
                        </w:p>
                      </w:sdtContent>
                    </w:sdt>
                    <w:sdt>
                      <w:sdtPr>
                        <w:alias w:val="97 p."/>
                        <w:tag w:val="part_551feaa226d74a9b95719f166445a004"/>
                        <w:lock w:val="sdtLocked"/>
                        <w:richText/>
                      </w:sdtPr>
                      <w:sdtContent>
                        <w:p>
                          <w:pPr>
                            <w:widowControl w:val="0"/>
                            <w:ind w:firstLine="567"/>
                            <w:jc w:val="both"/>
                            <w:rPr>
                              <w:b/>
                              <w:bCs/>
                              <w:color w:val="000000"/>
                            </w:rPr>
                          </w:pPr>
                          <w:sdt>
                            <w:sdtPr>
                              <w:alias w:val="Numeris"/>
                              <w:tag w:val="nr_551feaa226d74a9b95719f166445a004"/>
                              <w:lock w:val="sdtLocked"/>
                              <w:richText/>
                            </w:sdtPr>
                            <w:sdtContent>
                              <w:r>
                                <w:rPr>
                                  <w:color w:val="000000"/>
                                </w:rPr>
                                <w:t>97</w:t>
                              </w:r>
                            </w:sdtContent>
                          </w:sdt>
                          <w:r>
                            <w:rPr>
                              <w:color w:val="000000"/>
                            </w:rPr>
                            <w:t>. Sudarant finansines ataskaitas apskaičiuotas, bet dar nesumokėtas, pelno mokestis pripažįstamas trumpalaikiu įsipareigojimu.</w:t>
                          </w:r>
                        </w:p>
                      </w:sdtContent>
                    </w:sdt>
                    <w:sdt>
                      <w:sdtPr>
                        <w:alias w:val="98 p."/>
                        <w:tag w:val="part_4ee692fb89e7482cba98bdf3c182499d"/>
                        <w:lock w:val="sdtLocked"/>
                        <w:richText/>
                      </w:sdtPr>
                      <w:sdtContent>
                        <w:p>
                          <w:pPr>
                            <w:widowControl w:val="0"/>
                            <w:ind w:firstLine="567"/>
                            <w:jc w:val="both"/>
                            <w:rPr>
                              <w:b/>
                              <w:bCs/>
                              <w:color w:val="000000"/>
                            </w:rPr>
                          </w:pPr>
                          <w:sdt>
                            <w:sdtPr>
                              <w:alias w:val="Numeris"/>
                              <w:tag w:val="nr_4ee692fb89e7482cba98bdf3c182499d"/>
                              <w:lock w:val="sdtLocked"/>
                              <w:richText/>
                            </w:sdtPr>
                            <w:sdtContent>
                              <w:r>
                                <w:rPr>
                                  <w:color w:val="000000"/>
                                </w:rPr>
                                <w:t>98</w:t>
                              </w:r>
                            </w:sdtContent>
                          </w:sdt>
                          <w:r>
                            <w:rPr>
                              <w:color w:val="000000"/>
                            </w:rPr>
                            <w:t>. Balanso C dalyje pateikiama informacija apie nuosavą kapitalą. Nuosavas kapitalas yra turto dalis, likusi iš viso turto atėmus įsipareigojimus. Neribotos civilinės atsakomybės juridinių asmenų nuosavo kapitalo registravimo apskaitoje tvarka nustatyta šio standarto V skyriuje, o mažųjų bendrijų – VI skyriuje.</w:t>
                          </w:r>
                        </w:p>
                        <w:p>
                          <w:pPr>
                            <w:widowControl w:val="0"/>
                            <w:ind w:firstLine="567"/>
                            <w:jc w:val="both"/>
                            <w:rPr>
                              <w:color w:val="000000"/>
                            </w:rPr>
                          </w:pPr>
                        </w:p>
                      </w:sdtContent>
                    </w:sdt>
                  </w:sdtContent>
                </w:sdt>
                <w:sdt>
                  <w:sdtPr>
                    <w:alias w:val=""/>
                    <w:tag w:val="part_5839b945d69a42cebbf9a8fdba7e96a0"/>
                    <w:lock w:val="sdtLocked"/>
                    <w:richText/>
                  </w:sdtPr>
                  <w:sdtContent>
                    <w:p>
                      <w:pPr>
                        <w:widowControl w:val="0"/>
                        <w:jc w:val="center"/>
                        <w:rPr>
                          <w:b/>
                          <w:bCs/>
                          <w:caps/>
                          <w:color w:val="000000"/>
                        </w:rPr>
                      </w:pPr>
                      <w:sdt>
                        <w:sdtPr>
                          <w:alias w:val="Numeris"/>
                          <w:tag w:val="nr_5839b945d69a42cebbf9a8fdba7e96a0"/>
                          <w:lock w:val="sdtLocked"/>
                          <w:richText/>
                        </w:sdtPr>
                        <w:sdtContent>
                          <w:r>
                            <w:rPr>
                              <w:b/>
                              <w:bCs/>
                              <w:caps/>
                              <w:color w:val="000000"/>
                            </w:rPr>
                            <w:t>IV</w:t>
                          </w:r>
                        </w:sdtContent>
                      </w:sdt>
                      <w:r>
                        <w:rPr>
                          <w:b/>
                          <w:bCs/>
                          <w:caps/>
                          <w:color w:val="000000"/>
                        </w:rPr>
                        <w:t xml:space="preserve">. </w:t>
                      </w:r>
                      <w:sdt>
                        <w:sdtPr>
                          <w:alias w:val="Pavadinimas"/>
                          <w:tag w:val="title_5839b945d69a42cebbf9a8fdba7e96a0"/>
                          <w:lock w:val="sdtLocked"/>
                          <w:richText/>
                        </w:sdtPr>
                        <w:sdtContent>
                          <w:r>
                            <w:rPr>
                              <w:b/>
                              <w:bCs/>
                              <w:caps/>
                              <w:color w:val="000000"/>
                            </w:rPr>
                            <w:t>PELNO (NUOSTOLIŲ) ATASKAITA</w:t>
                          </w:r>
                        </w:sdtContent>
                      </w:sdt>
                    </w:p>
                    <w:p>
                      <w:pPr>
                        <w:widowControl w:val="0"/>
                        <w:ind w:firstLine="567"/>
                        <w:jc w:val="both"/>
                        <w:rPr>
                          <w:color w:val="000000"/>
                        </w:rPr>
                      </w:pPr>
                    </w:p>
                    <w:sdt>
                      <w:sdtPr>
                        <w:alias w:val="99 p."/>
                        <w:tag w:val="part_892d6da234ec4dd48f3bdf89a89473da"/>
                        <w:lock w:val="sdtLocked"/>
                        <w:richText/>
                      </w:sdtPr>
                      <w:sdtContent>
                        <w:p>
                          <w:pPr>
                            <w:tabs>
                              <w:tab w:val="left" w:pos="1134"/>
                            </w:tabs>
                            <w:ind w:firstLine="567"/>
                            <w:jc w:val="both"/>
                            <w:rPr>
                              <w:sz w:val="6"/>
                              <w:szCs w:val="6"/>
                            </w:rPr>
                          </w:pPr>
                          <w:sdt>
                            <w:sdtPr>
                              <w:alias w:val="Numeris"/>
                              <w:tag w:val="nr_892d6da234ec4dd48f3bdf89a89473da"/>
                              <w:lock w:val="sdtLocked"/>
                              <w:richText/>
                            </w:sdtPr>
                            <w:sdtContent>
                              <w:r>
                                <w:rPr>
                                  <w:szCs w:val="24"/>
                                </w:rPr>
                                <w:t>99</w:t>
                              </w:r>
                            </w:sdtContent>
                          </w:sdt>
                          <w:r>
                            <w:rPr>
                              <w:szCs w:val="24"/>
                            </w:rPr>
                            <w:t>. Pelno (nuostolių) ataskaitoje informacija išdėstoma tokia tvarka:</w:t>
                          </w:r>
                        </w:p>
                        <w:sdt>
                          <w:sdtPr>
                            <w:alias w:val="99.1 p."/>
                            <w:tag w:val="part_59ad826dcde44b118ab5020be4136597"/>
                            <w:lock w:val="sdtLocked"/>
                            <w:richText/>
                          </w:sdtPr>
                          <w:sdtContent>
                            <w:p>
                              <w:pPr>
                                <w:tabs>
                                  <w:tab w:val="left" w:pos="1985"/>
                                </w:tabs>
                                <w:ind w:firstLine="567"/>
                                <w:jc w:val="both"/>
                                <w:rPr>
                                  <w:sz w:val="6"/>
                                  <w:szCs w:val="6"/>
                                </w:rPr>
                              </w:pPr>
                              <w:sdt>
                                <w:sdtPr>
                                  <w:alias w:val="Numeris"/>
                                  <w:tag w:val="nr_59ad826dcde44b118ab5020be4136597"/>
                                  <w:lock w:val="sdtLocked"/>
                                  <w:richText/>
                                </w:sdtPr>
                                <w:sdtContent>
                                  <w:r>
                                    <w:rPr>
                                      <w:szCs w:val="24"/>
                                    </w:rPr>
                                    <w:t>99.1</w:t>
                                  </w:r>
                                </w:sdtContent>
                              </w:sdt>
                              <w:r>
                                <w:rPr>
                                  <w:szCs w:val="24"/>
                                </w:rPr>
                                <w:t>. 1. Pardavimo pajamos;</w:t>
                              </w:r>
                            </w:p>
                          </w:sdtContent>
                        </w:sdt>
                        <w:sdt>
                          <w:sdtPr>
                            <w:alias w:val="99.2 p."/>
                            <w:tag w:val="part_e1c480c90dae405a86569d634880f798"/>
                            <w:lock w:val="sdtLocked"/>
                            <w:richText/>
                          </w:sdtPr>
                          <w:sdtContent>
                            <w:p>
                              <w:pPr>
                                <w:tabs>
                                  <w:tab w:val="left" w:pos="1985"/>
                                </w:tabs>
                                <w:ind w:firstLine="567"/>
                                <w:jc w:val="both"/>
                                <w:rPr>
                                  <w:sz w:val="6"/>
                                  <w:szCs w:val="6"/>
                                </w:rPr>
                              </w:pPr>
                              <w:sdt>
                                <w:sdtPr>
                                  <w:alias w:val="Numeris"/>
                                  <w:tag w:val="nr_e1c480c90dae405a86569d634880f798"/>
                                  <w:lock w:val="sdtLocked"/>
                                  <w:richText/>
                                </w:sdtPr>
                                <w:sdtContent>
                                  <w:r>
                                    <w:rPr>
                                      <w:szCs w:val="24"/>
                                    </w:rPr>
                                    <w:t>99.2</w:t>
                                  </w:r>
                                </w:sdtContent>
                              </w:sdt>
                              <w:r>
                                <w:rPr>
                                  <w:szCs w:val="24"/>
                                </w:rPr>
                                <w:t>. 2. Pardavimo savikaina;</w:t>
                              </w:r>
                            </w:p>
                          </w:sdtContent>
                        </w:sdt>
                        <w:sdt>
                          <w:sdtPr>
                            <w:alias w:val="99.3 p."/>
                            <w:tag w:val="part_0c8647ba8c3d487a9f14702812453a5a"/>
                            <w:lock w:val="sdtLocked"/>
                            <w:richText/>
                          </w:sdtPr>
                          <w:sdtContent>
                            <w:p>
                              <w:pPr>
                                <w:tabs>
                                  <w:tab w:val="left" w:pos="1985"/>
                                </w:tabs>
                                <w:ind w:firstLine="567"/>
                                <w:jc w:val="both"/>
                                <w:rPr>
                                  <w:sz w:val="6"/>
                                  <w:szCs w:val="6"/>
                                </w:rPr>
                              </w:pPr>
                              <w:sdt>
                                <w:sdtPr>
                                  <w:alias w:val="Numeris"/>
                                  <w:tag w:val="nr_0c8647ba8c3d487a9f14702812453a5a"/>
                                  <w:lock w:val="sdtLocked"/>
                                  <w:richText/>
                                </w:sdtPr>
                                <w:sdtContent>
                                  <w:r>
                                    <w:rPr>
                                      <w:szCs w:val="24"/>
                                    </w:rPr>
                                    <w:t>99.3</w:t>
                                  </w:r>
                                </w:sdtContent>
                              </w:sdt>
                              <w:r>
                                <w:rPr>
                                  <w:szCs w:val="24"/>
                                </w:rPr>
                                <w:t>. 3. Bendrasis pelnas (nuostoliai);</w:t>
                              </w:r>
                            </w:p>
                          </w:sdtContent>
                        </w:sdt>
                        <w:sdt>
                          <w:sdtPr>
                            <w:alias w:val="99.4 p."/>
                            <w:tag w:val="part_967ea27faeca41e4b394afebad16d399"/>
                            <w:lock w:val="sdtLocked"/>
                            <w:richText/>
                          </w:sdtPr>
                          <w:sdtContent>
                            <w:p>
                              <w:pPr>
                                <w:tabs>
                                  <w:tab w:val="left" w:pos="1985"/>
                                </w:tabs>
                                <w:ind w:firstLine="567"/>
                                <w:jc w:val="both"/>
                                <w:rPr>
                                  <w:sz w:val="6"/>
                                  <w:szCs w:val="6"/>
                                </w:rPr>
                              </w:pPr>
                              <w:sdt>
                                <w:sdtPr>
                                  <w:alias w:val="Numeris"/>
                                  <w:tag w:val="nr_967ea27faeca41e4b394afebad16d399"/>
                                  <w:lock w:val="sdtLocked"/>
                                  <w:richText/>
                                </w:sdtPr>
                                <w:sdtContent>
                                  <w:r>
                                    <w:rPr>
                                      <w:szCs w:val="24"/>
                                    </w:rPr>
                                    <w:t>99.4</w:t>
                                  </w:r>
                                </w:sdtContent>
                              </w:sdt>
                              <w:r>
                                <w:rPr>
                                  <w:szCs w:val="24"/>
                                </w:rPr>
                                <w:t>. 4. Veiklos sąnaudos;</w:t>
                              </w:r>
                            </w:p>
                          </w:sdtContent>
                        </w:sdt>
                        <w:sdt>
                          <w:sdtPr>
                            <w:alias w:val="99.5 p."/>
                            <w:tag w:val="part_aff1ede2d3844deab524018a60ae2006"/>
                            <w:lock w:val="sdtLocked"/>
                            <w:richText/>
                          </w:sdtPr>
                          <w:sdtContent>
                            <w:p>
                              <w:pPr>
                                <w:tabs>
                                  <w:tab w:val="left" w:pos="1985"/>
                                </w:tabs>
                                <w:ind w:firstLine="567"/>
                                <w:jc w:val="both"/>
                                <w:rPr>
                                  <w:sz w:val="6"/>
                                  <w:szCs w:val="6"/>
                                </w:rPr>
                              </w:pPr>
                              <w:sdt>
                                <w:sdtPr>
                                  <w:alias w:val="Numeris"/>
                                  <w:tag w:val="nr_aff1ede2d3844deab524018a60ae2006"/>
                                  <w:lock w:val="sdtLocked"/>
                                  <w:richText/>
                                </w:sdtPr>
                                <w:sdtContent>
                                  <w:r>
                                    <w:rPr>
                                      <w:szCs w:val="24"/>
                                    </w:rPr>
                                    <w:t>99.5</w:t>
                                  </w:r>
                                </w:sdtContent>
                              </w:sdt>
                              <w:r>
                                <w:rPr>
                                  <w:szCs w:val="24"/>
                                </w:rPr>
                                <w:t>. 5. Tipinės veiklos pelnas (nuostoliai);</w:t>
                              </w:r>
                            </w:p>
                          </w:sdtContent>
                        </w:sdt>
                        <w:sdt>
                          <w:sdtPr>
                            <w:alias w:val="99.6 p."/>
                            <w:tag w:val="part_05f9b5b87179422c8e8da4faa9b2f7b9"/>
                            <w:lock w:val="sdtLocked"/>
                            <w:richText/>
                          </w:sdtPr>
                          <w:sdtContent>
                            <w:p>
                              <w:pPr>
                                <w:tabs>
                                  <w:tab w:val="left" w:pos="1985"/>
                                </w:tabs>
                                <w:ind w:firstLine="567"/>
                                <w:jc w:val="both"/>
                                <w:rPr>
                                  <w:sz w:val="6"/>
                                  <w:szCs w:val="6"/>
                                </w:rPr>
                              </w:pPr>
                              <w:sdt>
                                <w:sdtPr>
                                  <w:alias w:val="Numeris"/>
                                  <w:tag w:val="nr_05f9b5b87179422c8e8da4faa9b2f7b9"/>
                                  <w:lock w:val="sdtLocked"/>
                                  <w:richText/>
                                </w:sdtPr>
                                <w:sdtContent>
                                  <w:r>
                                    <w:rPr>
                                      <w:szCs w:val="24"/>
                                    </w:rPr>
                                    <w:t>99.6</w:t>
                                  </w:r>
                                </w:sdtContent>
                              </w:sdt>
                              <w:r>
                                <w:rPr>
                                  <w:szCs w:val="24"/>
                                </w:rPr>
                                <w:t>. 6. Kita veikla;</w:t>
                              </w:r>
                            </w:p>
                          </w:sdtContent>
                        </w:sdt>
                        <w:sdt>
                          <w:sdtPr>
                            <w:alias w:val="99.7 p."/>
                            <w:tag w:val="part_e96605d0b6834d5180f89a3a6bca829f"/>
                            <w:lock w:val="sdtLocked"/>
                            <w:richText/>
                          </w:sdtPr>
                          <w:sdtContent>
                            <w:p>
                              <w:pPr>
                                <w:tabs>
                                  <w:tab w:val="left" w:pos="1985"/>
                                </w:tabs>
                                <w:ind w:firstLine="567"/>
                                <w:jc w:val="both"/>
                                <w:rPr>
                                  <w:sz w:val="6"/>
                                  <w:szCs w:val="6"/>
                                </w:rPr>
                              </w:pPr>
                              <w:sdt>
                                <w:sdtPr>
                                  <w:alias w:val="Numeris"/>
                                  <w:tag w:val="nr_e96605d0b6834d5180f89a3a6bca829f"/>
                                  <w:lock w:val="sdtLocked"/>
                                  <w:richText/>
                                </w:sdtPr>
                                <w:sdtContent>
                                  <w:r>
                                    <w:rPr>
                                      <w:szCs w:val="24"/>
                                    </w:rPr>
                                    <w:t>99.7</w:t>
                                  </w:r>
                                </w:sdtContent>
                              </w:sdt>
                              <w:r>
                                <w:rPr>
                                  <w:szCs w:val="24"/>
                                </w:rPr>
                                <w:t>. 7. Finansinė ir investicinė veikla;</w:t>
                              </w:r>
                            </w:p>
                          </w:sdtContent>
                        </w:sdt>
                        <w:sdt>
                          <w:sdtPr>
                            <w:alias w:val="99.8 p."/>
                            <w:tag w:val="part_0ab3a57e7bae45ccbd5e8d09173492b8"/>
                            <w:lock w:val="sdtLocked"/>
                            <w:richText/>
                          </w:sdtPr>
                          <w:sdtContent>
                            <w:p>
                              <w:pPr>
                                <w:tabs>
                                  <w:tab w:val="left" w:pos="1985"/>
                                </w:tabs>
                                <w:ind w:firstLine="567"/>
                                <w:jc w:val="both"/>
                                <w:rPr>
                                  <w:sz w:val="6"/>
                                  <w:szCs w:val="6"/>
                                </w:rPr>
                              </w:pPr>
                              <w:sdt>
                                <w:sdtPr>
                                  <w:alias w:val="Numeris"/>
                                  <w:tag w:val="nr_0ab3a57e7bae45ccbd5e8d09173492b8"/>
                                  <w:lock w:val="sdtLocked"/>
                                  <w:richText/>
                                </w:sdtPr>
                                <w:sdtContent>
                                  <w:r>
                                    <w:rPr>
                                      <w:szCs w:val="24"/>
                                    </w:rPr>
                                    <w:t>99.8</w:t>
                                  </w:r>
                                </w:sdtContent>
                              </w:sdt>
                              <w:r>
                                <w:rPr>
                                  <w:szCs w:val="24"/>
                                </w:rPr>
                                <w:t>. 8. Pelnas (nuostoliai) prieš apmokestinimą;</w:t>
                              </w:r>
                            </w:p>
                          </w:sdtContent>
                        </w:sdt>
                        <w:sdt>
                          <w:sdtPr>
                            <w:alias w:val="99.9 p."/>
                            <w:tag w:val="part_0f7b1adf566e4ff1890812463a0584c0"/>
                            <w:lock w:val="sdtLocked"/>
                            <w:richText/>
                          </w:sdtPr>
                          <w:sdtContent>
                            <w:p>
                              <w:pPr>
                                <w:tabs>
                                  <w:tab w:val="left" w:pos="1985"/>
                                </w:tabs>
                                <w:ind w:firstLine="567"/>
                                <w:jc w:val="both"/>
                                <w:rPr>
                                  <w:sz w:val="6"/>
                                  <w:szCs w:val="6"/>
                                </w:rPr>
                              </w:pPr>
                              <w:sdt>
                                <w:sdtPr>
                                  <w:alias w:val="Numeris"/>
                                  <w:tag w:val="nr_0f7b1adf566e4ff1890812463a0584c0"/>
                                  <w:lock w:val="sdtLocked"/>
                                  <w:richText/>
                                </w:sdtPr>
                                <w:sdtContent>
                                  <w:r>
                                    <w:rPr>
                                      <w:szCs w:val="24"/>
                                    </w:rPr>
                                    <w:t>99.9</w:t>
                                  </w:r>
                                </w:sdtContent>
                              </w:sdt>
                              <w:r>
                                <w:rPr>
                                  <w:szCs w:val="24"/>
                                </w:rPr>
                                <w:t>. 9. Pelno mokestis;</w:t>
                              </w:r>
                            </w:p>
                          </w:sdtContent>
                        </w:sdt>
                        <w:sdt>
                          <w:sdtPr>
                            <w:alias w:val="99.10 p."/>
                            <w:tag w:val="part_52b7ea172caa4955b5d97241a612f266"/>
                            <w:lock w:val="sdtLocked"/>
                            <w:richText/>
                          </w:sdtPr>
                          <w:sdtContent>
                            <w:p>
                              <w:pPr>
                                <w:tabs>
                                  <w:tab w:val="left" w:pos="1985"/>
                                </w:tabs>
                                <w:ind w:firstLine="567"/>
                                <w:jc w:val="both"/>
                                <w:rPr>
                                  <w:color w:val="000000"/>
                                </w:rPr>
                              </w:pPr>
                              <w:sdt>
                                <w:sdtPr>
                                  <w:alias w:val="Numeris"/>
                                  <w:tag w:val="nr_52b7ea172caa4955b5d97241a612f266"/>
                                  <w:lock w:val="sdtLocked"/>
                                  <w:richText/>
                                </w:sdtPr>
                                <w:sdtContent>
                                  <w:r>
                                    <w:rPr>
                                      <w:szCs w:val="24"/>
                                    </w:rPr>
                                    <w:t>99.10</w:t>
                                  </w:r>
                                </w:sdtContent>
                              </w:sdt>
                              <w:r>
                                <w:rPr>
                                  <w:szCs w:val="24"/>
                                </w:rPr>
                                <w:t>. 10. Grynasis pelnas (nuostoliai).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2367b0674811e58e1ab2c84776483b">
                            <w:r w:rsidRPr="00532B9F">
                              <w:rPr>
                                <w:rFonts w:ascii="Times New Roman" w:eastAsia="MS Mincho" w:hAnsi="Times New Roman"/>
                                <w:sz w:val="20"/>
                                <w:i/>
                                <w:iCs/>
                                <w:color w:val="0000FF" w:themeColor="hyperlink"/>
                                <w:u w:val="single"/>
                              </w:rPr>
                              <w:t>VAS-48</w:t>
                            </w:r>
                          </w:fldSimple>
                          <w:r>
                            <w:rPr>
                              <w:rFonts w:ascii="Times New Roman" w:eastAsia="MS Mincho" w:hAnsi="Times New Roman"/>
                              <w:sz w:val="20"/>
                              <w:i/>
                              <w:iCs/>
                            </w:rPr>
                            <w:t>,
2015-09-24,
paskelbta TAR 2015-09-30, i. k. 2015-14490            </w:t>
                          </w:r>
                        </w:p>
                        <w:p/>
                      </w:sdtContent>
                    </w:sdt>
                    <w:sdt>
                      <w:sdtPr>
                        <w:alias w:val="100 p."/>
                        <w:tag w:val="part_8fa30c034b274b6d9941086bf701da0b"/>
                        <w:lock w:val="sdtLocked"/>
                        <w:richText/>
                      </w:sdtPr>
                      <w:sdtContent>
                        <w:p>
                          <w:pPr>
                            <w:widowControl w:val="0"/>
                            <w:ind w:firstLine="567"/>
                            <w:jc w:val="both"/>
                            <w:rPr>
                              <w:color w:val="000000"/>
                            </w:rPr>
                          </w:pPr>
                          <w:sdt>
                            <w:sdtPr>
                              <w:alias w:val="Numeris"/>
                              <w:tag w:val="nr_8fa30c034b274b6d9941086bf701da0b"/>
                              <w:lock w:val="sdtLocked"/>
                              <w:richText/>
                            </w:sdtPr>
                            <w:sdtContent>
                              <w:r>
                                <w:rPr>
                                  <w:color w:val="000000"/>
                                </w:rPr>
                                <w:t>100</w:t>
                              </w:r>
                            </w:sdtContent>
                          </w:sdt>
                          <w:r>
                            <w:rPr>
                              <w:color w:val="000000"/>
                            </w:rPr>
                            <w:t>. Pajamos įvertinamos gauto arba gautino atlygio verte.</w:t>
                          </w:r>
                        </w:p>
                      </w:sdtContent>
                    </w:sdt>
                    <w:sdt>
                      <w:sdtPr>
                        <w:alias w:val="101 p."/>
                        <w:tag w:val="part_72e7f59dbb61425d8f91205caf515151"/>
                        <w:lock w:val="sdtLocked"/>
                        <w:richText/>
                      </w:sdtPr>
                      <w:sdtContent>
                        <w:p>
                          <w:pPr>
                            <w:widowControl w:val="0"/>
                            <w:ind w:firstLine="567"/>
                            <w:jc w:val="both"/>
                            <w:rPr>
                              <w:color w:val="000000"/>
                            </w:rPr>
                          </w:pPr>
                          <w:sdt>
                            <w:sdtPr>
                              <w:alias w:val="Numeris"/>
                              <w:tag w:val="nr_72e7f59dbb61425d8f91205caf515151"/>
                              <w:lock w:val="sdtLocked"/>
                              <w:richText/>
                            </w:sdtPr>
                            <w:sdtContent>
                              <w:r>
                                <w:rPr>
                                  <w:color w:val="000000"/>
                                </w:rPr>
                                <w:t>101</w:t>
                              </w:r>
                            </w:sdtContent>
                          </w:sdt>
                          <w:r>
                            <w:rPr>
                              <w:color w:val="000000"/>
                            </w:rPr>
                            <w:t>. Pajamomis laikomas tik įmonės ekonominės naudos padidėjimas. Pajamomis nepripažįstamos trečiųjų asmenų vardu surinktos lėšos, taip pat pridėtinės vertės mokestis, nes tai nėra įmonės gaunama ekonominė nauda ir šios lėšos nedidina nuosavo kapitalo. Veiklos tarpininkų pajamomis pripažįstami tik jų uždirbti komisiniai, bet ne trečiųjų asmenų vardu surenkamos lėšos.</w:t>
                          </w:r>
                        </w:p>
                      </w:sdtContent>
                    </w:sdt>
                    <w:sdt>
                      <w:sdtPr>
                        <w:alias w:val="102 p."/>
                        <w:tag w:val="part_6e943226163c4f47876aeeb3c412744e"/>
                        <w:lock w:val="sdtLocked"/>
                        <w:richText/>
                      </w:sdtPr>
                      <w:sdtContent>
                        <w:p>
                          <w:pPr>
                            <w:widowControl w:val="0"/>
                            <w:ind w:firstLine="567"/>
                            <w:jc w:val="both"/>
                            <w:rPr>
                              <w:color w:val="000000"/>
                            </w:rPr>
                          </w:pPr>
                          <w:sdt>
                            <w:sdtPr>
                              <w:alias w:val="Numeris"/>
                              <w:tag w:val="nr_6e943226163c4f47876aeeb3c412744e"/>
                              <w:lock w:val="sdtLocked"/>
                              <w:richText/>
                            </w:sdtPr>
                            <w:sdtContent>
                              <w:r>
                                <w:rPr>
                                  <w:color w:val="000000"/>
                                </w:rPr>
                                <w:t>102</w:t>
                              </w:r>
                            </w:sdtContent>
                          </w:sdt>
                          <w:r>
                            <w:rPr>
                              <w:color w:val="000000"/>
                            </w:rPr>
                            <w:t>. Vadovaujantis kaupimo principu, pajamos apskaitoje registruojamos, kai jos uždirbamos, neatsižvelgiant, kada gaunami pinigai.</w:t>
                          </w:r>
                        </w:p>
                      </w:sdtContent>
                    </w:sdt>
                    <w:sdt>
                      <w:sdtPr>
                        <w:alias w:val="103 p."/>
                        <w:tag w:val="part_4c451617f14b4a22967a6f76cd1de9a8"/>
                        <w:lock w:val="sdtLocked"/>
                        <w:richText/>
                      </w:sdtPr>
                      <w:sdtContent>
                        <w:p>
                          <w:pPr>
                            <w:widowControl w:val="0"/>
                            <w:ind w:firstLine="567"/>
                            <w:jc w:val="both"/>
                            <w:rPr>
                              <w:color w:val="000000"/>
                            </w:rPr>
                          </w:pPr>
                          <w:sdt>
                            <w:sdtPr>
                              <w:alias w:val="Numeris"/>
                              <w:tag w:val="nr_4c451617f14b4a22967a6f76cd1de9a8"/>
                              <w:lock w:val="sdtLocked"/>
                              <w:richText/>
                            </w:sdtPr>
                            <w:sdtContent>
                              <w:r>
                                <w:rPr>
                                  <w:color w:val="000000"/>
                                </w:rPr>
                                <w:t>103</w:t>
                              </w:r>
                            </w:sdtContent>
                          </w:sdt>
                          <w:r>
                            <w:rPr>
                              <w:color w:val="000000"/>
                            </w:rPr>
                            <w:t>. Pardavimo pajamų straipsnyje pateikiamos su tipine įmonės veikla susijusios pardavimo pajamos. Pardavimo pajamos apskaitoje mažinamos pirkėjams suteiktų nuolaidų ir pirkėjų grąžintų prekių verte.</w:t>
                          </w:r>
                        </w:p>
                      </w:sdtContent>
                    </w:sdt>
                    <w:sdt>
                      <w:sdtPr>
                        <w:alias w:val="104 p."/>
                        <w:tag w:val="part_faa29c39d69f45d0af70b0e03e9d3255"/>
                        <w:lock w:val="sdtLocked"/>
                        <w:richText/>
                      </w:sdtPr>
                      <w:sdtContent>
                        <w:p>
                          <w:pPr>
                            <w:widowControl w:val="0"/>
                            <w:ind w:firstLine="567"/>
                            <w:jc w:val="both"/>
                            <w:rPr>
                              <w:color w:val="000000"/>
                            </w:rPr>
                          </w:pPr>
                          <w:sdt>
                            <w:sdtPr>
                              <w:alias w:val="Numeris"/>
                              <w:tag w:val="nr_faa29c39d69f45d0af70b0e03e9d3255"/>
                              <w:lock w:val="sdtLocked"/>
                              <w:richText/>
                            </w:sdtPr>
                            <w:sdtContent>
                              <w:r>
                                <w:rPr>
                                  <w:color w:val="000000"/>
                                </w:rPr>
                                <w:t>104</w:t>
                              </w:r>
                            </w:sdtContent>
                          </w:sdt>
                          <w:r>
                            <w:rPr>
                              <w:color w:val="000000"/>
                            </w:rPr>
                            <w:t>. Tipine veikla laikomos ūkinės operacijos, susijusios su veikla, iš kurios įmonė keletą ataskaitinių laikotarpių gauna daugiausia pajamų ir kurią ji laiko pagrindine. Netipinė veikla yra finansinė ir investicinė, ir kita įmonės veikla.</w:t>
                          </w:r>
                        </w:p>
                      </w:sdtContent>
                    </w:sdt>
                    <w:sdt>
                      <w:sdtPr>
                        <w:alias w:val="105 p."/>
                        <w:tag w:val="part_3ec24c9238944c6da54962c61423e861"/>
                        <w:lock w:val="sdtLocked"/>
                        <w:richText/>
                      </w:sdtPr>
                      <w:sdtContent>
                        <w:p>
                          <w:pPr>
                            <w:widowControl w:val="0"/>
                            <w:ind w:firstLine="567"/>
                            <w:jc w:val="both"/>
                            <w:rPr>
                              <w:color w:val="000000"/>
                            </w:rPr>
                          </w:pPr>
                          <w:sdt>
                            <w:sdtPr>
                              <w:alias w:val="Numeris"/>
                              <w:tag w:val="nr_3ec24c9238944c6da54962c61423e861"/>
                              <w:lock w:val="sdtLocked"/>
                              <w:richText/>
                            </w:sdtPr>
                            <w:sdtContent>
                              <w:r>
                                <w:rPr>
                                  <w:color w:val="000000"/>
                                </w:rPr>
                                <w:t>105</w:t>
                              </w:r>
                            </w:sdtContent>
                          </w:sdt>
                          <w:r>
                            <w:rPr>
                              <w:color w:val="000000"/>
                            </w:rPr>
                            <w:t>. Prekių pardavimo ar paslaugų suteikimo pajamos turi būti pripažįstamos, apskaitoje registruojamos ir finansinėse ataskaitose pateikiamos, kai prekės parduotos ar paslaugos suteiktos, o pajamų suma gali būti patikimai įvertinta.</w:t>
                          </w:r>
                        </w:p>
                      </w:sdtContent>
                    </w:sdt>
                    <w:sdt>
                      <w:sdtPr>
                        <w:alias w:val="106 p."/>
                        <w:tag w:val="part_258dbc0758dc43aa8538a1d826fac034"/>
                        <w:lock w:val="sdtLocked"/>
                        <w:richText/>
                      </w:sdtPr>
                      <w:sdtContent>
                        <w:p>
                          <w:pPr>
                            <w:widowControl w:val="0"/>
                            <w:ind w:firstLine="567"/>
                            <w:jc w:val="both"/>
                            <w:rPr>
                              <w:color w:val="000000"/>
                            </w:rPr>
                          </w:pPr>
                          <w:sdt>
                            <w:sdtPr>
                              <w:alias w:val="Numeris"/>
                              <w:tag w:val="nr_258dbc0758dc43aa8538a1d826fac034"/>
                              <w:lock w:val="sdtLocked"/>
                              <w:richText/>
                            </w:sdtPr>
                            <w:sdtContent>
                              <w:r>
                                <w:rPr>
                                  <w:color w:val="000000"/>
                                </w:rPr>
                                <w:t>106</w:t>
                              </w:r>
                            </w:sdtContent>
                          </w:sdt>
                          <w:r>
                            <w:rPr>
                              <w:color w:val="000000"/>
                            </w:rPr>
                            <w:t>. Prekės laikomos parduotomis, kai yra įvykdytos visos šios sąlygos:</w:t>
                          </w:r>
                        </w:p>
                        <w:sdt>
                          <w:sdtPr>
                            <w:alias w:val="106.1 p."/>
                            <w:tag w:val="part_de343cec7e6f49f782d4c371e25c4411"/>
                            <w:lock w:val="sdtLocked"/>
                            <w:richText/>
                          </w:sdtPr>
                          <w:sdtContent>
                            <w:p>
                              <w:pPr>
                                <w:widowControl w:val="0"/>
                                <w:ind w:firstLine="567"/>
                                <w:jc w:val="both"/>
                                <w:rPr>
                                  <w:color w:val="000000"/>
                                </w:rPr>
                              </w:pPr>
                              <w:sdt>
                                <w:sdtPr>
                                  <w:alias w:val="Numeris"/>
                                  <w:tag w:val="nr_de343cec7e6f49f782d4c371e25c4411"/>
                                  <w:lock w:val="sdtLocked"/>
                                  <w:richText/>
                                </w:sdtPr>
                                <w:sdtContent>
                                  <w:r>
                                    <w:rPr>
                                      <w:color w:val="000000"/>
                                    </w:rPr>
                                    <w:t>106.1</w:t>
                                  </w:r>
                                </w:sdtContent>
                              </w:sdt>
                              <w:r>
                                <w:rPr>
                                  <w:color w:val="000000"/>
                                </w:rPr>
                                <w:t xml:space="preserve">. Pardavėjas su prekėmis susijusią riziką ir jų teikiamą naudą yra perdavęs pirkėjui. </w:t>
                              </w:r>
                            </w:p>
                          </w:sdtContent>
                        </w:sdt>
                        <w:sdt>
                          <w:sdtPr>
                            <w:alias w:val="106.2 p."/>
                            <w:tag w:val="part_5d5452b6007b48f69b31825c3e9ef816"/>
                            <w:lock w:val="sdtLocked"/>
                            <w:richText/>
                          </w:sdtPr>
                          <w:sdtContent>
                            <w:p>
                              <w:pPr>
                                <w:widowControl w:val="0"/>
                                <w:ind w:firstLine="567"/>
                                <w:jc w:val="both"/>
                                <w:rPr>
                                  <w:color w:val="000000"/>
                                </w:rPr>
                              </w:pPr>
                              <w:sdt>
                                <w:sdtPr>
                                  <w:alias w:val="Numeris"/>
                                  <w:tag w:val="nr_5d5452b6007b48f69b31825c3e9ef816"/>
                                  <w:lock w:val="sdtLocked"/>
                                  <w:richText/>
                                </w:sdtPr>
                                <w:sdtContent>
                                  <w:r>
                                    <w:rPr>
                                      <w:color w:val="000000"/>
                                    </w:rPr>
                                    <w:t>106.2</w:t>
                                  </w:r>
                                </w:sdtContent>
                              </w:sdt>
                              <w:r>
                                <w:rPr>
                                  <w:color w:val="000000"/>
                                </w:rPr>
                                <w:t>. Parduotų prekių pardavėjas nevaldo ir nekontroliuoja.</w:t>
                              </w:r>
                            </w:p>
                          </w:sdtContent>
                        </w:sdt>
                        <w:sdt>
                          <w:sdtPr>
                            <w:alias w:val="106.3 p."/>
                            <w:tag w:val="part_216c782a770b49439f98f7a8e95dec78"/>
                            <w:lock w:val="sdtLocked"/>
                            <w:richText/>
                          </w:sdtPr>
                          <w:sdtContent>
                            <w:p>
                              <w:pPr>
                                <w:widowControl w:val="0"/>
                                <w:ind w:firstLine="567"/>
                                <w:jc w:val="both"/>
                                <w:rPr>
                                  <w:color w:val="000000"/>
                                </w:rPr>
                              </w:pPr>
                              <w:sdt>
                                <w:sdtPr>
                                  <w:alias w:val="Numeris"/>
                                  <w:tag w:val="nr_216c782a770b49439f98f7a8e95dec78"/>
                                  <w:lock w:val="sdtLocked"/>
                                  <w:richText/>
                                </w:sdtPr>
                                <w:sdtContent>
                                  <w:r>
                                    <w:rPr>
                                      <w:color w:val="000000"/>
                                    </w:rPr>
                                    <w:t>106.3</w:t>
                                  </w:r>
                                </w:sdtContent>
                              </w:sdt>
                              <w:r>
                                <w:rPr>
                                  <w:color w:val="000000"/>
                                </w:rPr>
                                <w:t>. Tikėtina, kad su prekių pardavimo sandoriu susijusi ekonominė nauda bus gauta ir galima patikimai įvertinti jos dydį.</w:t>
                              </w:r>
                            </w:p>
                          </w:sdtContent>
                        </w:sdt>
                        <w:sdt>
                          <w:sdtPr>
                            <w:alias w:val="106.4 p."/>
                            <w:tag w:val="part_b4a363b552e040aea2d1465a0b295b04"/>
                            <w:lock w:val="sdtLocked"/>
                            <w:richText/>
                          </w:sdtPr>
                          <w:sdtContent>
                            <w:p>
                              <w:pPr>
                                <w:widowControl w:val="0"/>
                                <w:ind w:firstLine="567"/>
                                <w:jc w:val="both"/>
                                <w:rPr>
                                  <w:color w:val="000000"/>
                                </w:rPr>
                              </w:pPr>
                              <w:sdt>
                                <w:sdtPr>
                                  <w:alias w:val="Numeris"/>
                                  <w:tag w:val="nr_b4a363b552e040aea2d1465a0b295b04"/>
                                  <w:lock w:val="sdtLocked"/>
                                  <w:richText/>
                                </w:sdtPr>
                                <w:sdtContent>
                                  <w:r>
                                    <w:rPr>
                                      <w:color w:val="000000"/>
                                    </w:rPr>
                                    <w:t>106.4</w:t>
                                  </w:r>
                                </w:sdtContent>
                              </w:sdt>
                              <w:r>
                                <w:rPr>
                                  <w:color w:val="000000"/>
                                </w:rPr>
                                <w:t>. Sąnaudos, susijusios su prekių pardavimo sandoriu, gali būti patikimai įvertintos.</w:t>
                              </w:r>
                            </w:p>
                          </w:sdtContent>
                        </w:sdt>
                      </w:sdtContent>
                    </w:sdt>
                    <w:sdt>
                      <w:sdtPr>
                        <w:alias w:val="107 p."/>
                        <w:tag w:val="part_307efc0e948a4a728734aa4e3bf22cf1"/>
                        <w:lock w:val="sdtLocked"/>
                        <w:richText/>
                      </w:sdtPr>
                      <w:sdtContent>
                        <w:p>
                          <w:pPr>
                            <w:widowControl w:val="0"/>
                            <w:ind w:firstLine="567"/>
                            <w:jc w:val="both"/>
                            <w:rPr>
                              <w:color w:val="000000"/>
                            </w:rPr>
                          </w:pPr>
                          <w:sdt>
                            <w:sdtPr>
                              <w:alias w:val="Numeris"/>
                              <w:tag w:val="nr_307efc0e948a4a728734aa4e3bf22cf1"/>
                              <w:lock w:val="sdtLocked"/>
                              <w:richText/>
                            </w:sdtPr>
                            <w:sdtContent>
                              <w:r>
                                <w:rPr>
                                  <w:color w:val="000000"/>
                                </w:rPr>
                                <w:t>107</w:t>
                              </w:r>
                            </w:sdtContent>
                          </w:sdt>
                          <w:r>
                            <w:rPr>
                              <w:color w:val="000000"/>
                            </w:rPr>
                            <w:t>. Rizika laikoma perduota, kada pardavėjas prekes nustoja valdyti ir kontroliuoti, o pirkėjas tampa atsakingas už prekes ir perima jų nuosavybės teikiamą naudą.</w:t>
                          </w:r>
                        </w:p>
                      </w:sdtContent>
                    </w:sdt>
                    <w:sdt>
                      <w:sdtPr>
                        <w:alias w:val="108 p."/>
                        <w:tag w:val="part_0c8f6881c26b4ded9e6b3a86a2c04fa6"/>
                        <w:lock w:val="sdtLocked"/>
                        <w:richText/>
                      </w:sdtPr>
                      <w:sdtContent>
                        <w:p>
                          <w:pPr>
                            <w:widowControl w:val="0"/>
                            <w:ind w:firstLine="567"/>
                            <w:jc w:val="both"/>
                            <w:rPr>
                              <w:color w:val="000000"/>
                            </w:rPr>
                          </w:pPr>
                          <w:sdt>
                            <w:sdtPr>
                              <w:alias w:val="Numeris"/>
                              <w:tag w:val="nr_0c8f6881c26b4ded9e6b3a86a2c04fa6"/>
                              <w:lock w:val="sdtLocked"/>
                              <w:richText/>
                            </w:sdtPr>
                            <w:sdtContent>
                              <w:r>
                                <w:rPr>
                                  <w:color w:val="000000"/>
                                </w:rPr>
                                <w:t>108</w:t>
                              </w:r>
                            </w:sdtContent>
                          </w:sdt>
                          <w:r>
                            <w:rPr>
                              <w:color w:val="000000"/>
                            </w:rPr>
                            <w:t>. Paslaugų teikimo pajamos pripažįstamos, kai yra įvykdytos visos šios sąlygos:</w:t>
                          </w:r>
                        </w:p>
                        <w:sdt>
                          <w:sdtPr>
                            <w:alias w:val="108.1 p."/>
                            <w:tag w:val="part_de28c8316cc1475fb95918118e09ba47"/>
                            <w:lock w:val="sdtLocked"/>
                            <w:richText/>
                          </w:sdtPr>
                          <w:sdtContent>
                            <w:p>
                              <w:pPr>
                                <w:widowControl w:val="0"/>
                                <w:ind w:firstLine="567"/>
                                <w:jc w:val="both"/>
                                <w:rPr>
                                  <w:color w:val="000000"/>
                                </w:rPr>
                              </w:pPr>
                              <w:sdt>
                                <w:sdtPr>
                                  <w:alias w:val="Numeris"/>
                                  <w:tag w:val="nr_de28c8316cc1475fb95918118e09ba47"/>
                                  <w:lock w:val="sdtLocked"/>
                                  <w:richText/>
                                </w:sdtPr>
                                <w:sdtContent>
                                  <w:r>
                                    <w:rPr>
                                      <w:color w:val="000000"/>
                                    </w:rPr>
                                    <w:t>108.1</w:t>
                                  </w:r>
                                </w:sdtContent>
                              </w:sdt>
                              <w:r>
                                <w:rPr>
                                  <w:color w:val="000000"/>
                                </w:rPr>
                                <w:t>. Pajamų suma gali būti patikimai įvertinta.</w:t>
                              </w:r>
                            </w:p>
                          </w:sdtContent>
                        </w:sdt>
                        <w:sdt>
                          <w:sdtPr>
                            <w:alias w:val="108.2 p."/>
                            <w:tag w:val="part_805f555c3df0455f955500ce35408e94"/>
                            <w:lock w:val="sdtLocked"/>
                            <w:richText/>
                          </w:sdtPr>
                          <w:sdtContent>
                            <w:p>
                              <w:pPr>
                                <w:widowControl w:val="0"/>
                                <w:ind w:firstLine="567"/>
                                <w:jc w:val="both"/>
                                <w:rPr>
                                  <w:color w:val="000000"/>
                                </w:rPr>
                              </w:pPr>
                              <w:sdt>
                                <w:sdtPr>
                                  <w:alias w:val="Numeris"/>
                                  <w:tag w:val="nr_805f555c3df0455f955500ce35408e94"/>
                                  <w:lock w:val="sdtLocked"/>
                                  <w:richText/>
                                </w:sdtPr>
                                <w:sdtContent>
                                  <w:r>
                                    <w:rPr>
                                      <w:color w:val="000000"/>
                                    </w:rPr>
                                    <w:t>108.2</w:t>
                                  </w:r>
                                </w:sdtContent>
                              </w:sdt>
                              <w:r>
                                <w:rPr>
                                  <w:color w:val="000000"/>
                                </w:rPr>
                                <w:t>. Sandoris yra baigtas arba jo įvykdymo lygis iki paskutinės ataskaitinio laikotarpio dienos gali būti patikimai įvertintas.</w:t>
                              </w:r>
                            </w:p>
                          </w:sdtContent>
                        </w:sdt>
                        <w:sdt>
                          <w:sdtPr>
                            <w:alias w:val="108.3 p."/>
                            <w:tag w:val="part_182234259db8452e8868d252093f0b83"/>
                            <w:lock w:val="sdtLocked"/>
                            <w:richText/>
                          </w:sdtPr>
                          <w:sdtContent>
                            <w:p>
                              <w:pPr>
                                <w:widowControl w:val="0"/>
                                <w:ind w:firstLine="567"/>
                                <w:jc w:val="both"/>
                                <w:rPr>
                                  <w:color w:val="000000"/>
                                </w:rPr>
                              </w:pPr>
                              <w:sdt>
                                <w:sdtPr>
                                  <w:alias w:val="Numeris"/>
                                  <w:tag w:val="nr_182234259db8452e8868d252093f0b83"/>
                                  <w:lock w:val="sdtLocked"/>
                                  <w:richText/>
                                </w:sdtPr>
                                <w:sdtContent>
                                  <w:r>
                                    <w:rPr>
                                      <w:color w:val="000000"/>
                                    </w:rPr>
                                    <w:t>108.3</w:t>
                                  </w:r>
                                </w:sdtContent>
                              </w:sdt>
                              <w:r>
                                <w:rPr>
                                  <w:color w:val="000000"/>
                                </w:rPr>
                                <w:t>. Tikėtina, kad su paslaugų teikimo sandoriu susijusi ekonominė nauda bus gauta.</w:t>
                              </w:r>
                            </w:p>
                          </w:sdtContent>
                        </w:sdt>
                        <w:sdt>
                          <w:sdtPr>
                            <w:alias w:val="108.4 p."/>
                            <w:tag w:val="part_2fa30263ec8840188a67902b5c46a4e7"/>
                            <w:lock w:val="sdtLocked"/>
                            <w:richText/>
                          </w:sdtPr>
                          <w:sdtContent>
                            <w:p>
                              <w:pPr>
                                <w:widowControl w:val="0"/>
                                <w:ind w:firstLine="567"/>
                                <w:jc w:val="both"/>
                                <w:rPr>
                                  <w:color w:val="000000"/>
                                </w:rPr>
                              </w:pPr>
                              <w:sdt>
                                <w:sdtPr>
                                  <w:alias w:val="Numeris"/>
                                  <w:tag w:val="nr_2fa30263ec8840188a67902b5c46a4e7"/>
                                  <w:lock w:val="sdtLocked"/>
                                  <w:richText/>
                                </w:sdtPr>
                                <w:sdtContent>
                                  <w:r>
                                    <w:rPr>
                                      <w:color w:val="000000"/>
                                    </w:rPr>
                                    <w:t>108.4</w:t>
                                  </w:r>
                                </w:sdtContent>
                              </w:sdt>
                              <w:r>
                                <w:rPr>
                                  <w:color w:val="000000"/>
                                </w:rPr>
                                <w:t>. Sąnaudos, susijusios su paslaugų teikimo sandoriu ir jo įvykdymu, gali būti patikimai įvertintos.</w:t>
                              </w:r>
                            </w:p>
                          </w:sdtContent>
                        </w:sdt>
                      </w:sdtContent>
                    </w:sdt>
                    <w:sdt>
                      <w:sdtPr>
                        <w:alias w:val="109 p."/>
                        <w:tag w:val="part_57149349b9d34de799789758d5c9ed24"/>
                        <w:lock w:val="sdtLocked"/>
                        <w:richText/>
                      </w:sdtPr>
                      <w:sdtContent>
                        <w:p>
                          <w:pPr>
                            <w:widowControl w:val="0"/>
                            <w:ind w:firstLine="567"/>
                            <w:jc w:val="both"/>
                            <w:rPr>
                              <w:color w:val="000000"/>
                            </w:rPr>
                          </w:pPr>
                          <w:sdt>
                            <w:sdtPr>
                              <w:alias w:val="Numeris"/>
                              <w:tag w:val="nr_57149349b9d34de799789758d5c9ed24"/>
                              <w:lock w:val="sdtLocked"/>
                              <w:richText/>
                            </w:sdtPr>
                            <w:sdtContent>
                              <w:r>
                                <w:rPr>
                                  <w:color w:val="000000"/>
                                </w:rPr>
                                <w:t>109</w:t>
                              </w:r>
                            </w:sdtContent>
                          </w:sdt>
                          <w:r>
                            <w:rPr>
                              <w:color w:val="000000"/>
                            </w:rPr>
                            <w:t>. Jei sandorio patikimai įvertinti negalima ir nėra galimybių atgauti patirtų išlaidų, jos pripažįstamos sąnaudomis. Pajamų šiuo atveju nepripažįstama.</w:t>
                          </w:r>
                        </w:p>
                      </w:sdtContent>
                    </w:sdt>
                    <w:sdt>
                      <w:sdtPr>
                        <w:alias w:val="110 p."/>
                        <w:tag w:val="part_4e2ba35f926a40cea264bebb3688ce50"/>
                        <w:lock w:val="sdtLocked"/>
                        <w:richText/>
                      </w:sdtPr>
                      <w:sdtContent>
                        <w:p>
                          <w:pPr>
                            <w:widowControl w:val="0"/>
                            <w:ind w:firstLine="567"/>
                            <w:jc w:val="both"/>
                            <w:rPr>
                              <w:b/>
                              <w:bCs/>
                              <w:color w:val="000000"/>
                            </w:rPr>
                          </w:pPr>
                          <w:sdt>
                            <w:sdtPr>
                              <w:alias w:val="Numeris"/>
                              <w:tag w:val="nr_4e2ba35f926a40cea264bebb3688ce50"/>
                              <w:lock w:val="sdtLocked"/>
                              <w:richText/>
                            </w:sdtPr>
                            <w:sdtContent>
                              <w:r>
                                <w:rPr>
                                  <w:color w:val="000000"/>
                                </w:rPr>
                                <w:t>110</w:t>
                              </w:r>
                            </w:sdtContent>
                          </w:sdt>
                          <w:r>
                            <w:rPr>
                              <w:color w:val="000000"/>
                            </w:rPr>
                            <w:t>. Sąnaudos apskaitoje pripažįstamos vadovaujantis kaupimo ir palyginimo principais tą ataskaitinį laikotarpį, kai uždirbamos su jomis susijusios pajamos, neatsižvelgiant į laiką, kada buvo išleisti pinigai. Tais atvejais, kai per ataskaitinį laikotarpį padarytų išlaidų neįmanoma tiesiogiai susieti su uždirbtomis pajamomis ir ateinančiais ataskaitiniais laikotarpiais jos neteiks ekonominės naudos, tokios išlaidos pripažįstamos sąnaudomis tą patį ataskaitinį laikotarpį, kada buvo patirtos.</w:t>
                          </w:r>
                        </w:p>
                      </w:sdtContent>
                    </w:sdt>
                    <w:sdt>
                      <w:sdtPr>
                        <w:alias w:val="111 p."/>
                        <w:tag w:val="part_5e51257e9d414b02a8362b82ac7e6638"/>
                        <w:lock w:val="sdtLocked"/>
                        <w:richText/>
                      </w:sdtPr>
                      <w:sdtContent>
                        <w:p>
                          <w:pPr>
                            <w:widowControl w:val="0"/>
                            <w:ind w:firstLine="567"/>
                            <w:jc w:val="both"/>
                            <w:rPr>
                              <w:color w:val="000000"/>
                            </w:rPr>
                          </w:pPr>
                          <w:sdt>
                            <w:sdtPr>
                              <w:alias w:val="Numeris"/>
                              <w:tag w:val="nr_5e51257e9d414b02a8362b82ac7e6638"/>
                              <w:lock w:val="sdtLocked"/>
                              <w:richText/>
                            </w:sdtPr>
                            <w:sdtContent>
                              <w:r>
                                <w:rPr>
                                  <w:color w:val="000000"/>
                                </w:rPr>
                                <w:t>111</w:t>
                              </w:r>
                            </w:sdtContent>
                          </w:sdt>
                          <w:r>
                            <w:rPr>
                              <w:color w:val="000000"/>
                            </w:rPr>
                            <w:t>. Vykdant statybos ir kitas ilgalaikes sutartis, pajamos pripažįstamos uždirbtomis, atsižvelgiant į darbų įvykdymo lygį. Pagal statybos ir kitas ilgalaikes sutartis patirtos išlaidos pripažįstamos sąnaudomis tą ataskaitinį laikotarpį, kai pripažįstamos pagal šias sutartis uždirbtos pajamos.</w:t>
                          </w:r>
                        </w:p>
                      </w:sdtContent>
                    </w:sdt>
                    <w:sdt>
                      <w:sdtPr>
                        <w:alias w:val="112 p."/>
                        <w:tag w:val="part_4bad051344c6491ea42153b7ab9ee1c5"/>
                        <w:lock w:val="sdtLocked"/>
                        <w:richText/>
                      </w:sdtPr>
                      <w:sdtContent>
                        <w:p>
                          <w:pPr>
                            <w:widowControl w:val="0"/>
                            <w:ind w:firstLine="567"/>
                            <w:jc w:val="both"/>
                            <w:rPr>
                              <w:color w:val="000000"/>
                            </w:rPr>
                          </w:pPr>
                          <w:sdt>
                            <w:sdtPr>
                              <w:alias w:val="Numeris"/>
                              <w:tag w:val="nr_4bad051344c6491ea42153b7ab9ee1c5"/>
                              <w:lock w:val="sdtLocked"/>
                              <w:richText/>
                            </w:sdtPr>
                            <w:sdtContent>
                              <w:r>
                                <w:rPr>
                                  <w:color w:val="000000"/>
                                </w:rPr>
                                <w:t>112</w:t>
                              </w:r>
                            </w:sdtContent>
                          </w:sdt>
                          <w:r>
                            <w:rPr>
                              <w:color w:val="000000"/>
                            </w:rPr>
                            <w:t>. Pardavimo savikainą sudaro paslaugų teikimo sąnaudos, perparduotų prekių ir parduotos produkcijos savikaina. Į šį straipsnį turi būti įtraukiama išlaidų dalis, kuri tiesiogiai susijusi su paslaugomis, produkcija ir prekėmis, parduotomis per ataskaitinį laikotarpį, atėmus jas perkant gautas nuolaidas.</w:t>
                          </w:r>
                        </w:p>
                      </w:sdtContent>
                    </w:sdt>
                    <w:sdt>
                      <w:sdtPr>
                        <w:alias w:val="113 p."/>
                        <w:tag w:val="part_0cc20bc6b3794c50b0da09324bd03792"/>
                        <w:lock w:val="sdtLocked"/>
                        <w:richText/>
                      </w:sdtPr>
                      <w:sdtContent>
                        <w:p>
                          <w:pPr>
                            <w:widowControl w:val="0"/>
                            <w:ind w:firstLine="567"/>
                            <w:jc w:val="both"/>
                            <w:rPr>
                              <w:color w:val="000000"/>
                            </w:rPr>
                          </w:pPr>
                          <w:sdt>
                            <w:sdtPr>
                              <w:alias w:val="Numeris"/>
                              <w:tag w:val="nr_0cc20bc6b3794c50b0da09324bd03792"/>
                              <w:lock w:val="sdtLocked"/>
                              <w:richText/>
                            </w:sdtPr>
                            <w:sdtContent>
                              <w:r>
                                <w:rPr>
                                  <w:color w:val="000000"/>
                                </w:rPr>
                                <w:t>113</w:t>
                              </w:r>
                            </w:sdtContent>
                          </w:sdt>
                          <w:r>
                            <w:rPr>
                              <w:color w:val="000000"/>
                            </w:rPr>
                            <w:t>. Perparduotų prekių ar parduotos produkcijos savikaina nustatoma taikant tuos pačius apskaičiavimo (nuolat ar periodiškai) ir įkainojimo (FIFO, konkrečių kainų) būdus, kurie taikomi perparduoti skirtų prekių ar pagamintos produkcijos apskaitai.</w:t>
                          </w:r>
                        </w:p>
                      </w:sdtContent>
                    </w:sdt>
                    <w:sdt>
                      <w:sdtPr>
                        <w:alias w:val="114 p."/>
                        <w:tag w:val="part_5039d6d0b5934529a538ec9370e385d9"/>
                        <w:lock w:val="sdtLocked"/>
                        <w:richText/>
                      </w:sdtPr>
                      <w:sdtContent>
                        <w:p>
                          <w:pPr>
                            <w:widowControl w:val="0"/>
                            <w:ind w:firstLine="567"/>
                            <w:jc w:val="both"/>
                            <w:rPr>
                              <w:color w:val="000000"/>
                            </w:rPr>
                          </w:pPr>
                          <w:sdt>
                            <w:sdtPr>
                              <w:alias w:val="Numeris"/>
                              <w:tag w:val="nr_5039d6d0b5934529a538ec9370e385d9"/>
                              <w:lock w:val="sdtLocked"/>
                              <w:richText/>
                            </w:sdtPr>
                            <w:sdtContent>
                              <w:r>
                                <w:rPr>
                                  <w:color w:val="000000"/>
                                </w:rPr>
                                <w:t>114</w:t>
                              </w:r>
                            </w:sdtContent>
                          </w:sdt>
                          <w:r>
                            <w:rPr>
                              <w:color w:val="000000"/>
                            </w:rPr>
                            <w:t>. Veiklos sąnaudos atspindi per ataskaitinį laikotarpį patirtas išlaidas, susijusias su tipine įmonės veikla ir sudarančias sąlygas pajamoms per tą laikotarpį uždirbti. Veiklos sąnaudos turi būti pripažįstamos, apskaitoje registruojamos ir finansinėse ataskaitose pateikiamos tą patį ataskaitinį laikotarpį, kurį jos susidarė.</w:t>
                          </w:r>
                        </w:p>
                      </w:sdtContent>
                    </w:sdt>
                    <w:sdt>
                      <w:sdtPr>
                        <w:alias w:val="115 p."/>
                        <w:tag w:val="part_4593689c72f44b8b8fb03f1232f4c700"/>
                        <w:lock w:val="sdtLocked"/>
                        <w:richText/>
                      </w:sdtPr>
                      <w:sdtContent>
                        <w:p>
                          <w:pPr>
                            <w:widowControl w:val="0"/>
                            <w:ind w:firstLine="567"/>
                            <w:jc w:val="both"/>
                            <w:rPr>
                              <w:color w:val="000000"/>
                            </w:rPr>
                          </w:pPr>
                          <w:sdt>
                            <w:sdtPr>
                              <w:alias w:val="Numeris"/>
                              <w:tag w:val="nr_4593689c72f44b8b8fb03f1232f4c700"/>
                              <w:lock w:val="sdtLocked"/>
                              <w:richText/>
                            </w:sdtPr>
                            <w:sdtContent>
                              <w:r>
                                <w:rPr>
                                  <w:color w:val="000000"/>
                                </w:rPr>
                                <w:t>115</w:t>
                              </w:r>
                            </w:sdtContent>
                          </w:sdt>
                          <w:r>
                            <w:rPr>
                              <w:color w:val="000000"/>
                            </w:rPr>
                            <w:t>. Veiklos sąnaudoms priskiriamos draudimo, reprezentavimo, reklamos, komandiruočių išlaidos, įvairūs su veikla susiję mokesčiai, pavyzdžiui, nekilnojamojo turto, nesusigrąžinamas pridėtinės vertės, išskyrus pelno, sumokėtos baudos už netinkamą sutarčių vykdymą ar nekokybišką produkciją, žalos atlyginimas, turto nurašymo, išskyrus jo perleidimą, nuostoliai. Veiklos sąnaudoms taip pat priskiriamos per ataskaitinį laikotarpį patirtos darbo užmokesčio, socialinio draudimo, ilgalaikio turto nusidėvėjimo (amortizacijos), patalpų išlaikymo ar nuomos išlaidos, jei jos nebuvo priskirtos pagamintos produkcijos savikainai, ir kitos išlaidos.</w:t>
                          </w:r>
                        </w:p>
                      </w:sdtContent>
                    </w:sdt>
                    <w:sdt>
                      <w:sdtPr>
                        <w:alias w:val="116 p."/>
                        <w:tag w:val="part_6cd7cf6414df4db3bc88ce46123a723d"/>
                        <w:lock w:val="sdtLocked"/>
                        <w:richText/>
                      </w:sdtPr>
                      <w:sdtContent>
                        <w:p>
                          <w:pPr>
                            <w:widowControl w:val="0"/>
                            <w:ind w:firstLine="567"/>
                            <w:jc w:val="both"/>
                            <w:rPr>
                              <w:color w:val="000000"/>
                            </w:rPr>
                          </w:pPr>
                          <w:sdt>
                            <w:sdtPr>
                              <w:alias w:val="Numeris"/>
                              <w:tag w:val="nr_6cd7cf6414df4db3bc88ce46123a723d"/>
                              <w:lock w:val="sdtLocked"/>
                              <w:richText/>
                            </w:sdtPr>
                            <w:sdtContent>
                              <w:r>
                                <w:rPr>
                                  <w:color w:val="000000"/>
                                </w:rPr>
                                <w:t>116</w:t>
                              </w:r>
                            </w:sdtContent>
                          </w:sdt>
                          <w:r>
                            <w:rPr>
                              <w:color w:val="000000"/>
                            </w:rPr>
                            <w:t>. Kitos veiklos straipsnyje parodoma nematerialiojo ir ilgalaikio materialiojo turto perleidimo pelnas (nuostolis) ir kitos su tipine įmonės veikla nesusijusios pajamos ar sąnaudos.</w:t>
                          </w:r>
                        </w:p>
                      </w:sdtContent>
                    </w:sdt>
                    <w:sdt>
                      <w:sdtPr>
                        <w:alias w:val="117 p."/>
                        <w:tag w:val="part_69e7b66bc89f4db782afccce69d05ec0"/>
                        <w:lock w:val="sdtLocked"/>
                        <w:richText/>
                      </w:sdtPr>
                      <w:sdtContent>
                        <w:p>
                          <w:pPr>
                            <w:widowControl w:val="0"/>
                            <w:ind w:firstLine="567"/>
                            <w:jc w:val="both"/>
                            <w:rPr>
                              <w:color w:val="000000"/>
                            </w:rPr>
                          </w:pPr>
                          <w:sdt>
                            <w:sdtPr>
                              <w:alias w:val="Numeris"/>
                              <w:tag w:val="nr_69e7b66bc89f4db782afccce69d05ec0"/>
                              <w:lock w:val="sdtLocked"/>
                              <w:richText/>
                            </w:sdtPr>
                            <w:sdtContent>
                              <w:r>
                                <w:rPr>
                                  <w:color w:val="000000"/>
                                </w:rPr>
                                <w:t>117</w:t>
                              </w:r>
                            </w:sdtContent>
                          </w:sdt>
                          <w:r>
                            <w:rPr>
                              <w:color w:val="000000"/>
                            </w:rPr>
                            <w:t>. Finansinės ir investicinės veiklos straipsnyje parodoma palūkanos už gautas ir (ar) suteiktas paskolas ar banke laikomus pinigus, pelnas (nuostoliai) dėl valiutos kurso pokyčio, gautos ir sumokėtos baudos ir delspinigiai už pavėluotus atsiskaitymus, gauti dividendai, palūkanos už finansinės nuomos būdu įsigyjamą turtą, finansinio turto ir įsipareigojimų perleidimo rezultatas ir kitos su finansine ir investicine veikla susijusios pajamos ar sąnaudos.</w:t>
                          </w:r>
                        </w:p>
                      </w:sdtContent>
                    </w:sdt>
                    <w:sdt>
                      <w:sdtPr>
                        <w:alias w:val="118 p."/>
                        <w:tag w:val="part_2ca8b7ef89994e59a787819f4473f5c1"/>
                        <w:lock w:val="sdtLocked"/>
                        <w:richText/>
                      </w:sdtPr>
                      <w:sdtContent>
                        <w:p>
                          <w:pPr>
                            <w:ind w:firstLine="567"/>
                            <w:jc w:val="both"/>
                            <w:rPr>
                              <w:color w:val="000000"/>
                            </w:rPr>
                          </w:pPr>
                          <w:sdt>
                            <w:sdtPr>
                              <w:alias w:val="Numeris"/>
                              <w:tag w:val="nr_2ca8b7ef89994e59a787819f4473f5c1"/>
                              <w:lock w:val="sdtLocked"/>
                              <w:richText/>
                            </w:sdtPr>
                            <w:sdtContent>
                              <w:r>
                                <w:rPr>
                                  <w:szCs w:val="24"/>
                                </w:rPr>
                                <w:t>118</w:t>
                              </w:r>
                            </w:sdtContent>
                          </w:sdt>
                          <w:r>
                            <w:rPr>
                              <w:szCs w:val="24"/>
                            </w:rPr>
                            <w:t>. Pelno mokesčio straipsnyje parodomos pelno mokesčio sąnaudos, apskaičiuotos pagal ataskaitinio laikotarpio finansinių ataskaitų duomenis ir Lietuvos Respublikos pelno mokesčio įstatymo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2367b0674811e58e1ab2c84776483b">
                            <w:r w:rsidRPr="00532B9F">
                              <w:rPr>
                                <w:rFonts w:ascii="Times New Roman" w:eastAsia="MS Mincho" w:hAnsi="Times New Roman"/>
                                <w:sz w:val="20"/>
                                <w:i/>
                                <w:iCs/>
                                <w:color w:val="0000FF" w:themeColor="hyperlink"/>
                                <w:u w:val="single"/>
                              </w:rPr>
                              <w:t>VAS-48</w:t>
                            </w:r>
                          </w:fldSimple>
                          <w:r>
                            <w:rPr>
                              <w:rFonts w:ascii="Times New Roman" w:eastAsia="MS Mincho" w:hAnsi="Times New Roman"/>
                              <w:sz w:val="20"/>
                              <w:i/>
                              <w:iCs/>
                            </w:rPr>
                            <w:t>,
2015-09-24,
paskelbta TAR 2015-09-30, i. k. 2015-14490            </w:t>
                          </w:r>
                        </w:p>
                        <w:p/>
                      </w:sdtContent>
                    </w:sdt>
                    <w:sdt>
                      <w:sdtPr>
                        <w:alias w:val="119 p."/>
                        <w:tag w:val="part_d24ab23045934f87b53c8ab712a10a47"/>
                        <w:lock w:val="sdtLocked"/>
                        <w:richText/>
                      </w:sdtPr>
                      <w:sdtContent>
                        <w:p>
                          <w:pPr>
                            <w:widowControl w:val="0"/>
                            <w:ind w:firstLine="567"/>
                            <w:jc w:val="both"/>
                            <w:rPr>
                              <w:color w:val="000000"/>
                            </w:rPr>
                          </w:pPr>
                          <w:sdt>
                            <w:sdtPr>
                              <w:alias w:val="Numeris"/>
                              <w:tag w:val="nr_d24ab23045934f87b53c8ab712a10a47"/>
                              <w:lock w:val="sdtLocked"/>
                              <w:richText/>
                            </w:sdtPr>
                            <w:sdtContent>
                              <w:r>
                                <w:rPr>
                                  <w:color w:val="000000"/>
                                </w:rPr>
                                <w:t>119</w:t>
                              </w:r>
                            </w:sdtContent>
                          </w:sdt>
                          <w:r>
                            <w:rPr>
                              <w:color w:val="000000"/>
                            </w:rPr>
                            <w:t>. Turi būti apskaičiuoti ir pelno (nuostolių) ataskaitoje pateikti ataskaitinio laikotarpio tipinės ir visos įmonės veiklos rezultatai (bendrasis pelnas (nuostoliai), tipinės veiklos pelnas (nuostoliai), pelnas (nuostoliai) prieš apmokestinimą ir grynasis pelnas (nuostoliai). Grynasis pelnas (nuostoliai) parodo galutinį įmonės veiklos rezultatą, t. y. uždirbtą pelną, kuris gali būti skirstomas, arba nuostolius.</w:t>
                          </w:r>
                        </w:p>
                        <w:p>
                          <w:pPr>
                            <w:widowControl w:val="0"/>
                            <w:ind w:firstLine="567"/>
                            <w:jc w:val="both"/>
                            <w:rPr>
                              <w:color w:val="000000"/>
                            </w:rPr>
                          </w:pPr>
                        </w:p>
                      </w:sdtContent>
                    </w:sdt>
                  </w:sdtContent>
                </w:sdt>
                <w:sdt>
                  <w:sdtPr>
                    <w:alias w:val="skyrius"/>
                    <w:tag w:val="part_a03f20a3ed6448c69c962cfdfdbf7b84"/>
                    <w:lock w:val="sdtLocked"/>
                    <w:richText/>
                  </w:sdtPr>
                  <w:sdtContent>
                    <w:p>
                      <w:pPr>
                        <w:widowControl w:val="0"/>
                        <w:jc w:val="center"/>
                        <w:rPr>
                          <w:b/>
                          <w:bCs/>
                          <w:caps/>
                          <w:color w:val="000000"/>
                        </w:rPr>
                      </w:pPr>
                      <w:r>
                        <w:rPr>
                          <w:b/>
                          <w:bCs/>
                          <w:caps/>
                          <w:color w:val="000000"/>
                        </w:rPr>
                        <w:br w:type="page"/>
                      </w:r>
                      <w:sdt>
                        <w:sdtPr>
                          <w:alias w:val="Numeris"/>
                          <w:tag w:val="nr_a03f20a3ed6448c69c962cfdfdbf7b84"/>
                          <w:lock w:val="sdtLocked"/>
                          <w:richText/>
                        </w:sdtPr>
                        <w:sdtContent>
                          <w:r>
                            <w:rPr>
                              <w:b/>
                              <w:bCs/>
                              <w:caps/>
                              <w:color w:val="000000"/>
                            </w:rPr>
                            <w:t>V</w:t>
                          </w:r>
                        </w:sdtContent>
                      </w:sdt>
                      <w:r>
                        <w:rPr>
                          <w:b/>
                          <w:bCs/>
                          <w:caps/>
                          <w:color w:val="000000"/>
                        </w:rPr>
                        <w:t xml:space="preserve">. </w:t>
                      </w:r>
                      <w:sdt>
                        <w:sdtPr>
                          <w:alias w:val="Pavadinimas"/>
                          <w:tag w:val="title_a03f20a3ed6448c69c962cfdfdbf7b84"/>
                          <w:lock w:val="sdtLocked"/>
                          <w:richText/>
                        </w:sdtPr>
                        <w:sdtContent>
                          <w:r>
                            <w:rPr>
                              <w:b/>
                              <w:bCs/>
                              <w:caps/>
                              <w:color w:val="000000"/>
                            </w:rPr>
                            <w:t>NERIBOTOS CIVILINĖS ATSAKOMYBĖS JURIDINIŲ ASMENŲ NUOSAVAS KAPITALAS</w:t>
                          </w:r>
                        </w:sdtContent>
                      </w:sdt>
                    </w:p>
                    <w:p>
                      <w:pPr>
                        <w:widowControl w:val="0"/>
                        <w:ind w:firstLine="567"/>
                        <w:jc w:val="both"/>
                        <w:rPr>
                          <w:color w:val="000000"/>
                        </w:rP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2367b0674811e58e1ab2c84776483b">
                        <w:r w:rsidRPr="00532B9F">
                          <w:rPr>
                            <w:rFonts w:ascii="Times New Roman" w:eastAsia="MS Mincho" w:hAnsi="Times New Roman"/>
                            <w:sz w:val="20"/>
                            <w:i/>
                            <w:iCs/>
                            <w:color w:val="0000FF" w:themeColor="hyperlink"/>
                            <w:u w:val="single"/>
                          </w:rPr>
                          <w:t>VAS-48</w:t>
                        </w:r>
                      </w:fldSimple>
                      <w:r>
                        <w:rPr>
                          <w:rFonts w:ascii="Times New Roman" w:eastAsia="MS Mincho" w:hAnsi="Times New Roman"/>
                          <w:sz w:val="20"/>
                          <w:i/>
                          <w:iCs/>
                        </w:rPr>
                        <w:t>,
2015-09-24,
paskelbta TAR 2015-09-30, i. k. 2015-14490        </w:t>
                      </w:r>
                    </w:p>
                    <w:p/>
                    <w:sdt>
                      <w:sdtPr>
                        <w:alias w:val="120 p."/>
                        <w:tag w:val="part_070be6c1c34b4c129d6aa5d0f68575af"/>
                        <w:lock w:val="sdtLocked"/>
                        <w:richText/>
                      </w:sdtPr>
                      <w:sdtContent>
                        <w:p>
                          <w:pPr>
                            <w:widowControl w:val="0"/>
                            <w:ind w:firstLine="567"/>
                            <w:jc w:val="both"/>
                            <w:rPr>
                              <w:color w:val="000000"/>
                            </w:rPr>
                          </w:pPr>
                          <w:sdt>
                            <w:sdtPr>
                              <w:alias w:val="Numeris"/>
                              <w:tag w:val="nr_070be6c1c34b4c129d6aa5d0f68575af"/>
                              <w:lock w:val="sdtLocked"/>
                              <w:richText/>
                            </w:sdtPr>
                            <w:sdtContent>
                              <w:r>
                                <w:rPr>
                                  <w:color w:val="000000"/>
                                </w:rPr>
                                <w:t>120</w:t>
                              </w:r>
                            </w:sdtContent>
                          </w:sdt>
                          <w:r>
                            <w:rPr>
                              <w:color w:val="000000"/>
                            </w:rPr>
                            <w:t>. Neribotos civilinės atsakomybės juridinių asmenų nuosavą kapitalą sudaro individualios įmonės savininko, ūkinės bendrijos tikrųjų narių ar komanditorių įnašai, per ataskaitinį ir ankstesnius ataskaitinius laikotarpius uždirbtas, bet dar nepaskirstytas, pelnas arba nepadengti nuostoliai.</w:t>
                          </w:r>
                        </w:p>
                      </w:sdtContent>
                    </w:sdt>
                    <w:sdt>
                      <w:sdtPr>
                        <w:alias w:val="121 p."/>
                        <w:tag w:val="part_ffd079e9e0ce4d298df7cb1987548232"/>
                        <w:lock w:val="sdtLocked"/>
                        <w:richText/>
                      </w:sdtPr>
                      <w:sdtContent>
                        <w:p>
                          <w:pPr>
                            <w:widowControl w:val="0"/>
                            <w:ind w:firstLine="567"/>
                            <w:jc w:val="both"/>
                            <w:rPr>
                              <w:color w:val="000000"/>
                            </w:rPr>
                          </w:pPr>
                          <w:sdt>
                            <w:sdtPr>
                              <w:alias w:val="Numeris"/>
                              <w:tag w:val="nr_ffd079e9e0ce4d298df7cb1987548232"/>
                              <w:lock w:val="sdtLocked"/>
                              <w:richText/>
                            </w:sdtPr>
                            <w:sdtContent>
                              <w:r>
                                <w:rPr>
                                  <w:color w:val="000000"/>
                                </w:rPr>
                                <w:t>121</w:t>
                              </w:r>
                            </w:sdtContent>
                          </w:sdt>
                          <w:r>
                            <w:rPr>
                              <w:color w:val="000000"/>
                            </w:rPr>
                            <w:t xml:space="preserve">. Savininkų įnašų straipsnyje parodoma individualiai įmonei jo savininko perduotų pinigų ar kitokio savininkui nuosavybės teise priklausančio turto vertė, nustatyta pagal teisės aktų reikalavimus. </w:t>
                          </w:r>
                        </w:p>
                      </w:sdtContent>
                    </w:sdt>
                    <w:sdt>
                      <w:sdtPr>
                        <w:alias w:val="122 p."/>
                        <w:tag w:val="part_532d3418bb904d50a480887dc39235b1"/>
                        <w:lock w:val="sdtLocked"/>
                        <w:richText/>
                      </w:sdtPr>
                      <w:sdtContent>
                        <w:p>
                          <w:pPr>
                            <w:widowControl w:val="0"/>
                            <w:ind w:firstLine="567"/>
                            <w:jc w:val="both"/>
                            <w:rPr>
                              <w:szCs w:val="24"/>
                            </w:rPr>
                          </w:pPr>
                          <w:sdt>
                            <w:sdtPr>
                              <w:alias w:val="Numeris"/>
                              <w:tag w:val="nr_532d3418bb904d50a480887dc39235b1"/>
                              <w:lock w:val="sdtLocked"/>
                              <w:richText/>
                            </w:sdtPr>
                            <w:sdtContent>
                              <w:r>
                                <w:rPr>
                                  <w:szCs w:val="24"/>
                                </w:rPr>
                                <w:t>122</w:t>
                              </w:r>
                            </w:sdtContent>
                          </w:sdt>
                          <w:r>
                            <w:rPr>
                              <w:szCs w:val="24"/>
                            </w:rPr>
                            <w:t>. Savininkų įnašų padidėjimas apskaitoje registruojamas ir balanso nuosavo kapitalo dalyje parodomas, kai teisės aktų nustatyta tvarka:</w:t>
                          </w:r>
                        </w:p>
                        <w:sdt>
                          <w:sdtPr>
                            <w:alias w:val="122.1 p."/>
                            <w:tag w:val="part_255d70fc99dd4d3e93474e0dc13f2b1b"/>
                            <w:lock w:val="sdtLocked"/>
                            <w:richText/>
                          </w:sdtPr>
                          <w:sdtContent>
                            <w:p>
                              <w:pPr>
                                <w:widowControl w:val="0"/>
                                <w:tabs>
                                  <w:tab w:val="left" w:pos="1560"/>
                                </w:tabs>
                                <w:ind w:firstLine="567"/>
                                <w:jc w:val="both"/>
                                <w:rPr>
                                  <w:szCs w:val="24"/>
                                </w:rPr>
                              </w:pPr>
                              <w:sdt>
                                <w:sdtPr>
                                  <w:alias w:val="Numeris"/>
                                  <w:tag w:val="nr_255d70fc99dd4d3e93474e0dc13f2b1b"/>
                                  <w:lock w:val="sdtLocked"/>
                                  <w:richText/>
                                </w:sdtPr>
                                <w:sdtContent>
                                  <w:r>
                                    <w:rPr>
                                      <w:szCs w:val="24"/>
                                    </w:rPr>
                                    <w:t>122.1</w:t>
                                  </w:r>
                                </w:sdtContent>
                              </w:sdt>
                              <w:r>
                                <w:rPr>
                                  <w:szCs w:val="24"/>
                                </w:rPr>
                                <w:t>. Individualios įmonės savininkas perduoda pinigus arba jam nuosavybės teise priklausantį turtą individualios įmonės nuosavybėn.</w:t>
                              </w:r>
                            </w:p>
                          </w:sdtContent>
                        </w:sdt>
                        <w:sdt>
                          <w:sdtPr>
                            <w:alias w:val="122.2 p."/>
                            <w:tag w:val="part_42912bc1632e44ddbb84867c68d9e71b"/>
                            <w:lock w:val="sdtLocked"/>
                            <w:richText/>
                          </w:sdtPr>
                          <w:sdtContent>
                            <w:p>
                              <w:pPr>
                                <w:widowControl w:val="0"/>
                                <w:tabs>
                                  <w:tab w:val="left" w:pos="1560"/>
                                </w:tabs>
                                <w:ind w:firstLine="567"/>
                                <w:jc w:val="both"/>
                                <w:rPr>
                                  <w:color w:val="000000"/>
                                </w:rPr>
                              </w:pPr>
                              <w:sdt>
                                <w:sdtPr>
                                  <w:alias w:val="Numeris"/>
                                  <w:tag w:val="nr_42912bc1632e44ddbb84867c68d9e71b"/>
                                  <w:lock w:val="sdtLocked"/>
                                  <w:richText/>
                                </w:sdtPr>
                                <w:sdtContent>
                                  <w:r>
                                    <w:rPr>
                                      <w:szCs w:val="24"/>
                                    </w:rPr>
                                    <w:t>122.2</w:t>
                                  </w:r>
                                </w:sdtContent>
                              </w:sdt>
                              <w:r>
                                <w:rPr>
                                  <w:szCs w:val="24"/>
                                </w:rPr>
                                <w:t>. Ūkinė bendrija įregistruoja bendrijos veiklos sutarties pakeitimus dėl tikrųjų narių ar komanditorių įsipareigojimų įnešti įnašus į bendriją.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2367b0674811e58e1ab2c84776483b">
                            <w:r w:rsidRPr="00532B9F">
                              <w:rPr>
                                <w:rFonts w:ascii="Times New Roman" w:eastAsia="MS Mincho" w:hAnsi="Times New Roman"/>
                                <w:sz w:val="20"/>
                                <w:i/>
                                <w:iCs/>
                                <w:color w:val="0000FF" w:themeColor="hyperlink"/>
                                <w:u w:val="single"/>
                              </w:rPr>
                              <w:t>VAS-48</w:t>
                            </w:r>
                          </w:fldSimple>
                          <w:r>
                            <w:rPr>
                              <w:rFonts w:ascii="Times New Roman" w:eastAsia="MS Mincho" w:hAnsi="Times New Roman"/>
                              <w:sz w:val="20"/>
                              <w:i/>
                              <w:iCs/>
                            </w:rPr>
                            <w:t>,
2015-09-24,
paskelbta TAR 2015-09-30, i. k. 2015-14490            </w:t>
                          </w:r>
                        </w:p>
                        <w:p/>
                      </w:sdtContent>
                    </w:sdt>
                    <w:sdt>
                      <w:sdtPr>
                        <w:alias w:val="123 p."/>
                        <w:tag w:val="part_d00dec5859ec4ff4875eb687b85a92f8"/>
                        <w:lock w:val="sdtLocked"/>
                        <w:richText/>
                      </w:sdtPr>
                      <w:sdtContent>
                        <w:p>
                          <w:pPr>
                            <w:widowControl w:val="0"/>
                            <w:ind w:firstLine="567"/>
                            <w:jc w:val="both"/>
                            <w:rPr>
                              <w:color w:val="000000"/>
                            </w:rPr>
                          </w:pPr>
                          <w:sdt>
                            <w:sdtPr>
                              <w:alias w:val="Numeris"/>
                              <w:tag w:val="nr_d00dec5859ec4ff4875eb687b85a92f8"/>
                              <w:lock w:val="sdtLocked"/>
                              <w:richText/>
                            </w:sdtPr>
                            <w:sdtContent>
                              <w:r>
                                <w:rPr>
                                  <w:szCs w:val="24"/>
                                </w:rPr>
                                <w:t>123</w:t>
                              </w:r>
                            </w:sdtContent>
                          </w:sdt>
                          <w:r>
                            <w:rPr>
                              <w:szCs w:val="24"/>
                            </w:rPr>
                            <w:t>. Bendrijos veiklos sutarties ar jos pakeitimo įregistravimo dieną apskaitoje registruojama visa bendrijos veiklos sutartyje nurodyta įnašų suma. Tikrųjų narių ar komanditorių dar nesumokėta dalis apskaitoje registruojama kontrarinėje savininkų įnašų sąskaitoje, kaip iš jų gautini įnašai. Ūkinės bendrijos balanso nuosavo kapitalo dalyje parodomi faktiškai iš savininkų gauti įnašai.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2367b0674811e58e1ab2c84776483b">
                            <w:r w:rsidRPr="00532B9F">
                              <w:rPr>
                                <w:rFonts w:ascii="Times New Roman" w:eastAsia="MS Mincho" w:hAnsi="Times New Roman"/>
                                <w:sz w:val="20"/>
                                <w:i/>
                                <w:iCs/>
                                <w:color w:val="0000FF" w:themeColor="hyperlink"/>
                                <w:u w:val="single"/>
                              </w:rPr>
                              <w:t>VAS-48</w:t>
                            </w:r>
                          </w:fldSimple>
                          <w:r>
                            <w:rPr>
                              <w:rFonts w:ascii="Times New Roman" w:eastAsia="MS Mincho" w:hAnsi="Times New Roman"/>
                              <w:sz w:val="20"/>
                              <w:i/>
                              <w:iCs/>
                            </w:rPr>
                            <w:t>,
2015-09-24,
paskelbta TAR 2015-09-30, i. k. 2015-14490            </w:t>
                          </w:r>
                        </w:p>
                        <w:p/>
                      </w:sdtContent>
                    </w:sdt>
                    <w:sdt>
                      <w:sdtPr>
                        <w:alias w:val="124 p."/>
                        <w:tag w:val="part_77c4a2345b0d41a8bb97bf3286bd821b"/>
                        <w:lock w:val="sdtLocked"/>
                        <w:richText/>
                      </w:sdtPr>
                      <w:sdtContent>
                        <w:p>
                          <w:pPr>
                            <w:widowControl w:val="0"/>
                            <w:ind w:firstLine="567"/>
                            <w:jc w:val="both"/>
                            <w:rPr>
                              <w:color w:val="000000"/>
                            </w:rPr>
                          </w:pPr>
                          <w:sdt>
                            <w:sdtPr>
                              <w:alias w:val="Numeris"/>
                              <w:tag w:val="nr_77c4a2345b0d41a8bb97bf3286bd821b"/>
                              <w:lock w:val="sdtLocked"/>
                              <w:richText/>
                            </w:sdtPr>
                            <w:sdtContent>
                              <w:r>
                                <w:rPr>
                                  <w:color w:val="000000"/>
                                </w:rPr>
                                <w:t>124</w:t>
                              </w:r>
                            </w:sdtContent>
                          </w:sdt>
                          <w:r>
                            <w:rPr>
                              <w:color w:val="000000"/>
                            </w:rPr>
                            <w:t>. Savininkų įnašų sumažėjimas apskaitoje registruojamas, kai teisės aktų nustatyta tvarka:</w:t>
                          </w:r>
                        </w:p>
                        <w:sdt>
                          <w:sdtPr>
                            <w:alias w:val="124.1 p."/>
                            <w:tag w:val="part_e906260a129b4afb9560459076b51047"/>
                            <w:lock w:val="sdtLocked"/>
                            <w:richText/>
                          </w:sdtPr>
                          <w:sdtContent>
                            <w:p>
                              <w:pPr>
                                <w:widowControl w:val="0"/>
                                <w:ind w:firstLine="567"/>
                                <w:jc w:val="both"/>
                                <w:rPr>
                                  <w:color w:val="000000"/>
                                </w:rPr>
                              </w:pPr>
                              <w:sdt>
                                <w:sdtPr>
                                  <w:alias w:val="Numeris"/>
                                  <w:tag w:val="nr_e906260a129b4afb9560459076b51047"/>
                                  <w:lock w:val="sdtLocked"/>
                                  <w:richText/>
                                </w:sdtPr>
                                <w:sdtContent>
                                  <w:r>
                                    <w:rPr>
                                      <w:color w:val="000000"/>
                                    </w:rPr>
                                    <w:t>124.1</w:t>
                                  </w:r>
                                </w:sdtContent>
                              </w:sdt>
                              <w:r>
                                <w:rPr>
                                  <w:color w:val="000000"/>
                                </w:rPr>
                                <w:t xml:space="preserve">. Individualios įmonės savininkas iš individualios įmonės atsiima savo piniginį ar turtinį įnašą. </w:t>
                              </w:r>
                            </w:p>
                          </w:sdtContent>
                        </w:sdt>
                        <w:sdt>
                          <w:sdtPr>
                            <w:alias w:val="124.2 p."/>
                            <w:tag w:val="part_914e17eb5f4841529e0af58ff32a7b2a"/>
                            <w:lock w:val="sdtLocked"/>
                            <w:richText/>
                          </w:sdtPr>
                          <w:sdtContent>
                            <w:p>
                              <w:pPr>
                                <w:widowControl w:val="0"/>
                                <w:ind w:firstLine="567"/>
                                <w:jc w:val="both"/>
                                <w:rPr>
                                  <w:color w:val="000000"/>
                                </w:rPr>
                              </w:pPr>
                              <w:sdt>
                                <w:sdtPr>
                                  <w:alias w:val="Numeris"/>
                                  <w:tag w:val="nr_914e17eb5f4841529e0af58ff32a7b2a"/>
                                  <w:lock w:val="sdtLocked"/>
                                  <w:richText/>
                                </w:sdtPr>
                                <w:sdtContent>
                                  <w:r>
                                    <w:rPr>
                                      <w:color w:val="000000"/>
                                    </w:rPr>
                                    <w:t>124.2</w:t>
                                  </w:r>
                                </w:sdtContent>
                              </w:sdt>
                              <w:r>
                                <w:rPr>
                                  <w:color w:val="000000"/>
                                </w:rPr>
                                <w:t>. Ūkinė bendrija įregistruoja bendrijos veiklos sutarties pakeitimą dėl bendrijos tikrojo nario ar komanditoriaus pasitraukimo iš bendrijos ir apskaitoje užregistruoja savo įsipareigojimą iš bendrijos pasitraukusiam asmeniui.</w:t>
                              </w:r>
                            </w:p>
                          </w:sdtContent>
                        </w:sdt>
                      </w:sdtContent>
                    </w:sdt>
                    <w:sdt>
                      <w:sdtPr>
                        <w:alias w:val="125 p."/>
                        <w:tag w:val="part_9294cf19c64742218a18e83271f2f49c"/>
                        <w:lock w:val="sdtLocked"/>
                        <w:richText/>
                      </w:sdtPr>
                      <w:sdtContent>
                        <w:p>
                          <w:pPr>
                            <w:widowControl w:val="0"/>
                            <w:ind w:firstLine="567"/>
                            <w:jc w:val="both"/>
                            <w:rPr>
                              <w:color w:val="000000"/>
                            </w:rPr>
                          </w:pPr>
                          <w:sdt>
                            <w:sdtPr>
                              <w:alias w:val="Numeris"/>
                              <w:tag w:val="nr_9294cf19c64742218a18e83271f2f49c"/>
                              <w:lock w:val="sdtLocked"/>
                              <w:richText/>
                            </w:sdtPr>
                            <w:sdtContent>
                              <w:r>
                                <w:rPr>
                                  <w:color w:val="000000"/>
                                </w:rPr>
                                <w:t>125</w:t>
                              </w:r>
                            </w:sdtContent>
                          </w:sdt>
                          <w:r>
                            <w:rPr>
                              <w:color w:val="000000"/>
                            </w:rPr>
                            <w:t>. Kai iš ūkinės bendrijos pasitraukiančiam tikrajam nariui ar komanditoriui grąžinamas jo įnašas, apskaitoje bendra savininkų įnašų suma, jeigu ko kita nenurodyta bendrijos veiklos sutartyje, mažinama tikrojo nario ar komanditoriaus įnašo, atitinkančio bendrijos turto dalį, verte, o nepaskirstytasis pelnas (nuostoliai) – tikrajam nariui ar komanditoriui tenkančia pelno (nuostolių) dalimi.</w:t>
                          </w:r>
                        </w:p>
                      </w:sdtContent>
                    </w:sdt>
                    <w:sdt>
                      <w:sdtPr>
                        <w:alias w:val="126 p."/>
                        <w:tag w:val="part_fb54f8183924482bb791caf87b40e852"/>
                        <w:lock w:val="sdtLocked"/>
                        <w:richText/>
                      </w:sdtPr>
                      <w:sdtContent>
                        <w:p>
                          <w:pPr>
                            <w:widowControl w:val="0"/>
                            <w:ind w:firstLine="567"/>
                            <w:jc w:val="both"/>
                            <w:rPr>
                              <w:color w:val="000000"/>
                            </w:rPr>
                          </w:pPr>
                          <w:sdt>
                            <w:sdtPr>
                              <w:alias w:val="Numeris"/>
                              <w:tag w:val="nr_fb54f8183924482bb791caf87b40e852"/>
                              <w:lock w:val="sdtLocked"/>
                              <w:richText/>
                            </w:sdtPr>
                            <w:sdtContent>
                              <w:r>
                                <w:rPr>
                                  <w:color w:val="000000"/>
                                </w:rPr>
                                <w:t>126</w:t>
                              </w:r>
                            </w:sdtContent>
                          </w:sdt>
                          <w:r>
                            <w:rPr>
                              <w:color w:val="000000"/>
                            </w:rPr>
                            <w:t xml:space="preserve">. Neribotos civilinės atsakomybės juridinio asmens nepaskirstytąjį pelną sudaro uždirbtas pelnas, o nepaskirstytuosius nuostolius – patirti nuostoliai. Nepaskirstytasis pelnas didinamas registruojant apskaitoje ataskaitinio laikotarpio grynąjį pelną, mažinamas registruojant ataskaitinio laikotarpio nuostolius, išmokėjus individualios įmonės savininkui pelną ar ūkinės bendrijos tikriesiems nariams priėmus sprendimą paskirstyti pelną. </w:t>
                          </w:r>
                        </w:p>
                      </w:sdtContent>
                    </w:sdt>
                    <w:sdt>
                      <w:sdtPr>
                        <w:alias w:val="127 p."/>
                        <w:tag w:val="part_d6f610af534845c98abf3a64f9a40673"/>
                        <w:lock w:val="sdtLocked"/>
                        <w:richText/>
                      </w:sdtPr>
                      <w:sdtContent>
                        <w:p>
                          <w:pPr>
                            <w:widowControl w:val="0"/>
                            <w:ind w:firstLine="567"/>
                            <w:jc w:val="both"/>
                            <w:rPr>
                              <w:color w:val="000000"/>
                            </w:rPr>
                          </w:pPr>
                          <w:sdt>
                            <w:sdtPr>
                              <w:alias w:val="Numeris"/>
                              <w:tag w:val="nr_d6f610af534845c98abf3a64f9a40673"/>
                              <w:lock w:val="sdtLocked"/>
                              <w:richText/>
                            </w:sdtPr>
                            <w:sdtContent>
                              <w:r>
                                <w:rPr>
                                  <w:color w:val="000000"/>
                                </w:rPr>
                                <w:t>127</w:t>
                              </w:r>
                            </w:sdtContent>
                          </w:sdt>
                          <w:r>
                            <w:rPr>
                              <w:color w:val="000000"/>
                            </w:rPr>
                            <w:t>. Nepaskirstytieji nuostoliai mažinami registruojant apskaitoje grynąjį ataskaitinio laikotarpio pelną, gavus savininkų įnašus nuostoliams padengti. Nepaskirstytieji nuostoliai didinami registruojant apskaitoje per ataskaitinį laikotarpį patirtus nuostolius.</w:t>
                          </w:r>
                        </w:p>
                      </w:sdtContent>
                    </w:sdt>
                    <w:sdt>
                      <w:sdtPr>
                        <w:alias w:val="128 p."/>
                        <w:tag w:val="part_8461c442db4f4affb18c6ddec5d97ac8"/>
                        <w:lock w:val="sdtLocked"/>
                        <w:richText/>
                      </w:sdtPr>
                      <w:sdtContent>
                        <w:p>
                          <w:pPr>
                            <w:pStyle w:val="PlainText"/>
                            <w:ind w:firstLine="567"/>
                            <w:jc w:val="both"/>
                            <w:rPr>
                              <w:rFonts w:ascii="Times New Roman" w:hAnsi="Times New Roman"/>
                              <w:b/>
                              <w:bCs/>
                              <w:sz w:val="22"/>
                            </w:rPr>
                          </w:pPr>
                          <w:r>
                            <w:rPr>
                              <w:rFonts w:ascii="Times New Roman" w:hAnsi="Times New Roman"/>
                              <w:sz w:val="22"/>
                            </w:rPr>
                            <w:t>128</w:t>
                          </w:r>
                          <w:r>
                            <w:rPr>
                              <w:rFonts w:ascii="Times New Roman" w:hAnsi="Times New Roman"/>
                              <w:sz w:val="22"/>
                            </w:rPr>
                            <w:t>.</w:t>
                          </w:r>
                          <w:r>
                            <w:rPr>
                              <w:rFonts w:ascii="Times New Roman" w:eastAsia="MS Mincho" w:hAnsi="Times New Roman"/>
                              <w:sz w:val="20"/>
                              <w:i/>
                              <w:iCs/>
                            </w:rPr>
                            <w:t xml:space="preserve"> Neteko galios nuo 2016-01-01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2367b0674811e58e1ab2c84776483b">
                            <w:r w:rsidRPr="00532B9F">
                              <w:rPr>
                                <w:rFonts w:ascii="Times New Roman" w:eastAsia="MS Mincho" w:hAnsi="Times New Roman"/>
                                <w:sz w:val="20"/>
                                <w:i/>
                                <w:iCs/>
                                <w:color w:val="0000FF" w:themeColor="hyperlink"/>
                                <w:u w:val="single"/>
                              </w:rPr>
                              <w:t>VAS-48</w:t>
                            </w:r>
                          </w:fldSimple>
                          <w:r>
                            <w:rPr>
                              <w:rFonts w:ascii="Times New Roman" w:eastAsia="MS Mincho" w:hAnsi="Times New Roman"/>
                              <w:sz w:val="20"/>
                              <w:i/>
                              <w:iCs/>
                            </w:rPr>
                            <w:t>,
2015-09-24,
paskelbta TAR 2015-09-30, i. k. 2015-14490        </w:t>
                          </w:r>
                        </w:p>
                        <w:p/>
                      </w:sdtContent>
                    </w:sdt>
                    <w:sdt>
                      <w:sdtPr>
                        <w:alias w:val="129 p."/>
                        <w:tag w:val="part_3a8007e396604f08abf980bbf47a04cb"/>
                        <w:lock w:val="sdtLocked"/>
                        <w:richText/>
                      </w:sdtPr>
                      <w:sdtContent>
                        <w:p>
                          <w:pPr>
                            <w:pStyle w:val="PlainText"/>
                            <w:ind w:firstLine="567"/>
                            <w:jc w:val="both"/>
                            <w:rPr>
                              <w:rFonts w:ascii="Times New Roman" w:hAnsi="Times New Roman"/>
                              <w:b/>
                              <w:bCs/>
                              <w:sz w:val="22"/>
                            </w:rPr>
                          </w:pPr>
                          <w:r>
                            <w:rPr>
                              <w:rFonts w:ascii="Times New Roman" w:hAnsi="Times New Roman"/>
                              <w:sz w:val="22"/>
                            </w:rPr>
                            <w:t>129</w:t>
                          </w:r>
                          <w:r>
                            <w:rPr>
                              <w:rFonts w:ascii="Times New Roman" w:hAnsi="Times New Roman"/>
                              <w:sz w:val="22"/>
                            </w:rPr>
                            <w:t>.</w:t>
                          </w:r>
                          <w:r>
                            <w:rPr>
                              <w:rFonts w:ascii="Times New Roman" w:eastAsia="MS Mincho" w:hAnsi="Times New Roman"/>
                              <w:sz w:val="20"/>
                              <w:i/>
                              <w:iCs/>
                            </w:rPr>
                            <w:t xml:space="preserve"> Neteko galios nuo 2016-01-01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2367b0674811e58e1ab2c84776483b">
                            <w:r w:rsidRPr="00532B9F">
                              <w:rPr>
                                <w:rFonts w:ascii="Times New Roman" w:eastAsia="MS Mincho" w:hAnsi="Times New Roman"/>
                                <w:sz w:val="20"/>
                                <w:i/>
                                <w:iCs/>
                                <w:color w:val="0000FF" w:themeColor="hyperlink"/>
                                <w:u w:val="single"/>
                              </w:rPr>
                              <w:t>VAS-48</w:t>
                            </w:r>
                          </w:fldSimple>
                          <w:r>
                            <w:rPr>
                              <w:rFonts w:ascii="Times New Roman" w:eastAsia="MS Mincho" w:hAnsi="Times New Roman"/>
                              <w:sz w:val="20"/>
                              <w:i/>
                              <w:iCs/>
                            </w:rPr>
                            <w:t>,
2015-09-24,
paskelbta TAR 2015-09-30, i. k. 2015-14490        </w:t>
                          </w:r>
                        </w:p>
                        <w:p/>
                      </w:sdtContent>
                    </w:sdt>
                    <w:sdt>
                      <w:sdtPr>
                        <w:alias w:val="130 p."/>
                        <w:tag w:val="part_52a0f40873f64fe58c747e270f5d86b2"/>
                        <w:lock w:val="sdtLocked"/>
                        <w:richText/>
                      </w:sdtPr>
                      <w:sdtContent>
                        <w:p>
                          <w:pPr>
                            <w:pStyle w:val="PlainText"/>
                            <w:ind w:firstLine="567"/>
                            <w:jc w:val="both"/>
                            <w:rPr>
                              <w:rFonts w:ascii="Times New Roman" w:hAnsi="Times New Roman"/>
                              <w:b/>
                              <w:bCs/>
                              <w:sz w:val="22"/>
                            </w:rPr>
                          </w:pPr>
                          <w:r>
                            <w:rPr>
                              <w:rFonts w:ascii="Times New Roman" w:hAnsi="Times New Roman"/>
                              <w:sz w:val="22"/>
                            </w:rPr>
                            <w:t>130</w:t>
                          </w:r>
                          <w:r>
                            <w:rPr>
                              <w:rFonts w:ascii="Times New Roman" w:hAnsi="Times New Roman"/>
                              <w:sz w:val="22"/>
                            </w:rPr>
                            <w:t>.</w:t>
                          </w:r>
                          <w:r>
                            <w:rPr>
                              <w:rFonts w:ascii="Times New Roman" w:eastAsia="MS Mincho" w:hAnsi="Times New Roman"/>
                              <w:sz w:val="20"/>
                              <w:i/>
                              <w:iCs/>
                            </w:rPr>
                            <w:t xml:space="preserve"> Neteko galios nuo 2016-01-01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2367b0674811e58e1ab2c84776483b">
                            <w:r w:rsidRPr="00532B9F">
                              <w:rPr>
                                <w:rFonts w:ascii="Times New Roman" w:eastAsia="MS Mincho" w:hAnsi="Times New Roman"/>
                                <w:sz w:val="20"/>
                                <w:i/>
                                <w:iCs/>
                                <w:color w:val="0000FF" w:themeColor="hyperlink"/>
                                <w:u w:val="single"/>
                              </w:rPr>
                              <w:t>VAS-48</w:t>
                            </w:r>
                          </w:fldSimple>
                          <w:r>
                            <w:rPr>
                              <w:rFonts w:ascii="Times New Roman" w:eastAsia="MS Mincho" w:hAnsi="Times New Roman"/>
                              <w:sz w:val="20"/>
                              <w:i/>
                              <w:iCs/>
                            </w:rPr>
                            <w:t>,
2015-09-24,
paskelbta TAR 2015-09-30, i. k. 2015-14490        </w:t>
                          </w:r>
                        </w:p>
                        <w:p/>
                      </w:sdtContent>
                    </w:sdt>
                    <w:sdt>
                      <w:sdtPr>
                        <w:alias w:val="131 p."/>
                        <w:tag w:val="part_2f820022edff4348a784693effdc2ca6"/>
                        <w:lock w:val="sdtLocked"/>
                        <w:richText/>
                      </w:sdtPr>
                      <w:sdtContent>
                        <w:p>
                          <w:pPr>
                            <w:pStyle w:val="PlainText"/>
                            <w:ind w:firstLine="567"/>
                            <w:jc w:val="both"/>
                            <w:rPr>
                              <w:rFonts w:ascii="Times New Roman" w:hAnsi="Times New Roman"/>
                              <w:b/>
                              <w:bCs/>
                              <w:sz w:val="22"/>
                            </w:rPr>
                          </w:pPr>
                          <w:r>
                            <w:rPr>
                              <w:rFonts w:ascii="Times New Roman" w:hAnsi="Times New Roman"/>
                              <w:sz w:val="22"/>
                            </w:rPr>
                            <w:t>131</w:t>
                          </w:r>
                          <w:r>
                            <w:rPr>
                              <w:rFonts w:ascii="Times New Roman" w:hAnsi="Times New Roman"/>
                              <w:sz w:val="22"/>
                            </w:rPr>
                            <w:t>.</w:t>
                          </w:r>
                          <w:r>
                            <w:rPr>
                              <w:rFonts w:ascii="Times New Roman" w:eastAsia="MS Mincho" w:hAnsi="Times New Roman"/>
                              <w:sz w:val="20"/>
                              <w:i/>
                              <w:iCs/>
                            </w:rPr>
                            <w:t xml:space="preserve"> Neteko galios nuo 2016-01-01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2367b0674811e58e1ab2c84776483b">
                            <w:r w:rsidRPr="00532B9F">
                              <w:rPr>
                                <w:rFonts w:ascii="Times New Roman" w:eastAsia="MS Mincho" w:hAnsi="Times New Roman"/>
                                <w:sz w:val="20"/>
                                <w:i/>
                                <w:iCs/>
                                <w:color w:val="0000FF" w:themeColor="hyperlink"/>
                                <w:u w:val="single"/>
                              </w:rPr>
                              <w:t>VAS-48</w:t>
                            </w:r>
                          </w:fldSimple>
                          <w:r>
                            <w:rPr>
                              <w:rFonts w:ascii="Times New Roman" w:eastAsia="MS Mincho" w:hAnsi="Times New Roman"/>
                              <w:sz w:val="20"/>
                              <w:i/>
                              <w:iCs/>
                            </w:rPr>
                            <w:t>,
2015-09-24,
paskelbta TAR 2015-09-30, i. k. 2015-14490        </w:t>
                          </w:r>
                        </w:p>
                        <w:p/>
                      </w:sdtContent>
                    </w:sdt>
                  </w:sdtContent>
                </w:sdt>
                <w:sdt>
                  <w:sdtPr>
                    <w:alias w:val="skyrius"/>
                    <w:tag w:val="part_12c3fc08f93a4c1a80fd18c95150c070"/>
                    <w:lock w:val="sdtLocked"/>
                    <w:richText/>
                  </w:sdtPr>
                  <w:sdtContent>
                    <w:p>
                      <w:pPr>
                        <w:widowControl w:val="0"/>
                        <w:jc w:val="center"/>
                        <w:rPr>
                          <w:b/>
                          <w:bCs/>
                          <w:caps/>
                          <w:color w:val="000000"/>
                        </w:rPr>
                      </w:pPr>
                      <w:sdt>
                        <w:sdtPr>
                          <w:alias w:val="Numeris"/>
                          <w:tag w:val="nr_12c3fc08f93a4c1a80fd18c95150c070"/>
                          <w:lock w:val="sdtLocked"/>
                          <w:richText/>
                        </w:sdtPr>
                        <w:sdtContent>
                          <w:r>
                            <w:rPr>
                              <w:b/>
                              <w:bCs/>
                              <w:caps/>
                              <w:color w:val="000000"/>
                            </w:rPr>
                            <w:t>VI</w:t>
                          </w:r>
                        </w:sdtContent>
                      </w:sdt>
                      <w:r>
                        <w:rPr>
                          <w:b/>
                          <w:bCs/>
                          <w:caps/>
                          <w:color w:val="000000"/>
                        </w:rPr>
                        <w:t xml:space="preserve">. </w:t>
                      </w:r>
                      <w:sdt>
                        <w:sdtPr>
                          <w:alias w:val="Pavadinimas"/>
                          <w:tag w:val="title_12c3fc08f93a4c1a80fd18c95150c070"/>
                          <w:lock w:val="sdtLocked"/>
                          <w:richText/>
                        </w:sdtPr>
                        <w:sdtContent>
                          <w:r>
                            <w:rPr>
                              <w:b/>
                              <w:bCs/>
                              <w:caps/>
                              <w:color w:val="000000"/>
                            </w:rPr>
                            <w:t xml:space="preserve">MAŽOSIOS BENDRIJOS NUOSAVAS KAPITALAS </w:t>
                          </w:r>
                        </w:sdtContent>
                      </w:sdt>
                    </w:p>
                    <w:p>
                      <w:pPr>
                        <w:widowControl w:val="0"/>
                        <w:ind w:firstLine="567"/>
                        <w:jc w:val="both"/>
                        <w:rPr>
                          <w:color w:val="000000"/>
                        </w:rPr>
                      </w:pPr>
                    </w:p>
                    <w:sdt>
                      <w:sdtPr>
                        <w:alias w:val="132 p."/>
                        <w:tag w:val="part_4f3e510f92a04ac8ad5b714c56095d61"/>
                        <w:lock w:val="sdtLocked"/>
                        <w:richText/>
                      </w:sdtPr>
                      <w:sdtContent>
                        <w:p>
                          <w:pPr>
                            <w:widowControl w:val="0"/>
                            <w:ind w:firstLine="567"/>
                            <w:jc w:val="both"/>
                            <w:rPr>
                              <w:color w:val="000000"/>
                            </w:rPr>
                          </w:pPr>
                          <w:sdt>
                            <w:sdtPr>
                              <w:alias w:val="Numeris"/>
                              <w:tag w:val="nr_4f3e510f92a04ac8ad5b714c56095d61"/>
                              <w:lock w:val="sdtLocked"/>
                              <w:richText/>
                            </w:sdtPr>
                            <w:sdtContent>
                              <w:r>
                                <w:rPr>
                                  <w:color w:val="000000"/>
                                </w:rPr>
                                <w:t>132</w:t>
                              </w:r>
                            </w:sdtContent>
                          </w:sdt>
                          <w:r>
                            <w:rPr>
                              <w:color w:val="000000"/>
                            </w:rPr>
                            <w:t>. Balanso nuosavo kapitalo dalyje parodomi savininkų įnašai, per ataskaitinį ir ankstesnius ataskaitinius laikotarpius uždirbtas, bet dar nepaskirstytas pelnas arba nepadengti nuostoliai.</w:t>
                          </w:r>
                        </w:p>
                      </w:sdtContent>
                    </w:sdt>
                    <w:sdt>
                      <w:sdtPr>
                        <w:alias w:val="133 p."/>
                        <w:tag w:val="part_3fc632fb65c345458a72c0a62f79e058"/>
                        <w:lock w:val="sdtLocked"/>
                        <w:richText/>
                      </w:sdtPr>
                      <w:sdtContent>
                        <w:p>
                          <w:pPr>
                            <w:widowControl w:val="0"/>
                            <w:ind w:firstLine="567"/>
                            <w:jc w:val="both"/>
                            <w:rPr>
                              <w:color w:val="000000"/>
                            </w:rPr>
                          </w:pPr>
                          <w:sdt>
                            <w:sdtPr>
                              <w:alias w:val="Numeris"/>
                              <w:tag w:val="nr_3fc632fb65c345458a72c0a62f79e058"/>
                              <w:lock w:val="sdtLocked"/>
                              <w:richText/>
                            </w:sdtPr>
                            <w:sdtContent>
                              <w:r>
                                <w:rPr>
                                  <w:color w:val="000000"/>
                                </w:rPr>
                                <w:t>133</w:t>
                              </w:r>
                            </w:sdtContent>
                          </w:sdt>
                          <w:r>
                            <w:rPr>
                              <w:color w:val="000000"/>
                            </w:rPr>
                            <w:t>. Savininkų įnašų sąskaitoje registruojama visa mažosios bendrijos steigimo sutartyje ar akte nurodyta įnašų vertė. Mažosios bendrijos narių dar nesumokėta dalis apskaitoje registruojama kontrarinėje savininkų įnašų sąskaitoje, kaip iš jų gautini įnašai. Balanso savininkų įnašų straipsnyje parodomi iš mažosios bendrijos narių faktiškai gauti įnašai.</w:t>
                          </w:r>
                        </w:p>
                      </w:sdtContent>
                    </w:sdt>
                    <w:sdt>
                      <w:sdtPr>
                        <w:alias w:val="134 p."/>
                        <w:tag w:val="part_60ae82fe89ae43ab8fb1df529e0b0045"/>
                        <w:lock w:val="sdtLocked"/>
                        <w:richText/>
                      </w:sdtPr>
                      <w:sdtContent>
                        <w:p>
                          <w:pPr>
                            <w:widowControl w:val="0"/>
                            <w:ind w:firstLine="567"/>
                            <w:jc w:val="both"/>
                            <w:rPr>
                              <w:color w:val="000000"/>
                            </w:rPr>
                          </w:pPr>
                          <w:sdt>
                            <w:sdtPr>
                              <w:alias w:val="Numeris"/>
                              <w:tag w:val="nr_60ae82fe89ae43ab8fb1df529e0b0045"/>
                              <w:lock w:val="sdtLocked"/>
                              <w:richText/>
                            </w:sdtPr>
                            <w:sdtContent>
                              <w:r>
                                <w:rPr>
                                  <w:color w:val="000000"/>
                                </w:rPr>
                                <w:t>134</w:t>
                              </w:r>
                            </w:sdtContent>
                          </w:sdt>
                          <w:r>
                            <w:rPr>
                              <w:color w:val="000000"/>
                            </w:rPr>
                            <w:t>. Jei iš mažosios bendrijos pasitraukusiam nariui grąžinamas įnašas ar kompensuojama jo vertė, mažinama apskaitoje užregistruota savininkų įnašų suma ir nario įnašui proporcinga pelno ar nuostolių dalimi mažinamas nepaskirstytasis pelnas ar nuostoliai.</w:t>
                          </w:r>
                        </w:p>
                      </w:sdtContent>
                    </w:sdt>
                    <w:sdt>
                      <w:sdtPr>
                        <w:alias w:val="135 p."/>
                        <w:tag w:val="part_8f1356cdcc7545f39a3c19c653eaa3c7"/>
                        <w:lock w:val="sdtLocked"/>
                        <w:richText/>
                      </w:sdtPr>
                      <w:sdtContent>
                        <w:p>
                          <w:pPr>
                            <w:widowControl w:val="0"/>
                            <w:ind w:firstLine="567"/>
                            <w:jc w:val="both"/>
                            <w:rPr>
                              <w:color w:val="000000"/>
                            </w:rPr>
                          </w:pPr>
                          <w:sdt>
                            <w:sdtPr>
                              <w:alias w:val="Numeris"/>
                              <w:tag w:val="nr_8f1356cdcc7545f39a3c19c653eaa3c7"/>
                              <w:lock w:val="sdtLocked"/>
                              <w:richText/>
                            </w:sdtPr>
                            <w:sdtContent>
                              <w:r>
                                <w:rPr>
                                  <w:color w:val="000000"/>
                                </w:rPr>
                                <w:t>135</w:t>
                              </w:r>
                            </w:sdtContent>
                          </w:sdt>
                          <w:r>
                            <w:rPr>
                              <w:color w:val="000000"/>
                            </w:rPr>
                            <w:t xml:space="preserve">. Nepaskirstytasis pelnas didinamas, kai registruojamas finansinių metų grynasis pelnas. Nepaskirstytasis pelnas mažinamas mažosios bendrijos nariams priėmus sprendimą paskirstyti pelną ar registruojant per finansinius metus patirtus nuostolius. </w:t>
                          </w:r>
                        </w:p>
                      </w:sdtContent>
                    </w:sdt>
                    <w:sdt>
                      <w:sdtPr>
                        <w:alias w:val="136 p."/>
                        <w:tag w:val="part_d85dc450f42a4265be988c8bc09fa7eb"/>
                        <w:lock w:val="sdtLocked"/>
                        <w:richText/>
                      </w:sdtPr>
                      <w:sdtContent>
                        <w:p>
                          <w:pPr>
                            <w:widowControl w:val="0"/>
                            <w:ind w:firstLine="567"/>
                            <w:jc w:val="both"/>
                            <w:rPr>
                              <w:color w:val="000000"/>
                            </w:rPr>
                          </w:pPr>
                          <w:sdt>
                            <w:sdtPr>
                              <w:alias w:val="Numeris"/>
                              <w:tag w:val="nr_d85dc450f42a4265be988c8bc09fa7eb"/>
                              <w:lock w:val="sdtLocked"/>
                              <w:richText/>
                            </w:sdtPr>
                            <w:sdtContent>
                              <w:r>
                                <w:rPr>
                                  <w:color w:val="000000"/>
                                </w:rPr>
                                <w:t>136</w:t>
                              </w:r>
                            </w:sdtContent>
                          </w:sdt>
                          <w:r>
                            <w:rPr>
                              <w:color w:val="000000"/>
                            </w:rPr>
                            <w:t>. Neatsižvelgiant į tai, kada pelnas buvo uždirbtas, apskaitoje jo paskirstymas registruojamas, kai mažosios bendrijos nariai priima sprendimą jį paskirstyti.</w:t>
                          </w:r>
                        </w:p>
                        <w:p>
                          <w:pPr>
                            <w:widowControl w:val="0"/>
                            <w:ind w:firstLine="567"/>
                            <w:jc w:val="both"/>
                            <w:rPr>
                              <w:color w:val="000000"/>
                            </w:rPr>
                          </w:pPr>
                        </w:p>
                      </w:sdtContent>
                    </w:sdt>
                  </w:sdtContent>
                </w:sdt>
                <w:sdt>
                  <w:sdtPr>
                    <w:alias w:val="skyrius"/>
                    <w:tag w:val="part_871b487585d641608e5596b77a6c7c85"/>
                    <w:lock w:val="sdtLocked"/>
                    <w:richText/>
                  </w:sdtPr>
                  <w:sdtContent>
                    <w:p>
                      <w:pPr>
                        <w:widowControl w:val="0"/>
                        <w:jc w:val="center"/>
                        <w:rPr>
                          <w:b/>
                          <w:bCs/>
                          <w:caps/>
                          <w:color w:val="000000"/>
                        </w:rPr>
                      </w:pPr>
                      <w:sdt>
                        <w:sdtPr>
                          <w:alias w:val="Numeris"/>
                          <w:tag w:val="nr_871b487585d641608e5596b77a6c7c85"/>
                          <w:lock w:val="sdtLocked"/>
                          <w:richText/>
                        </w:sdtPr>
                        <w:sdtContent>
                          <w:r>
                            <w:rPr>
                              <w:b/>
                              <w:bCs/>
                              <w:caps/>
                              <w:color w:val="000000"/>
                            </w:rPr>
                            <w:t>VII</w:t>
                          </w:r>
                        </w:sdtContent>
                      </w:sdt>
                      <w:r>
                        <w:rPr>
                          <w:b/>
                          <w:bCs/>
                          <w:caps/>
                          <w:color w:val="000000"/>
                        </w:rPr>
                        <w:t xml:space="preserve">. </w:t>
                      </w:r>
                      <w:sdt>
                        <w:sdtPr>
                          <w:alias w:val="Pavadinimas"/>
                          <w:tag w:val="title_871b487585d641608e5596b77a6c7c85"/>
                          <w:lock w:val="sdtLocked"/>
                          <w:richText/>
                        </w:sdtPr>
                        <w:sdtContent>
                          <w:r>
                            <w:rPr>
                              <w:b/>
                              <w:bCs/>
                              <w:caps/>
                              <w:color w:val="000000"/>
                            </w:rPr>
                            <w:t>ĮMONĖS reorganizavimas, PERTVARKYMAS IR LIKVIDAVIMAS</w:t>
                          </w:r>
                        </w:sdtContent>
                      </w:sdt>
                    </w:p>
                    <w:p>
                      <w:pPr>
                        <w:widowControl w:val="0"/>
                        <w:ind w:firstLine="567"/>
                        <w:jc w:val="both"/>
                        <w:rPr>
                          <w:color w:val="000000"/>
                        </w:rPr>
                      </w:pPr>
                    </w:p>
                    <w:sdt>
                      <w:sdtPr>
                        <w:alias w:val="137 p."/>
                        <w:tag w:val="part_7b2cdb0437764d3993a72fcfcf23f1bb"/>
                        <w:lock w:val="sdtLocked"/>
                        <w:richText/>
                      </w:sdtPr>
                      <w:sdtContent>
                        <w:p>
                          <w:pPr>
                            <w:widowControl w:val="0"/>
                            <w:ind w:firstLine="567"/>
                            <w:jc w:val="both"/>
                            <w:rPr>
                              <w:color w:val="000000"/>
                            </w:rPr>
                          </w:pPr>
                          <w:sdt>
                            <w:sdtPr>
                              <w:alias w:val="Numeris"/>
                              <w:tag w:val="nr_7b2cdb0437764d3993a72fcfcf23f1bb"/>
                              <w:lock w:val="sdtLocked"/>
                              <w:richText/>
                            </w:sdtPr>
                            <w:sdtContent>
                              <w:r>
                                <w:rPr>
                                  <w:color w:val="000000"/>
                                </w:rPr>
                                <w:t>137</w:t>
                              </w:r>
                            </w:sdtContent>
                          </w:sdt>
                          <w:r>
                            <w:rPr>
                              <w:color w:val="000000"/>
                            </w:rPr>
                            <w:t>. Kai įstatymų nustatyta tvarka įmonės reorganizuojamos jungimo būdu pagal įmonės reorganizavimo sąlygas prijungiant vieną įmonę prie kitos arba sujungiant dvi ar daugiau įmonių į vieną, po jungimo veikiančių įmonių apskaitoje reorganizuotų įmonių turto ir įsipareigojimų balansinės vertės sudedamos.</w:t>
                          </w:r>
                        </w:p>
                      </w:sdtContent>
                    </w:sdt>
                    <w:sdt>
                      <w:sdtPr>
                        <w:alias w:val="138 p."/>
                        <w:tag w:val="part_d436e28198c7414fb783b64851c378e9"/>
                        <w:lock w:val="sdtLocked"/>
                        <w:richText/>
                      </w:sdtPr>
                      <w:sdtContent>
                        <w:p>
                          <w:pPr>
                            <w:widowControl w:val="0"/>
                            <w:ind w:firstLine="567"/>
                            <w:jc w:val="both"/>
                            <w:rPr>
                              <w:color w:val="000000"/>
                            </w:rPr>
                          </w:pPr>
                          <w:sdt>
                            <w:sdtPr>
                              <w:alias w:val="Numeris"/>
                              <w:tag w:val="nr_d436e28198c7414fb783b64851c378e9"/>
                              <w:lock w:val="sdtLocked"/>
                              <w:richText/>
                            </w:sdtPr>
                            <w:sdtContent>
                              <w:r>
                                <w:rPr>
                                  <w:color w:val="000000"/>
                                </w:rPr>
                                <w:t>138</w:t>
                              </w:r>
                            </w:sdtContent>
                          </w:sdt>
                          <w:r>
                            <w:rPr>
                              <w:color w:val="000000"/>
                            </w:rPr>
                            <w:t>. Įstatymų nustatyta tvarka įmonė gali būti reorganizuojama skaidymo būdu. Padalijant ar išdalijant skaidomas įmones, perduodamo turto ir įsipareigojimų balansinės vertės nurašomos. Po padalijimo sukurtų ar po išdalijimo veikiančių įmonių apskaitoje visas turtas ir įsipareigojimai registruojami balansine verte. Turtas ir įsipareigojimai įmonėms paskirstomi pagal reorganizavimo sąlygas.</w:t>
                          </w:r>
                        </w:p>
                      </w:sdtContent>
                    </w:sdt>
                    <w:sdt>
                      <w:sdtPr>
                        <w:alias w:val="139 p."/>
                        <w:tag w:val="part_3791b9fe40f546b4af1c80ba75077af9"/>
                        <w:lock w:val="sdtLocked"/>
                        <w:richText/>
                      </w:sdtPr>
                      <w:sdtContent>
                        <w:p>
                          <w:pPr>
                            <w:widowControl w:val="0"/>
                            <w:ind w:firstLine="567"/>
                            <w:jc w:val="both"/>
                            <w:rPr>
                              <w:color w:val="000000"/>
                            </w:rPr>
                          </w:pPr>
                          <w:sdt>
                            <w:sdtPr>
                              <w:alias w:val="Numeris"/>
                              <w:tag w:val="nr_3791b9fe40f546b4af1c80ba75077af9"/>
                              <w:lock w:val="sdtLocked"/>
                              <w:richText/>
                            </w:sdtPr>
                            <w:sdtContent>
                              <w:r>
                                <w:rPr>
                                  <w:color w:val="000000"/>
                                </w:rPr>
                                <w:t>139</w:t>
                              </w:r>
                            </w:sdtContent>
                          </w:sdt>
                          <w:r>
                            <w:rPr>
                              <w:color w:val="000000"/>
                            </w:rPr>
                            <w:t>. Pertvarkant neribotos civilinės atsakomybės juridinius asmenis, ūkinės operacijos ir ūkiniai įvykiai apskaitoje registruojami ir finansinėse ataskaitose pateikiami 35-ojo verslo apskaitos standarto „Įmonių pertvarkymas“ nustatyta tvarka. Jei ūkinė bendrija ar individuali įmonė pertvarkoma į mažąją bendriją, taikomos 35-ojo verslo apskaitos standarto VI skyriaus nuostatos.</w:t>
                          </w:r>
                        </w:p>
                      </w:sdtContent>
                    </w:sdt>
                    <w:sdt>
                      <w:sdtPr>
                        <w:alias w:val="140 p."/>
                        <w:tag w:val="part_badfcc8178ef489480f9e71b8da3d1ab"/>
                        <w:lock w:val="sdtLocked"/>
                        <w:richText/>
                      </w:sdtPr>
                      <w:sdtContent>
                        <w:p>
                          <w:pPr>
                            <w:widowControl w:val="0"/>
                            <w:ind w:firstLine="567"/>
                            <w:jc w:val="both"/>
                            <w:rPr>
                              <w:color w:val="000000"/>
                            </w:rPr>
                          </w:pPr>
                          <w:sdt>
                            <w:sdtPr>
                              <w:alias w:val="Numeris"/>
                              <w:tag w:val="nr_badfcc8178ef489480f9e71b8da3d1ab"/>
                              <w:lock w:val="sdtLocked"/>
                              <w:richText/>
                            </w:sdtPr>
                            <w:sdtContent>
                              <w:r>
                                <w:rPr>
                                  <w:color w:val="000000"/>
                                </w:rPr>
                                <w:t>140</w:t>
                              </w:r>
                            </w:sdtContent>
                          </w:sdt>
                          <w:r>
                            <w:rPr>
                              <w:color w:val="000000"/>
                            </w:rPr>
                            <w:t>. Pertvarkant mažąsias bendrijas, ūkinės operacijos ir ūkiniai įvykiai apskaitoje registruojami ir finansinėse ataskaitose pateikiami 35-ojo verslo apskaitos standarto „Įmonių pertvarkymas“ nustatyta tvarka. Mažąją bendriją pertvarkant į akcinę ar uždarąją akcinę bendrovę, taikomos tokios pat 35-ojo verslo apskaitos standarto „Įmonių pertvarkymas“ V skyriaus nuostatos, kaip ir finansines ataskaitas sudarančioms individualioms įmonėms, pertvarkomoms į akcinę ar uždarąją akcinę bendrovę. Mažąją bendriją pertvarkant į individualią įmonę ar ūkinę bendriją, taikomos 35-ojo verslo apskaitos standarto „Įmonių pertvarkymas“ VI skyriaus nuostatos.</w:t>
                          </w:r>
                        </w:p>
                      </w:sdtContent>
                    </w:sdt>
                    <w:sdt>
                      <w:sdtPr>
                        <w:alias w:val="141 p."/>
                        <w:tag w:val="part_da41d99223d34b95a2e9c9af433b98cf"/>
                        <w:lock w:val="sdtLocked"/>
                        <w:richText/>
                      </w:sdtPr>
                      <w:sdtContent>
                        <w:p>
                          <w:pPr>
                            <w:widowControl w:val="0"/>
                            <w:ind w:firstLine="567"/>
                            <w:jc w:val="both"/>
                            <w:rPr>
                              <w:color w:val="000000"/>
                            </w:rPr>
                          </w:pPr>
                          <w:sdt>
                            <w:sdtPr>
                              <w:alias w:val="Numeris"/>
                              <w:tag w:val="nr_da41d99223d34b95a2e9c9af433b98cf"/>
                              <w:lock w:val="sdtLocked"/>
                              <w:richText/>
                            </w:sdtPr>
                            <w:sdtContent>
                              <w:r>
                                <w:rPr>
                                  <w:color w:val="000000"/>
                                </w:rPr>
                                <w:t>141</w:t>
                              </w:r>
                            </w:sdtContent>
                          </w:sdt>
                          <w:r>
                            <w:rPr>
                              <w:color w:val="000000"/>
                            </w:rPr>
                            <w:t xml:space="preserve">. Finansinės ataskaitos rengiamos vadovaujantis veiklos tęstinumo principu, t. y. daroma prielaida, kad įmonės veiklos laikotarpis neribotas ir jos nenumatoma likviduoti, nebent būtų priimamas sprendimas ją likviduoti. </w:t>
                          </w:r>
                        </w:p>
                      </w:sdtContent>
                    </w:sdt>
                    <w:sdt>
                      <w:sdtPr>
                        <w:alias w:val="142 p."/>
                        <w:tag w:val="part_fab094a9cfd84ce09ab666e2e0447ad1"/>
                        <w:lock w:val="sdtLocked"/>
                        <w:richText/>
                      </w:sdtPr>
                      <w:sdtContent>
                        <w:p>
                          <w:pPr>
                            <w:widowControl w:val="0"/>
                            <w:ind w:firstLine="567"/>
                            <w:jc w:val="both"/>
                            <w:rPr>
                              <w:color w:val="000000"/>
                            </w:rPr>
                          </w:pPr>
                          <w:sdt>
                            <w:sdtPr>
                              <w:alias w:val="Numeris"/>
                              <w:tag w:val="nr_fab094a9cfd84ce09ab666e2e0447ad1"/>
                              <w:lock w:val="sdtLocked"/>
                              <w:richText/>
                            </w:sdtPr>
                            <w:sdtContent>
                              <w:r>
                                <w:rPr>
                                  <w:szCs w:val="24"/>
                                </w:rPr>
                                <w:t>142</w:t>
                              </w:r>
                            </w:sdtContent>
                          </w:sdt>
                          <w:r>
                            <w:rPr>
                              <w:szCs w:val="24"/>
                            </w:rPr>
                            <w:t>. Teisės aktų nustatytais atvejais priėmus sprendimą likviduoti įmonę, ji netaiko veiklos tęstinumo principo ir rengia likvidavimo pradžios finansines ataskaitas. Likvidavimo pradžios balanse visas turtas ir įsipareigojimai parodomi kaip trumpalaikiai. Kai teisės aktų nustatyta tvarka baigiamos įmonės likvidavimo procedūros, rengiamos likvidavimo pabaigos finansinės ataskaitos. Jei įmonės likvidavimo pabaigoje lieka neparduoto, nepaskirstyto turto, toks turtas nurašomas. Dėl turto nurašymo atsiradęs nuostolis parodomas pelno (nuostolių) ataskaitoje. Jei likvidavimo pabaigoje įmonė negalėjo atsiskaityti su visais kreditoriais ir liko neįvykdytų įsipareigojimų, tokie įsipareigojimai nenurašomi, o parodomi likvidavimo pabaigos balanso įsipareigojimų straipsniuose. Jei ataskaitinio laikotarpio pabaigoje įmonės likvidavimas nėra baigtas, sudaromos likviduojamos įmonės metinės finansinės ataskaitos. Likviduojamos įmonės finansinių ataskaitų rinkinio sudėtis nesiskiria nuo metinių finansinių ataskaitų rinkinio.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2367b0674811e58e1ab2c84776483b">
                            <w:r w:rsidRPr="00532B9F">
                              <w:rPr>
                                <w:rFonts w:ascii="Times New Roman" w:eastAsia="MS Mincho" w:hAnsi="Times New Roman"/>
                                <w:sz w:val="20"/>
                                <w:i/>
                                <w:iCs/>
                                <w:color w:val="0000FF" w:themeColor="hyperlink"/>
                                <w:u w:val="single"/>
                              </w:rPr>
                              <w:t>VAS-48</w:t>
                            </w:r>
                          </w:fldSimple>
                          <w:r>
                            <w:rPr>
                              <w:rFonts w:ascii="Times New Roman" w:eastAsia="MS Mincho" w:hAnsi="Times New Roman"/>
                              <w:sz w:val="20"/>
                              <w:i/>
                              <w:iCs/>
                            </w:rPr>
                            <w:t>,
2015-09-24,
paskelbta TAR 2015-09-30, i. k. 2015-14490            </w:t>
                          </w:r>
                        </w:p>
                        <w:p/>
                      </w:sdtContent>
                    </w:sdt>
                  </w:sdtContent>
                </w:sdt>
                <w:sdt>
                  <w:sdtPr>
                    <w:alias w:val="skyrius"/>
                    <w:tag w:val="part_0e2ed2a988b7466981e3782e30ebdd36"/>
                    <w:lock w:val="sdtLocked"/>
                    <w:richText/>
                  </w:sdtPr>
                  <w:sdtContent>
                    <w:p>
                      <w:pPr>
                        <w:widowControl w:val="0"/>
                        <w:jc w:val="center"/>
                        <w:rPr>
                          <w:b/>
                          <w:bCs/>
                          <w:caps/>
                          <w:color w:val="000000"/>
                        </w:rPr>
                      </w:pPr>
                      <w:sdt>
                        <w:sdtPr>
                          <w:alias w:val="Numeris"/>
                          <w:tag w:val="nr_0e2ed2a988b7466981e3782e30ebdd36"/>
                          <w:lock w:val="sdtLocked"/>
                          <w:richText/>
                        </w:sdtPr>
                        <w:sdtContent>
                          <w:r>
                            <w:rPr>
                              <w:b/>
                              <w:bCs/>
                              <w:caps/>
                              <w:color w:val="000000"/>
                            </w:rPr>
                            <w:t>VIII</w:t>
                          </w:r>
                        </w:sdtContent>
                      </w:sdt>
                      <w:r>
                        <w:rPr>
                          <w:b/>
                          <w:bCs/>
                          <w:caps/>
                          <w:color w:val="000000"/>
                        </w:rPr>
                        <w:t xml:space="preserve">. </w:t>
                      </w:r>
                      <w:sdt>
                        <w:sdtPr>
                          <w:alias w:val="Pavadinimas"/>
                          <w:tag w:val="title_0e2ed2a988b7466981e3782e30ebdd36"/>
                          <w:lock w:val="sdtLocked"/>
                          <w:richText/>
                        </w:sdtPr>
                        <w:sdtContent>
                          <w:r>
                            <w:rPr>
                              <w:b/>
                              <w:bCs/>
                              <w:caps/>
                              <w:color w:val="000000"/>
                            </w:rPr>
                            <w:t>INFORMACIJOS ATSKLEIDIMAS AIŠKINAMAJAME RAŠTE</w:t>
                          </w:r>
                        </w:sdtContent>
                      </w:sdt>
                    </w:p>
                    <w:p>
                      <w:pPr>
                        <w:widowControl w:val="0"/>
                        <w:ind w:firstLine="567"/>
                        <w:jc w:val="both"/>
                        <w:rPr>
                          <w:color w:val="000000"/>
                        </w:rPr>
                      </w:pPr>
                    </w:p>
                    <w:sdt>
                      <w:sdtPr>
                        <w:alias w:val="143 p."/>
                        <w:tag w:val="part_f5ac05b579d049adbd86230438f541cf"/>
                        <w:lock w:val="sdtLocked"/>
                        <w:richText/>
                      </w:sdtPr>
                      <w:sdtContent>
                        <w:p>
                          <w:pPr>
                            <w:widowControl w:val="0"/>
                            <w:ind w:firstLine="567"/>
                            <w:jc w:val="both"/>
                            <w:rPr>
                              <w:color w:val="000000"/>
                            </w:rPr>
                          </w:pPr>
                          <w:sdt>
                            <w:sdtPr>
                              <w:alias w:val="Numeris"/>
                              <w:tag w:val="nr_f5ac05b579d049adbd86230438f541cf"/>
                              <w:lock w:val="sdtLocked"/>
                              <w:richText/>
                            </w:sdtPr>
                            <w:sdtContent>
                              <w:r>
                                <w:rPr>
                                  <w:color w:val="000000"/>
                                </w:rPr>
                                <w:t>143</w:t>
                              </w:r>
                            </w:sdtContent>
                          </w:sdt>
                          <w:r>
                            <w:rPr>
                              <w:color w:val="000000"/>
                            </w:rPr>
                            <w:t xml:space="preserve">. Neribotos civilinės atsakomybės juridinio asmens aiškinamajame rašte pateikiama tokia informacija: </w:t>
                          </w:r>
                        </w:p>
                        <w:sdt>
                          <w:sdtPr>
                            <w:alias w:val="143.1 p."/>
                            <w:tag w:val="part_14e09cda4fd1473bb27c0a87f1590058"/>
                            <w:lock w:val="sdtLocked"/>
                            <w:richText/>
                          </w:sdtPr>
                          <w:sdtContent>
                            <w:p>
                              <w:pPr>
                                <w:widowControl w:val="0"/>
                                <w:ind w:firstLine="567"/>
                                <w:jc w:val="both"/>
                                <w:rPr>
                                  <w:color w:val="000000"/>
                                </w:rPr>
                              </w:pPr>
                              <w:sdt>
                                <w:sdtPr>
                                  <w:alias w:val="Numeris"/>
                                  <w:tag w:val="nr_14e09cda4fd1473bb27c0a87f1590058"/>
                                  <w:lock w:val="sdtLocked"/>
                                  <w:richText/>
                                </w:sdtPr>
                                <w:sdtContent>
                                  <w:r>
                                    <w:rPr>
                                      <w:szCs w:val="24"/>
                                    </w:rPr>
                                    <w:t>143.1</w:t>
                                  </w:r>
                                </w:sdtContent>
                              </w:sdt>
                              <w:r>
                                <w:rPr>
                                  <w:szCs w:val="24"/>
                                </w:rPr>
                                <w:t>. Jo teisinė forma, pavadinimas, kodas, buveinė (adresas), registras, kuriame kaupiami ir saugomi duomenys, teisinis statusas, jei įmonė likviduojama, reorganizuojama ar yra bankrutavusi, įregistravimo data, veiklos laikotarpis, jeigu jis yra ribotas, filialų ir atstovybių skaičius.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2367b0674811e58e1ab2c84776483b">
                                <w:r w:rsidRPr="00532B9F">
                                  <w:rPr>
                                    <w:rFonts w:ascii="Times New Roman" w:eastAsia="MS Mincho" w:hAnsi="Times New Roman"/>
                                    <w:sz w:val="20"/>
                                    <w:i/>
                                    <w:iCs/>
                                    <w:color w:val="0000FF" w:themeColor="hyperlink"/>
                                    <w:u w:val="single"/>
                                  </w:rPr>
                                  <w:t>VAS-48</w:t>
                                </w:r>
                              </w:fldSimple>
                              <w:r>
                                <w:rPr>
                                  <w:rFonts w:ascii="Times New Roman" w:eastAsia="MS Mincho" w:hAnsi="Times New Roman"/>
                                  <w:sz w:val="20"/>
                                  <w:i/>
                                  <w:iCs/>
                                </w:rPr>
                                <w:t>,
2015-09-24,
paskelbta TAR 2015-09-30, i. k. 2015-14490            </w:t>
                              </w:r>
                            </w:p>
                            <w:p/>
                          </w:sdtContent>
                        </w:sdt>
                        <w:sdt>
                          <w:sdtPr>
                            <w:alias w:val="143.2 p."/>
                            <w:tag w:val="part_9587a6f867414ff8b3ea0e0c180e82d0"/>
                            <w:lock w:val="sdtLocked"/>
                            <w:richText/>
                          </w:sdtPr>
                          <w:sdtContent>
                            <w:p>
                              <w:pPr>
                                <w:widowControl w:val="0"/>
                                <w:ind w:firstLine="567"/>
                                <w:jc w:val="both"/>
                                <w:rPr>
                                  <w:color w:val="000000"/>
                                </w:rPr>
                              </w:pPr>
                              <w:sdt>
                                <w:sdtPr>
                                  <w:alias w:val="Numeris"/>
                                  <w:tag w:val="nr_9587a6f867414ff8b3ea0e0c180e82d0"/>
                                  <w:lock w:val="sdtLocked"/>
                                  <w:richText/>
                                </w:sdtPr>
                                <w:sdtContent>
                                  <w:r>
                                    <w:rPr>
                                      <w:color w:val="000000"/>
                                    </w:rPr>
                                    <w:t>143.2</w:t>
                                  </w:r>
                                </w:sdtContent>
                              </w:sdt>
                              <w:r>
                                <w:rPr>
                                  <w:color w:val="000000"/>
                                </w:rPr>
                                <w:t>. Trumpas veiklos sričių apibūdinimas. Ataskaitinių finansinių metų ir praėjusių finansinių metų vidutinis darbuotojų skaičius pagal sąrašą.</w:t>
                              </w:r>
                            </w:p>
                          </w:sdtContent>
                        </w:sdt>
                        <w:sdt>
                          <w:sdtPr>
                            <w:alias w:val="143.3 p."/>
                            <w:tag w:val="part_78c00774794045458b5ad154f5a32b8c"/>
                            <w:lock w:val="sdtLocked"/>
                            <w:richText/>
                          </w:sdtPr>
                          <w:sdtContent>
                            <w:p>
                              <w:pPr>
                                <w:widowControl w:val="0"/>
                                <w:ind w:firstLine="567"/>
                                <w:jc w:val="both"/>
                                <w:rPr>
                                  <w:color w:val="000000"/>
                                </w:rPr>
                              </w:pPr>
                              <w:sdt>
                                <w:sdtPr>
                                  <w:alias w:val="Numeris"/>
                                  <w:tag w:val="nr_78c00774794045458b5ad154f5a32b8c"/>
                                  <w:lock w:val="sdtLocked"/>
                                  <w:richText/>
                                </w:sdtPr>
                                <w:sdtContent>
                                  <w:r>
                                    <w:rPr>
                                      <w:color w:val="000000"/>
                                    </w:rPr>
                                    <w:t>143.3</w:t>
                                  </w:r>
                                </w:sdtContent>
                              </w:sdt>
                              <w:r>
                                <w:rPr>
                                  <w:color w:val="000000"/>
                                </w:rPr>
                                <w:t>. Kad jis apskaitą tvarko ir finansines ataskaitas sudaro pagal 38-ąjį verslo apskaitos standartą „Neribotos civilinės atsakomybės juridinių asmenų ir mažųjų bendrijų buhalterinė apskaita ir finansinės ataskaitos“.</w:t>
                              </w:r>
                            </w:p>
                          </w:sdtContent>
                        </w:sdt>
                        <w:sdt>
                          <w:sdtPr>
                            <w:alias w:val="143.4 p."/>
                            <w:tag w:val="part_a7bc43848a234ddf837e596a1daa6e8e"/>
                            <w:lock w:val="sdtLocked"/>
                            <w:richText/>
                          </w:sdtPr>
                          <w:sdtContent>
                            <w:p>
                              <w:pPr>
                                <w:widowControl w:val="0"/>
                                <w:ind w:firstLine="567"/>
                                <w:jc w:val="both"/>
                                <w:rPr>
                                  <w:color w:val="000000"/>
                                </w:rPr>
                              </w:pPr>
                              <w:sdt>
                                <w:sdtPr>
                                  <w:alias w:val="Numeris"/>
                                  <w:tag w:val="nr_a7bc43848a234ddf837e596a1daa6e8e"/>
                                  <w:lock w:val="sdtLocked"/>
                                  <w:richText/>
                                </w:sdtPr>
                                <w:sdtContent>
                                  <w:r>
                                    <w:rPr>
                                      <w:color w:val="000000"/>
                                    </w:rPr>
                                    <w:t>143.4</w:t>
                                  </w:r>
                                </w:sdtContent>
                              </w:sdt>
                              <w:r>
                                <w:rPr>
                                  <w:color w:val="000000"/>
                                </w:rPr>
                                <w:t>. Jei finansiniais metais buvo keičiama apskaitos politika, trumpas tų pakeitimų apibūdinimas ir priežastys.</w:t>
                              </w:r>
                            </w:p>
                          </w:sdtContent>
                        </w:sdt>
                        <w:sdt>
                          <w:sdtPr>
                            <w:alias w:val="143.5 p."/>
                            <w:tag w:val="part_b76efeae8a09420c9e69319ad6b79cca"/>
                            <w:lock w:val="sdtLocked"/>
                            <w:richText/>
                          </w:sdtPr>
                          <w:sdtContent>
                            <w:p>
                              <w:pPr>
                                <w:widowControl w:val="0"/>
                                <w:ind w:firstLine="567"/>
                                <w:jc w:val="both"/>
                                <w:rPr>
                                  <w:color w:val="000000"/>
                                </w:rPr>
                              </w:pPr>
                              <w:sdt>
                                <w:sdtPr>
                                  <w:alias w:val="Numeris"/>
                                  <w:tag w:val="nr_b76efeae8a09420c9e69319ad6b79cca"/>
                                  <w:lock w:val="sdtLocked"/>
                                  <w:richText/>
                                </w:sdtPr>
                                <w:sdtContent>
                                  <w:r>
                                    <w:rPr>
                                      <w:color w:val="000000"/>
                                    </w:rPr>
                                    <w:t>143.5</w:t>
                                  </w:r>
                                </w:sdtContent>
                              </w:sdt>
                              <w:r>
                                <w:rPr>
                                  <w:color w:val="000000"/>
                                </w:rPr>
                                <w:t>. Bendrijos veiklos sutartyje nurodyta bendra savininkų įnašų vertė, faktiškai negautų ir (ar) grąžintinų įnašų vertė.</w:t>
                              </w:r>
                            </w:p>
                          </w:sdtContent>
                        </w:sdt>
                        <w:sdt>
                          <w:sdtPr>
                            <w:alias w:val="143.6 p."/>
                            <w:tag w:val="part_4b7cd5a51838452396907b734f099e28"/>
                            <w:lock w:val="sdtLocked"/>
                            <w:richText/>
                          </w:sdtPr>
                          <w:sdtContent>
                            <w:p>
                              <w:pPr>
                                <w:widowControl w:val="0"/>
                                <w:ind w:firstLine="567"/>
                                <w:jc w:val="both"/>
                                <w:rPr>
                                  <w:color w:val="000000"/>
                                </w:rPr>
                              </w:pPr>
                              <w:sdt>
                                <w:sdtPr>
                                  <w:alias w:val="Numeris"/>
                                  <w:tag w:val="nr_4b7cd5a51838452396907b734f099e28"/>
                                  <w:lock w:val="sdtLocked"/>
                                  <w:richText/>
                                </w:sdtPr>
                                <w:sdtContent>
                                  <w:r>
                                    <w:rPr>
                                      <w:color w:val="000000"/>
                                    </w:rPr>
                                    <w:t>143.6</w:t>
                                  </w:r>
                                </w:sdtContent>
                              </w:sdt>
                              <w:r>
                                <w:rPr>
                                  <w:color w:val="000000"/>
                                </w:rPr>
                                <w:t>. Garantijos pobūdis, suma, jei užtikrindamas kito asmens įsipareigojimus jis yra suteikęs garantiją.</w:t>
                              </w:r>
                            </w:p>
                          </w:sdtContent>
                        </w:sdt>
                        <w:sdt>
                          <w:sdtPr>
                            <w:alias w:val="143.7 p."/>
                            <w:tag w:val="part_c93f3309bea44e4d85621c7d835800d2"/>
                            <w:lock w:val="sdtLocked"/>
                            <w:richText/>
                          </w:sdtPr>
                          <w:sdtContent>
                            <w:p>
                              <w:pPr>
                                <w:widowControl w:val="0"/>
                                <w:ind w:firstLine="567"/>
                                <w:jc w:val="both"/>
                                <w:rPr>
                                  <w:color w:val="000000"/>
                                </w:rPr>
                              </w:pPr>
                              <w:sdt>
                                <w:sdtPr>
                                  <w:alias w:val="Numeris"/>
                                  <w:tag w:val="nr_c93f3309bea44e4d85621c7d835800d2"/>
                                  <w:lock w:val="sdtLocked"/>
                                  <w:richText/>
                                </w:sdtPr>
                                <w:sdtContent>
                                  <w:r>
                                    <w:rPr>
                                      <w:color w:val="000000"/>
                                    </w:rPr>
                                    <w:t>143.7</w:t>
                                  </w:r>
                                </w:sdtContent>
                              </w:sdt>
                              <w:r>
                                <w:rPr>
                                  <w:color w:val="000000"/>
                                </w:rPr>
                                <w:t>. Kita svarbi informacija.</w:t>
                              </w:r>
                            </w:p>
                          </w:sdtContent>
                        </w:sdt>
                      </w:sdtContent>
                    </w:sdt>
                    <w:sdt>
                      <w:sdtPr>
                        <w:alias w:val="144 p."/>
                        <w:tag w:val="part_9a4b5067b3a546f797c13e17777b7f1a"/>
                        <w:lock w:val="sdtLocked"/>
                        <w:richText/>
                      </w:sdtPr>
                      <w:sdtContent>
                        <w:p>
                          <w:pPr>
                            <w:widowControl w:val="0"/>
                            <w:ind w:firstLine="567"/>
                            <w:jc w:val="both"/>
                            <w:rPr>
                              <w:color w:val="000000"/>
                            </w:rPr>
                          </w:pPr>
                          <w:sdt>
                            <w:sdtPr>
                              <w:alias w:val="Numeris"/>
                              <w:tag w:val="nr_9a4b5067b3a546f797c13e17777b7f1a"/>
                              <w:lock w:val="sdtLocked"/>
                              <w:richText/>
                            </w:sdtPr>
                            <w:sdtContent>
                              <w:r>
                                <w:rPr>
                                  <w:color w:val="000000"/>
                                </w:rPr>
                                <w:t>144</w:t>
                              </w:r>
                            </w:sdtContent>
                          </w:sdt>
                          <w:r>
                            <w:rPr>
                              <w:color w:val="000000"/>
                            </w:rPr>
                            <w:t>. Mažosios bendrijos aiškinamajame rašte pateikiama tokia informacija:</w:t>
                          </w:r>
                        </w:p>
                        <w:sdt>
                          <w:sdtPr>
                            <w:alias w:val="144.1 p."/>
                            <w:tag w:val="part_b0b501d0b1bb44259c658fc1f95f2157"/>
                            <w:lock w:val="sdtLocked"/>
                            <w:richText/>
                          </w:sdtPr>
                          <w:sdtContent>
                            <w:p>
                              <w:pPr>
                                <w:widowControl w:val="0"/>
                                <w:ind w:firstLine="567"/>
                                <w:jc w:val="both"/>
                                <w:rPr>
                                  <w:color w:val="000000"/>
                                </w:rPr>
                              </w:pPr>
                              <w:sdt>
                                <w:sdtPr>
                                  <w:alias w:val="Numeris"/>
                                  <w:tag w:val="nr_b0b501d0b1bb44259c658fc1f95f2157"/>
                                  <w:lock w:val="sdtLocked"/>
                                  <w:richText/>
                                </w:sdtPr>
                                <w:sdtContent>
                                  <w:r>
                                    <w:rPr>
                                      <w:szCs w:val="24"/>
                                    </w:rPr>
                                    <w:t>144.1</w:t>
                                  </w:r>
                                </w:sdtContent>
                              </w:sdt>
                              <w:r>
                                <w:rPr>
                                  <w:szCs w:val="24"/>
                                </w:rPr>
                                <w:t>. Jos teisinė forma, pavadinimas, kodas, buveinė (adresas), registras, kuriame kaupiami ir saugomi duomenys, teisinis statusas, jei įmonė likviduojama, reorganizuojama ar yra bankrutavusi, įregistravimo data, veiklos laikotarpis, jeigu jis yra ribotas, filialų ir atstovybių skaičius.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2367b0674811e58e1ab2c84776483b">
                                <w:r w:rsidRPr="00532B9F">
                                  <w:rPr>
                                    <w:rFonts w:ascii="Times New Roman" w:eastAsia="MS Mincho" w:hAnsi="Times New Roman"/>
                                    <w:sz w:val="20"/>
                                    <w:i/>
                                    <w:iCs/>
                                    <w:color w:val="0000FF" w:themeColor="hyperlink"/>
                                    <w:u w:val="single"/>
                                  </w:rPr>
                                  <w:t>VAS-48</w:t>
                                </w:r>
                              </w:fldSimple>
                              <w:r>
                                <w:rPr>
                                  <w:rFonts w:ascii="Times New Roman" w:eastAsia="MS Mincho" w:hAnsi="Times New Roman"/>
                                  <w:sz w:val="20"/>
                                  <w:i/>
                                  <w:iCs/>
                                </w:rPr>
                                <w:t>,
2015-09-24,
paskelbta TAR 2015-09-30, i. k. 2015-14490            </w:t>
                              </w:r>
                            </w:p>
                            <w:p/>
                          </w:sdtContent>
                        </w:sdt>
                        <w:sdt>
                          <w:sdtPr>
                            <w:alias w:val="144.2 p."/>
                            <w:tag w:val="part_0007e8c7e8d245109e704615d2e6f3ff"/>
                            <w:lock w:val="sdtLocked"/>
                            <w:richText/>
                          </w:sdtPr>
                          <w:sdtContent>
                            <w:p>
                              <w:pPr>
                                <w:widowControl w:val="0"/>
                                <w:ind w:firstLine="567"/>
                                <w:jc w:val="both"/>
                                <w:rPr>
                                  <w:color w:val="000000"/>
                                </w:rPr>
                              </w:pPr>
                              <w:sdt>
                                <w:sdtPr>
                                  <w:alias w:val="Numeris"/>
                                  <w:tag w:val="nr_0007e8c7e8d245109e704615d2e6f3ff"/>
                                  <w:lock w:val="sdtLocked"/>
                                  <w:richText/>
                                </w:sdtPr>
                                <w:sdtContent>
                                  <w:r>
                                    <w:rPr>
                                      <w:color w:val="000000"/>
                                    </w:rPr>
                                    <w:t>144.2</w:t>
                                  </w:r>
                                </w:sdtContent>
                              </w:sdt>
                              <w:r>
                                <w:rPr>
                                  <w:color w:val="000000"/>
                                </w:rPr>
                                <w:t xml:space="preserve">. Trumpas veiklos sričių apibūdinimas. </w:t>
                              </w:r>
                            </w:p>
                          </w:sdtContent>
                        </w:sdt>
                        <w:sdt>
                          <w:sdtPr>
                            <w:alias w:val="144.3 p."/>
                            <w:tag w:val="part_f5956cc2d0ac432694454e7f402534cf"/>
                            <w:lock w:val="sdtLocked"/>
                            <w:richText/>
                          </w:sdtPr>
                          <w:sdtContent>
                            <w:p>
                              <w:pPr>
                                <w:widowControl w:val="0"/>
                                <w:ind w:firstLine="567"/>
                                <w:jc w:val="both"/>
                                <w:rPr>
                                  <w:color w:val="000000"/>
                                </w:rPr>
                              </w:pPr>
                              <w:sdt>
                                <w:sdtPr>
                                  <w:alias w:val="Numeris"/>
                                  <w:tag w:val="nr_f5956cc2d0ac432694454e7f402534cf"/>
                                  <w:lock w:val="sdtLocked"/>
                                  <w:richText/>
                                </w:sdtPr>
                                <w:sdtContent>
                                  <w:r>
                                    <w:rPr>
                                      <w:color w:val="000000"/>
                                    </w:rPr>
                                    <w:t>144.3</w:t>
                                  </w:r>
                                </w:sdtContent>
                              </w:sdt>
                              <w:r>
                                <w:rPr>
                                  <w:color w:val="000000"/>
                                </w:rPr>
                                <w:t>. Jei ji turi darbuotojų, ataskaitinių finansinių metų ir praėjusių finansinių metų vidutinis darbuotojų skaičius pagal sąrašą.</w:t>
                              </w:r>
                            </w:p>
                          </w:sdtContent>
                        </w:sdt>
                        <w:sdt>
                          <w:sdtPr>
                            <w:alias w:val="144.4 p."/>
                            <w:tag w:val="part_63878fdd5ff54536b35635a2c021cb85"/>
                            <w:lock w:val="sdtLocked"/>
                            <w:richText/>
                          </w:sdtPr>
                          <w:sdtContent>
                            <w:p>
                              <w:pPr>
                                <w:widowControl w:val="0"/>
                                <w:ind w:firstLine="567"/>
                                <w:jc w:val="both"/>
                                <w:rPr>
                                  <w:color w:val="000000"/>
                                </w:rPr>
                              </w:pPr>
                              <w:sdt>
                                <w:sdtPr>
                                  <w:alias w:val="Numeris"/>
                                  <w:tag w:val="nr_63878fdd5ff54536b35635a2c021cb85"/>
                                  <w:lock w:val="sdtLocked"/>
                                  <w:richText/>
                                </w:sdtPr>
                                <w:sdtContent>
                                  <w:r>
                                    <w:rPr>
                                      <w:color w:val="000000"/>
                                    </w:rPr>
                                    <w:t>144.4</w:t>
                                  </w:r>
                                </w:sdtContent>
                              </w:sdt>
                              <w:r>
                                <w:rPr>
                                  <w:color w:val="000000"/>
                                </w:rPr>
                                <w:t>. Kad ji apskaitą tvarko ir finansines ataskaitas sudaro pagal 38-ąjį verslo apskaitos standartą „Neribotos civilinės atsakomybės juridinių asmenų ir mažųjų bendrijų buhalterinė apskaita ir finansinės ataskaitos“.</w:t>
                              </w:r>
                            </w:p>
                          </w:sdtContent>
                        </w:sdt>
                        <w:sdt>
                          <w:sdtPr>
                            <w:alias w:val="144.5 p."/>
                            <w:tag w:val="part_1b32f500e1914cc7bfce10589481df01"/>
                            <w:lock w:val="sdtLocked"/>
                            <w:richText/>
                          </w:sdtPr>
                          <w:sdtContent>
                            <w:p>
                              <w:pPr>
                                <w:widowControl w:val="0"/>
                                <w:ind w:firstLine="567"/>
                                <w:jc w:val="both"/>
                                <w:rPr>
                                  <w:color w:val="000000"/>
                                </w:rPr>
                              </w:pPr>
                              <w:sdt>
                                <w:sdtPr>
                                  <w:alias w:val="Numeris"/>
                                  <w:tag w:val="nr_1b32f500e1914cc7bfce10589481df01"/>
                                  <w:lock w:val="sdtLocked"/>
                                  <w:richText/>
                                </w:sdtPr>
                                <w:sdtContent>
                                  <w:r>
                                    <w:rPr>
                                      <w:color w:val="000000"/>
                                    </w:rPr>
                                    <w:t>144.5</w:t>
                                  </w:r>
                                </w:sdtContent>
                              </w:sdt>
                              <w:r>
                                <w:rPr>
                                  <w:color w:val="000000"/>
                                </w:rPr>
                                <w:t>. Jei finansiniais metais buvo keičiama apskaitos politika, trumpas tų pakeitimų apibūdinimas ir priežastys.</w:t>
                              </w:r>
                            </w:p>
                          </w:sdtContent>
                        </w:sdt>
                        <w:sdt>
                          <w:sdtPr>
                            <w:alias w:val="144.6 p."/>
                            <w:tag w:val="part_6addc090a0594f63b3a05782911291e1"/>
                            <w:lock w:val="sdtLocked"/>
                            <w:richText/>
                          </w:sdtPr>
                          <w:sdtContent>
                            <w:p>
                              <w:pPr>
                                <w:widowControl w:val="0"/>
                                <w:ind w:firstLine="567"/>
                                <w:jc w:val="both"/>
                                <w:rPr>
                                  <w:color w:val="000000"/>
                                </w:rPr>
                              </w:pPr>
                              <w:sdt>
                                <w:sdtPr>
                                  <w:alias w:val="Numeris"/>
                                  <w:tag w:val="nr_6addc090a0594f63b3a05782911291e1"/>
                                  <w:lock w:val="sdtLocked"/>
                                  <w:richText/>
                                </w:sdtPr>
                                <w:sdtContent>
                                  <w:r>
                                    <w:rPr>
                                      <w:color w:val="000000"/>
                                    </w:rPr>
                                    <w:t>144.6</w:t>
                                  </w:r>
                                </w:sdtContent>
                              </w:sdt>
                              <w:r>
                                <w:rPr>
                                  <w:color w:val="000000"/>
                                </w:rPr>
                                <w:t>. Iš narių gautinų ir (ar) nariams grąžintinų jų įnašų vertė.</w:t>
                              </w:r>
                            </w:p>
                          </w:sdtContent>
                        </w:sdt>
                        <w:sdt>
                          <w:sdtPr>
                            <w:alias w:val="144.7 p."/>
                            <w:tag w:val="part_da6f491dc9a44c45b5fdb7cc204aef1f"/>
                            <w:lock w:val="sdtLocked"/>
                            <w:richText/>
                          </w:sdtPr>
                          <w:sdtContent>
                            <w:p>
                              <w:pPr>
                                <w:widowControl w:val="0"/>
                                <w:ind w:firstLine="567"/>
                                <w:jc w:val="both"/>
                                <w:rPr>
                                  <w:color w:val="000000"/>
                                </w:rPr>
                              </w:pPr>
                              <w:sdt>
                                <w:sdtPr>
                                  <w:alias w:val="Numeris"/>
                                  <w:tag w:val="nr_da6f491dc9a44c45b5fdb7cc204aef1f"/>
                                  <w:lock w:val="sdtLocked"/>
                                  <w:richText/>
                                </w:sdtPr>
                                <w:sdtContent>
                                  <w:r>
                                    <w:rPr>
                                      <w:color w:val="000000"/>
                                    </w:rPr>
                                    <w:t>144.7</w:t>
                                  </w:r>
                                </w:sdtContent>
                              </w:sdt>
                              <w:r>
                                <w:rPr>
                                  <w:color w:val="000000"/>
                                </w:rPr>
                                <w:t xml:space="preserve">. Per ataskaitinį laikotarpį bendrijos nariams avansu išmokėta pelno dalis. </w:t>
                              </w:r>
                            </w:p>
                          </w:sdtContent>
                        </w:sdt>
                        <w:sdt>
                          <w:sdtPr>
                            <w:alias w:val="144.8 p."/>
                            <w:tag w:val="part_00237877574c46719b4cbef401abd42d"/>
                            <w:lock w:val="sdtLocked"/>
                            <w:richText/>
                          </w:sdtPr>
                          <w:sdtContent>
                            <w:p>
                              <w:pPr>
                                <w:widowControl w:val="0"/>
                                <w:ind w:firstLine="567"/>
                                <w:jc w:val="both"/>
                                <w:rPr>
                                  <w:color w:val="000000"/>
                                </w:rPr>
                              </w:pPr>
                              <w:sdt>
                                <w:sdtPr>
                                  <w:alias w:val="Numeris"/>
                                  <w:tag w:val="nr_00237877574c46719b4cbef401abd42d"/>
                                  <w:lock w:val="sdtLocked"/>
                                  <w:richText/>
                                </w:sdtPr>
                                <w:sdtContent>
                                  <w:r>
                                    <w:rPr>
                                      <w:color w:val="000000"/>
                                    </w:rPr>
                                    <w:t>144.8</w:t>
                                  </w:r>
                                </w:sdtContent>
                              </w:sdt>
                              <w:r>
                                <w:rPr>
                                  <w:color w:val="000000"/>
                                </w:rPr>
                                <w:t>. Garantijos pobūdis, suma, jei užtikrindama kito asmens įsipareigojimus ji yra suteikusi garantiją.</w:t>
                              </w:r>
                            </w:p>
                          </w:sdtContent>
                        </w:sdt>
                        <w:sdt>
                          <w:sdtPr>
                            <w:alias w:val="144.9 p."/>
                            <w:tag w:val="part_fda40837764d440caddfc314b22f02cf"/>
                            <w:lock w:val="sdtLocked"/>
                            <w:richText/>
                          </w:sdtPr>
                          <w:sdtContent>
                            <w:p>
                              <w:pPr>
                                <w:widowControl w:val="0"/>
                                <w:ind w:firstLine="567"/>
                                <w:jc w:val="both"/>
                                <w:rPr>
                                  <w:color w:val="000000"/>
                                </w:rPr>
                              </w:pPr>
                              <w:sdt>
                                <w:sdtPr>
                                  <w:alias w:val="Numeris"/>
                                  <w:tag w:val="nr_fda40837764d440caddfc314b22f02cf"/>
                                  <w:lock w:val="sdtLocked"/>
                                  <w:richText/>
                                </w:sdtPr>
                                <w:sdtContent>
                                  <w:r>
                                    <w:rPr>
                                      <w:color w:val="000000"/>
                                    </w:rPr>
                                    <w:t>144.9</w:t>
                                  </w:r>
                                </w:sdtContent>
                              </w:sdt>
                              <w:r>
                                <w:rPr>
                                  <w:color w:val="000000"/>
                                </w:rPr>
                                <w:t>. Kita svarbi informacija.</w:t>
                              </w:r>
                            </w:p>
                            <w:p>
                              <w:pPr>
                                <w:widowControl w:val="0"/>
                                <w:ind w:firstLine="567"/>
                                <w:jc w:val="both"/>
                                <w:rPr>
                                  <w:color w:val="000000"/>
                                </w:rPr>
                              </w:pPr>
                            </w:p>
                          </w:sdtContent>
                        </w:sdt>
                      </w:sdtContent>
                    </w:sdt>
                  </w:sdtContent>
                </w:sdt>
                <w:sdt>
                  <w:sdtPr>
                    <w:alias w:val="skyrius"/>
                    <w:tag w:val="part_44c18a298a91490cbef98ba99dfc8010"/>
                    <w:lock w:val="sdtLocked"/>
                    <w:richText/>
                  </w:sdtPr>
                  <w:sdtContent>
                    <w:p>
                      <w:pPr>
                        <w:widowControl w:val="0"/>
                        <w:jc w:val="center"/>
                        <w:rPr>
                          <w:b/>
                          <w:bCs/>
                          <w:caps/>
                          <w:color w:val="000000"/>
                        </w:rPr>
                      </w:pPr>
                      <w:sdt>
                        <w:sdtPr>
                          <w:alias w:val="Numeris"/>
                          <w:tag w:val="nr_44c18a298a91490cbef98ba99dfc8010"/>
                          <w:lock w:val="sdtLocked"/>
                          <w:richText/>
                        </w:sdtPr>
                        <w:sdtContent>
                          <w:r>
                            <w:rPr>
                              <w:b/>
                              <w:bCs/>
                              <w:caps/>
                              <w:color w:val="000000"/>
                            </w:rPr>
                            <w:t>IX</w:t>
                          </w:r>
                        </w:sdtContent>
                      </w:sdt>
                      <w:r>
                        <w:rPr>
                          <w:b/>
                          <w:bCs/>
                          <w:caps/>
                          <w:color w:val="000000"/>
                        </w:rPr>
                        <w:t xml:space="preserve">. </w:t>
                      </w:r>
                      <w:sdt>
                        <w:sdtPr>
                          <w:alias w:val="Pavadinimas"/>
                          <w:tag w:val="title_44c18a298a91490cbef98ba99dfc8010"/>
                          <w:lock w:val="sdtLocked"/>
                          <w:richText/>
                        </w:sdtPr>
                        <w:sdtContent>
                          <w:r>
                            <w:rPr>
                              <w:b/>
                              <w:bCs/>
                              <w:caps/>
                              <w:color w:val="000000"/>
                            </w:rPr>
                            <w:t>BAIGIAMOSIOS NUOSTATOS</w:t>
                          </w:r>
                        </w:sdtContent>
                      </w:sdt>
                    </w:p>
                    <w:p>
                      <w:pPr>
                        <w:widowControl w:val="0"/>
                        <w:ind w:firstLine="567"/>
                        <w:jc w:val="both"/>
                        <w:rPr>
                          <w:color w:val="000000"/>
                        </w:rPr>
                      </w:pPr>
                    </w:p>
                    <w:sdt>
                      <w:sdtPr>
                        <w:alias w:val="145 p."/>
                        <w:tag w:val="part_54a27991835045919f91af1c1ebe3669"/>
                        <w:lock w:val="sdtLocked"/>
                        <w:richText/>
                      </w:sdtPr>
                      <w:sdtContent>
                        <w:p>
                          <w:pPr>
                            <w:widowControl w:val="0"/>
                            <w:ind w:firstLine="567"/>
                            <w:jc w:val="both"/>
                            <w:rPr>
                              <w:color w:val="000000"/>
                            </w:rPr>
                          </w:pPr>
                          <w:sdt>
                            <w:sdtPr>
                              <w:alias w:val="Numeris"/>
                              <w:tag w:val="nr_54a27991835045919f91af1c1ebe3669"/>
                              <w:lock w:val="sdtLocked"/>
                              <w:richText/>
                            </w:sdtPr>
                            <w:sdtContent>
                              <w:r>
                                <w:rPr>
                                  <w:color w:val="000000"/>
                                </w:rPr>
                                <w:t>145</w:t>
                              </w:r>
                            </w:sdtContent>
                          </w:sdt>
                          <w:r>
                            <w:rPr>
                              <w:color w:val="000000"/>
                            </w:rPr>
                            <w:t>. Neribotos civilinės atsakomybės juridiniai asmenys (individualios įmonės, tikrosios ūkinės bendrijos ir komanditinės ūkinės bendrijos) šį standartą taiko tvarkydamos 2013 m. sausio 1 d. ir vėliau prasidedančių finansinių metų apskaitą ir sudarydamos 2013 m. sausio 1 d. ir vėliau prasidedančių ataskaitinių laikotarpių finansines ataskaitas.</w:t>
                          </w:r>
                          <w:r>
                            <w:rPr>
                              <w:b/>
                              <w:bCs/>
                              <w:color w:val="000000"/>
                            </w:rPr>
                            <w:t xml:space="preserve"> </w:t>
                          </w:r>
                        </w:p>
                      </w:sdtContent>
                    </w:sdt>
                    <w:sdt>
                      <w:sdtPr>
                        <w:alias w:val="146 p."/>
                        <w:tag w:val="part_5a447e78eea44d6fa3f7a18c34f93980"/>
                        <w:lock w:val="sdtLocked"/>
                        <w:richText/>
                      </w:sdtPr>
                      <w:sdtContent>
                        <w:p>
                          <w:pPr>
                            <w:widowControl w:val="0"/>
                            <w:ind w:firstLine="567"/>
                            <w:jc w:val="both"/>
                            <w:rPr>
                              <w:color w:val="000000"/>
                            </w:rPr>
                          </w:pPr>
                          <w:sdt>
                            <w:sdtPr>
                              <w:alias w:val="Numeris"/>
                              <w:tag w:val="nr_5a447e78eea44d6fa3f7a18c34f93980"/>
                              <w:lock w:val="sdtLocked"/>
                              <w:richText/>
                            </w:sdtPr>
                            <w:sdtContent>
                              <w:r>
                                <w:rPr>
                                  <w:color w:val="000000"/>
                                </w:rPr>
                                <w:t>146</w:t>
                              </w:r>
                            </w:sdtContent>
                          </w:sdt>
                          <w:r>
                            <w:rPr>
                              <w:color w:val="000000"/>
                            </w:rPr>
                            <w:t>. Neribotos civilinės atsakomybės juridinis asmuo, kuris iki 2013 m. sausio 1 d. taikė kitą konkretaus turto ir įsipareigojimų apskaitos politiką negu nurodyta šiame standarte, nuo 2013 m. sausio 1 d. pradėjęs taikyti šį standartą iki šios datos įsigyto turto ir įsipareigojimų vertės apskaitos registruose nekoreguoja.</w:t>
                          </w:r>
                        </w:p>
                      </w:sdtContent>
                    </w:sdt>
                    <w:sdt>
                      <w:sdtPr>
                        <w:alias w:val="147 p."/>
                        <w:tag w:val="part_49327136a7074eff87557e1910e856ad"/>
                        <w:lock w:val="sdtLocked"/>
                        <w:richText/>
                      </w:sdtPr>
                      <w:sdtContent>
                        <w:p>
                          <w:pPr>
                            <w:widowControl w:val="0"/>
                            <w:ind w:firstLine="567"/>
                            <w:jc w:val="both"/>
                            <w:rPr>
                              <w:color w:val="000000"/>
                            </w:rPr>
                          </w:pPr>
                          <w:sdt>
                            <w:sdtPr>
                              <w:alias w:val="Numeris"/>
                              <w:tag w:val="nr_49327136a7074eff87557e1910e856ad"/>
                              <w:lock w:val="sdtLocked"/>
                              <w:richText/>
                            </w:sdtPr>
                            <w:sdtContent>
                              <w:r>
                                <w:rPr>
                                  <w:color w:val="000000"/>
                                </w:rPr>
                                <w:t>147</w:t>
                              </w:r>
                            </w:sdtContent>
                          </w:sdt>
                          <w:r>
                            <w:rPr>
                              <w:color w:val="000000"/>
                            </w:rPr>
                            <w:t>. Įmonė, kuri taikė visus verslo apskaitos standartus ir kitą konkretaus turto ir įsipareigojimų apskaitos politiką negu nurodyta šiame standarte, pasirinkusi taikyti šį standartą, iki pirmos ataskaitinio laikotarpio dienos įsigyto turto ir įsipareigojimų vertės apskaitos registruose nekoreguoja.</w:t>
                          </w:r>
                        </w:p>
                      </w:sdtContent>
                    </w:sdt>
                    <w:sdt>
                      <w:sdtPr>
                        <w:alias w:val="148 p."/>
                        <w:tag w:val="part_df167e62fb7744f087badc1ce49b5ebc"/>
                        <w:lock w:val="sdtLocked"/>
                        <w:richText/>
                      </w:sdtPr>
                      <w:sdtContent>
                        <w:p>
                          <w:pPr>
                            <w:widowControl w:val="0"/>
                            <w:ind w:firstLine="567"/>
                            <w:jc w:val="both"/>
                            <w:rPr>
                              <w:color w:val="000000"/>
                            </w:rPr>
                          </w:pPr>
                          <w:sdt>
                            <w:sdtPr>
                              <w:alias w:val="Numeris"/>
                              <w:tag w:val="nr_df167e62fb7744f087badc1ce49b5ebc"/>
                              <w:lock w:val="sdtLocked"/>
                              <w:richText/>
                            </w:sdtPr>
                            <w:sdtContent>
                              <w:r>
                                <w:rPr>
                                  <w:color w:val="000000"/>
                                </w:rPr>
                                <w:t>148</w:t>
                              </w:r>
                            </w:sdtContent>
                          </w:sdt>
                          <w:r>
                            <w:rPr>
                              <w:color w:val="000000"/>
                            </w:rPr>
                            <w:t>. Jei įmonė netaikė verslo apskaitos standartų ir nusprendė apskaitą tvarkyti ir finansines ataskaitas rengti pagal šį standartą, pirmą kartą sudarytose ataskaitinio laikotarpio finansinėse ataskaitose lyginamosios informacijos pateikti ji neprivalo.</w:t>
                          </w:r>
                        </w:p>
                        <w:p>
                          <w:pPr>
                            <w:widowControl w:val="0"/>
                            <w:ind w:firstLine="567"/>
                            <w:jc w:val="both"/>
                            <w:rPr>
                              <w:color w:val="000000"/>
                            </w:rPr>
                          </w:pPr>
                        </w:p>
                      </w:sdtContent>
                    </w:sdt>
                  </w:sdtContent>
                </w:sdt>
                <w:sdt>
                  <w:sdtPr>
                    <w:alias w:val="pabaiga"/>
                    <w:tag w:val="part_234a44c156974184ae30282faced05af"/>
                    <w:lock w:val="sdtLocked"/>
                    <w:richText/>
                  </w:sdtPr>
                  <w:sdtContent>
                    <w:p>
                      <w:pPr>
                        <w:widowControl w:val="0"/>
                        <w:jc w:val="center"/>
                      </w:pPr>
                      <w:r>
                        <w:rPr>
                          <w:color w:val="000000"/>
                        </w:rPr>
                        <w:t>_________________</w:t>
                      </w:r>
                    </w:p>
                  </w:sdtContent>
                </w:sdt>
              </w:sdtContent>
            </w:sdt>
          </w:sdtContent>
        </w:sdt>
      </w:sdtContent>
    </w:sdt>
    <w:sdt>
      <w:sdtPr>
        <w:alias w:val="1 pr."/>
        <w:tag w:val="part_fab8f15313494cc1bef3284b6cd28c77"/>
        <w:lock w:val="sdtLocked"/>
        <w:richText/>
      </w:sdtPr>
      <w:sdtContent>
        <w:p>
          <w:pPr>
            <w:ind w:left="6237"/>
            <w:jc w:val="both"/>
            <w:outlineLvl w:val="6"/>
          </w:pPr>
        </w:p>
        <w:p>
          <w:pPr/>
          <w:r>
            <w:br w:type="page"/>
          </w:r>
        </w:p>
        <w:p>
          <w:pPr>
            <w:ind w:left="6237"/>
            <w:jc w:val="both"/>
            <w:outlineLvl w:val="6"/>
            <w:rPr>
              <w:sz w:val="20"/>
              <w:szCs w:val="24"/>
              <w:lang w:eastAsia="x-none"/>
            </w:rPr>
          </w:pPr>
          <w:r>
            <w:rPr>
              <w:sz w:val="20"/>
              <w:szCs w:val="24"/>
              <w:lang w:eastAsia="x-none"/>
            </w:rPr>
            <w:t xml:space="preserve">38-ojo verslo apskaitos standarto „Neribotos civilinės atsakomybės juridinių asmenų ir mažųjų bendrijų buhalterinė apskaita ir finansinės ataskaitos“ </w:t>
          </w:r>
        </w:p>
        <w:p>
          <w:pPr>
            <w:rPr>
              <w:sz w:val="6"/>
              <w:szCs w:val="6"/>
            </w:rPr>
          </w:pPr>
        </w:p>
        <w:p>
          <w:pPr>
            <w:tabs>
              <w:tab w:val="left" w:pos="7230"/>
              <w:tab w:val="left" w:pos="7513"/>
              <w:tab w:val="left" w:pos="7797"/>
            </w:tabs>
            <w:ind w:left="6237"/>
            <w:jc w:val="both"/>
            <w:rPr>
              <w:b/>
              <w:sz w:val="20"/>
              <w:lang w:eastAsia="x-none"/>
            </w:rPr>
          </w:pPr>
          <w:sdt>
            <w:sdtPr>
              <w:alias w:val="Numeris"/>
              <w:tag w:val="nr_fab8f15313494cc1bef3284b6cd28c77"/>
              <w:lock w:val="sdtLocked"/>
              <w:richText/>
            </w:sdtPr>
            <w:sdtContent>
              <w:r>
                <w:rPr>
                  <w:sz w:val="20"/>
                  <w:lang w:eastAsia="x-none"/>
                </w:rPr>
                <w:t>1</w:t>
              </w:r>
            </w:sdtContent>
          </w:sdt>
          <w:r>
            <w:rPr>
              <w:sz w:val="20"/>
              <w:lang w:eastAsia="x-none"/>
            </w:rPr>
            <w:t xml:space="preserve"> priedas</w:t>
          </w:r>
        </w:p>
        <w:p>
          <w:pPr>
            <w:jc w:val="center"/>
            <w:rPr>
              <w:lang w:eastAsia="x-none"/>
            </w:rPr>
          </w:pPr>
        </w:p>
        <w:p>
          <w:pPr>
            <w:jc w:val="center"/>
            <w:rPr>
              <w:b/>
              <w:lang w:eastAsia="x-none"/>
            </w:rPr>
          </w:pPr>
          <w:sdt>
            <w:sdtPr>
              <w:alias w:val="Pavadinimas"/>
              <w:tag w:val="title_fab8f15313494cc1bef3284b6cd28c77"/>
              <w:lock w:val="sdtLocked"/>
              <w:richText/>
            </w:sdtPr>
            <w:sdtContent>
              <w:r>
                <w:rPr>
                  <w:b/>
                  <w:lang w:eastAsia="x-none"/>
                </w:rPr>
                <w:t>(Balanso forma)</w:t>
              </w:r>
            </w:sdtContent>
          </w:sdt>
        </w:p>
        <w:p>
          <w:pPr>
            <w:pBdr>
              <w:bottom w:val="single" w:sz="4" w:space="1" w:color="auto"/>
            </w:pBdr>
            <w:rPr>
              <w:szCs w:val="24"/>
              <w:u w:val="single"/>
            </w:rPr>
          </w:pPr>
        </w:p>
        <w:p>
          <w:pPr>
            <w:jc w:val="center"/>
            <w:rPr>
              <w:sz w:val="20"/>
              <w:lang w:eastAsia="x-none"/>
            </w:rPr>
          </w:pPr>
          <w:r>
            <w:rPr>
              <w:sz w:val="20"/>
              <w:lang w:eastAsia="x-none"/>
            </w:rPr>
            <w:t xml:space="preserve">(įmonės </w:t>
          </w:r>
          <w:r>
            <w:rPr>
              <w:sz w:val="20"/>
              <w:szCs w:val="24"/>
              <w:lang w:eastAsia="x-none"/>
            </w:rPr>
            <w:t xml:space="preserve">teisinė forma, </w:t>
          </w:r>
          <w:r>
            <w:rPr>
              <w:sz w:val="20"/>
              <w:lang w:eastAsia="x-none"/>
            </w:rPr>
            <w:t xml:space="preserve">pavadinimas, </w:t>
          </w:r>
          <w:r>
            <w:rPr>
              <w:sz w:val="20"/>
              <w:szCs w:val="24"/>
              <w:lang w:eastAsia="x-none"/>
            </w:rPr>
            <w:t>kodas</w:t>
          </w:r>
          <w:r>
            <w:rPr>
              <w:sz w:val="20"/>
              <w:lang w:eastAsia="x-none"/>
            </w:rPr>
            <w:t>)</w:t>
          </w:r>
        </w:p>
        <w:p>
          <w:pPr>
            <w:pBdr>
              <w:bottom w:val="single" w:sz="4" w:space="1" w:color="auto"/>
            </w:pBdr>
            <w:jc w:val="both"/>
            <w:rPr>
              <w:u w:val="single"/>
              <w:lang w:eastAsia="x-none"/>
            </w:rPr>
          </w:pPr>
        </w:p>
        <w:p>
          <w:pPr>
            <w:jc w:val="center"/>
            <w:rPr>
              <w:sz w:val="20"/>
              <w:lang w:eastAsia="x-none"/>
            </w:rPr>
          </w:pPr>
          <w:r>
            <w:rPr>
              <w:sz w:val="20"/>
              <w:lang w:eastAsia="x-none"/>
            </w:rPr>
            <w:t>(</w:t>
          </w:r>
          <w:r>
            <w:rPr>
              <w:sz w:val="20"/>
              <w:szCs w:val="24"/>
              <w:lang w:eastAsia="x-none"/>
            </w:rPr>
            <w:t>buveinė (adresas), registras, kuriame kaupiami ir saugomi duomenys</w:t>
          </w:r>
          <w:r>
            <w:rPr>
              <w:sz w:val="20"/>
              <w:lang w:eastAsia="x-none"/>
            </w:rPr>
            <w:t>)</w:t>
          </w:r>
        </w:p>
        <w:p>
          <w:pPr>
            <w:pBdr>
              <w:bottom w:val="single" w:sz="4" w:space="1" w:color="auto"/>
            </w:pBdr>
            <w:jc w:val="center"/>
            <w:rPr>
              <w:szCs w:val="24"/>
              <w:lang w:eastAsia="x-none"/>
            </w:rPr>
          </w:pPr>
        </w:p>
        <w:p>
          <w:pPr>
            <w:jc w:val="center"/>
            <w:rPr>
              <w:szCs w:val="24"/>
              <w:lang w:eastAsia="x-none"/>
            </w:rPr>
          </w:pPr>
          <w:r>
            <w:rPr>
              <w:szCs w:val="24"/>
              <w:lang w:eastAsia="x-none"/>
            </w:rPr>
            <w:t>(</w:t>
          </w:r>
          <w:r>
            <w:rPr>
              <w:sz w:val="20"/>
              <w:szCs w:val="24"/>
              <w:lang w:eastAsia="x-none"/>
            </w:rPr>
            <w:t>teisinis statusas, jei įmonė likviduojama, reorganizuojama ar yra bankrutavusi</w:t>
          </w:r>
          <w:r>
            <w:rPr>
              <w:szCs w:val="24"/>
              <w:lang w:eastAsia="x-none"/>
            </w:rPr>
            <w:t>)</w:t>
          </w:r>
        </w:p>
        <w:p>
          <w:pPr>
            <w:jc w:val="center"/>
            <w:rPr>
              <w:lang w:eastAsia="x-none"/>
            </w:rPr>
          </w:pPr>
        </w:p>
        <w:p>
          <w:pPr>
            <w:ind w:firstLine="7521"/>
            <w:jc w:val="both"/>
            <w:rPr>
              <w:szCs w:val="24"/>
              <w:lang w:eastAsia="x-none"/>
            </w:rPr>
          </w:pPr>
          <w:r>
            <w:rPr>
              <w:szCs w:val="24"/>
              <w:lang w:eastAsia="x-none"/>
            </w:rPr>
            <w:t>(Tvirtinimo žyma)</w:t>
          </w:r>
        </w:p>
        <w:p>
          <w:pPr>
            <w:ind w:firstLine="7371"/>
            <w:jc w:val="both"/>
            <w:rPr>
              <w:sz w:val="20"/>
              <w:lang w:eastAsia="x-none"/>
            </w:rPr>
          </w:pPr>
        </w:p>
        <w:p>
          <w:pPr>
            <w:jc w:val="center"/>
            <w:rPr>
              <w:b/>
              <w:u w:val="single"/>
              <w:lang w:eastAsia="x-none"/>
            </w:rPr>
          </w:pPr>
          <w:r>
            <w:rPr>
              <w:b/>
              <w:lang w:eastAsia="x-none"/>
            </w:rPr>
            <w:t>20…..M……...................………D.</w:t>
          </w:r>
          <w:r>
            <w:rPr>
              <w:lang w:eastAsia="x-none"/>
            </w:rPr>
            <w:t xml:space="preserve">  </w:t>
          </w:r>
          <w:r>
            <w:rPr>
              <w:b/>
              <w:lang w:eastAsia="x-none"/>
            </w:rPr>
            <w:t>BALANSAS</w:t>
          </w:r>
        </w:p>
        <w:p>
          <w:pPr>
            <w:jc w:val="center"/>
            <w:rPr>
              <w:lang w:eastAsia="x-none"/>
            </w:rPr>
          </w:pPr>
        </w:p>
        <w:p>
          <w:pPr>
            <w:jc w:val="center"/>
            <w:rPr>
              <w:szCs w:val="24"/>
              <w:lang w:eastAsia="x-none"/>
            </w:rPr>
          </w:pPr>
          <w:r>
            <w:rPr>
              <w:szCs w:val="24"/>
              <w:lang w:eastAsia="x-none"/>
            </w:rPr>
            <w:t>_____________________________ Nr. _____</w:t>
          </w:r>
        </w:p>
        <w:p>
          <w:pPr>
            <w:ind w:left="2410" w:firstLine="759"/>
            <w:jc w:val="both"/>
            <w:rPr>
              <w:lang w:eastAsia="x-none"/>
            </w:rPr>
          </w:pPr>
          <w:r>
            <w:rPr>
              <w:sz w:val="20"/>
              <w:lang w:eastAsia="x-none"/>
            </w:rPr>
            <w:t>(ataskaitos sudarymo data)</w:t>
          </w:r>
        </w:p>
        <w:p>
          <w:pPr>
            <w:jc w:val="both"/>
            <w:rPr>
              <w:b/>
              <w:szCs w:val="24"/>
              <w:lang w:eastAsia="x-none"/>
            </w:rPr>
          </w:pPr>
          <w:r>
            <w:rPr>
              <w:lang w:eastAsia="x-none"/>
            </w:rPr>
            <w:t>__________________</w:t>
            <w:tab/>
            <w:tab/>
            <w:tab/>
            <w:tab/>
            <w:tab/>
          </w:r>
          <w:r>
            <w:rPr>
              <w:b/>
              <w:szCs w:val="24"/>
              <w:lang w:eastAsia="x-none"/>
            </w:rPr>
            <w:t>____________________________</w:t>
          </w:r>
        </w:p>
        <w:p>
          <w:pPr>
            <w:ind w:left="5040" w:hanging="5040"/>
            <w:rPr>
              <w:sz w:val="20"/>
              <w:lang w:eastAsia="x-none"/>
            </w:rPr>
          </w:pPr>
          <w:r>
            <w:rPr>
              <w:sz w:val="20"/>
              <w:lang w:eastAsia="x-none"/>
            </w:rPr>
            <w:t>(ataskaitinis laikotarpis)  </w:t>
            <w:tab/>
            <w:tab/>
            <w:t xml:space="preserve">      (ataskaitos tikslumo lygis ir valiuta)</w:t>
          </w:r>
        </w:p>
        <w:p>
          <w:pPr>
            <w:ind w:left="5040" w:hanging="5040"/>
            <w:rPr>
              <w:sz w:val="20"/>
              <w:lang w:eastAsia="x-none"/>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7"/>
            <w:gridCol w:w="5245"/>
            <w:gridCol w:w="850"/>
            <w:gridCol w:w="1418"/>
            <w:gridCol w:w="1417"/>
          </w:tblGrid>
          <w:tr>
            <w:tc>
              <w:tcPr>
                <w:tcW w:w="817" w:type="dxa"/>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Eil. Nr.</w:t>
                </w:r>
              </w:p>
            </w:tc>
            <w:tc>
              <w:tcPr>
                <w:tcW w:w="5245" w:type="dxa"/>
                <w:tcBorders>
                  <w:top w:val="single" w:sz="4" w:space="0" w:color="auto"/>
                  <w:left w:val="single" w:sz="4" w:space="0" w:color="auto"/>
                  <w:bottom w:val="single" w:sz="4" w:space="0" w:color="auto"/>
                  <w:right w:val="single" w:sz="4" w:space="0" w:color="auto"/>
                </w:tcBorders>
                <w:hideMark/>
              </w:tcPr>
              <w:p>
                <w:pPr>
                  <w:jc w:val="center"/>
                  <w:rPr>
                    <w:sz w:val="22"/>
                    <w:szCs w:val="22"/>
                  </w:rPr>
                </w:pPr>
                <w:r>
                  <w:rPr>
                    <w:color w:val="000000"/>
                    <w:lang w:eastAsia="x-none"/>
                  </w:rPr>
                  <w:t>Straipsniai</w:t>
                </w:r>
              </w:p>
            </w:tc>
            <w:tc>
              <w:tcPr>
                <w:tcW w:w="850" w:type="dxa"/>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Pasta-bos Nr.</w:t>
                </w:r>
              </w:p>
            </w:tc>
            <w:tc>
              <w:tcPr>
                <w:tcW w:w="1418" w:type="dxa"/>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Ataskaitinis laikotarpis</w:t>
                </w:r>
              </w:p>
            </w:tc>
            <w:tc>
              <w:tcPr>
                <w:tcW w:w="1417" w:type="dxa"/>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Praėjęs ataskaitinis laikotarpis</w:t>
                </w:r>
              </w:p>
            </w:tc>
          </w:tr>
          <w:tr>
            <w:tc>
              <w:tcPr>
                <w:tcW w:w="817" w:type="dxa"/>
                <w:tcBorders>
                  <w:top w:val="single" w:sz="4" w:space="0" w:color="auto"/>
                  <w:left w:val="single" w:sz="4" w:space="0" w:color="auto"/>
                  <w:bottom w:val="single" w:sz="4" w:space="0" w:color="auto"/>
                  <w:right w:val="single" w:sz="4" w:space="0" w:color="auto"/>
                </w:tcBorders>
              </w:tcPr>
              <w:p>
                <w:pPr>
                  <w:jc w:val="center"/>
                  <w:rPr>
                    <w:sz w:val="22"/>
                    <w:szCs w:val="22"/>
                  </w:rPr>
                </w:pPr>
              </w:p>
            </w:tc>
            <w:tc>
              <w:tcPr>
                <w:tcW w:w="5245" w:type="dxa"/>
                <w:tcBorders>
                  <w:top w:val="single" w:sz="4" w:space="0" w:color="auto"/>
                  <w:left w:val="single" w:sz="4" w:space="0" w:color="auto"/>
                  <w:bottom w:val="single" w:sz="4" w:space="0" w:color="auto"/>
                  <w:right w:val="single" w:sz="4" w:space="0" w:color="auto"/>
                </w:tcBorders>
                <w:hideMark/>
              </w:tcPr>
              <w:p>
                <w:pPr>
                  <w:rPr>
                    <w:color w:val="000000"/>
                    <w:lang w:eastAsia="x-none"/>
                  </w:rPr>
                </w:pPr>
                <w:r>
                  <w:rPr>
                    <w:color w:val="000000"/>
                    <w:lang w:eastAsia="x-none"/>
                  </w:rPr>
                  <w:t>TURTAS</w:t>
                </w:r>
              </w:p>
            </w:tc>
            <w:tc>
              <w:tcPr>
                <w:tcW w:w="850" w:type="dxa"/>
                <w:tcBorders>
                  <w:top w:val="single" w:sz="4" w:space="0" w:color="auto"/>
                  <w:left w:val="single" w:sz="4" w:space="0" w:color="auto"/>
                  <w:bottom w:val="single" w:sz="4" w:space="0" w:color="auto"/>
                  <w:right w:val="single" w:sz="4" w:space="0" w:color="auto"/>
                </w:tcBorders>
              </w:tcPr>
              <w:p>
                <w:pPr>
                  <w:jc w:val="center"/>
                  <w:rPr>
                    <w:sz w:val="22"/>
                    <w:szCs w:val="22"/>
                  </w:rPr>
                </w:pPr>
              </w:p>
            </w:tc>
            <w:tc>
              <w:tcPr>
                <w:tcW w:w="1418" w:type="dxa"/>
                <w:tcBorders>
                  <w:top w:val="single" w:sz="4" w:space="0" w:color="auto"/>
                  <w:left w:val="single" w:sz="4" w:space="0" w:color="auto"/>
                  <w:bottom w:val="single" w:sz="4" w:space="0" w:color="auto"/>
                  <w:right w:val="single" w:sz="4" w:space="0" w:color="auto"/>
                </w:tcBorders>
              </w:tcPr>
              <w:p>
                <w:pPr>
                  <w:jc w:val="center"/>
                  <w:rPr>
                    <w:sz w:val="22"/>
                    <w:szCs w:val="22"/>
                  </w:rPr>
                </w:pPr>
              </w:p>
            </w:tc>
            <w:tc>
              <w:tcPr>
                <w:tcW w:w="1417" w:type="dxa"/>
                <w:tcBorders>
                  <w:top w:val="single" w:sz="4" w:space="0" w:color="auto"/>
                  <w:left w:val="single" w:sz="4" w:space="0" w:color="auto"/>
                  <w:bottom w:val="single" w:sz="4" w:space="0" w:color="auto"/>
                  <w:right w:val="single" w:sz="4" w:space="0" w:color="auto"/>
                </w:tcBorders>
              </w:tcPr>
              <w:p>
                <w:pPr>
                  <w:jc w:val="center"/>
                  <w:rPr>
                    <w:sz w:val="22"/>
                    <w:szCs w:val="22"/>
                  </w:rPr>
                </w:pPr>
              </w:p>
            </w:tc>
          </w:tr>
          <w:tr>
            <w:tc>
              <w:tcPr>
                <w:tcW w:w="817" w:type="dxa"/>
                <w:tcBorders>
                  <w:top w:val="single" w:sz="4" w:space="0" w:color="auto"/>
                  <w:left w:val="single" w:sz="4" w:space="0" w:color="auto"/>
                  <w:bottom w:val="single" w:sz="4" w:space="0" w:color="auto"/>
                  <w:right w:val="single" w:sz="4" w:space="0" w:color="auto"/>
                </w:tcBorders>
                <w:hideMark/>
              </w:tcPr>
              <w:p>
                <w:pPr>
                  <w:rPr>
                    <w:caps/>
                    <w:sz w:val="22"/>
                    <w:szCs w:val="22"/>
                  </w:rPr>
                </w:pPr>
                <w:r>
                  <w:rPr>
                    <w:caps/>
                    <w:sz w:val="22"/>
                    <w:szCs w:val="22"/>
                  </w:rPr>
                  <w:t>A.</w:t>
                </w:r>
              </w:p>
            </w:tc>
            <w:tc>
              <w:tcPr>
                <w:tcW w:w="5245" w:type="dxa"/>
                <w:tcBorders>
                  <w:top w:val="single" w:sz="4" w:space="0" w:color="auto"/>
                  <w:left w:val="single" w:sz="4" w:space="0" w:color="auto"/>
                  <w:bottom w:val="single" w:sz="4" w:space="0" w:color="auto"/>
                  <w:right w:val="single" w:sz="4" w:space="0" w:color="auto"/>
                </w:tcBorders>
                <w:hideMark/>
              </w:tcPr>
              <w:p>
                <w:pPr>
                  <w:rPr>
                    <w:caps/>
                    <w:sz w:val="22"/>
                    <w:szCs w:val="22"/>
                  </w:rPr>
                </w:pPr>
                <w:r>
                  <w:rPr>
                    <w:caps/>
                    <w:sz w:val="22"/>
                    <w:szCs w:val="22"/>
                  </w:rPr>
                  <w:t xml:space="preserve">Ilgalaikis turtas </w:t>
                </w:r>
              </w:p>
            </w:tc>
            <w:tc>
              <w:tcPr>
                <w:tcW w:w="850" w:type="dxa"/>
                <w:tcBorders>
                  <w:top w:val="single" w:sz="4" w:space="0" w:color="auto"/>
                  <w:left w:val="single" w:sz="4" w:space="0" w:color="auto"/>
                  <w:bottom w:val="single" w:sz="4" w:space="0" w:color="auto"/>
                  <w:right w:val="single" w:sz="4" w:space="0" w:color="auto"/>
                </w:tcBorders>
              </w:tcPr>
              <w:p>
                <w:pPr>
                  <w:rPr>
                    <w:b/>
                    <w:sz w:val="22"/>
                    <w:szCs w:val="22"/>
                  </w:rPr>
                </w:pPr>
              </w:p>
            </w:tc>
            <w:tc>
              <w:tcPr>
                <w:tcW w:w="1418" w:type="dxa"/>
                <w:tcBorders>
                  <w:top w:val="single" w:sz="4" w:space="0" w:color="auto"/>
                  <w:left w:val="single" w:sz="4" w:space="0" w:color="auto"/>
                  <w:bottom w:val="single" w:sz="4" w:space="0" w:color="auto"/>
                  <w:right w:val="single" w:sz="4" w:space="0" w:color="auto"/>
                </w:tcBorders>
              </w:tcPr>
              <w:p>
                <w:pPr>
                  <w:rPr>
                    <w:b/>
                    <w:sz w:val="22"/>
                    <w:szCs w:val="22"/>
                  </w:rPr>
                </w:pPr>
              </w:p>
            </w:tc>
            <w:tc>
              <w:tcPr>
                <w:tcW w:w="1417" w:type="dxa"/>
                <w:tcBorders>
                  <w:top w:val="single" w:sz="4" w:space="0" w:color="auto"/>
                  <w:left w:val="single" w:sz="4" w:space="0" w:color="auto"/>
                  <w:bottom w:val="single" w:sz="4" w:space="0" w:color="auto"/>
                  <w:right w:val="single" w:sz="4" w:space="0" w:color="auto"/>
                </w:tcBorders>
              </w:tcPr>
              <w:p>
                <w:pPr>
                  <w:rPr>
                    <w:b/>
                    <w:sz w:val="22"/>
                    <w:szCs w:val="22"/>
                  </w:rPr>
                </w:pPr>
              </w:p>
            </w:tc>
          </w:tr>
          <w:tr>
            <w:tc>
              <w:tcPr>
                <w:tcW w:w="817" w:type="dxa"/>
                <w:tcBorders>
                  <w:top w:val="single" w:sz="4" w:space="0" w:color="auto"/>
                  <w:left w:val="single" w:sz="4" w:space="0" w:color="auto"/>
                  <w:bottom w:val="single" w:sz="4" w:space="0" w:color="auto"/>
                  <w:right w:val="single" w:sz="4" w:space="0" w:color="auto"/>
                </w:tcBorders>
                <w:hideMark/>
              </w:tcPr>
              <w:p>
                <w:pPr>
                  <w:jc w:val="both"/>
                  <w:rPr>
                    <w:sz w:val="22"/>
                    <w:szCs w:val="22"/>
                  </w:rPr>
                </w:pPr>
                <w:r>
                  <w:rPr>
                    <w:sz w:val="22"/>
                    <w:szCs w:val="22"/>
                  </w:rPr>
                  <w:t>1.</w:t>
                </w:r>
              </w:p>
            </w:tc>
            <w:tc>
              <w:tcPr>
                <w:tcW w:w="5245" w:type="dxa"/>
                <w:tcBorders>
                  <w:top w:val="single" w:sz="4" w:space="0" w:color="auto"/>
                  <w:left w:val="single" w:sz="4" w:space="0" w:color="auto"/>
                  <w:bottom w:val="single" w:sz="4" w:space="0" w:color="auto"/>
                  <w:right w:val="single" w:sz="4" w:space="0" w:color="auto"/>
                </w:tcBorders>
                <w:hideMark/>
              </w:tcPr>
              <w:p>
                <w:pPr>
                  <w:jc w:val="both"/>
                  <w:rPr>
                    <w:sz w:val="22"/>
                    <w:szCs w:val="22"/>
                  </w:rPr>
                </w:pPr>
                <w:r>
                  <w:rPr>
                    <w:sz w:val="22"/>
                    <w:szCs w:val="22"/>
                  </w:rPr>
                  <w:t>Nematerialusis turtas</w:t>
                </w:r>
              </w:p>
            </w:tc>
            <w:tc>
              <w:tcPr>
                <w:tcW w:w="850" w:type="dxa"/>
                <w:tcBorders>
                  <w:top w:val="single" w:sz="4" w:space="0" w:color="auto"/>
                  <w:left w:val="single" w:sz="4" w:space="0" w:color="auto"/>
                  <w:bottom w:val="single" w:sz="4" w:space="0" w:color="auto"/>
                  <w:right w:val="single" w:sz="4" w:space="0" w:color="auto"/>
                </w:tcBorders>
              </w:tcPr>
              <w:p>
                <w:pPr>
                  <w:jc w:val="both"/>
                  <w:rPr>
                    <w:sz w:val="22"/>
                    <w:szCs w:val="22"/>
                  </w:rPr>
                </w:pPr>
              </w:p>
            </w:tc>
            <w:tc>
              <w:tcPr>
                <w:tcW w:w="1418" w:type="dxa"/>
                <w:tcBorders>
                  <w:top w:val="single" w:sz="4" w:space="0" w:color="auto"/>
                  <w:left w:val="single" w:sz="4" w:space="0" w:color="auto"/>
                  <w:bottom w:val="single" w:sz="4" w:space="0" w:color="auto"/>
                  <w:right w:val="single" w:sz="4" w:space="0" w:color="auto"/>
                </w:tcBorders>
              </w:tcPr>
              <w:p>
                <w:pPr>
                  <w:jc w:val="both"/>
                  <w:rPr>
                    <w:sz w:val="22"/>
                    <w:szCs w:val="22"/>
                  </w:rPr>
                </w:pPr>
              </w:p>
            </w:tc>
            <w:tc>
              <w:tcPr>
                <w:tcW w:w="1417" w:type="dxa"/>
                <w:tcBorders>
                  <w:top w:val="single" w:sz="4" w:space="0" w:color="auto"/>
                  <w:left w:val="single" w:sz="4" w:space="0" w:color="auto"/>
                  <w:bottom w:val="single" w:sz="4" w:space="0" w:color="auto"/>
                  <w:right w:val="single" w:sz="4" w:space="0" w:color="auto"/>
                </w:tcBorders>
              </w:tcPr>
              <w:p>
                <w:pPr>
                  <w:jc w:val="both"/>
                  <w:rPr>
                    <w:sz w:val="22"/>
                    <w:szCs w:val="22"/>
                  </w:rPr>
                </w:pPr>
              </w:p>
            </w:tc>
          </w:tr>
          <w:tr>
            <w:tc>
              <w:tcPr>
                <w:tcW w:w="817" w:type="dxa"/>
                <w:tcBorders>
                  <w:top w:val="single" w:sz="4" w:space="0" w:color="auto"/>
                  <w:left w:val="single" w:sz="4" w:space="0" w:color="auto"/>
                  <w:bottom w:val="single" w:sz="4" w:space="0" w:color="auto"/>
                  <w:right w:val="single" w:sz="4" w:space="0" w:color="auto"/>
                </w:tcBorders>
                <w:hideMark/>
              </w:tcPr>
              <w:p>
                <w:pPr>
                  <w:jc w:val="both"/>
                  <w:rPr>
                    <w:sz w:val="22"/>
                    <w:szCs w:val="22"/>
                  </w:rPr>
                </w:pPr>
                <w:r>
                  <w:rPr>
                    <w:sz w:val="22"/>
                    <w:szCs w:val="22"/>
                  </w:rPr>
                  <w:t>2.</w:t>
                </w:r>
              </w:p>
            </w:tc>
            <w:tc>
              <w:tcPr>
                <w:tcW w:w="5245" w:type="dxa"/>
                <w:tcBorders>
                  <w:top w:val="single" w:sz="4" w:space="0" w:color="auto"/>
                  <w:left w:val="single" w:sz="4" w:space="0" w:color="auto"/>
                  <w:bottom w:val="single" w:sz="4" w:space="0" w:color="auto"/>
                  <w:right w:val="single" w:sz="4" w:space="0" w:color="auto"/>
                </w:tcBorders>
                <w:hideMark/>
              </w:tcPr>
              <w:p>
                <w:pPr>
                  <w:jc w:val="both"/>
                  <w:rPr>
                    <w:sz w:val="22"/>
                    <w:szCs w:val="22"/>
                  </w:rPr>
                </w:pPr>
                <w:r>
                  <w:rPr>
                    <w:sz w:val="22"/>
                    <w:szCs w:val="22"/>
                  </w:rPr>
                  <w:t>Materialusis turtas</w:t>
                </w:r>
              </w:p>
            </w:tc>
            <w:tc>
              <w:tcPr>
                <w:tcW w:w="850" w:type="dxa"/>
                <w:tcBorders>
                  <w:top w:val="single" w:sz="4" w:space="0" w:color="auto"/>
                  <w:left w:val="single" w:sz="4" w:space="0" w:color="auto"/>
                  <w:bottom w:val="single" w:sz="4" w:space="0" w:color="auto"/>
                  <w:right w:val="single" w:sz="4" w:space="0" w:color="auto"/>
                </w:tcBorders>
              </w:tcPr>
              <w:p>
                <w:pPr>
                  <w:jc w:val="both"/>
                  <w:rPr>
                    <w:sz w:val="22"/>
                    <w:szCs w:val="22"/>
                  </w:rPr>
                </w:pPr>
              </w:p>
            </w:tc>
            <w:tc>
              <w:tcPr>
                <w:tcW w:w="1418" w:type="dxa"/>
                <w:tcBorders>
                  <w:top w:val="single" w:sz="4" w:space="0" w:color="auto"/>
                  <w:left w:val="single" w:sz="4" w:space="0" w:color="auto"/>
                  <w:bottom w:val="single" w:sz="4" w:space="0" w:color="auto"/>
                  <w:right w:val="single" w:sz="4" w:space="0" w:color="auto"/>
                </w:tcBorders>
              </w:tcPr>
              <w:p>
                <w:pPr>
                  <w:jc w:val="both"/>
                  <w:rPr>
                    <w:sz w:val="22"/>
                    <w:szCs w:val="22"/>
                  </w:rPr>
                </w:pPr>
              </w:p>
            </w:tc>
            <w:tc>
              <w:tcPr>
                <w:tcW w:w="1417" w:type="dxa"/>
                <w:tcBorders>
                  <w:top w:val="single" w:sz="4" w:space="0" w:color="auto"/>
                  <w:left w:val="single" w:sz="4" w:space="0" w:color="auto"/>
                  <w:bottom w:val="single" w:sz="4" w:space="0" w:color="auto"/>
                  <w:right w:val="single" w:sz="4" w:space="0" w:color="auto"/>
                </w:tcBorders>
              </w:tcPr>
              <w:p>
                <w:pPr>
                  <w:jc w:val="both"/>
                  <w:rPr>
                    <w:sz w:val="22"/>
                    <w:szCs w:val="22"/>
                  </w:rPr>
                </w:pPr>
              </w:p>
            </w:tc>
          </w:tr>
          <w:tr>
            <w:tc>
              <w:tcPr>
                <w:tcW w:w="817" w:type="dxa"/>
                <w:tcBorders>
                  <w:top w:val="single" w:sz="4" w:space="0" w:color="auto"/>
                  <w:left w:val="single" w:sz="4" w:space="0" w:color="auto"/>
                  <w:bottom w:val="single" w:sz="4" w:space="0" w:color="auto"/>
                  <w:right w:val="single" w:sz="4" w:space="0" w:color="auto"/>
                </w:tcBorders>
                <w:hideMark/>
              </w:tcPr>
              <w:p>
                <w:pPr>
                  <w:jc w:val="both"/>
                  <w:rPr>
                    <w:sz w:val="22"/>
                    <w:szCs w:val="22"/>
                  </w:rPr>
                </w:pPr>
                <w:r>
                  <w:rPr>
                    <w:sz w:val="22"/>
                    <w:szCs w:val="22"/>
                  </w:rPr>
                  <w:t>3.</w:t>
                </w:r>
              </w:p>
            </w:tc>
            <w:tc>
              <w:tcPr>
                <w:tcW w:w="5245" w:type="dxa"/>
                <w:tcBorders>
                  <w:top w:val="single" w:sz="4" w:space="0" w:color="auto"/>
                  <w:left w:val="single" w:sz="4" w:space="0" w:color="auto"/>
                  <w:bottom w:val="single" w:sz="4" w:space="0" w:color="auto"/>
                  <w:right w:val="single" w:sz="4" w:space="0" w:color="auto"/>
                </w:tcBorders>
                <w:hideMark/>
              </w:tcPr>
              <w:p>
                <w:pPr>
                  <w:jc w:val="both"/>
                  <w:rPr>
                    <w:sz w:val="22"/>
                    <w:szCs w:val="22"/>
                  </w:rPr>
                </w:pPr>
                <w:r>
                  <w:rPr>
                    <w:sz w:val="22"/>
                    <w:szCs w:val="22"/>
                  </w:rPr>
                  <w:t>Finansinis turtas</w:t>
                </w:r>
              </w:p>
            </w:tc>
            <w:tc>
              <w:tcPr>
                <w:tcW w:w="850" w:type="dxa"/>
                <w:tcBorders>
                  <w:top w:val="single" w:sz="4" w:space="0" w:color="auto"/>
                  <w:left w:val="single" w:sz="4" w:space="0" w:color="auto"/>
                  <w:bottom w:val="single" w:sz="4" w:space="0" w:color="auto"/>
                  <w:right w:val="single" w:sz="4" w:space="0" w:color="auto"/>
                </w:tcBorders>
              </w:tcPr>
              <w:p>
                <w:pPr>
                  <w:jc w:val="both"/>
                  <w:rPr>
                    <w:sz w:val="22"/>
                    <w:szCs w:val="22"/>
                  </w:rPr>
                </w:pPr>
              </w:p>
            </w:tc>
            <w:tc>
              <w:tcPr>
                <w:tcW w:w="1418" w:type="dxa"/>
                <w:tcBorders>
                  <w:top w:val="single" w:sz="4" w:space="0" w:color="auto"/>
                  <w:left w:val="single" w:sz="4" w:space="0" w:color="auto"/>
                  <w:bottom w:val="single" w:sz="4" w:space="0" w:color="auto"/>
                  <w:right w:val="single" w:sz="4" w:space="0" w:color="auto"/>
                </w:tcBorders>
              </w:tcPr>
              <w:p>
                <w:pPr>
                  <w:jc w:val="both"/>
                  <w:rPr>
                    <w:sz w:val="22"/>
                    <w:szCs w:val="22"/>
                  </w:rPr>
                </w:pPr>
              </w:p>
            </w:tc>
            <w:tc>
              <w:tcPr>
                <w:tcW w:w="1417" w:type="dxa"/>
                <w:tcBorders>
                  <w:top w:val="single" w:sz="4" w:space="0" w:color="auto"/>
                  <w:left w:val="single" w:sz="4" w:space="0" w:color="auto"/>
                  <w:bottom w:val="single" w:sz="4" w:space="0" w:color="auto"/>
                  <w:right w:val="single" w:sz="4" w:space="0" w:color="auto"/>
                </w:tcBorders>
              </w:tcPr>
              <w:p>
                <w:pPr>
                  <w:jc w:val="both"/>
                  <w:rPr>
                    <w:sz w:val="22"/>
                    <w:szCs w:val="22"/>
                  </w:rPr>
                </w:pPr>
              </w:p>
            </w:tc>
          </w:tr>
          <w:tr>
            <w:tc>
              <w:tcPr>
                <w:tcW w:w="817" w:type="dxa"/>
                <w:tcBorders>
                  <w:top w:val="single" w:sz="4" w:space="0" w:color="auto"/>
                  <w:left w:val="single" w:sz="4" w:space="0" w:color="auto"/>
                  <w:bottom w:val="single" w:sz="4" w:space="0" w:color="auto"/>
                  <w:right w:val="single" w:sz="4" w:space="0" w:color="auto"/>
                </w:tcBorders>
                <w:hideMark/>
              </w:tcPr>
              <w:p>
                <w:pPr>
                  <w:jc w:val="both"/>
                  <w:rPr>
                    <w:sz w:val="22"/>
                    <w:szCs w:val="22"/>
                  </w:rPr>
                </w:pPr>
                <w:r>
                  <w:rPr>
                    <w:sz w:val="22"/>
                    <w:szCs w:val="22"/>
                  </w:rPr>
                  <w:t>4.</w:t>
                </w:r>
              </w:p>
            </w:tc>
            <w:tc>
              <w:tcPr>
                <w:tcW w:w="5245" w:type="dxa"/>
                <w:tcBorders>
                  <w:top w:val="single" w:sz="4" w:space="0" w:color="auto"/>
                  <w:left w:val="single" w:sz="4" w:space="0" w:color="auto"/>
                  <w:bottom w:val="single" w:sz="4" w:space="0" w:color="auto"/>
                  <w:right w:val="single" w:sz="4" w:space="0" w:color="auto"/>
                </w:tcBorders>
                <w:hideMark/>
              </w:tcPr>
              <w:p>
                <w:pPr>
                  <w:jc w:val="both"/>
                  <w:rPr>
                    <w:sz w:val="22"/>
                    <w:szCs w:val="22"/>
                  </w:rPr>
                </w:pPr>
                <w:r>
                  <w:rPr>
                    <w:sz w:val="22"/>
                    <w:szCs w:val="22"/>
                  </w:rPr>
                  <w:t>Kitas ilgalaikis turtas</w:t>
                </w:r>
              </w:p>
            </w:tc>
            <w:tc>
              <w:tcPr>
                <w:tcW w:w="850" w:type="dxa"/>
                <w:tcBorders>
                  <w:top w:val="single" w:sz="4" w:space="0" w:color="auto"/>
                  <w:left w:val="single" w:sz="4" w:space="0" w:color="auto"/>
                  <w:bottom w:val="single" w:sz="4" w:space="0" w:color="auto"/>
                  <w:right w:val="single" w:sz="4" w:space="0" w:color="auto"/>
                </w:tcBorders>
              </w:tcPr>
              <w:p>
                <w:pPr>
                  <w:jc w:val="both"/>
                  <w:rPr>
                    <w:sz w:val="22"/>
                    <w:szCs w:val="22"/>
                  </w:rPr>
                </w:pPr>
              </w:p>
            </w:tc>
            <w:tc>
              <w:tcPr>
                <w:tcW w:w="1418" w:type="dxa"/>
                <w:tcBorders>
                  <w:top w:val="single" w:sz="4" w:space="0" w:color="auto"/>
                  <w:left w:val="single" w:sz="4" w:space="0" w:color="auto"/>
                  <w:bottom w:val="single" w:sz="4" w:space="0" w:color="auto"/>
                  <w:right w:val="single" w:sz="4" w:space="0" w:color="auto"/>
                </w:tcBorders>
              </w:tcPr>
              <w:p>
                <w:pPr>
                  <w:jc w:val="both"/>
                  <w:rPr>
                    <w:sz w:val="22"/>
                    <w:szCs w:val="22"/>
                  </w:rPr>
                </w:pPr>
              </w:p>
            </w:tc>
            <w:tc>
              <w:tcPr>
                <w:tcW w:w="1417" w:type="dxa"/>
                <w:tcBorders>
                  <w:top w:val="single" w:sz="4" w:space="0" w:color="auto"/>
                  <w:left w:val="single" w:sz="4" w:space="0" w:color="auto"/>
                  <w:bottom w:val="single" w:sz="4" w:space="0" w:color="auto"/>
                  <w:right w:val="single" w:sz="4" w:space="0" w:color="auto"/>
                </w:tcBorders>
              </w:tcPr>
              <w:p>
                <w:pPr>
                  <w:jc w:val="both"/>
                  <w:rPr>
                    <w:sz w:val="22"/>
                    <w:szCs w:val="22"/>
                  </w:rPr>
                </w:pPr>
              </w:p>
            </w:tc>
          </w:tr>
          <w:tr>
            <w:tc>
              <w:tcPr>
                <w:tcW w:w="817" w:type="dxa"/>
                <w:tcBorders>
                  <w:top w:val="single" w:sz="4" w:space="0" w:color="auto"/>
                  <w:left w:val="single" w:sz="4" w:space="0" w:color="auto"/>
                  <w:bottom w:val="single" w:sz="4" w:space="0" w:color="auto"/>
                  <w:right w:val="single" w:sz="4" w:space="0" w:color="auto"/>
                </w:tcBorders>
                <w:hideMark/>
              </w:tcPr>
              <w:p>
                <w:pPr>
                  <w:jc w:val="both"/>
                  <w:rPr>
                    <w:caps/>
                    <w:sz w:val="22"/>
                    <w:szCs w:val="22"/>
                  </w:rPr>
                </w:pPr>
                <w:r>
                  <w:rPr>
                    <w:caps/>
                    <w:sz w:val="22"/>
                    <w:szCs w:val="22"/>
                  </w:rPr>
                  <w:t>B.</w:t>
                </w:r>
              </w:p>
            </w:tc>
            <w:tc>
              <w:tcPr>
                <w:tcW w:w="5245" w:type="dxa"/>
                <w:tcBorders>
                  <w:top w:val="single" w:sz="4" w:space="0" w:color="auto"/>
                  <w:left w:val="single" w:sz="4" w:space="0" w:color="auto"/>
                  <w:bottom w:val="single" w:sz="4" w:space="0" w:color="auto"/>
                  <w:right w:val="single" w:sz="4" w:space="0" w:color="auto"/>
                </w:tcBorders>
                <w:hideMark/>
              </w:tcPr>
              <w:p>
                <w:pPr>
                  <w:jc w:val="both"/>
                  <w:rPr>
                    <w:caps/>
                    <w:sz w:val="22"/>
                    <w:szCs w:val="22"/>
                  </w:rPr>
                </w:pPr>
                <w:r>
                  <w:rPr>
                    <w:caps/>
                    <w:sz w:val="22"/>
                    <w:szCs w:val="22"/>
                  </w:rPr>
                  <w:t>Trumpalaikis turtas</w:t>
                </w:r>
              </w:p>
            </w:tc>
            <w:tc>
              <w:tcPr>
                <w:tcW w:w="850" w:type="dxa"/>
                <w:tcBorders>
                  <w:top w:val="single" w:sz="4" w:space="0" w:color="auto"/>
                  <w:left w:val="single" w:sz="4" w:space="0" w:color="auto"/>
                  <w:bottom w:val="single" w:sz="4" w:space="0" w:color="auto"/>
                  <w:right w:val="single" w:sz="4" w:space="0" w:color="auto"/>
                </w:tcBorders>
              </w:tcPr>
              <w:p>
                <w:pPr>
                  <w:jc w:val="both"/>
                  <w:rPr>
                    <w:b/>
                    <w:sz w:val="22"/>
                    <w:szCs w:val="22"/>
                  </w:rPr>
                </w:pPr>
              </w:p>
            </w:tc>
            <w:tc>
              <w:tcPr>
                <w:tcW w:w="1418" w:type="dxa"/>
                <w:tcBorders>
                  <w:top w:val="single" w:sz="4" w:space="0" w:color="auto"/>
                  <w:left w:val="single" w:sz="4" w:space="0" w:color="auto"/>
                  <w:bottom w:val="single" w:sz="4" w:space="0" w:color="auto"/>
                  <w:right w:val="single" w:sz="4" w:space="0" w:color="auto"/>
                </w:tcBorders>
              </w:tcPr>
              <w:p>
                <w:pPr>
                  <w:jc w:val="both"/>
                  <w:rPr>
                    <w:b/>
                    <w:sz w:val="22"/>
                    <w:szCs w:val="22"/>
                  </w:rPr>
                </w:pPr>
              </w:p>
            </w:tc>
            <w:tc>
              <w:tcPr>
                <w:tcW w:w="1417" w:type="dxa"/>
                <w:tcBorders>
                  <w:top w:val="single" w:sz="4" w:space="0" w:color="auto"/>
                  <w:left w:val="single" w:sz="4" w:space="0" w:color="auto"/>
                  <w:bottom w:val="single" w:sz="4" w:space="0" w:color="auto"/>
                  <w:right w:val="single" w:sz="4" w:space="0" w:color="auto"/>
                </w:tcBorders>
              </w:tcPr>
              <w:p>
                <w:pPr>
                  <w:jc w:val="both"/>
                  <w:rPr>
                    <w:b/>
                    <w:sz w:val="22"/>
                    <w:szCs w:val="22"/>
                  </w:rPr>
                </w:pPr>
              </w:p>
            </w:tc>
          </w:tr>
          <w:tr>
            <w:tc>
              <w:tcPr>
                <w:tcW w:w="817" w:type="dxa"/>
                <w:tcBorders>
                  <w:top w:val="single" w:sz="4" w:space="0" w:color="auto"/>
                  <w:left w:val="single" w:sz="4" w:space="0" w:color="auto"/>
                  <w:bottom w:val="single" w:sz="4" w:space="0" w:color="auto"/>
                  <w:right w:val="single" w:sz="4" w:space="0" w:color="auto"/>
                </w:tcBorders>
                <w:hideMark/>
              </w:tcPr>
              <w:p>
                <w:pPr>
                  <w:jc w:val="both"/>
                  <w:rPr>
                    <w:sz w:val="22"/>
                    <w:szCs w:val="22"/>
                  </w:rPr>
                </w:pPr>
                <w:r>
                  <w:rPr>
                    <w:sz w:val="22"/>
                    <w:szCs w:val="22"/>
                  </w:rPr>
                  <w:t>1.</w:t>
                </w:r>
              </w:p>
            </w:tc>
            <w:tc>
              <w:tcPr>
                <w:tcW w:w="5245" w:type="dxa"/>
                <w:tcBorders>
                  <w:top w:val="single" w:sz="4" w:space="0" w:color="auto"/>
                  <w:left w:val="single" w:sz="4" w:space="0" w:color="auto"/>
                  <w:bottom w:val="single" w:sz="4" w:space="0" w:color="auto"/>
                  <w:right w:val="single" w:sz="4" w:space="0" w:color="auto"/>
                </w:tcBorders>
                <w:hideMark/>
              </w:tcPr>
              <w:p>
                <w:pPr>
                  <w:jc w:val="both"/>
                  <w:rPr>
                    <w:sz w:val="22"/>
                    <w:szCs w:val="22"/>
                  </w:rPr>
                </w:pPr>
                <w:r>
                  <w:rPr>
                    <w:sz w:val="22"/>
                    <w:szCs w:val="22"/>
                  </w:rPr>
                  <w:t xml:space="preserve">Atsargos, sumokėti avansai ir vykdomi darbai </w:t>
                </w:r>
              </w:p>
            </w:tc>
            <w:tc>
              <w:tcPr>
                <w:tcW w:w="850" w:type="dxa"/>
                <w:tcBorders>
                  <w:top w:val="single" w:sz="4" w:space="0" w:color="auto"/>
                  <w:left w:val="single" w:sz="4" w:space="0" w:color="auto"/>
                  <w:bottom w:val="single" w:sz="4" w:space="0" w:color="auto"/>
                  <w:right w:val="single" w:sz="4" w:space="0" w:color="auto"/>
                </w:tcBorders>
              </w:tcPr>
              <w:p>
                <w:pPr>
                  <w:jc w:val="both"/>
                  <w:rPr>
                    <w:sz w:val="22"/>
                    <w:szCs w:val="22"/>
                  </w:rPr>
                </w:pPr>
              </w:p>
            </w:tc>
            <w:tc>
              <w:tcPr>
                <w:tcW w:w="1418" w:type="dxa"/>
                <w:tcBorders>
                  <w:top w:val="single" w:sz="4" w:space="0" w:color="auto"/>
                  <w:left w:val="single" w:sz="4" w:space="0" w:color="auto"/>
                  <w:bottom w:val="single" w:sz="4" w:space="0" w:color="auto"/>
                  <w:right w:val="single" w:sz="4" w:space="0" w:color="auto"/>
                </w:tcBorders>
              </w:tcPr>
              <w:p>
                <w:pPr>
                  <w:jc w:val="both"/>
                  <w:rPr>
                    <w:sz w:val="22"/>
                    <w:szCs w:val="22"/>
                  </w:rPr>
                </w:pPr>
              </w:p>
            </w:tc>
            <w:tc>
              <w:tcPr>
                <w:tcW w:w="1417" w:type="dxa"/>
                <w:tcBorders>
                  <w:top w:val="single" w:sz="4" w:space="0" w:color="auto"/>
                  <w:left w:val="single" w:sz="4" w:space="0" w:color="auto"/>
                  <w:bottom w:val="single" w:sz="4" w:space="0" w:color="auto"/>
                  <w:right w:val="single" w:sz="4" w:space="0" w:color="auto"/>
                </w:tcBorders>
              </w:tcPr>
              <w:p>
                <w:pPr>
                  <w:jc w:val="both"/>
                  <w:rPr>
                    <w:sz w:val="22"/>
                    <w:szCs w:val="22"/>
                  </w:rPr>
                </w:pPr>
              </w:p>
            </w:tc>
          </w:tr>
          <w:tr>
            <w:tc>
              <w:tcPr>
                <w:tcW w:w="817" w:type="dxa"/>
                <w:tcBorders>
                  <w:top w:val="single" w:sz="4" w:space="0" w:color="auto"/>
                  <w:left w:val="single" w:sz="4" w:space="0" w:color="auto"/>
                  <w:bottom w:val="single" w:sz="4" w:space="0" w:color="auto"/>
                  <w:right w:val="single" w:sz="4" w:space="0" w:color="auto"/>
                </w:tcBorders>
                <w:hideMark/>
              </w:tcPr>
              <w:p>
                <w:pPr>
                  <w:jc w:val="both"/>
                  <w:rPr>
                    <w:sz w:val="22"/>
                    <w:szCs w:val="22"/>
                  </w:rPr>
                </w:pPr>
                <w:r>
                  <w:rPr>
                    <w:sz w:val="22"/>
                    <w:szCs w:val="22"/>
                  </w:rPr>
                  <w:t>2.</w:t>
                </w:r>
              </w:p>
            </w:tc>
            <w:tc>
              <w:tcPr>
                <w:tcW w:w="5245" w:type="dxa"/>
                <w:tcBorders>
                  <w:top w:val="single" w:sz="4" w:space="0" w:color="auto"/>
                  <w:left w:val="single" w:sz="4" w:space="0" w:color="auto"/>
                  <w:bottom w:val="single" w:sz="4" w:space="0" w:color="auto"/>
                  <w:right w:val="single" w:sz="4" w:space="0" w:color="auto"/>
                </w:tcBorders>
                <w:hideMark/>
              </w:tcPr>
              <w:p>
                <w:pPr>
                  <w:jc w:val="both"/>
                  <w:rPr>
                    <w:sz w:val="22"/>
                    <w:szCs w:val="22"/>
                  </w:rPr>
                </w:pPr>
                <w:r>
                  <w:rPr>
                    <w:sz w:val="22"/>
                    <w:szCs w:val="22"/>
                  </w:rPr>
                  <w:t xml:space="preserve">Per vienus metus gautinos sumos </w:t>
                </w:r>
              </w:p>
            </w:tc>
            <w:tc>
              <w:tcPr>
                <w:tcW w:w="850" w:type="dxa"/>
                <w:tcBorders>
                  <w:top w:val="single" w:sz="4" w:space="0" w:color="auto"/>
                  <w:left w:val="single" w:sz="4" w:space="0" w:color="auto"/>
                  <w:bottom w:val="single" w:sz="4" w:space="0" w:color="auto"/>
                  <w:right w:val="single" w:sz="4" w:space="0" w:color="auto"/>
                </w:tcBorders>
              </w:tcPr>
              <w:p>
                <w:pPr>
                  <w:jc w:val="both"/>
                  <w:rPr>
                    <w:sz w:val="22"/>
                    <w:szCs w:val="22"/>
                  </w:rPr>
                </w:pPr>
              </w:p>
            </w:tc>
            <w:tc>
              <w:tcPr>
                <w:tcW w:w="1418" w:type="dxa"/>
                <w:tcBorders>
                  <w:top w:val="single" w:sz="4" w:space="0" w:color="auto"/>
                  <w:left w:val="single" w:sz="4" w:space="0" w:color="auto"/>
                  <w:bottom w:val="single" w:sz="4" w:space="0" w:color="auto"/>
                  <w:right w:val="single" w:sz="4" w:space="0" w:color="auto"/>
                </w:tcBorders>
              </w:tcPr>
              <w:p>
                <w:pPr>
                  <w:jc w:val="both"/>
                  <w:rPr>
                    <w:sz w:val="22"/>
                    <w:szCs w:val="22"/>
                  </w:rPr>
                </w:pPr>
              </w:p>
            </w:tc>
            <w:tc>
              <w:tcPr>
                <w:tcW w:w="1417" w:type="dxa"/>
                <w:tcBorders>
                  <w:top w:val="single" w:sz="4" w:space="0" w:color="auto"/>
                  <w:left w:val="single" w:sz="4" w:space="0" w:color="auto"/>
                  <w:bottom w:val="single" w:sz="4" w:space="0" w:color="auto"/>
                  <w:right w:val="single" w:sz="4" w:space="0" w:color="auto"/>
                </w:tcBorders>
              </w:tcPr>
              <w:p>
                <w:pPr>
                  <w:jc w:val="both"/>
                  <w:rPr>
                    <w:sz w:val="22"/>
                    <w:szCs w:val="22"/>
                  </w:rPr>
                </w:pPr>
              </w:p>
            </w:tc>
          </w:tr>
          <w:tr>
            <w:tc>
              <w:tcPr>
                <w:tcW w:w="817" w:type="dxa"/>
                <w:tcBorders>
                  <w:top w:val="single" w:sz="4" w:space="0" w:color="auto"/>
                  <w:left w:val="single" w:sz="4" w:space="0" w:color="auto"/>
                  <w:bottom w:val="single" w:sz="4" w:space="0" w:color="auto"/>
                  <w:right w:val="single" w:sz="4" w:space="0" w:color="auto"/>
                </w:tcBorders>
                <w:hideMark/>
              </w:tcPr>
              <w:p>
                <w:pPr>
                  <w:jc w:val="both"/>
                  <w:rPr>
                    <w:sz w:val="22"/>
                    <w:szCs w:val="22"/>
                  </w:rPr>
                </w:pPr>
                <w:r>
                  <w:rPr>
                    <w:sz w:val="22"/>
                    <w:szCs w:val="22"/>
                  </w:rPr>
                  <w:t>3.</w:t>
                </w:r>
              </w:p>
            </w:tc>
            <w:tc>
              <w:tcPr>
                <w:tcW w:w="5245" w:type="dxa"/>
                <w:tcBorders>
                  <w:top w:val="single" w:sz="4" w:space="0" w:color="auto"/>
                  <w:left w:val="single" w:sz="4" w:space="0" w:color="auto"/>
                  <w:bottom w:val="single" w:sz="4" w:space="0" w:color="auto"/>
                  <w:right w:val="single" w:sz="4" w:space="0" w:color="auto"/>
                </w:tcBorders>
                <w:hideMark/>
              </w:tcPr>
              <w:p>
                <w:pPr>
                  <w:jc w:val="both"/>
                  <w:rPr>
                    <w:sz w:val="22"/>
                    <w:szCs w:val="22"/>
                  </w:rPr>
                </w:pPr>
                <w:r>
                  <w:rPr>
                    <w:sz w:val="22"/>
                    <w:szCs w:val="22"/>
                  </w:rPr>
                  <w:t xml:space="preserve">Kitas trumpalaikis turtas </w:t>
                </w:r>
              </w:p>
            </w:tc>
            <w:tc>
              <w:tcPr>
                <w:tcW w:w="850" w:type="dxa"/>
                <w:tcBorders>
                  <w:top w:val="single" w:sz="4" w:space="0" w:color="auto"/>
                  <w:left w:val="single" w:sz="4" w:space="0" w:color="auto"/>
                  <w:bottom w:val="single" w:sz="4" w:space="0" w:color="auto"/>
                  <w:right w:val="single" w:sz="4" w:space="0" w:color="auto"/>
                </w:tcBorders>
              </w:tcPr>
              <w:p>
                <w:pPr>
                  <w:jc w:val="both"/>
                  <w:rPr>
                    <w:sz w:val="22"/>
                    <w:szCs w:val="22"/>
                  </w:rPr>
                </w:pPr>
              </w:p>
            </w:tc>
            <w:tc>
              <w:tcPr>
                <w:tcW w:w="1418" w:type="dxa"/>
                <w:tcBorders>
                  <w:top w:val="single" w:sz="4" w:space="0" w:color="auto"/>
                  <w:left w:val="single" w:sz="4" w:space="0" w:color="auto"/>
                  <w:bottom w:val="single" w:sz="4" w:space="0" w:color="auto"/>
                  <w:right w:val="single" w:sz="4" w:space="0" w:color="auto"/>
                </w:tcBorders>
              </w:tcPr>
              <w:p>
                <w:pPr>
                  <w:jc w:val="both"/>
                  <w:rPr>
                    <w:sz w:val="22"/>
                    <w:szCs w:val="22"/>
                  </w:rPr>
                </w:pPr>
              </w:p>
            </w:tc>
            <w:tc>
              <w:tcPr>
                <w:tcW w:w="1417" w:type="dxa"/>
                <w:tcBorders>
                  <w:top w:val="single" w:sz="4" w:space="0" w:color="auto"/>
                  <w:left w:val="single" w:sz="4" w:space="0" w:color="auto"/>
                  <w:bottom w:val="single" w:sz="4" w:space="0" w:color="auto"/>
                  <w:right w:val="single" w:sz="4" w:space="0" w:color="auto"/>
                </w:tcBorders>
              </w:tcPr>
              <w:p>
                <w:pPr>
                  <w:jc w:val="both"/>
                  <w:rPr>
                    <w:sz w:val="22"/>
                    <w:szCs w:val="22"/>
                  </w:rPr>
                </w:pPr>
              </w:p>
            </w:tc>
          </w:tr>
          <w:tr>
            <w:tc>
              <w:tcPr>
                <w:tcW w:w="817" w:type="dxa"/>
                <w:tcBorders>
                  <w:top w:val="single" w:sz="4" w:space="0" w:color="auto"/>
                  <w:left w:val="single" w:sz="4" w:space="0" w:color="auto"/>
                  <w:bottom w:val="single" w:sz="4" w:space="0" w:color="auto"/>
                  <w:right w:val="single" w:sz="4" w:space="0" w:color="auto"/>
                </w:tcBorders>
                <w:hideMark/>
              </w:tcPr>
              <w:p>
                <w:pPr>
                  <w:jc w:val="both"/>
                  <w:rPr>
                    <w:sz w:val="22"/>
                    <w:szCs w:val="22"/>
                  </w:rPr>
                </w:pPr>
                <w:r>
                  <w:rPr>
                    <w:sz w:val="22"/>
                    <w:szCs w:val="22"/>
                  </w:rPr>
                  <w:t>4.</w:t>
                </w:r>
              </w:p>
            </w:tc>
            <w:tc>
              <w:tcPr>
                <w:tcW w:w="5245" w:type="dxa"/>
                <w:tcBorders>
                  <w:top w:val="single" w:sz="4" w:space="0" w:color="auto"/>
                  <w:left w:val="single" w:sz="4" w:space="0" w:color="auto"/>
                  <w:bottom w:val="single" w:sz="4" w:space="0" w:color="auto"/>
                  <w:right w:val="single" w:sz="4" w:space="0" w:color="auto"/>
                </w:tcBorders>
                <w:hideMark/>
              </w:tcPr>
              <w:p>
                <w:pPr>
                  <w:rPr>
                    <w:sz w:val="22"/>
                    <w:szCs w:val="22"/>
                  </w:rPr>
                </w:pPr>
                <w:r>
                  <w:rPr>
                    <w:sz w:val="22"/>
                    <w:szCs w:val="22"/>
                  </w:rPr>
                  <w:t>Pinigai</w:t>
                </w:r>
              </w:p>
            </w:tc>
            <w:tc>
              <w:tcPr>
                <w:tcW w:w="850" w:type="dxa"/>
                <w:tcBorders>
                  <w:top w:val="single" w:sz="4" w:space="0" w:color="auto"/>
                  <w:left w:val="single" w:sz="4" w:space="0" w:color="auto"/>
                  <w:bottom w:val="single" w:sz="4" w:space="0" w:color="auto"/>
                  <w:right w:val="single" w:sz="4" w:space="0" w:color="auto"/>
                </w:tcBorders>
              </w:tcPr>
              <w:p>
                <w:pPr>
                  <w:jc w:val="both"/>
                  <w:rPr>
                    <w:sz w:val="22"/>
                    <w:szCs w:val="22"/>
                  </w:rPr>
                </w:pPr>
              </w:p>
            </w:tc>
            <w:tc>
              <w:tcPr>
                <w:tcW w:w="1418" w:type="dxa"/>
                <w:tcBorders>
                  <w:top w:val="single" w:sz="4" w:space="0" w:color="auto"/>
                  <w:left w:val="single" w:sz="4" w:space="0" w:color="auto"/>
                  <w:bottom w:val="single" w:sz="4" w:space="0" w:color="auto"/>
                  <w:right w:val="single" w:sz="4" w:space="0" w:color="auto"/>
                </w:tcBorders>
              </w:tcPr>
              <w:p>
                <w:pPr>
                  <w:jc w:val="both"/>
                  <w:rPr>
                    <w:sz w:val="22"/>
                    <w:szCs w:val="22"/>
                  </w:rPr>
                </w:pPr>
              </w:p>
            </w:tc>
            <w:tc>
              <w:tcPr>
                <w:tcW w:w="1417" w:type="dxa"/>
                <w:tcBorders>
                  <w:top w:val="single" w:sz="4" w:space="0" w:color="auto"/>
                  <w:left w:val="single" w:sz="4" w:space="0" w:color="auto"/>
                  <w:bottom w:val="single" w:sz="4" w:space="0" w:color="auto"/>
                  <w:right w:val="single" w:sz="4" w:space="0" w:color="auto"/>
                </w:tcBorders>
              </w:tcPr>
              <w:p>
                <w:pPr>
                  <w:jc w:val="both"/>
                  <w:rPr>
                    <w:sz w:val="22"/>
                    <w:szCs w:val="22"/>
                  </w:rPr>
                </w:pPr>
              </w:p>
            </w:tc>
          </w:tr>
          <w:tr>
            <w:tc>
              <w:tcPr>
                <w:tcW w:w="817" w:type="dxa"/>
                <w:tcBorders>
                  <w:top w:val="single" w:sz="4" w:space="0" w:color="auto"/>
                  <w:left w:val="single" w:sz="4" w:space="0" w:color="auto"/>
                  <w:bottom w:val="single" w:sz="4" w:space="0" w:color="auto"/>
                  <w:right w:val="single" w:sz="4" w:space="0" w:color="auto"/>
                </w:tcBorders>
              </w:tcPr>
              <w:p>
                <w:pPr>
                  <w:jc w:val="both"/>
                  <w:rPr>
                    <w:sz w:val="22"/>
                    <w:szCs w:val="22"/>
                  </w:rPr>
                </w:pPr>
              </w:p>
            </w:tc>
            <w:tc>
              <w:tcPr>
                <w:tcW w:w="5245" w:type="dxa"/>
                <w:tcBorders>
                  <w:top w:val="single" w:sz="4" w:space="0" w:color="auto"/>
                  <w:left w:val="single" w:sz="4" w:space="0" w:color="auto"/>
                  <w:bottom w:val="single" w:sz="4" w:space="0" w:color="auto"/>
                  <w:right w:val="single" w:sz="4" w:space="0" w:color="auto"/>
                </w:tcBorders>
                <w:hideMark/>
              </w:tcPr>
              <w:p>
                <w:pPr>
                  <w:jc w:val="both"/>
                  <w:rPr>
                    <w:caps/>
                    <w:sz w:val="22"/>
                    <w:szCs w:val="22"/>
                  </w:rPr>
                </w:pPr>
                <w:r>
                  <w:rPr>
                    <w:caps/>
                    <w:sz w:val="22"/>
                    <w:szCs w:val="22"/>
                  </w:rPr>
                  <w:t>Turto iš viso</w:t>
                </w:r>
              </w:p>
            </w:tc>
            <w:tc>
              <w:tcPr>
                <w:tcW w:w="850" w:type="dxa"/>
                <w:tcBorders>
                  <w:top w:val="single" w:sz="4" w:space="0" w:color="auto"/>
                  <w:left w:val="single" w:sz="4" w:space="0" w:color="auto"/>
                  <w:bottom w:val="single" w:sz="4" w:space="0" w:color="auto"/>
                  <w:right w:val="single" w:sz="4" w:space="0" w:color="auto"/>
                </w:tcBorders>
              </w:tcPr>
              <w:p>
                <w:pPr>
                  <w:jc w:val="both"/>
                  <w:rPr>
                    <w:sz w:val="22"/>
                    <w:szCs w:val="22"/>
                  </w:rPr>
                </w:pPr>
              </w:p>
            </w:tc>
            <w:tc>
              <w:tcPr>
                <w:tcW w:w="1418" w:type="dxa"/>
                <w:tcBorders>
                  <w:top w:val="single" w:sz="4" w:space="0" w:color="auto"/>
                  <w:left w:val="single" w:sz="4" w:space="0" w:color="auto"/>
                  <w:bottom w:val="single" w:sz="4" w:space="0" w:color="auto"/>
                  <w:right w:val="single" w:sz="4" w:space="0" w:color="auto"/>
                </w:tcBorders>
              </w:tcPr>
              <w:p>
                <w:pPr>
                  <w:jc w:val="both"/>
                  <w:rPr>
                    <w:sz w:val="22"/>
                    <w:szCs w:val="22"/>
                  </w:rPr>
                </w:pPr>
              </w:p>
            </w:tc>
            <w:tc>
              <w:tcPr>
                <w:tcW w:w="1417" w:type="dxa"/>
                <w:tcBorders>
                  <w:top w:val="single" w:sz="4" w:space="0" w:color="auto"/>
                  <w:left w:val="single" w:sz="4" w:space="0" w:color="auto"/>
                  <w:bottom w:val="single" w:sz="4" w:space="0" w:color="auto"/>
                  <w:right w:val="single" w:sz="4" w:space="0" w:color="auto"/>
                </w:tcBorders>
              </w:tcPr>
              <w:p>
                <w:pPr>
                  <w:jc w:val="both"/>
                  <w:rPr>
                    <w:sz w:val="22"/>
                    <w:szCs w:val="22"/>
                  </w:rPr>
                </w:pPr>
              </w:p>
            </w:tc>
          </w:tr>
          <w:tr>
            <w:tc>
              <w:tcPr>
                <w:tcW w:w="817" w:type="dxa"/>
                <w:tcBorders>
                  <w:top w:val="single" w:sz="4" w:space="0" w:color="auto"/>
                  <w:left w:val="single" w:sz="4" w:space="0" w:color="auto"/>
                  <w:bottom w:val="single" w:sz="4" w:space="0" w:color="auto"/>
                  <w:right w:val="single" w:sz="4" w:space="0" w:color="auto"/>
                </w:tcBorders>
              </w:tcPr>
              <w:p>
                <w:pPr>
                  <w:jc w:val="both"/>
                  <w:rPr>
                    <w:b/>
                    <w:sz w:val="22"/>
                    <w:szCs w:val="22"/>
                  </w:rPr>
                </w:pPr>
              </w:p>
            </w:tc>
            <w:tc>
              <w:tcPr>
                <w:tcW w:w="5245" w:type="dxa"/>
                <w:tcBorders>
                  <w:top w:val="single" w:sz="4" w:space="0" w:color="auto"/>
                  <w:left w:val="single" w:sz="4" w:space="0" w:color="auto"/>
                  <w:bottom w:val="single" w:sz="4" w:space="0" w:color="auto"/>
                  <w:right w:val="single" w:sz="4" w:space="0" w:color="auto"/>
                </w:tcBorders>
                <w:hideMark/>
              </w:tcPr>
              <w:p>
                <w:pPr>
                  <w:jc w:val="both"/>
                  <w:rPr>
                    <w:b/>
                    <w:caps/>
                    <w:sz w:val="22"/>
                    <w:szCs w:val="22"/>
                  </w:rPr>
                </w:pPr>
                <w:r>
                  <w:rPr>
                    <w:caps/>
                    <w:sz w:val="22"/>
                    <w:szCs w:val="22"/>
                  </w:rPr>
                  <w:t>Nuosavas kapitalas ir įsipareigojimai</w:t>
                </w:r>
              </w:p>
            </w:tc>
            <w:tc>
              <w:tcPr>
                <w:tcW w:w="850" w:type="dxa"/>
                <w:tcBorders>
                  <w:top w:val="single" w:sz="4" w:space="0" w:color="auto"/>
                  <w:left w:val="single" w:sz="4" w:space="0" w:color="auto"/>
                  <w:bottom w:val="single" w:sz="4" w:space="0" w:color="auto"/>
                  <w:right w:val="single" w:sz="4" w:space="0" w:color="auto"/>
                </w:tcBorders>
              </w:tcPr>
              <w:p>
                <w:pPr>
                  <w:jc w:val="both"/>
                  <w:rPr>
                    <w:b/>
                    <w:sz w:val="22"/>
                    <w:szCs w:val="22"/>
                  </w:rPr>
                </w:pPr>
              </w:p>
            </w:tc>
            <w:tc>
              <w:tcPr>
                <w:tcW w:w="1418" w:type="dxa"/>
                <w:tcBorders>
                  <w:top w:val="single" w:sz="4" w:space="0" w:color="auto"/>
                  <w:left w:val="single" w:sz="4" w:space="0" w:color="auto"/>
                  <w:bottom w:val="single" w:sz="4" w:space="0" w:color="auto"/>
                  <w:right w:val="single" w:sz="4" w:space="0" w:color="auto"/>
                </w:tcBorders>
              </w:tcPr>
              <w:p>
                <w:pPr>
                  <w:jc w:val="both"/>
                  <w:rPr>
                    <w:b/>
                    <w:sz w:val="22"/>
                    <w:szCs w:val="22"/>
                  </w:rPr>
                </w:pPr>
              </w:p>
            </w:tc>
            <w:tc>
              <w:tcPr>
                <w:tcW w:w="1417" w:type="dxa"/>
                <w:tcBorders>
                  <w:top w:val="single" w:sz="4" w:space="0" w:color="auto"/>
                  <w:left w:val="single" w:sz="4" w:space="0" w:color="auto"/>
                  <w:bottom w:val="single" w:sz="4" w:space="0" w:color="auto"/>
                  <w:right w:val="single" w:sz="4" w:space="0" w:color="auto"/>
                </w:tcBorders>
              </w:tcPr>
              <w:p>
                <w:pPr>
                  <w:jc w:val="both"/>
                  <w:rPr>
                    <w:b/>
                    <w:sz w:val="22"/>
                    <w:szCs w:val="22"/>
                  </w:rPr>
                </w:pPr>
              </w:p>
            </w:tc>
          </w:tr>
          <w:tr>
            <w:tc>
              <w:tcPr>
                <w:tcW w:w="817" w:type="dxa"/>
                <w:tcBorders>
                  <w:top w:val="single" w:sz="4" w:space="0" w:color="auto"/>
                  <w:left w:val="single" w:sz="4" w:space="0" w:color="auto"/>
                  <w:bottom w:val="single" w:sz="4" w:space="0" w:color="auto"/>
                  <w:right w:val="single" w:sz="4" w:space="0" w:color="auto"/>
                </w:tcBorders>
                <w:hideMark/>
              </w:tcPr>
              <w:p>
                <w:pPr>
                  <w:jc w:val="both"/>
                  <w:rPr>
                    <w:caps/>
                    <w:sz w:val="22"/>
                    <w:szCs w:val="22"/>
                  </w:rPr>
                </w:pPr>
                <w:r>
                  <w:rPr>
                    <w:caps/>
                    <w:sz w:val="22"/>
                    <w:szCs w:val="22"/>
                  </w:rPr>
                  <w:t>C.</w:t>
                </w:r>
              </w:p>
            </w:tc>
            <w:tc>
              <w:tcPr>
                <w:tcW w:w="5245" w:type="dxa"/>
                <w:tcBorders>
                  <w:top w:val="single" w:sz="4" w:space="0" w:color="auto"/>
                  <w:left w:val="single" w:sz="4" w:space="0" w:color="auto"/>
                  <w:bottom w:val="single" w:sz="4" w:space="0" w:color="auto"/>
                  <w:right w:val="single" w:sz="4" w:space="0" w:color="auto"/>
                </w:tcBorders>
                <w:hideMark/>
              </w:tcPr>
              <w:p>
                <w:pPr>
                  <w:jc w:val="both"/>
                  <w:rPr>
                    <w:caps/>
                    <w:sz w:val="22"/>
                    <w:szCs w:val="22"/>
                  </w:rPr>
                </w:pPr>
                <w:r>
                  <w:rPr>
                    <w:caps/>
                    <w:sz w:val="22"/>
                    <w:szCs w:val="22"/>
                  </w:rPr>
                  <w:t>Nuosavas kapitalas</w:t>
                </w:r>
              </w:p>
            </w:tc>
            <w:tc>
              <w:tcPr>
                <w:tcW w:w="850" w:type="dxa"/>
                <w:tcBorders>
                  <w:top w:val="single" w:sz="4" w:space="0" w:color="auto"/>
                  <w:left w:val="single" w:sz="4" w:space="0" w:color="auto"/>
                  <w:bottom w:val="single" w:sz="4" w:space="0" w:color="auto"/>
                  <w:right w:val="single" w:sz="4" w:space="0" w:color="auto"/>
                </w:tcBorders>
              </w:tcPr>
              <w:p>
                <w:pPr>
                  <w:jc w:val="both"/>
                  <w:rPr>
                    <w:b/>
                    <w:sz w:val="22"/>
                    <w:szCs w:val="22"/>
                  </w:rPr>
                </w:pPr>
              </w:p>
            </w:tc>
            <w:tc>
              <w:tcPr>
                <w:tcW w:w="1418" w:type="dxa"/>
                <w:tcBorders>
                  <w:top w:val="single" w:sz="4" w:space="0" w:color="auto"/>
                  <w:left w:val="single" w:sz="4" w:space="0" w:color="auto"/>
                  <w:bottom w:val="single" w:sz="4" w:space="0" w:color="auto"/>
                  <w:right w:val="single" w:sz="4" w:space="0" w:color="auto"/>
                </w:tcBorders>
              </w:tcPr>
              <w:p>
                <w:pPr>
                  <w:jc w:val="both"/>
                  <w:rPr>
                    <w:b/>
                    <w:sz w:val="22"/>
                    <w:szCs w:val="22"/>
                  </w:rPr>
                </w:pPr>
              </w:p>
            </w:tc>
            <w:tc>
              <w:tcPr>
                <w:tcW w:w="1417" w:type="dxa"/>
                <w:tcBorders>
                  <w:top w:val="single" w:sz="4" w:space="0" w:color="auto"/>
                  <w:left w:val="single" w:sz="4" w:space="0" w:color="auto"/>
                  <w:bottom w:val="single" w:sz="4" w:space="0" w:color="auto"/>
                  <w:right w:val="single" w:sz="4" w:space="0" w:color="auto"/>
                </w:tcBorders>
              </w:tcPr>
              <w:p>
                <w:pPr>
                  <w:jc w:val="both"/>
                  <w:rPr>
                    <w:b/>
                    <w:sz w:val="22"/>
                    <w:szCs w:val="22"/>
                  </w:rPr>
                </w:pPr>
              </w:p>
            </w:tc>
          </w:tr>
          <w:tr>
            <w:tc>
              <w:tcPr>
                <w:tcW w:w="817" w:type="dxa"/>
                <w:tcBorders>
                  <w:top w:val="single" w:sz="4" w:space="0" w:color="auto"/>
                  <w:left w:val="single" w:sz="4" w:space="0" w:color="auto"/>
                  <w:bottom w:val="single" w:sz="4" w:space="0" w:color="auto"/>
                  <w:right w:val="single" w:sz="4" w:space="0" w:color="auto"/>
                </w:tcBorders>
                <w:hideMark/>
              </w:tcPr>
              <w:p>
                <w:pPr>
                  <w:jc w:val="both"/>
                  <w:rPr>
                    <w:sz w:val="22"/>
                    <w:szCs w:val="22"/>
                  </w:rPr>
                </w:pPr>
                <w:r>
                  <w:rPr>
                    <w:sz w:val="22"/>
                    <w:szCs w:val="22"/>
                  </w:rPr>
                  <w:t>1.</w:t>
                </w:r>
              </w:p>
            </w:tc>
            <w:tc>
              <w:tcPr>
                <w:tcW w:w="5245" w:type="dxa"/>
                <w:tcBorders>
                  <w:top w:val="single" w:sz="4" w:space="0" w:color="auto"/>
                  <w:left w:val="single" w:sz="4" w:space="0" w:color="auto"/>
                  <w:bottom w:val="single" w:sz="4" w:space="0" w:color="auto"/>
                  <w:right w:val="single" w:sz="4" w:space="0" w:color="auto"/>
                </w:tcBorders>
                <w:hideMark/>
              </w:tcPr>
              <w:p>
                <w:pPr>
                  <w:jc w:val="both"/>
                  <w:rPr>
                    <w:sz w:val="22"/>
                    <w:szCs w:val="22"/>
                  </w:rPr>
                </w:pPr>
                <w:r>
                  <w:rPr>
                    <w:sz w:val="22"/>
                    <w:szCs w:val="22"/>
                  </w:rPr>
                  <w:t>Savininkų įnašai</w:t>
                </w:r>
              </w:p>
            </w:tc>
            <w:tc>
              <w:tcPr>
                <w:tcW w:w="850" w:type="dxa"/>
                <w:tcBorders>
                  <w:top w:val="single" w:sz="4" w:space="0" w:color="auto"/>
                  <w:left w:val="single" w:sz="4" w:space="0" w:color="auto"/>
                  <w:bottom w:val="single" w:sz="4" w:space="0" w:color="auto"/>
                  <w:right w:val="single" w:sz="4" w:space="0" w:color="auto"/>
                </w:tcBorders>
              </w:tcPr>
              <w:p>
                <w:pPr>
                  <w:jc w:val="both"/>
                  <w:rPr>
                    <w:sz w:val="22"/>
                    <w:szCs w:val="22"/>
                  </w:rPr>
                </w:pPr>
              </w:p>
            </w:tc>
            <w:tc>
              <w:tcPr>
                <w:tcW w:w="1418" w:type="dxa"/>
                <w:tcBorders>
                  <w:top w:val="single" w:sz="4" w:space="0" w:color="auto"/>
                  <w:left w:val="single" w:sz="4" w:space="0" w:color="auto"/>
                  <w:bottom w:val="single" w:sz="4" w:space="0" w:color="auto"/>
                  <w:right w:val="single" w:sz="4" w:space="0" w:color="auto"/>
                </w:tcBorders>
              </w:tcPr>
              <w:p>
                <w:pPr>
                  <w:jc w:val="both"/>
                  <w:rPr>
                    <w:sz w:val="22"/>
                    <w:szCs w:val="22"/>
                  </w:rPr>
                </w:pPr>
              </w:p>
            </w:tc>
            <w:tc>
              <w:tcPr>
                <w:tcW w:w="1417" w:type="dxa"/>
                <w:tcBorders>
                  <w:top w:val="single" w:sz="4" w:space="0" w:color="auto"/>
                  <w:left w:val="single" w:sz="4" w:space="0" w:color="auto"/>
                  <w:bottom w:val="single" w:sz="4" w:space="0" w:color="auto"/>
                  <w:right w:val="single" w:sz="4" w:space="0" w:color="auto"/>
                </w:tcBorders>
              </w:tcPr>
              <w:p>
                <w:pPr>
                  <w:jc w:val="both"/>
                  <w:rPr>
                    <w:sz w:val="22"/>
                    <w:szCs w:val="22"/>
                  </w:rPr>
                </w:pPr>
              </w:p>
            </w:tc>
          </w:tr>
          <w:tr>
            <w:tc>
              <w:tcPr>
                <w:tcW w:w="817" w:type="dxa"/>
                <w:tcBorders>
                  <w:top w:val="single" w:sz="4" w:space="0" w:color="auto"/>
                  <w:left w:val="single" w:sz="4" w:space="0" w:color="auto"/>
                  <w:bottom w:val="single" w:sz="4" w:space="0" w:color="auto"/>
                  <w:right w:val="single" w:sz="4" w:space="0" w:color="auto"/>
                </w:tcBorders>
                <w:hideMark/>
              </w:tcPr>
              <w:p>
                <w:pPr>
                  <w:jc w:val="both"/>
                  <w:rPr>
                    <w:sz w:val="22"/>
                    <w:szCs w:val="22"/>
                  </w:rPr>
                </w:pPr>
                <w:r>
                  <w:rPr>
                    <w:sz w:val="22"/>
                    <w:szCs w:val="22"/>
                  </w:rPr>
                  <w:t>2.</w:t>
                </w:r>
              </w:p>
            </w:tc>
            <w:tc>
              <w:tcPr>
                <w:tcW w:w="5245" w:type="dxa"/>
                <w:tcBorders>
                  <w:top w:val="single" w:sz="4" w:space="0" w:color="auto"/>
                  <w:left w:val="single" w:sz="4" w:space="0" w:color="auto"/>
                  <w:bottom w:val="single" w:sz="4" w:space="0" w:color="auto"/>
                  <w:right w:val="single" w:sz="4" w:space="0" w:color="auto"/>
                </w:tcBorders>
                <w:hideMark/>
              </w:tcPr>
              <w:p>
                <w:pPr>
                  <w:jc w:val="both"/>
                  <w:rPr>
                    <w:color w:val="FF0000"/>
                    <w:sz w:val="22"/>
                    <w:szCs w:val="22"/>
                  </w:rPr>
                </w:pPr>
                <w:r>
                  <w:rPr>
                    <w:sz w:val="22"/>
                    <w:szCs w:val="22"/>
                  </w:rPr>
                  <w:t>Nepaskirstytasis pelnas (nuostoliai)</w:t>
                </w:r>
              </w:p>
            </w:tc>
            <w:tc>
              <w:tcPr>
                <w:tcW w:w="850" w:type="dxa"/>
                <w:tcBorders>
                  <w:top w:val="single" w:sz="4" w:space="0" w:color="auto"/>
                  <w:left w:val="single" w:sz="4" w:space="0" w:color="auto"/>
                  <w:bottom w:val="single" w:sz="4" w:space="0" w:color="auto"/>
                  <w:right w:val="single" w:sz="4" w:space="0" w:color="auto"/>
                </w:tcBorders>
              </w:tcPr>
              <w:p>
                <w:pPr>
                  <w:jc w:val="both"/>
                  <w:rPr>
                    <w:sz w:val="22"/>
                    <w:szCs w:val="22"/>
                  </w:rPr>
                </w:pPr>
              </w:p>
            </w:tc>
            <w:tc>
              <w:tcPr>
                <w:tcW w:w="1418" w:type="dxa"/>
                <w:tcBorders>
                  <w:top w:val="single" w:sz="4" w:space="0" w:color="auto"/>
                  <w:left w:val="single" w:sz="4" w:space="0" w:color="auto"/>
                  <w:bottom w:val="single" w:sz="4" w:space="0" w:color="auto"/>
                  <w:right w:val="single" w:sz="4" w:space="0" w:color="auto"/>
                </w:tcBorders>
              </w:tcPr>
              <w:p>
                <w:pPr>
                  <w:jc w:val="both"/>
                  <w:rPr>
                    <w:sz w:val="22"/>
                    <w:szCs w:val="22"/>
                  </w:rPr>
                </w:pPr>
              </w:p>
            </w:tc>
            <w:tc>
              <w:tcPr>
                <w:tcW w:w="1417" w:type="dxa"/>
                <w:tcBorders>
                  <w:top w:val="single" w:sz="4" w:space="0" w:color="auto"/>
                  <w:left w:val="single" w:sz="4" w:space="0" w:color="auto"/>
                  <w:bottom w:val="single" w:sz="4" w:space="0" w:color="auto"/>
                  <w:right w:val="single" w:sz="4" w:space="0" w:color="auto"/>
                </w:tcBorders>
              </w:tcPr>
              <w:p>
                <w:pPr>
                  <w:jc w:val="both"/>
                  <w:rPr>
                    <w:sz w:val="22"/>
                    <w:szCs w:val="22"/>
                  </w:rPr>
                </w:pPr>
              </w:p>
            </w:tc>
          </w:tr>
          <w:tr>
            <w:tc>
              <w:tcPr>
                <w:tcW w:w="817" w:type="dxa"/>
                <w:tcBorders>
                  <w:top w:val="single" w:sz="4" w:space="0" w:color="auto"/>
                  <w:left w:val="single" w:sz="4" w:space="0" w:color="auto"/>
                  <w:bottom w:val="single" w:sz="4" w:space="0" w:color="auto"/>
                  <w:right w:val="single" w:sz="4" w:space="0" w:color="auto"/>
                </w:tcBorders>
                <w:hideMark/>
              </w:tcPr>
              <w:p>
                <w:pPr>
                  <w:jc w:val="both"/>
                  <w:rPr>
                    <w:caps/>
                    <w:sz w:val="22"/>
                    <w:szCs w:val="22"/>
                  </w:rPr>
                </w:pPr>
                <w:r>
                  <w:rPr>
                    <w:caps/>
                    <w:sz w:val="22"/>
                    <w:szCs w:val="22"/>
                  </w:rPr>
                  <w:t>D.</w:t>
                </w:r>
              </w:p>
            </w:tc>
            <w:tc>
              <w:tcPr>
                <w:tcW w:w="5245" w:type="dxa"/>
                <w:tcBorders>
                  <w:top w:val="single" w:sz="4" w:space="0" w:color="auto"/>
                  <w:left w:val="single" w:sz="4" w:space="0" w:color="auto"/>
                  <w:bottom w:val="single" w:sz="4" w:space="0" w:color="auto"/>
                  <w:right w:val="single" w:sz="4" w:space="0" w:color="auto"/>
                </w:tcBorders>
                <w:hideMark/>
              </w:tcPr>
              <w:p>
                <w:pPr>
                  <w:jc w:val="both"/>
                  <w:rPr>
                    <w:caps/>
                    <w:sz w:val="22"/>
                    <w:szCs w:val="22"/>
                  </w:rPr>
                </w:pPr>
                <w:r>
                  <w:rPr>
                    <w:caps/>
                    <w:sz w:val="22"/>
                    <w:szCs w:val="22"/>
                  </w:rPr>
                  <w:t>Dotacijos, subsidijos</w:t>
                </w:r>
              </w:p>
            </w:tc>
            <w:tc>
              <w:tcPr>
                <w:tcW w:w="850" w:type="dxa"/>
                <w:tcBorders>
                  <w:top w:val="single" w:sz="4" w:space="0" w:color="auto"/>
                  <w:left w:val="single" w:sz="4" w:space="0" w:color="auto"/>
                  <w:bottom w:val="single" w:sz="4" w:space="0" w:color="auto"/>
                  <w:right w:val="single" w:sz="4" w:space="0" w:color="auto"/>
                </w:tcBorders>
              </w:tcPr>
              <w:p>
                <w:pPr>
                  <w:jc w:val="both"/>
                  <w:rPr>
                    <w:caps/>
                    <w:sz w:val="22"/>
                    <w:szCs w:val="22"/>
                  </w:rPr>
                </w:pPr>
              </w:p>
            </w:tc>
            <w:tc>
              <w:tcPr>
                <w:tcW w:w="1418" w:type="dxa"/>
                <w:tcBorders>
                  <w:top w:val="single" w:sz="4" w:space="0" w:color="auto"/>
                  <w:left w:val="single" w:sz="4" w:space="0" w:color="auto"/>
                  <w:bottom w:val="single" w:sz="4" w:space="0" w:color="auto"/>
                  <w:right w:val="single" w:sz="4" w:space="0" w:color="auto"/>
                </w:tcBorders>
              </w:tcPr>
              <w:p>
                <w:pPr>
                  <w:jc w:val="both"/>
                  <w:rPr>
                    <w:caps/>
                    <w:sz w:val="22"/>
                    <w:szCs w:val="22"/>
                  </w:rPr>
                </w:pPr>
              </w:p>
            </w:tc>
            <w:tc>
              <w:tcPr>
                <w:tcW w:w="1417" w:type="dxa"/>
                <w:tcBorders>
                  <w:top w:val="single" w:sz="4" w:space="0" w:color="auto"/>
                  <w:left w:val="single" w:sz="4" w:space="0" w:color="auto"/>
                  <w:bottom w:val="single" w:sz="4" w:space="0" w:color="auto"/>
                  <w:right w:val="single" w:sz="4" w:space="0" w:color="auto"/>
                </w:tcBorders>
              </w:tcPr>
              <w:p>
                <w:pPr>
                  <w:jc w:val="both"/>
                  <w:rPr>
                    <w:caps/>
                    <w:sz w:val="22"/>
                    <w:szCs w:val="22"/>
                  </w:rPr>
                </w:pPr>
              </w:p>
            </w:tc>
          </w:tr>
          <w:tr>
            <w:tc>
              <w:tcPr>
                <w:tcW w:w="817" w:type="dxa"/>
                <w:tcBorders>
                  <w:top w:val="single" w:sz="4" w:space="0" w:color="auto"/>
                  <w:left w:val="single" w:sz="4" w:space="0" w:color="auto"/>
                  <w:bottom w:val="single" w:sz="4" w:space="0" w:color="auto"/>
                  <w:right w:val="single" w:sz="4" w:space="0" w:color="auto"/>
                </w:tcBorders>
                <w:hideMark/>
              </w:tcPr>
              <w:p>
                <w:pPr>
                  <w:jc w:val="both"/>
                  <w:rPr>
                    <w:caps/>
                    <w:sz w:val="22"/>
                    <w:szCs w:val="22"/>
                  </w:rPr>
                </w:pPr>
                <w:r>
                  <w:rPr>
                    <w:caps/>
                    <w:sz w:val="22"/>
                    <w:szCs w:val="22"/>
                  </w:rPr>
                  <w:t>E.</w:t>
                </w:r>
              </w:p>
            </w:tc>
            <w:tc>
              <w:tcPr>
                <w:tcW w:w="5245" w:type="dxa"/>
                <w:tcBorders>
                  <w:top w:val="single" w:sz="4" w:space="0" w:color="auto"/>
                  <w:left w:val="single" w:sz="4" w:space="0" w:color="auto"/>
                  <w:bottom w:val="single" w:sz="4" w:space="0" w:color="auto"/>
                  <w:right w:val="single" w:sz="4" w:space="0" w:color="auto"/>
                </w:tcBorders>
                <w:hideMark/>
              </w:tcPr>
              <w:p>
                <w:pPr>
                  <w:jc w:val="both"/>
                  <w:rPr>
                    <w:caps/>
                    <w:sz w:val="22"/>
                    <w:szCs w:val="22"/>
                  </w:rPr>
                </w:pPr>
                <w:r>
                  <w:rPr>
                    <w:caps/>
                    <w:sz w:val="22"/>
                    <w:szCs w:val="22"/>
                  </w:rPr>
                  <w:t>Įsipareigojimai</w:t>
                </w:r>
              </w:p>
            </w:tc>
            <w:tc>
              <w:tcPr>
                <w:tcW w:w="850" w:type="dxa"/>
                <w:tcBorders>
                  <w:top w:val="single" w:sz="4" w:space="0" w:color="auto"/>
                  <w:left w:val="single" w:sz="4" w:space="0" w:color="auto"/>
                  <w:bottom w:val="single" w:sz="4" w:space="0" w:color="auto"/>
                  <w:right w:val="single" w:sz="4" w:space="0" w:color="auto"/>
                </w:tcBorders>
              </w:tcPr>
              <w:p>
                <w:pPr>
                  <w:jc w:val="both"/>
                  <w:rPr>
                    <w:caps/>
                    <w:sz w:val="22"/>
                    <w:szCs w:val="22"/>
                  </w:rPr>
                </w:pPr>
              </w:p>
            </w:tc>
            <w:tc>
              <w:tcPr>
                <w:tcW w:w="1418" w:type="dxa"/>
                <w:tcBorders>
                  <w:top w:val="single" w:sz="4" w:space="0" w:color="auto"/>
                  <w:left w:val="single" w:sz="4" w:space="0" w:color="auto"/>
                  <w:bottom w:val="single" w:sz="4" w:space="0" w:color="auto"/>
                  <w:right w:val="single" w:sz="4" w:space="0" w:color="auto"/>
                </w:tcBorders>
              </w:tcPr>
              <w:p>
                <w:pPr>
                  <w:jc w:val="both"/>
                  <w:rPr>
                    <w:caps/>
                    <w:sz w:val="22"/>
                    <w:szCs w:val="22"/>
                  </w:rPr>
                </w:pPr>
              </w:p>
            </w:tc>
            <w:tc>
              <w:tcPr>
                <w:tcW w:w="1417" w:type="dxa"/>
                <w:tcBorders>
                  <w:top w:val="single" w:sz="4" w:space="0" w:color="auto"/>
                  <w:left w:val="single" w:sz="4" w:space="0" w:color="auto"/>
                  <w:bottom w:val="single" w:sz="4" w:space="0" w:color="auto"/>
                  <w:right w:val="single" w:sz="4" w:space="0" w:color="auto"/>
                </w:tcBorders>
              </w:tcPr>
              <w:p>
                <w:pPr>
                  <w:jc w:val="both"/>
                  <w:rPr>
                    <w:caps/>
                    <w:sz w:val="22"/>
                    <w:szCs w:val="22"/>
                  </w:rPr>
                </w:pPr>
              </w:p>
            </w:tc>
          </w:tr>
          <w:tr>
            <w:tc>
              <w:tcPr>
                <w:tcW w:w="817" w:type="dxa"/>
                <w:tcBorders>
                  <w:top w:val="single" w:sz="4" w:space="0" w:color="auto"/>
                  <w:left w:val="single" w:sz="4" w:space="0" w:color="auto"/>
                  <w:bottom w:val="single" w:sz="4" w:space="0" w:color="auto"/>
                  <w:right w:val="single" w:sz="4" w:space="0" w:color="auto"/>
                </w:tcBorders>
                <w:hideMark/>
              </w:tcPr>
              <w:p>
                <w:pPr>
                  <w:jc w:val="both"/>
                  <w:rPr>
                    <w:sz w:val="22"/>
                    <w:szCs w:val="22"/>
                  </w:rPr>
                </w:pPr>
                <w:r>
                  <w:rPr>
                    <w:sz w:val="22"/>
                    <w:szCs w:val="22"/>
                  </w:rPr>
                  <w:t>1.</w:t>
                </w:r>
              </w:p>
            </w:tc>
            <w:tc>
              <w:tcPr>
                <w:tcW w:w="5245" w:type="dxa"/>
                <w:tcBorders>
                  <w:top w:val="single" w:sz="4" w:space="0" w:color="auto"/>
                  <w:left w:val="single" w:sz="4" w:space="0" w:color="auto"/>
                  <w:bottom w:val="single" w:sz="4" w:space="0" w:color="auto"/>
                  <w:right w:val="single" w:sz="4" w:space="0" w:color="auto"/>
                </w:tcBorders>
                <w:hideMark/>
              </w:tcPr>
              <w:p>
                <w:pPr>
                  <w:jc w:val="both"/>
                  <w:rPr>
                    <w:sz w:val="22"/>
                    <w:szCs w:val="22"/>
                  </w:rPr>
                </w:pPr>
                <w:r>
                  <w:rPr>
                    <w:sz w:val="22"/>
                    <w:szCs w:val="22"/>
                  </w:rPr>
                  <w:t>Ilgalaikiai įsipareigojimai</w:t>
                </w:r>
              </w:p>
            </w:tc>
            <w:tc>
              <w:tcPr>
                <w:tcW w:w="850" w:type="dxa"/>
                <w:tcBorders>
                  <w:top w:val="single" w:sz="4" w:space="0" w:color="auto"/>
                  <w:left w:val="single" w:sz="4" w:space="0" w:color="auto"/>
                  <w:bottom w:val="single" w:sz="4" w:space="0" w:color="auto"/>
                  <w:right w:val="single" w:sz="4" w:space="0" w:color="auto"/>
                </w:tcBorders>
              </w:tcPr>
              <w:p>
                <w:pPr>
                  <w:jc w:val="both"/>
                  <w:rPr>
                    <w:sz w:val="22"/>
                    <w:szCs w:val="22"/>
                  </w:rPr>
                </w:pPr>
              </w:p>
            </w:tc>
            <w:tc>
              <w:tcPr>
                <w:tcW w:w="1418" w:type="dxa"/>
                <w:tcBorders>
                  <w:top w:val="single" w:sz="4" w:space="0" w:color="auto"/>
                  <w:left w:val="single" w:sz="4" w:space="0" w:color="auto"/>
                  <w:bottom w:val="single" w:sz="4" w:space="0" w:color="auto"/>
                  <w:right w:val="single" w:sz="4" w:space="0" w:color="auto"/>
                </w:tcBorders>
              </w:tcPr>
              <w:p>
                <w:pPr>
                  <w:jc w:val="both"/>
                  <w:rPr>
                    <w:sz w:val="22"/>
                    <w:szCs w:val="22"/>
                  </w:rPr>
                </w:pPr>
              </w:p>
            </w:tc>
            <w:tc>
              <w:tcPr>
                <w:tcW w:w="1417" w:type="dxa"/>
                <w:tcBorders>
                  <w:top w:val="single" w:sz="4" w:space="0" w:color="auto"/>
                  <w:left w:val="single" w:sz="4" w:space="0" w:color="auto"/>
                  <w:bottom w:val="single" w:sz="4" w:space="0" w:color="auto"/>
                  <w:right w:val="single" w:sz="4" w:space="0" w:color="auto"/>
                </w:tcBorders>
              </w:tcPr>
              <w:p>
                <w:pPr>
                  <w:jc w:val="both"/>
                  <w:rPr>
                    <w:sz w:val="22"/>
                    <w:szCs w:val="22"/>
                  </w:rPr>
                </w:pPr>
              </w:p>
            </w:tc>
          </w:tr>
          <w:tr>
            <w:tc>
              <w:tcPr>
                <w:tcW w:w="817" w:type="dxa"/>
                <w:tcBorders>
                  <w:top w:val="single" w:sz="4" w:space="0" w:color="auto"/>
                  <w:left w:val="single" w:sz="4" w:space="0" w:color="auto"/>
                  <w:bottom w:val="single" w:sz="4" w:space="0" w:color="auto"/>
                  <w:right w:val="single" w:sz="4" w:space="0" w:color="auto"/>
                </w:tcBorders>
                <w:hideMark/>
              </w:tcPr>
              <w:p>
                <w:pPr>
                  <w:jc w:val="both"/>
                  <w:rPr>
                    <w:sz w:val="22"/>
                    <w:szCs w:val="22"/>
                  </w:rPr>
                </w:pPr>
                <w:r>
                  <w:rPr>
                    <w:sz w:val="22"/>
                    <w:szCs w:val="22"/>
                  </w:rPr>
                  <w:t>2.</w:t>
                </w:r>
              </w:p>
            </w:tc>
            <w:tc>
              <w:tcPr>
                <w:tcW w:w="5245" w:type="dxa"/>
                <w:tcBorders>
                  <w:top w:val="single" w:sz="4" w:space="0" w:color="auto"/>
                  <w:left w:val="single" w:sz="4" w:space="0" w:color="auto"/>
                  <w:bottom w:val="single" w:sz="4" w:space="0" w:color="auto"/>
                  <w:right w:val="single" w:sz="4" w:space="0" w:color="auto"/>
                </w:tcBorders>
                <w:hideMark/>
              </w:tcPr>
              <w:p>
                <w:pPr>
                  <w:jc w:val="both"/>
                  <w:rPr>
                    <w:sz w:val="22"/>
                    <w:szCs w:val="22"/>
                  </w:rPr>
                </w:pPr>
                <w:r>
                  <w:rPr>
                    <w:sz w:val="22"/>
                    <w:szCs w:val="22"/>
                  </w:rPr>
                  <w:t>Trumpalaikiai įsipareigojimai</w:t>
                </w:r>
              </w:p>
            </w:tc>
            <w:tc>
              <w:tcPr>
                <w:tcW w:w="850" w:type="dxa"/>
                <w:tcBorders>
                  <w:top w:val="single" w:sz="4" w:space="0" w:color="auto"/>
                  <w:left w:val="single" w:sz="4" w:space="0" w:color="auto"/>
                  <w:bottom w:val="single" w:sz="4" w:space="0" w:color="auto"/>
                  <w:right w:val="single" w:sz="4" w:space="0" w:color="auto"/>
                </w:tcBorders>
              </w:tcPr>
              <w:p>
                <w:pPr>
                  <w:jc w:val="both"/>
                  <w:rPr>
                    <w:sz w:val="22"/>
                    <w:szCs w:val="22"/>
                  </w:rPr>
                </w:pPr>
              </w:p>
            </w:tc>
            <w:tc>
              <w:tcPr>
                <w:tcW w:w="1418" w:type="dxa"/>
                <w:tcBorders>
                  <w:top w:val="single" w:sz="4" w:space="0" w:color="auto"/>
                  <w:left w:val="single" w:sz="4" w:space="0" w:color="auto"/>
                  <w:bottom w:val="single" w:sz="4" w:space="0" w:color="auto"/>
                  <w:right w:val="single" w:sz="4" w:space="0" w:color="auto"/>
                </w:tcBorders>
              </w:tcPr>
              <w:p>
                <w:pPr>
                  <w:jc w:val="both"/>
                  <w:rPr>
                    <w:sz w:val="22"/>
                    <w:szCs w:val="22"/>
                  </w:rPr>
                </w:pPr>
              </w:p>
            </w:tc>
            <w:tc>
              <w:tcPr>
                <w:tcW w:w="1417" w:type="dxa"/>
                <w:tcBorders>
                  <w:top w:val="single" w:sz="4" w:space="0" w:color="auto"/>
                  <w:left w:val="single" w:sz="4" w:space="0" w:color="auto"/>
                  <w:bottom w:val="single" w:sz="4" w:space="0" w:color="auto"/>
                  <w:right w:val="single" w:sz="4" w:space="0" w:color="auto"/>
                </w:tcBorders>
              </w:tcPr>
              <w:p>
                <w:pPr>
                  <w:jc w:val="both"/>
                  <w:rPr>
                    <w:sz w:val="22"/>
                    <w:szCs w:val="22"/>
                  </w:rPr>
                </w:pPr>
              </w:p>
            </w:tc>
          </w:tr>
          <w:tr>
            <w:tc>
              <w:tcPr>
                <w:tcW w:w="817" w:type="dxa"/>
                <w:tcBorders>
                  <w:top w:val="single" w:sz="4" w:space="0" w:color="auto"/>
                  <w:left w:val="single" w:sz="4" w:space="0" w:color="auto"/>
                  <w:bottom w:val="single" w:sz="4" w:space="0" w:color="auto"/>
                  <w:right w:val="single" w:sz="4" w:space="0" w:color="auto"/>
                </w:tcBorders>
              </w:tcPr>
              <w:p>
                <w:pPr>
                  <w:jc w:val="both"/>
                  <w:rPr>
                    <w:sz w:val="22"/>
                    <w:szCs w:val="22"/>
                  </w:rPr>
                </w:pPr>
              </w:p>
            </w:tc>
            <w:tc>
              <w:tcPr>
                <w:tcW w:w="5245" w:type="dxa"/>
                <w:tcBorders>
                  <w:top w:val="single" w:sz="4" w:space="0" w:color="auto"/>
                  <w:left w:val="single" w:sz="4" w:space="0" w:color="auto"/>
                  <w:bottom w:val="single" w:sz="4" w:space="0" w:color="auto"/>
                  <w:right w:val="single" w:sz="4" w:space="0" w:color="auto"/>
                </w:tcBorders>
                <w:hideMark/>
              </w:tcPr>
              <w:p>
                <w:pPr>
                  <w:rPr>
                    <w:caps/>
                    <w:sz w:val="22"/>
                    <w:szCs w:val="22"/>
                  </w:rPr>
                </w:pPr>
                <w:r>
                  <w:rPr>
                    <w:caps/>
                    <w:sz w:val="22"/>
                    <w:szCs w:val="22"/>
                  </w:rPr>
                  <w:t xml:space="preserve">Nuosavo kapitalo ir  įsipareigojimų iš viso</w:t>
                </w:r>
              </w:p>
            </w:tc>
            <w:tc>
              <w:tcPr>
                <w:tcW w:w="850" w:type="dxa"/>
                <w:tcBorders>
                  <w:top w:val="single" w:sz="4" w:space="0" w:color="auto"/>
                  <w:left w:val="single" w:sz="4" w:space="0" w:color="auto"/>
                  <w:bottom w:val="single" w:sz="4" w:space="0" w:color="auto"/>
                  <w:right w:val="single" w:sz="4" w:space="0" w:color="auto"/>
                </w:tcBorders>
              </w:tcPr>
              <w:p>
                <w:pPr>
                  <w:jc w:val="both"/>
                  <w:rPr>
                    <w:sz w:val="22"/>
                    <w:szCs w:val="22"/>
                  </w:rPr>
                </w:pPr>
              </w:p>
            </w:tc>
            <w:tc>
              <w:tcPr>
                <w:tcW w:w="1418" w:type="dxa"/>
                <w:tcBorders>
                  <w:top w:val="single" w:sz="4" w:space="0" w:color="auto"/>
                  <w:left w:val="single" w:sz="4" w:space="0" w:color="auto"/>
                  <w:bottom w:val="single" w:sz="4" w:space="0" w:color="auto"/>
                  <w:right w:val="single" w:sz="4" w:space="0" w:color="auto"/>
                </w:tcBorders>
              </w:tcPr>
              <w:p>
                <w:pPr>
                  <w:jc w:val="both"/>
                  <w:rPr>
                    <w:sz w:val="22"/>
                    <w:szCs w:val="22"/>
                  </w:rPr>
                </w:pPr>
              </w:p>
            </w:tc>
            <w:tc>
              <w:tcPr>
                <w:tcW w:w="1417" w:type="dxa"/>
                <w:tcBorders>
                  <w:top w:val="single" w:sz="4" w:space="0" w:color="auto"/>
                  <w:left w:val="single" w:sz="4" w:space="0" w:color="auto"/>
                  <w:bottom w:val="single" w:sz="4" w:space="0" w:color="auto"/>
                  <w:right w:val="single" w:sz="4" w:space="0" w:color="auto"/>
                </w:tcBorders>
              </w:tcPr>
              <w:p>
                <w:pPr>
                  <w:jc w:val="both"/>
                  <w:rPr>
                    <w:sz w:val="22"/>
                    <w:szCs w:val="22"/>
                  </w:rPr>
                </w:pPr>
              </w:p>
            </w:tc>
          </w:tr>
        </w:tbl>
        <w:p>
          <w:pPr>
            <w:tabs>
              <w:tab w:val="left" w:pos="4111"/>
              <w:tab w:val="left" w:pos="6946"/>
            </w:tabs>
            <w:rPr>
              <w:szCs w:val="24"/>
            </w:rPr>
          </w:pPr>
          <w:r>
            <w:rPr>
              <w:szCs w:val="24"/>
            </w:rPr>
            <w:t>______________________</w:t>
            <w:tab/>
            <w:t xml:space="preserve"> _______________</w:t>
            <w:tab/>
            <w:t xml:space="preserve"> ____________________</w:t>
          </w:r>
        </w:p>
        <w:p>
          <w:pPr>
            <w:tabs>
              <w:tab w:val="left" w:pos="4678"/>
              <w:tab w:val="left" w:pos="7371"/>
            </w:tabs>
            <w:ind w:firstLine="100"/>
            <w:rPr>
              <w:sz w:val="20"/>
              <w:szCs w:val="24"/>
            </w:rPr>
          </w:pPr>
          <w:r>
            <w:rPr>
              <w:sz w:val="20"/>
              <w:szCs w:val="24"/>
            </w:rPr>
            <w:t>(vadovo pareigų pavadinimas)</w:t>
            <w:tab/>
            <w:t>(parašas)</w:t>
            <w:tab/>
            <w:t xml:space="preserve"> (vardas ir pavardė)</w:t>
          </w:r>
        </w:p>
        <w:p>
          <w:pPr>
            <w:tabs>
              <w:tab w:val="left" w:pos="4111"/>
              <w:tab w:val="left" w:pos="6946"/>
            </w:tabs>
            <w:rPr>
              <w:szCs w:val="24"/>
            </w:rPr>
          </w:pPr>
          <w:r>
            <w:rPr>
              <w:szCs w:val="24"/>
            </w:rPr>
            <w:t>_________________________</w:t>
            <w:tab/>
            <w:t xml:space="preserve"> _______________</w:t>
            <w:tab/>
            <w:t xml:space="preserve"> ___________________</w:t>
          </w:r>
        </w:p>
        <w:p>
          <w:pPr>
            <w:tabs>
              <w:tab w:val="left" w:pos="4678"/>
              <w:tab w:val="left" w:pos="7371"/>
            </w:tabs>
            <w:rPr>
              <w:sz w:val="20"/>
              <w:szCs w:val="24"/>
            </w:rPr>
          </w:pPr>
          <w:r>
            <w:rPr>
              <w:sz w:val="20"/>
              <w:szCs w:val="24"/>
            </w:rPr>
            <w:t xml:space="preserve">(vyriausiojo buhalterio (buhalterio) </w:t>
            <w:tab/>
            <w:t>(parašas)</w:t>
            <w:tab/>
            <w:t>(vardas ir pavardė)</w:t>
          </w:r>
        </w:p>
        <w:p>
          <w:pPr>
            <w:tabs>
              <w:tab w:val="left" w:pos="7655"/>
            </w:tabs>
            <w:rPr>
              <w:sz w:val="20"/>
              <w:szCs w:val="24"/>
            </w:rPr>
          </w:pPr>
          <w:r>
            <w:rPr>
              <w:sz w:val="20"/>
              <w:szCs w:val="24"/>
            </w:rPr>
            <w:t xml:space="preserve">arba galinčio tvarkyti apskaitą kito </w:t>
          </w:r>
        </w:p>
        <w:p>
          <w:pPr>
            <w:tabs>
              <w:tab w:val="left" w:pos="7655"/>
            </w:tabs>
          </w:pPr>
          <w:r>
            <w:rPr>
              <w:sz w:val="20"/>
              <w:szCs w:val="24"/>
            </w:rPr>
            <w:t>asmens pareigų pavadinimas)</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2367b0674811e58e1ab2c84776483b">
            <w:r w:rsidRPr="00532B9F">
              <w:rPr>
                <w:rFonts w:ascii="Times New Roman" w:eastAsia="MS Mincho" w:hAnsi="Times New Roman"/>
                <w:sz w:val="20"/>
                <w:i/>
                <w:iCs/>
                <w:color w:val="0000FF" w:themeColor="hyperlink"/>
                <w:u w:val="single"/>
              </w:rPr>
              <w:t>VAS-48</w:t>
            </w:r>
          </w:fldSimple>
          <w:r>
            <w:rPr>
              <w:rFonts w:ascii="Times New Roman" w:eastAsia="MS Mincho" w:hAnsi="Times New Roman"/>
              <w:sz w:val="20"/>
              <w:i/>
              <w:iCs/>
            </w:rPr>
            <w:t>,
2015-09-24,
paskelbta TAR 2015-09-30, i. k. 2015-14490            </w:t>
          </w:r>
        </w:p>
        <w:p/>
      </w:sdtContent>
    </w:sdt>
    <w:sdt>
      <w:sdtPr>
        <w:alias w:val="2 pr."/>
        <w:tag w:val="part_453e3dcbbe174e84ac3b1a59b4bb49c4"/>
        <w:lock w:val="sdtLocked"/>
        <w:richText/>
      </w:sdtPr>
      <w:sdtContent>
        <w:p>
          <w:pPr>
            <w:tabs>
              <w:tab w:val="left" w:pos="1134"/>
            </w:tabs>
            <w:ind w:left="6237"/>
            <w:jc w:val="both"/>
            <w:outlineLvl w:val="6"/>
            <w:rPr>
              <w:sz w:val="20"/>
              <w:szCs w:val="24"/>
              <w:lang w:eastAsia="x-none"/>
            </w:rPr>
          </w:pPr>
          <w:r>
            <w:rPr>
              <w:rFonts w:ascii="Calibri" w:hAnsi="Calibri"/>
              <w:sz w:val="20"/>
              <w:szCs w:val="24"/>
              <w:lang w:eastAsia="x-none"/>
            </w:rPr>
            <w:br w:type="page"/>
          </w:r>
          <w:r>
            <w:rPr>
              <w:sz w:val="20"/>
              <w:szCs w:val="24"/>
              <w:lang w:eastAsia="x-none"/>
            </w:rPr>
            <w:t>38-ojo verslo apskaitos standarto „Neribotos civilinės atsakomybės juridinių asmenų ir mažųjų bendrijų buhalterinė apskaita ir finansinės ataskaitos“</w:t>
          </w:r>
        </w:p>
        <w:p>
          <w:pPr>
            <w:ind w:left="6237"/>
            <w:rPr>
              <w:sz w:val="20"/>
              <w:szCs w:val="24"/>
            </w:rPr>
          </w:pPr>
          <w:sdt>
            <w:sdtPr>
              <w:alias w:val="Numeris"/>
              <w:tag w:val="nr_453e3dcbbe174e84ac3b1a59b4bb49c4"/>
              <w:lock w:val="sdtLocked"/>
              <w:richText/>
            </w:sdtPr>
            <w:sdtContent>
              <w:r>
                <w:rPr>
                  <w:sz w:val="20"/>
                  <w:szCs w:val="24"/>
                </w:rPr>
                <w:t>2</w:t>
              </w:r>
            </w:sdtContent>
          </w:sdt>
          <w:r>
            <w:rPr>
              <w:sz w:val="20"/>
              <w:szCs w:val="24"/>
            </w:rPr>
            <w:t xml:space="preserve"> priedas</w:t>
          </w:r>
        </w:p>
        <w:p>
          <w:pPr>
            <w:rPr>
              <w:szCs w:val="24"/>
            </w:rPr>
          </w:pPr>
        </w:p>
        <w:p>
          <w:pPr>
            <w:jc w:val="center"/>
            <w:rPr>
              <w:b/>
              <w:lang w:eastAsia="x-none"/>
            </w:rPr>
          </w:pPr>
          <w:sdt>
            <w:sdtPr>
              <w:alias w:val="Pavadinimas"/>
              <w:tag w:val="title_453e3dcbbe174e84ac3b1a59b4bb49c4"/>
              <w:lock w:val="sdtLocked"/>
              <w:richText/>
            </w:sdtPr>
            <w:sdtContent>
              <w:r>
                <w:rPr>
                  <w:b/>
                  <w:lang w:eastAsia="x-none"/>
                </w:rPr>
                <w:t>(Pelno (nuostolių) ataskaitos forma)</w:t>
              </w:r>
            </w:sdtContent>
          </w:sdt>
        </w:p>
        <w:p>
          <w:pPr>
            <w:jc w:val="center"/>
            <w:rPr>
              <w:b/>
              <w:lang w:eastAsia="x-none"/>
            </w:rPr>
          </w:pPr>
        </w:p>
        <w:p>
          <w:pPr>
            <w:pBdr>
              <w:bottom w:val="single" w:sz="4" w:space="1" w:color="auto"/>
            </w:pBdr>
            <w:rPr>
              <w:szCs w:val="24"/>
              <w:u w:val="single"/>
            </w:rPr>
          </w:pPr>
        </w:p>
        <w:p>
          <w:pPr>
            <w:jc w:val="center"/>
            <w:rPr>
              <w:sz w:val="20"/>
              <w:lang w:eastAsia="x-none"/>
            </w:rPr>
          </w:pPr>
          <w:r>
            <w:rPr>
              <w:sz w:val="20"/>
              <w:lang w:eastAsia="x-none"/>
            </w:rPr>
            <w:t xml:space="preserve">(įmonės </w:t>
          </w:r>
          <w:r>
            <w:rPr>
              <w:sz w:val="20"/>
              <w:szCs w:val="24"/>
              <w:lang w:eastAsia="x-none"/>
            </w:rPr>
            <w:t xml:space="preserve">teisinė forma, </w:t>
          </w:r>
          <w:r>
            <w:rPr>
              <w:sz w:val="20"/>
              <w:lang w:eastAsia="x-none"/>
            </w:rPr>
            <w:t xml:space="preserve">pavadinimas, </w:t>
          </w:r>
          <w:r>
            <w:rPr>
              <w:sz w:val="20"/>
              <w:szCs w:val="24"/>
              <w:lang w:eastAsia="x-none"/>
            </w:rPr>
            <w:t>kodas</w:t>
          </w:r>
          <w:r>
            <w:rPr>
              <w:sz w:val="20"/>
              <w:lang w:eastAsia="x-none"/>
            </w:rPr>
            <w:t>)</w:t>
          </w:r>
        </w:p>
        <w:p>
          <w:pPr>
            <w:jc w:val="both"/>
            <w:rPr>
              <w:lang w:eastAsia="x-none"/>
            </w:rPr>
          </w:pPr>
        </w:p>
        <w:p>
          <w:pPr>
            <w:pBdr>
              <w:bottom w:val="single" w:sz="4" w:space="1" w:color="auto"/>
            </w:pBdr>
            <w:rPr>
              <w:szCs w:val="24"/>
              <w:u w:val="single"/>
            </w:rPr>
          </w:pPr>
        </w:p>
        <w:p>
          <w:pPr>
            <w:jc w:val="center"/>
            <w:rPr>
              <w:sz w:val="20"/>
              <w:lang w:eastAsia="x-none"/>
            </w:rPr>
          </w:pPr>
          <w:r>
            <w:rPr>
              <w:sz w:val="20"/>
              <w:lang w:eastAsia="x-none"/>
            </w:rPr>
            <w:t>(</w:t>
          </w:r>
          <w:r>
            <w:rPr>
              <w:sz w:val="20"/>
              <w:szCs w:val="24"/>
              <w:lang w:eastAsia="x-none"/>
            </w:rPr>
            <w:t>buveinė (adresas), registras, kuriame kaupiami ir saugomi duomenys</w:t>
          </w:r>
          <w:r>
            <w:rPr>
              <w:sz w:val="20"/>
              <w:lang w:eastAsia="x-none"/>
            </w:rPr>
            <w:t>)</w:t>
          </w:r>
        </w:p>
        <w:p>
          <w:pPr>
            <w:jc w:val="center"/>
            <w:rPr>
              <w:sz w:val="20"/>
              <w:lang w:eastAsia="x-none"/>
            </w:rPr>
          </w:pPr>
        </w:p>
        <w:p>
          <w:pPr>
            <w:pBdr>
              <w:bottom w:val="single" w:sz="4" w:space="1" w:color="auto"/>
            </w:pBdr>
            <w:jc w:val="center"/>
            <w:rPr>
              <w:szCs w:val="24"/>
              <w:lang w:eastAsia="x-none"/>
            </w:rPr>
          </w:pPr>
        </w:p>
        <w:p>
          <w:pPr>
            <w:jc w:val="center"/>
            <w:rPr>
              <w:szCs w:val="24"/>
              <w:lang w:eastAsia="x-none"/>
            </w:rPr>
          </w:pPr>
          <w:r>
            <w:rPr>
              <w:szCs w:val="24"/>
              <w:lang w:eastAsia="x-none"/>
            </w:rPr>
            <w:t>(</w:t>
          </w:r>
          <w:r>
            <w:rPr>
              <w:sz w:val="20"/>
              <w:szCs w:val="24"/>
              <w:lang w:eastAsia="x-none"/>
            </w:rPr>
            <w:t>teisinis statusas, jei įmonė likviduojama, reorganizuojama ar yra bankrutavusi</w:t>
          </w:r>
          <w:r>
            <w:rPr>
              <w:szCs w:val="24"/>
              <w:lang w:eastAsia="x-none"/>
            </w:rPr>
            <w:t>)</w:t>
          </w:r>
        </w:p>
        <w:p>
          <w:pPr>
            <w:jc w:val="center"/>
            <w:rPr>
              <w:sz w:val="20"/>
              <w:lang w:eastAsia="x-none"/>
            </w:rPr>
          </w:pPr>
        </w:p>
        <w:p>
          <w:pPr>
            <w:jc w:val="both"/>
            <w:rPr>
              <w:b/>
              <w:i/>
              <w:lang w:eastAsia="x-none"/>
            </w:rPr>
          </w:pPr>
        </w:p>
        <w:p>
          <w:pPr>
            <w:jc w:val="right"/>
            <w:rPr>
              <w:szCs w:val="24"/>
              <w:lang w:eastAsia="x-none"/>
            </w:rPr>
          </w:pPr>
          <w:r>
            <w:rPr>
              <w:szCs w:val="24"/>
              <w:lang w:eastAsia="x-none"/>
            </w:rPr>
            <w:t>(Tvirtinimo žyma)</w:t>
          </w:r>
        </w:p>
        <w:p>
          <w:pPr>
            <w:jc w:val="both"/>
            <w:rPr>
              <w:sz w:val="28"/>
              <w:szCs w:val="24"/>
              <w:lang w:eastAsia="x-none"/>
            </w:rPr>
          </w:pPr>
        </w:p>
        <w:p>
          <w:pPr>
            <w:jc w:val="center"/>
            <w:rPr>
              <w:b/>
              <w:lang w:eastAsia="x-none"/>
            </w:rPr>
          </w:pPr>
          <w:r>
            <w:rPr>
              <w:b/>
              <w:szCs w:val="24"/>
              <w:lang w:eastAsia="x-none"/>
            </w:rPr>
            <w:t xml:space="preserve">20…..M….............…………D.  </w:t>
          </w:r>
          <w:r>
            <w:rPr>
              <w:b/>
              <w:lang w:eastAsia="x-none"/>
            </w:rPr>
            <w:t>PELNO (NUOSTOLIŲ) ATASKAITA</w:t>
          </w:r>
        </w:p>
        <w:p>
          <w:pPr>
            <w:jc w:val="both"/>
            <w:rPr>
              <w:b/>
              <w:i/>
              <w:szCs w:val="24"/>
              <w:lang w:eastAsia="x-none"/>
            </w:rPr>
          </w:pPr>
        </w:p>
        <w:p>
          <w:pPr>
            <w:jc w:val="center"/>
            <w:rPr>
              <w:szCs w:val="24"/>
              <w:lang w:eastAsia="x-none"/>
            </w:rPr>
          </w:pPr>
          <w:r>
            <w:rPr>
              <w:szCs w:val="24"/>
              <w:lang w:eastAsia="x-none"/>
            </w:rPr>
            <w:t>_____________________________ Nr. _____</w:t>
          </w:r>
        </w:p>
        <w:p>
          <w:pPr>
            <w:ind w:left="2160" w:firstLine="817"/>
            <w:rPr>
              <w:sz w:val="20"/>
              <w:lang w:eastAsia="x-none"/>
            </w:rPr>
          </w:pPr>
          <w:r>
            <w:rPr>
              <w:sz w:val="20"/>
              <w:lang w:eastAsia="x-none"/>
            </w:rPr>
            <w:t>(ataskaitos sudarymo data)</w:t>
          </w:r>
        </w:p>
        <w:p>
          <w:pPr>
            <w:jc w:val="both"/>
            <w:rPr>
              <w:b/>
              <w:i/>
              <w:szCs w:val="24"/>
              <w:lang w:eastAsia="x-none"/>
            </w:rPr>
          </w:pPr>
        </w:p>
        <w:p>
          <w:pPr>
            <w:jc w:val="both"/>
            <w:rPr>
              <w:b/>
              <w:i/>
              <w:sz w:val="20"/>
              <w:lang w:eastAsia="x-none"/>
            </w:rPr>
          </w:pPr>
          <w:r>
            <w:rPr>
              <w:b/>
              <w:i/>
              <w:sz w:val="20"/>
              <w:lang w:eastAsia="x-none"/>
            </w:rPr>
            <w:t xml:space="preserve">____________________                                                                                     _______________________________</w:t>
          </w:r>
        </w:p>
        <w:p>
          <w:pPr>
            <w:ind w:firstLine="50"/>
            <w:jc w:val="both"/>
            <w:rPr>
              <w:sz w:val="20"/>
              <w:lang w:eastAsia="x-none"/>
            </w:rPr>
          </w:pPr>
          <w:r>
            <w:rPr>
              <w:sz w:val="20"/>
              <w:lang w:eastAsia="x-none"/>
            </w:rPr>
            <w:t>(ataskaitinis laikotarpis)</w:t>
            <w:tab/>
            <w:tab/>
          </w:r>
          <w:r>
            <w:rPr>
              <w:color w:val="FF0000"/>
              <w:sz w:val="20"/>
              <w:lang w:eastAsia="x-none"/>
            </w:rPr>
            <w:tab/>
            <w:tab/>
            <w:tab/>
            <w:tab/>
          </w:r>
          <w:r>
            <w:rPr>
              <w:sz w:val="20"/>
              <w:lang w:eastAsia="x-none"/>
            </w:rPr>
            <w:t xml:space="preserve">             (ataskaitos tikslumo lygis ir valiuta)</w:t>
          </w:r>
        </w:p>
        <w:p>
          <w:pPr>
            <w:jc w:val="both"/>
            <w:rPr>
              <w:sz w:val="20"/>
              <w:lang w:eastAsia="x-none"/>
            </w:rPr>
          </w:pPr>
        </w:p>
        <w:tbl>
          <w:tblPr>
            <w:tblW w:w="9780" w:type="dxa"/>
            <w:tblInd w:w="30" w:type="dxa"/>
            <w:tblLayout w:type="fixed"/>
            <w:tblCellMar>
              <w:left w:w="30" w:type="dxa"/>
              <w:right w:w="30" w:type="dxa"/>
            </w:tblCellMar>
            <w:tblLook w:val="04A0" w:firstRow="1" w:lastRow="0" w:firstColumn="1" w:lastColumn="0" w:noHBand="0" w:noVBand="1"/>
          </w:tblPr>
          <w:tblGrid>
            <w:gridCol w:w="900"/>
            <w:gridCol w:w="5336"/>
            <w:gridCol w:w="1134"/>
            <w:gridCol w:w="1276"/>
            <w:gridCol w:w="1134"/>
          </w:tblGrid>
          <w:tr>
            <w:trPr>
              <w:trHeight w:val="312"/>
            </w:trPr>
            <w:tc>
              <w:tcPr>
                <w:tcW w:w="900" w:type="dxa"/>
                <w:tcBorders>
                  <w:top w:val="single" w:sz="4" w:space="0" w:color="auto"/>
                  <w:left w:val="single" w:sz="4" w:space="0" w:color="auto"/>
                  <w:bottom w:val="single" w:sz="4" w:space="0" w:color="auto"/>
                  <w:right w:val="single" w:sz="6" w:space="0" w:color="auto"/>
                </w:tcBorders>
                <w:hideMark/>
              </w:tcPr>
              <w:p>
                <w:pPr>
                  <w:jc w:val="center"/>
                  <w:rPr>
                    <w:color w:val="000000"/>
                    <w:szCs w:val="24"/>
                  </w:rPr>
                </w:pPr>
                <w:r>
                  <w:rPr>
                    <w:color w:val="000000"/>
                    <w:szCs w:val="24"/>
                  </w:rPr>
                  <w:t>Eil. Nr.</w:t>
                </w:r>
              </w:p>
            </w:tc>
            <w:tc>
              <w:tcPr>
                <w:tcW w:w="5337" w:type="dxa"/>
                <w:tcBorders>
                  <w:top w:val="single" w:sz="4" w:space="0" w:color="auto"/>
                  <w:left w:val="nil"/>
                  <w:bottom w:val="single" w:sz="4" w:space="0" w:color="auto"/>
                  <w:right w:val="nil"/>
                </w:tcBorders>
                <w:hideMark/>
              </w:tcPr>
              <w:p>
                <w:pPr>
                  <w:jc w:val="center"/>
                  <w:rPr>
                    <w:color w:val="000000"/>
                    <w:szCs w:val="24"/>
                  </w:rPr>
                </w:pPr>
                <w:r>
                  <w:rPr>
                    <w:color w:val="000000"/>
                    <w:szCs w:val="24"/>
                  </w:rPr>
                  <w:t>Straipsniai</w:t>
                </w:r>
              </w:p>
            </w:tc>
            <w:tc>
              <w:tcPr>
                <w:tcW w:w="1134" w:type="dxa"/>
                <w:tcBorders>
                  <w:top w:val="single" w:sz="4" w:space="0" w:color="auto"/>
                  <w:left w:val="single" w:sz="4" w:space="0" w:color="auto"/>
                  <w:bottom w:val="single" w:sz="4" w:space="0" w:color="auto"/>
                  <w:right w:val="nil"/>
                </w:tcBorders>
                <w:hideMark/>
              </w:tcPr>
              <w:p>
                <w:pPr>
                  <w:jc w:val="center"/>
                  <w:rPr>
                    <w:color w:val="000000"/>
                    <w:szCs w:val="24"/>
                  </w:rPr>
                </w:pPr>
                <w:r>
                  <w:rPr>
                    <w:color w:val="000000"/>
                    <w:szCs w:val="24"/>
                  </w:rPr>
                  <w:t>Pastabos Nr.</w:t>
                </w:r>
              </w:p>
            </w:tc>
            <w:tc>
              <w:tcPr>
                <w:tcW w:w="1276" w:type="dxa"/>
                <w:tcBorders>
                  <w:top w:val="single" w:sz="4" w:space="0" w:color="auto"/>
                  <w:left w:val="single" w:sz="4" w:space="0" w:color="auto"/>
                  <w:bottom w:val="single" w:sz="4" w:space="0" w:color="auto"/>
                  <w:right w:val="single" w:sz="4" w:space="0" w:color="auto"/>
                </w:tcBorders>
                <w:hideMark/>
              </w:tcPr>
              <w:p>
                <w:pPr>
                  <w:jc w:val="center"/>
                  <w:rPr>
                    <w:color w:val="000000"/>
                    <w:szCs w:val="24"/>
                  </w:rPr>
                </w:pPr>
                <w:r>
                  <w:rPr>
                    <w:sz w:val="22"/>
                    <w:szCs w:val="22"/>
                  </w:rPr>
                  <w:t>Ataskaitinis laikotarpis</w:t>
                </w:r>
              </w:p>
            </w:tc>
            <w:tc>
              <w:tcPr>
                <w:tcW w:w="1134" w:type="dxa"/>
                <w:tcBorders>
                  <w:top w:val="single" w:sz="4" w:space="0" w:color="auto"/>
                  <w:left w:val="nil"/>
                  <w:bottom w:val="single" w:sz="4" w:space="0" w:color="auto"/>
                  <w:right w:val="single" w:sz="4" w:space="0" w:color="auto"/>
                </w:tcBorders>
                <w:hideMark/>
              </w:tcPr>
              <w:p>
                <w:pPr>
                  <w:jc w:val="center"/>
                  <w:rPr>
                    <w:color w:val="000000"/>
                    <w:szCs w:val="24"/>
                  </w:rPr>
                </w:pPr>
                <w:r>
                  <w:rPr>
                    <w:color w:val="000000"/>
                    <w:szCs w:val="24"/>
                  </w:rPr>
                  <w:t>Praėjęs</w:t>
                </w:r>
              </w:p>
              <w:p>
                <w:pPr>
                  <w:jc w:val="center"/>
                  <w:rPr>
                    <w:color w:val="000000"/>
                    <w:szCs w:val="24"/>
                  </w:rPr>
                </w:pPr>
                <w:r>
                  <w:rPr>
                    <w:sz w:val="22"/>
                    <w:szCs w:val="22"/>
                  </w:rPr>
                  <w:t>ataskaitinis laikotarpis</w:t>
                </w:r>
              </w:p>
            </w:tc>
          </w:tr>
          <w:tr>
            <w:trPr>
              <w:trHeight w:val="296"/>
            </w:trPr>
            <w:tc>
              <w:tcPr>
                <w:tcW w:w="900" w:type="dxa"/>
                <w:tcBorders>
                  <w:top w:val="nil"/>
                  <w:left w:val="single" w:sz="6" w:space="0" w:color="auto"/>
                  <w:bottom w:val="single" w:sz="2" w:space="0" w:color="auto"/>
                  <w:right w:val="single" w:sz="6" w:space="0" w:color="auto"/>
                </w:tcBorders>
                <w:hideMark/>
              </w:tcPr>
              <w:p>
                <w:pPr>
                  <w:rPr>
                    <w:sz w:val="4"/>
                    <w:szCs w:val="4"/>
                  </w:rPr>
                </w:pPr>
              </w:p>
              <w:p>
                <w:pPr>
                  <w:rPr>
                    <w:color w:val="000000"/>
                    <w:szCs w:val="24"/>
                  </w:rPr>
                </w:pPr>
                <w:r>
                  <w:rPr>
                    <w:color w:val="000000"/>
                    <w:szCs w:val="24"/>
                  </w:rPr>
                  <w:t>1.</w:t>
                </w:r>
              </w:p>
            </w:tc>
            <w:tc>
              <w:tcPr>
                <w:tcW w:w="5337" w:type="dxa"/>
                <w:tcBorders>
                  <w:top w:val="nil"/>
                  <w:left w:val="nil"/>
                  <w:bottom w:val="single" w:sz="2" w:space="0" w:color="auto"/>
                  <w:right w:val="nil"/>
                </w:tcBorders>
                <w:hideMark/>
              </w:tcPr>
              <w:p>
                <w:pPr>
                  <w:rPr>
                    <w:sz w:val="4"/>
                    <w:szCs w:val="4"/>
                  </w:rPr>
                </w:pPr>
              </w:p>
              <w:p>
                <w:pPr>
                  <w:keepNext/>
                  <w:spacing w:line="276" w:lineRule="auto"/>
                  <w:outlineLvl w:val="1"/>
                  <w:rPr>
                    <w:bCs/>
                    <w:iCs/>
                    <w:szCs w:val="24"/>
                  </w:rPr>
                </w:pPr>
                <w:r>
                  <w:rPr>
                    <w:bCs/>
                    <w:iCs/>
                    <w:szCs w:val="24"/>
                  </w:rPr>
                  <w:t>Pardavimo pajamos</w:t>
                </w:r>
              </w:p>
            </w:tc>
            <w:tc>
              <w:tcPr>
                <w:tcW w:w="1134" w:type="dxa"/>
                <w:tcBorders>
                  <w:top w:val="nil"/>
                  <w:left w:val="single" w:sz="4" w:space="0" w:color="auto"/>
                  <w:bottom w:val="single" w:sz="2" w:space="0" w:color="auto"/>
                  <w:right w:val="nil"/>
                </w:tcBorders>
              </w:tcPr>
              <w:p>
                <w:pPr>
                  <w:ind w:left="6300"/>
                  <w:jc w:val="right"/>
                  <w:rPr>
                    <w:color w:val="000000"/>
                    <w:szCs w:val="24"/>
                  </w:rPr>
                </w:pPr>
              </w:p>
            </w:tc>
            <w:tc>
              <w:tcPr>
                <w:tcW w:w="1276" w:type="dxa"/>
                <w:tcBorders>
                  <w:top w:val="nil"/>
                  <w:left w:val="single" w:sz="4" w:space="0" w:color="auto"/>
                  <w:bottom w:val="single" w:sz="2" w:space="0" w:color="auto"/>
                  <w:right w:val="single" w:sz="4" w:space="0" w:color="auto"/>
                </w:tcBorders>
              </w:tcPr>
              <w:p>
                <w:pPr>
                  <w:ind w:left="6300"/>
                  <w:jc w:val="right"/>
                  <w:rPr>
                    <w:color w:val="000000"/>
                    <w:szCs w:val="24"/>
                  </w:rPr>
                </w:pPr>
              </w:p>
            </w:tc>
            <w:tc>
              <w:tcPr>
                <w:tcW w:w="1134" w:type="dxa"/>
                <w:tcBorders>
                  <w:top w:val="nil"/>
                  <w:left w:val="nil"/>
                  <w:bottom w:val="single" w:sz="2" w:space="0" w:color="auto"/>
                  <w:right w:val="single" w:sz="6" w:space="0" w:color="auto"/>
                </w:tcBorders>
              </w:tcPr>
              <w:p>
                <w:pPr>
                  <w:ind w:left="6300"/>
                  <w:jc w:val="right"/>
                  <w:rPr>
                    <w:color w:val="000000"/>
                    <w:szCs w:val="24"/>
                  </w:rPr>
                </w:pPr>
              </w:p>
            </w:tc>
          </w:tr>
          <w:tr>
            <w:trPr>
              <w:trHeight w:val="296"/>
            </w:trPr>
            <w:tc>
              <w:tcPr>
                <w:tcW w:w="900" w:type="dxa"/>
                <w:tcBorders>
                  <w:top w:val="nil"/>
                  <w:left w:val="single" w:sz="6" w:space="0" w:color="auto"/>
                  <w:bottom w:val="single" w:sz="2" w:space="0" w:color="auto"/>
                  <w:right w:val="single" w:sz="6" w:space="0" w:color="auto"/>
                </w:tcBorders>
                <w:hideMark/>
              </w:tcPr>
              <w:p>
                <w:pPr>
                  <w:rPr>
                    <w:sz w:val="4"/>
                    <w:szCs w:val="4"/>
                  </w:rPr>
                </w:pPr>
              </w:p>
              <w:p>
                <w:pPr>
                  <w:rPr>
                    <w:color w:val="000000"/>
                    <w:szCs w:val="24"/>
                  </w:rPr>
                </w:pPr>
                <w:r>
                  <w:rPr>
                    <w:color w:val="000000"/>
                    <w:szCs w:val="24"/>
                  </w:rPr>
                  <w:t>2.</w:t>
                </w:r>
              </w:p>
            </w:tc>
            <w:tc>
              <w:tcPr>
                <w:tcW w:w="5337" w:type="dxa"/>
                <w:tcBorders>
                  <w:top w:val="nil"/>
                  <w:left w:val="nil"/>
                  <w:bottom w:val="single" w:sz="2" w:space="0" w:color="auto"/>
                  <w:right w:val="nil"/>
                </w:tcBorders>
                <w:hideMark/>
              </w:tcPr>
              <w:p>
                <w:pPr>
                  <w:rPr>
                    <w:sz w:val="4"/>
                    <w:szCs w:val="4"/>
                  </w:rPr>
                </w:pPr>
              </w:p>
              <w:p>
                <w:pPr>
                  <w:keepNext/>
                  <w:spacing w:line="276" w:lineRule="auto"/>
                  <w:outlineLvl w:val="1"/>
                  <w:rPr>
                    <w:bCs/>
                    <w:iCs/>
                    <w:szCs w:val="24"/>
                  </w:rPr>
                </w:pPr>
                <w:r>
                  <w:rPr>
                    <w:bCs/>
                    <w:iCs/>
                    <w:szCs w:val="24"/>
                  </w:rPr>
                  <w:t>Pardavimo savikaina</w:t>
                </w:r>
              </w:p>
            </w:tc>
            <w:tc>
              <w:tcPr>
                <w:tcW w:w="1134" w:type="dxa"/>
                <w:tcBorders>
                  <w:top w:val="nil"/>
                  <w:left w:val="single" w:sz="4" w:space="0" w:color="auto"/>
                  <w:bottom w:val="single" w:sz="2" w:space="0" w:color="auto"/>
                  <w:right w:val="nil"/>
                </w:tcBorders>
              </w:tcPr>
              <w:p>
                <w:pPr>
                  <w:ind w:left="6300"/>
                  <w:jc w:val="right"/>
                  <w:rPr>
                    <w:color w:val="000000"/>
                    <w:szCs w:val="24"/>
                  </w:rPr>
                </w:pPr>
              </w:p>
            </w:tc>
            <w:tc>
              <w:tcPr>
                <w:tcW w:w="1276" w:type="dxa"/>
                <w:tcBorders>
                  <w:top w:val="nil"/>
                  <w:left w:val="single" w:sz="4" w:space="0" w:color="auto"/>
                  <w:bottom w:val="single" w:sz="2" w:space="0" w:color="auto"/>
                  <w:right w:val="single" w:sz="4" w:space="0" w:color="auto"/>
                </w:tcBorders>
              </w:tcPr>
              <w:p>
                <w:pPr>
                  <w:ind w:left="6300"/>
                  <w:jc w:val="right"/>
                  <w:rPr>
                    <w:color w:val="000000"/>
                    <w:szCs w:val="24"/>
                  </w:rPr>
                </w:pPr>
              </w:p>
            </w:tc>
            <w:tc>
              <w:tcPr>
                <w:tcW w:w="1134" w:type="dxa"/>
                <w:tcBorders>
                  <w:top w:val="nil"/>
                  <w:left w:val="nil"/>
                  <w:bottom w:val="single" w:sz="2" w:space="0" w:color="auto"/>
                  <w:right w:val="single" w:sz="6" w:space="0" w:color="auto"/>
                </w:tcBorders>
              </w:tcPr>
              <w:p>
                <w:pPr>
                  <w:ind w:left="6300"/>
                  <w:jc w:val="right"/>
                  <w:rPr>
                    <w:color w:val="000000"/>
                    <w:szCs w:val="24"/>
                  </w:rPr>
                </w:pPr>
              </w:p>
            </w:tc>
          </w:tr>
          <w:tr>
            <w:trPr>
              <w:trHeight w:val="296"/>
            </w:trPr>
            <w:tc>
              <w:tcPr>
                <w:tcW w:w="900" w:type="dxa"/>
                <w:tcBorders>
                  <w:top w:val="nil"/>
                  <w:left w:val="single" w:sz="6" w:space="0" w:color="auto"/>
                  <w:bottom w:val="single" w:sz="2" w:space="0" w:color="auto"/>
                  <w:right w:val="single" w:sz="6" w:space="0" w:color="auto"/>
                </w:tcBorders>
                <w:hideMark/>
              </w:tcPr>
              <w:p>
                <w:pPr>
                  <w:rPr>
                    <w:sz w:val="4"/>
                    <w:szCs w:val="4"/>
                  </w:rPr>
                </w:pPr>
              </w:p>
              <w:p>
                <w:pPr>
                  <w:keepNext/>
                  <w:spacing w:line="276" w:lineRule="auto"/>
                  <w:outlineLvl w:val="1"/>
                  <w:rPr>
                    <w:bCs/>
                    <w:iCs/>
                    <w:szCs w:val="24"/>
                  </w:rPr>
                </w:pPr>
                <w:r>
                  <w:rPr>
                    <w:bCs/>
                    <w:iCs/>
                    <w:szCs w:val="24"/>
                  </w:rPr>
                  <w:t>3.</w:t>
                </w:r>
              </w:p>
            </w:tc>
            <w:tc>
              <w:tcPr>
                <w:tcW w:w="5337" w:type="dxa"/>
                <w:tcBorders>
                  <w:top w:val="nil"/>
                  <w:left w:val="nil"/>
                  <w:bottom w:val="single" w:sz="2" w:space="0" w:color="auto"/>
                  <w:right w:val="nil"/>
                </w:tcBorders>
                <w:hideMark/>
              </w:tcPr>
              <w:p>
                <w:pPr>
                  <w:rPr>
                    <w:sz w:val="4"/>
                    <w:szCs w:val="4"/>
                  </w:rPr>
                </w:pPr>
              </w:p>
              <w:p>
                <w:pPr>
                  <w:keepNext/>
                  <w:spacing w:line="276" w:lineRule="auto"/>
                  <w:outlineLvl w:val="1"/>
                  <w:rPr>
                    <w:bCs/>
                    <w:iCs/>
                    <w:szCs w:val="24"/>
                  </w:rPr>
                </w:pPr>
                <w:r>
                  <w:rPr>
                    <w:bCs/>
                    <w:iCs/>
                    <w:szCs w:val="24"/>
                  </w:rPr>
                  <w:t>Bendrasis pelnas (nuostoliai)</w:t>
                </w:r>
              </w:p>
            </w:tc>
            <w:tc>
              <w:tcPr>
                <w:tcW w:w="1134" w:type="dxa"/>
                <w:tcBorders>
                  <w:top w:val="nil"/>
                  <w:left w:val="single" w:sz="4" w:space="0" w:color="auto"/>
                  <w:bottom w:val="single" w:sz="2" w:space="0" w:color="auto"/>
                  <w:right w:val="nil"/>
                </w:tcBorders>
              </w:tcPr>
              <w:p>
                <w:pPr>
                  <w:keepNext/>
                  <w:spacing w:line="276" w:lineRule="auto"/>
                  <w:outlineLvl w:val="1"/>
                  <w:rPr>
                    <w:b/>
                    <w:bCs/>
                    <w:iCs/>
                    <w:szCs w:val="24"/>
                  </w:rPr>
                </w:pPr>
              </w:p>
            </w:tc>
            <w:tc>
              <w:tcPr>
                <w:tcW w:w="1276" w:type="dxa"/>
                <w:tcBorders>
                  <w:top w:val="nil"/>
                  <w:left w:val="single" w:sz="4" w:space="0" w:color="auto"/>
                  <w:bottom w:val="single" w:sz="2" w:space="0" w:color="auto"/>
                  <w:right w:val="single" w:sz="4" w:space="0" w:color="auto"/>
                </w:tcBorders>
              </w:tcPr>
              <w:p>
                <w:pPr>
                  <w:keepNext/>
                  <w:spacing w:line="276" w:lineRule="auto"/>
                  <w:outlineLvl w:val="1"/>
                  <w:rPr>
                    <w:b/>
                    <w:bCs/>
                    <w:iCs/>
                    <w:szCs w:val="24"/>
                  </w:rPr>
                </w:pPr>
              </w:p>
            </w:tc>
            <w:tc>
              <w:tcPr>
                <w:tcW w:w="1134" w:type="dxa"/>
                <w:tcBorders>
                  <w:top w:val="single" w:sz="6" w:space="0" w:color="auto"/>
                  <w:left w:val="nil"/>
                  <w:bottom w:val="single" w:sz="2" w:space="0" w:color="auto"/>
                  <w:right w:val="single" w:sz="6" w:space="0" w:color="auto"/>
                </w:tcBorders>
              </w:tcPr>
              <w:p>
                <w:pPr>
                  <w:keepNext/>
                  <w:spacing w:line="276" w:lineRule="auto"/>
                  <w:outlineLvl w:val="1"/>
                  <w:rPr>
                    <w:b/>
                    <w:bCs/>
                    <w:iCs/>
                    <w:szCs w:val="24"/>
                  </w:rPr>
                </w:pPr>
              </w:p>
            </w:tc>
          </w:tr>
          <w:tr>
            <w:trPr>
              <w:trHeight w:val="355"/>
            </w:trPr>
            <w:tc>
              <w:tcPr>
                <w:tcW w:w="900" w:type="dxa"/>
                <w:tcBorders>
                  <w:top w:val="nil"/>
                  <w:left w:val="single" w:sz="6" w:space="0" w:color="auto"/>
                  <w:bottom w:val="single" w:sz="2" w:space="0" w:color="auto"/>
                  <w:right w:val="single" w:sz="6" w:space="0" w:color="auto"/>
                </w:tcBorders>
                <w:hideMark/>
              </w:tcPr>
              <w:p>
                <w:pPr>
                  <w:rPr>
                    <w:sz w:val="4"/>
                    <w:szCs w:val="4"/>
                  </w:rPr>
                </w:pPr>
              </w:p>
              <w:p>
                <w:pPr>
                  <w:rPr>
                    <w:color w:val="000000"/>
                    <w:szCs w:val="24"/>
                  </w:rPr>
                </w:pPr>
                <w:r>
                  <w:rPr>
                    <w:color w:val="000000"/>
                    <w:szCs w:val="24"/>
                  </w:rPr>
                  <w:t>4.</w:t>
                </w:r>
              </w:p>
            </w:tc>
            <w:tc>
              <w:tcPr>
                <w:tcW w:w="5337" w:type="dxa"/>
                <w:tcBorders>
                  <w:top w:val="nil"/>
                  <w:left w:val="nil"/>
                  <w:bottom w:val="single" w:sz="2" w:space="0" w:color="auto"/>
                  <w:right w:val="nil"/>
                </w:tcBorders>
                <w:hideMark/>
              </w:tcPr>
              <w:p>
                <w:pPr>
                  <w:rPr>
                    <w:sz w:val="4"/>
                    <w:szCs w:val="4"/>
                  </w:rPr>
                </w:pPr>
              </w:p>
              <w:p>
                <w:pPr>
                  <w:keepNext/>
                  <w:spacing w:line="276" w:lineRule="auto"/>
                  <w:outlineLvl w:val="1"/>
                  <w:rPr>
                    <w:bCs/>
                    <w:iCs/>
                    <w:szCs w:val="24"/>
                  </w:rPr>
                </w:pPr>
                <w:r>
                  <w:rPr>
                    <w:bCs/>
                    <w:iCs/>
                    <w:szCs w:val="24"/>
                  </w:rPr>
                  <w:t>Veiklos sąnaudos</w:t>
                </w:r>
              </w:p>
            </w:tc>
            <w:tc>
              <w:tcPr>
                <w:tcW w:w="1134" w:type="dxa"/>
                <w:tcBorders>
                  <w:top w:val="nil"/>
                  <w:left w:val="single" w:sz="4" w:space="0" w:color="auto"/>
                  <w:bottom w:val="single" w:sz="2" w:space="0" w:color="auto"/>
                  <w:right w:val="nil"/>
                </w:tcBorders>
              </w:tcPr>
              <w:p>
                <w:pPr>
                  <w:ind w:left="6300"/>
                  <w:jc w:val="right"/>
                  <w:rPr>
                    <w:color w:val="000000"/>
                    <w:szCs w:val="24"/>
                  </w:rPr>
                </w:pPr>
              </w:p>
            </w:tc>
            <w:tc>
              <w:tcPr>
                <w:tcW w:w="1276" w:type="dxa"/>
                <w:tcBorders>
                  <w:top w:val="nil"/>
                  <w:left w:val="single" w:sz="4" w:space="0" w:color="auto"/>
                  <w:bottom w:val="single" w:sz="2" w:space="0" w:color="auto"/>
                  <w:right w:val="single" w:sz="4" w:space="0" w:color="auto"/>
                </w:tcBorders>
              </w:tcPr>
              <w:p>
                <w:pPr>
                  <w:jc w:val="right"/>
                  <w:rPr>
                    <w:color w:val="000000"/>
                    <w:szCs w:val="24"/>
                  </w:rPr>
                </w:pPr>
              </w:p>
            </w:tc>
            <w:tc>
              <w:tcPr>
                <w:tcW w:w="1134" w:type="dxa"/>
                <w:tcBorders>
                  <w:top w:val="nil"/>
                  <w:left w:val="nil"/>
                  <w:bottom w:val="single" w:sz="2" w:space="0" w:color="auto"/>
                  <w:right w:val="single" w:sz="6" w:space="0" w:color="auto"/>
                </w:tcBorders>
              </w:tcPr>
              <w:p>
                <w:pPr>
                  <w:jc w:val="right"/>
                  <w:rPr>
                    <w:color w:val="000000"/>
                    <w:szCs w:val="24"/>
                  </w:rPr>
                </w:pPr>
              </w:p>
            </w:tc>
          </w:tr>
          <w:tr>
            <w:trPr>
              <w:trHeight w:val="296"/>
            </w:trPr>
            <w:tc>
              <w:tcPr>
                <w:tcW w:w="900" w:type="dxa"/>
                <w:tcBorders>
                  <w:top w:val="nil"/>
                  <w:left w:val="single" w:sz="6" w:space="0" w:color="auto"/>
                  <w:bottom w:val="single" w:sz="2" w:space="0" w:color="auto"/>
                  <w:right w:val="single" w:sz="6" w:space="0" w:color="auto"/>
                </w:tcBorders>
                <w:hideMark/>
              </w:tcPr>
              <w:p>
                <w:pPr>
                  <w:rPr>
                    <w:sz w:val="4"/>
                    <w:szCs w:val="4"/>
                  </w:rPr>
                </w:pPr>
              </w:p>
              <w:p>
                <w:pPr>
                  <w:keepNext/>
                  <w:spacing w:line="276" w:lineRule="auto"/>
                  <w:outlineLvl w:val="1"/>
                  <w:rPr>
                    <w:bCs/>
                    <w:iCs/>
                    <w:szCs w:val="24"/>
                  </w:rPr>
                </w:pPr>
                <w:r>
                  <w:rPr>
                    <w:bCs/>
                    <w:iCs/>
                    <w:szCs w:val="24"/>
                  </w:rPr>
                  <w:t>5.</w:t>
                </w:r>
              </w:p>
            </w:tc>
            <w:tc>
              <w:tcPr>
                <w:tcW w:w="5337" w:type="dxa"/>
                <w:tcBorders>
                  <w:top w:val="nil"/>
                  <w:left w:val="nil"/>
                  <w:bottom w:val="single" w:sz="2" w:space="0" w:color="auto"/>
                  <w:right w:val="nil"/>
                </w:tcBorders>
                <w:hideMark/>
              </w:tcPr>
              <w:p>
                <w:pPr>
                  <w:rPr>
                    <w:sz w:val="4"/>
                    <w:szCs w:val="4"/>
                  </w:rPr>
                </w:pPr>
              </w:p>
              <w:p>
                <w:pPr>
                  <w:keepNext/>
                  <w:spacing w:line="276" w:lineRule="auto"/>
                  <w:outlineLvl w:val="1"/>
                  <w:rPr>
                    <w:bCs/>
                    <w:iCs/>
                    <w:szCs w:val="24"/>
                  </w:rPr>
                </w:pPr>
                <w:r>
                  <w:rPr>
                    <w:bCs/>
                    <w:iCs/>
                    <w:szCs w:val="24"/>
                  </w:rPr>
                  <w:t>Tipinės veiklos pelnas (nuostoliai)</w:t>
                </w:r>
              </w:p>
            </w:tc>
            <w:tc>
              <w:tcPr>
                <w:tcW w:w="1134" w:type="dxa"/>
                <w:tcBorders>
                  <w:top w:val="nil"/>
                  <w:left w:val="single" w:sz="4" w:space="0" w:color="auto"/>
                  <w:bottom w:val="single" w:sz="2" w:space="0" w:color="auto"/>
                  <w:right w:val="nil"/>
                </w:tcBorders>
              </w:tcPr>
              <w:p>
                <w:pPr>
                  <w:keepNext/>
                  <w:spacing w:line="276" w:lineRule="auto"/>
                  <w:outlineLvl w:val="1"/>
                  <w:rPr>
                    <w:b/>
                    <w:bCs/>
                    <w:iCs/>
                    <w:szCs w:val="24"/>
                  </w:rPr>
                </w:pPr>
              </w:p>
            </w:tc>
            <w:tc>
              <w:tcPr>
                <w:tcW w:w="1276" w:type="dxa"/>
                <w:tcBorders>
                  <w:top w:val="nil"/>
                  <w:left w:val="single" w:sz="4" w:space="0" w:color="auto"/>
                  <w:bottom w:val="single" w:sz="2" w:space="0" w:color="auto"/>
                  <w:right w:val="single" w:sz="4" w:space="0" w:color="auto"/>
                </w:tcBorders>
              </w:tcPr>
              <w:p>
                <w:pPr>
                  <w:keepNext/>
                  <w:spacing w:line="276" w:lineRule="auto"/>
                  <w:outlineLvl w:val="1"/>
                  <w:rPr>
                    <w:b/>
                    <w:bCs/>
                    <w:iCs/>
                    <w:szCs w:val="24"/>
                  </w:rPr>
                </w:pPr>
              </w:p>
            </w:tc>
            <w:tc>
              <w:tcPr>
                <w:tcW w:w="1134" w:type="dxa"/>
                <w:tcBorders>
                  <w:top w:val="single" w:sz="6" w:space="0" w:color="auto"/>
                  <w:left w:val="nil"/>
                  <w:bottom w:val="single" w:sz="2" w:space="0" w:color="auto"/>
                  <w:right w:val="single" w:sz="6" w:space="0" w:color="auto"/>
                </w:tcBorders>
              </w:tcPr>
              <w:p>
                <w:pPr>
                  <w:keepNext/>
                  <w:spacing w:line="276" w:lineRule="auto"/>
                  <w:outlineLvl w:val="1"/>
                  <w:rPr>
                    <w:b/>
                    <w:bCs/>
                    <w:iCs/>
                    <w:szCs w:val="24"/>
                  </w:rPr>
                </w:pPr>
              </w:p>
            </w:tc>
          </w:tr>
          <w:tr>
            <w:trPr>
              <w:trHeight w:val="296"/>
            </w:trPr>
            <w:tc>
              <w:tcPr>
                <w:tcW w:w="900" w:type="dxa"/>
                <w:tcBorders>
                  <w:top w:val="nil"/>
                  <w:left w:val="single" w:sz="6" w:space="0" w:color="auto"/>
                  <w:bottom w:val="single" w:sz="2" w:space="0" w:color="auto"/>
                  <w:right w:val="single" w:sz="6" w:space="0" w:color="auto"/>
                </w:tcBorders>
                <w:hideMark/>
              </w:tcPr>
              <w:p>
                <w:pPr>
                  <w:rPr>
                    <w:sz w:val="4"/>
                    <w:szCs w:val="4"/>
                  </w:rPr>
                </w:pPr>
              </w:p>
              <w:p>
                <w:pPr>
                  <w:rPr>
                    <w:color w:val="000000"/>
                    <w:szCs w:val="24"/>
                  </w:rPr>
                </w:pPr>
                <w:r>
                  <w:rPr>
                    <w:color w:val="000000"/>
                    <w:szCs w:val="24"/>
                  </w:rPr>
                  <w:t>6.</w:t>
                </w:r>
              </w:p>
            </w:tc>
            <w:tc>
              <w:tcPr>
                <w:tcW w:w="5337" w:type="dxa"/>
                <w:tcBorders>
                  <w:top w:val="nil"/>
                  <w:left w:val="nil"/>
                  <w:bottom w:val="single" w:sz="2" w:space="0" w:color="auto"/>
                  <w:right w:val="nil"/>
                </w:tcBorders>
                <w:hideMark/>
              </w:tcPr>
              <w:p>
                <w:pPr>
                  <w:rPr>
                    <w:sz w:val="4"/>
                    <w:szCs w:val="4"/>
                  </w:rPr>
                </w:pPr>
              </w:p>
              <w:p>
                <w:pPr>
                  <w:keepNext/>
                  <w:spacing w:line="276" w:lineRule="auto"/>
                  <w:outlineLvl w:val="1"/>
                  <w:rPr>
                    <w:bCs/>
                    <w:iCs/>
                    <w:szCs w:val="24"/>
                  </w:rPr>
                </w:pPr>
                <w:r>
                  <w:rPr>
                    <w:bCs/>
                    <w:iCs/>
                    <w:szCs w:val="24"/>
                  </w:rPr>
                  <w:t>Kita veikla</w:t>
                </w:r>
              </w:p>
            </w:tc>
            <w:tc>
              <w:tcPr>
                <w:tcW w:w="1134" w:type="dxa"/>
                <w:tcBorders>
                  <w:top w:val="nil"/>
                  <w:left w:val="single" w:sz="4" w:space="0" w:color="auto"/>
                  <w:bottom w:val="single" w:sz="2" w:space="0" w:color="auto"/>
                  <w:right w:val="nil"/>
                </w:tcBorders>
              </w:tcPr>
              <w:p>
                <w:pPr>
                  <w:jc w:val="right"/>
                  <w:rPr>
                    <w:color w:val="000000"/>
                    <w:szCs w:val="24"/>
                  </w:rPr>
                </w:pPr>
              </w:p>
            </w:tc>
            <w:tc>
              <w:tcPr>
                <w:tcW w:w="1276" w:type="dxa"/>
                <w:tcBorders>
                  <w:top w:val="nil"/>
                  <w:left w:val="single" w:sz="4" w:space="0" w:color="auto"/>
                  <w:bottom w:val="single" w:sz="2" w:space="0" w:color="auto"/>
                  <w:right w:val="single" w:sz="4" w:space="0" w:color="auto"/>
                </w:tcBorders>
              </w:tcPr>
              <w:p>
                <w:pPr>
                  <w:jc w:val="right"/>
                  <w:rPr>
                    <w:color w:val="000000"/>
                    <w:szCs w:val="24"/>
                  </w:rPr>
                </w:pPr>
              </w:p>
            </w:tc>
            <w:tc>
              <w:tcPr>
                <w:tcW w:w="1134" w:type="dxa"/>
                <w:tcBorders>
                  <w:top w:val="nil"/>
                  <w:left w:val="nil"/>
                  <w:bottom w:val="single" w:sz="2" w:space="0" w:color="auto"/>
                  <w:right w:val="single" w:sz="6" w:space="0" w:color="auto"/>
                </w:tcBorders>
              </w:tcPr>
              <w:p>
                <w:pPr>
                  <w:jc w:val="right"/>
                  <w:rPr>
                    <w:color w:val="000000"/>
                    <w:szCs w:val="24"/>
                  </w:rPr>
                </w:pPr>
              </w:p>
            </w:tc>
          </w:tr>
          <w:tr>
            <w:trPr>
              <w:trHeight w:val="296"/>
            </w:trPr>
            <w:tc>
              <w:tcPr>
                <w:tcW w:w="900" w:type="dxa"/>
                <w:tcBorders>
                  <w:top w:val="nil"/>
                  <w:left w:val="single" w:sz="6" w:space="0" w:color="auto"/>
                  <w:bottom w:val="single" w:sz="2" w:space="0" w:color="auto"/>
                  <w:right w:val="single" w:sz="6" w:space="0" w:color="auto"/>
                </w:tcBorders>
                <w:hideMark/>
              </w:tcPr>
              <w:p>
                <w:pPr>
                  <w:rPr>
                    <w:sz w:val="4"/>
                    <w:szCs w:val="4"/>
                  </w:rPr>
                </w:pPr>
              </w:p>
              <w:p>
                <w:pPr>
                  <w:rPr>
                    <w:color w:val="000000"/>
                    <w:szCs w:val="24"/>
                  </w:rPr>
                </w:pPr>
                <w:r>
                  <w:rPr>
                    <w:color w:val="000000"/>
                    <w:szCs w:val="24"/>
                  </w:rPr>
                  <w:t>7.</w:t>
                </w:r>
              </w:p>
            </w:tc>
            <w:tc>
              <w:tcPr>
                <w:tcW w:w="5337" w:type="dxa"/>
                <w:tcBorders>
                  <w:top w:val="nil"/>
                  <w:left w:val="nil"/>
                  <w:bottom w:val="single" w:sz="2" w:space="0" w:color="auto"/>
                  <w:right w:val="nil"/>
                </w:tcBorders>
                <w:hideMark/>
              </w:tcPr>
              <w:p>
                <w:pPr>
                  <w:rPr>
                    <w:sz w:val="4"/>
                    <w:szCs w:val="4"/>
                  </w:rPr>
                </w:pPr>
              </w:p>
              <w:p>
                <w:pPr>
                  <w:keepNext/>
                  <w:spacing w:line="276" w:lineRule="auto"/>
                  <w:outlineLvl w:val="1"/>
                  <w:rPr>
                    <w:bCs/>
                    <w:iCs/>
                    <w:szCs w:val="24"/>
                  </w:rPr>
                </w:pPr>
                <w:r>
                  <w:rPr>
                    <w:bCs/>
                    <w:iCs/>
                    <w:szCs w:val="24"/>
                  </w:rPr>
                  <w:t>Finansinė ir investicinė veikla</w:t>
                </w:r>
              </w:p>
            </w:tc>
            <w:tc>
              <w:tcPr>
                <w:tcW w:w="1134" w:type="dxa"/>
                <w:tcBorders>
                  <w:top w:val="nil"/>
                  <w:left w:val="single" w:sz="4" w:space="0" w:color="auto"/>
                  <w:bottom w:val="single" w:sz="2" w:space="0" w:color="auto"/>
                  <w:right w:val="nil"/>
                </w:tcBorders>
              </w:tcPr>
              <w:p>
                <w:pPr>
                  <w:jc w:val="right"/>
                  <w:rPr>
                    <w:color w:val="000000"/>
                    <w:szCs w:val="24"/>
                  </w:rPr>
                </w:pPr>
              </w:p>
            </w:tc>
            <w:tc>
              <w:tcPr>
                <w:tcW w:w="1276" w:type="dxa"/>
                <w:tcBorders>
                  <w:top w:val="nil"/>
                  <w:left w:val="single" w:sz="4" w:space="0" w:color="auto"/>
                  <w:bottom w:val="single" w:sz="2" w:space="0" w:color="auto"/>
                  <w:right w:val="single" w:sz="4" w:space="0" w:color="auto"/>
                </w:tcBorders>
              </w:tcPr>
              <w:p>
                <w:pPr>
                  <w:jc w:val="right"/>
                  <w:rPr>
                    <w:color w:val="000000"/>
                    <w:szCs w:val="24"/>
                  </w:rPr>
                </w:pPr>
              </w:p>
            </w:tc>
            <w:tc>
              <w:tcPr>
                <w:tcW w:w="1134" w:type="dxa"/>
                <w:tcBorders>
                  <w:top w:val="nil"/>
                  <w:left w:val="nil"/>
                  <w:bottom w:val="single" w:sz="2" w:space="0" w:color="auto"/>
                  <w:right w:val="single" w:sz="6" w:space="0" w:color="auto"/>
                </w:tcBorders>
              </w:tcPr>
              <w:p>
                <w:pPr>
                  <w:jc w:val="right"/>
                  <w:rPr>
                    <w:color w:val="000000"/>
                    <w:szCs w:val="24"/>
                  </w:rPr>
                </w:pPr>
              </w:p>
            </w:tc>
          </w:tr>
          <w:tr>
            <w:trPr>
              <w:trHeight w:val="296"/>
            </w:trPr>
            <w:tc>
              <w:tcPr>
                <w:tcW w:w="900" w:type="dxa"/>
                <w:tcBorders>
                  <w:top w:val="nil"/>
                  <w:left w:val="single" w:sz="6" w:space="0" w:color="auto"/>
                  <w:bottom w:val="single" w:sz="2" w:space="0" w:color="auto"/>
                  <w:right w:val="single" w:sz="6" w:space="0" w:color="auto"/>
                </w:tcBorders>
                <w:hideMark/>
              </w:tcPr>
              <w:p>
                <w:pPr>
                  <w:rPr>
                    <w:sz w:val="4"/>
                    <w:szCs w:val="4"/>
                  </w:rPr>
                </w:pPr>
              </w:p>
              <w:p>
                <w:pPr>
                  <w:rPr>
                    <w:color w:val="000000"/>
                    <w:szCs w:val="24"/>
                  </w:rPr>
                </w:pPr>
                <w:r>
                  <w:rPr>
                    <w:color w:val="000000"/>
                    <w:szCs w:val="24"/>
                  </w:rPr>
                  <w:t>8.</w:t>
                </w:r>
              </w:p>
            </w:tc>
            <w:tc>
              <w:tcPr>
                <w:tcW w:w="5337" w:type="dxa"/>
                <w:tcBorders>
                  <w:top w:val="nil"/>
                  <w:left w:val="nil"/>
                  <w:bottom w:val="single" w:sz="2" w:space="0" w:color="auto"/>
                  <w:right w:val="nil"/>
                </w:tcBorders>
                <w:hideMark/>
              </w:tcPr>
              <w:p>
                <w:pPr>
                  <w:rPr>
                    <w:sz w:val="4"/>
                    <w:szCs w:val="4"/>
                  </w:rPr>
                </w:pPr>
              </w:p>
              <w:p>
                <w:pPr>
                  <w:keepNext/>
                  <w:spacing w:line="276" w:lineRule="auto"/>
                  <w:outlineLvl w:val="1"/>
                  <w:rPr>
                    <w:bCs/>
                    <w:iCs/>
                    <w:szCs w:val="24"/>
                  </w:rPr>
                </w:pPr>
                <w:r>
                  <w:rPr>
                    <w:bCs/>
                    <w:iCs/>
                    <w:szCs w:val="24"/>
                  </w:rPr>
                  <w:t>Pelnas (nuostoliai) prieš apmokestinimą</w:t>
                </w:r>
              </w:p>
            </w:tc>
            <w:tc>
              <w:tcPr>
                <w:tcW w:w="1134" w:type="dxa"/>
                <w:tcBorders>
                  <w:top w:val="nil"/>
                  <w:left w:val="single" w:sz="4" w:space="0" w:color="auto"/>
                  <w:bottom w:val="single" w:sz="2" w:space="0" w:color="auto"/>
                  <w:right w:val="nil"/>
                </w:tcBorders>
              </w:tcPr>
              <w:p>
                <w:pPr>
                  <w:jc w:val="right"/>
                  <w:rPr>
                    <w:color w:val="000000"/>
                    <w:szCs w:val="24"/>
                  </w:rPr>
                </w:pPr>
              </w:p>
            </w:tc>
            <w:tc>
              <w:tcPr>
                <w:tcW w:w="1276" w:type="dxa"/>
                <w:tcBorders>
                  <w:top w:val="nil"/>
                  <w:left w:val="single" w:sz="4" w:space="0" w:color="auto"/>
                  <w:bottom w:val="single" w:sz="2" w:space="0" w:color="auto"/>
                  <w:right w:val="single" w:sz="4" w:space="0" w:color="auto"/>
                </w:tcBorders>
              </w:tcPr>
              <w:p>
                <w:pPr>
                  <w:jc w:val="right"/>
                  <w:rPr>
                    <w:color w:val="000000"/>
                    <w:szCs w:val="24"/>
                  </w:rPr>
                </w:pPr>
              </w:p>
            </w:tc>
            <w:tc>
              <w:tcPr>
                <w:tcW w:w="1134" w:type="dxa"/>
                <w:tcBorders>
                  <w:top w:val="nil"/>
                  <w:left w:val="nil"/>
                  <w:bottom w:val="single" w:sz="2" w:space="0" w:color="auto"/>
                  <w:right w:val="single" w:sz="6" w:space="0" w:color="auto"/>
                </w:tcBorders>
              </w:tcPr>
              <w:p>
                <w:pPr>
                  <w:jc w:val="right"/>
                  <w:rPr>
                    <w:color w:val="000000"/>
                    <w:szCs w:val="24"/>
                  </w:rPr>
                </w:pPr>
              </w:p>
            </w:tc>
          </w:tr>
          <w:tr>
            <w:trPr>
              <w:trHeight w:val="296"/>
            </w:trPr>
            <w:tc>
              <w:tcPr>
                <w:tcW w:w="900" w:type="dxa"/>
                <w:tcBorders>
                  <w:top w:val="nil"/>
                  <w:left w:val="single" w:sz="6" w:space="0" w:color="auto"/>
                  <w:bottom w:val="nil"/>
                  <w:right w:val="single" w:sz="6" w:space="0" w:color="auto"/>
                </w:tcBorders>
                <w:hideMark/>
              </w:tcPr>
              <w:p>
                <w:pPr>
                  <w:rPr>
                    <w:sz w:val="4"/>
                    <w:szCs w:val="4"/>
                  </w:rPr>
                </w:pPr>
              </w:p>
              <w:p>
                <w:pPr>
                  <w:rPr>
                    <w:color w:val="000000"/>
                    <w:szCs w:val="24"/>
                  </w:rPr>
                </w:pPr>
                <w:r>
                  <w:rPr>
                    <w:szCs w:val="24"/>
                  </w:rPr>
                  <w:t>9.</w:t>
                </w:r>
              </w:p>
            </w:tc>
            <w:tc>
              <w:tcPr>
                <w:tcW w:w="5337" w:type="dxa"/>
                <w:hideMark/>
              </w:tcPr>
              <w:p>
                <w:pPr>
                  <w:rPr>
                    <w:sz w:val="4"/>
                    <w:szCs w:val="4"/>
                  </w:rPr>
                </w:pPr>
              </w:p>
              <w:p>
                <w:pPr>
                  <w:keepNext/>
                  <w:spacing w:line="276" w:lineRule="auto"/>
                  <w:outlineLvl w:val="1"/>
                  <w:rPr>
                    <w:bCs/>
                    <w:iCs/>
                    <w:szCs w:val="24"/>
                  </w:rPr>
                </w:pPr>
                <w:r>
                  <w:rPr>
                    <w:bCs/>
                    <w:iCs/>
                    <w:szCs w:val="24"/>
                  </w:rPr>
                  <w:t>Pelno mokestis</w:t>
                </w:r>
              </w:p>
            </w:tc>
            <w:tc>
              <w:tcPr>
                <w:tcW w:w="1134" w:type="dxa"/>
                <w:tcBorders>
                  <w:top w:val="nil"/>
                  <w:left w:val="single" w:sz="4" w:space="0" w:color="auto"/>
                  <w:bottom w:val="nil"/>
                  <w:right w:val="nil"/>
                </w:tcBorders>
              </w:tcPr>
              <w:p>
                <w:pPr>
                  <w:jc w:val="right"/>
                  <w:rPr>
                    <w:color w:val="000000"/>
                    <w:szCs w:val="24"/>
                  </w:rPr>
                </w:pPr>
              </w:p>
            </w:tc>
            <w:tc>
              <w:tcPr>
                <w:tcW w:w="1276" w:type="dxa"/>
                <w:tcBorders>
                  <w:top w:val="nil"/>
                  <w:left w:val="single" w:sz="4" w:space="0" w:color="auto"/>
                  <w:bottom w:val="nil"/>
                  <w:right w:val="single" w:sz="4" w:space="0" w:color="auto"/>
                </w:tcBorders>
              </w:tcPr>
              <w:p>
                <w:pPr>
                  <w:jc w:val="right"/>
                  <w:rPr>
                    <w:color w:val="000000"/>
                    <w:szCs w:val="24"/>
                  </w:rPr>
                </w:pPr>
              </w:p>
            </w:tc>
            <w:tc>
              <w:tcPr>
                <w:tcW w:w="1134" w:type="dxa"/>
                <w:tcBorders>
                  <w:top w:val="single" w:sz="6" w:space="0" w:color="auto"/>
                  <w:left w:val="nil"/>
                  <w:bottom w:val="nil"/>
                  <w:right w:val="single" w:sz="6" w:space="0" w:color="auto"/>
                </w:tcBorders>
              </w:tcPr>
              <w:p>
                <w:pPr>
                  <w:jc w:val="right"/>
                  <w:rPr>
                    <w:color w:val="000000"/>
                    <w:szCs w:val="24"/>
                  </w:rPr>
                </w:pPr>
              </w:p>
            </w:tc>
          </w:tr>
          <w:tr>
            <w:trPr>
              <w:trHeight w:val="312"/>
            </w:trPr>
            <w:tc>
              <w:tcPr>
                <w:tcW w:w="900" w:type="dxa"/>
                <w:tcBorders>
                  <w:top w:val="single" w:sz="4" w:space="0" w:color="auto"/>
                  <w:left w:val="single" w:sz="4" w:space="0" w:color="auto"/>
                  <w:bottom w:val="single" w:sz="4" w:space="0" w:color="auto"/>
                  <w:right w:val="single" w:sz="6" w:space="0" w:color="auto"/>
                </w:tcBorders>
                <w:hideMark/>
              </w:tcPr>
              <w:p>
                <w:pPr>
                  <w:rPr>
                    <w:sz w:val="4"/>
                    <w:szCs w:val="4"/>
                  </w:rPr>
                </w:pPr>
              </w:p>
              <w:p>
                <w:pPr>
                  <w:keepNext/>
                  <w:spacing w:line="276" w:lineRule="auto"/>
                  <w:outlineLvl w:val="1"/>
                  <w:rPr>
                    <w:bCs/>
                    <w:iCs/>
                    <w:szCs w:val="24"/>
                  </w:rPr>
                </w:pPr>
                <w:r>
                  <w:rPr>
                    <w:bCs/>
                    <w:iCs/>
                    <w:szCs w:val="24"/>
                  </w:rPr>
                  <w:t>10.</w:t>
                </w:r>
              </w:p>
            </w:tc>
            <w:tc>
              <w:tcPr>
                <w:tcW w:w="5337" w:type="dxa"/>
                <w:tcBorders>
                  <w:top w:val="single" w:sz="4" w:space="0" w:color="auto"/>
                  <w:left w:val="nil"/>
                  <w:bottom w:val="single" w:sz="4" w:space="0" w:color="auto"/>
                  <w:right w:val="nil"/>
                </w:tcBorders>
                <w:hideMark/>
              </w:tcPr>
              <w:p>
                <w:pPr>
                  <w:rPr>
                    <w:sz w:val="4"/>
                    <w:szCs w:val="4"/>
                  </w:rPr>
                </w:pPr>
              </w:p>
              <w:p>
                <w:pPr>
                  <w:keepNext/>
                  <w:spacing w:line="276" w:lineRule="auto"/>
                  <w:outlineLvl w:val="1"/>
                  <w:rPr>
                    <w:bCs/>
                    <w:iCs/>
                    <w:szCs w:val="24"/>
                  </w:rPr>
                </w:pPr>
                <w:r>
                  <w:rPr>
                    <w:bCs/>
                    <w:iCs/>
                    <w:szCs w:val="24"/>
                  </w:rPr>
                  <w:t>Grynasis pelnas (nuostoliai)</w:t>
                </w:r>
              </w:p>
            </w:tc>
            <w:tc>
              <w:tcPr>
                <w:tcW w:w="1134" w:type="dxa"/>
                <w:tcBorders>
                  <w:top w:val="single" w:sz="4" w:space="0" w:color="auto"/>
                  <w:left w:val="single" w:sz="4" w:space="0" w:color="auto"/>
                  <w:bottom w:val="single" w:sz="4" w:space="0" w:color="auto"/>
                  <w:right w:val="nil"/>
                </w:tcBorders>
              </w:tcPr>
              <w:p>
                <w:pPr>
                  <w:keepNext/>
                  <w:spacing w:line="276" w:lineRule="auto"/>
                  <w:outlineLvl w:val="1"/>
                  <w:rPr>
                    <w:b/>
                    <w:bCs/>
                    <w:iCs/>
                    <w:szCs w:val="24"/>
                  </w:rPr>
                </w:pPr>
              </w:p>
            </w:tc>
            <w:tc>
              <w:tcPr>
                <w:tcW w:w="1276" w:type="dxa"/>
                <w:tcBorders>
                  <w:top w:val="single" w:sz="4" w:space="0" w:color="auto"/>
                  <w:left w:val="single" w:sz="4" w:space="0" w:color="auto"/>
                  <w:bottom w:val="single" w:sz="4" w:space="0" w:color="auto"/>
                  <w:right w:val="single" w:sz="4" w:space="0" w:color="auto"/>
                </w:tcBorders>
              </w:tcPr>
              <w:p>
                <w:pPr>
                  <w:keepNext/>
                  <w:spacing w:line="276" w:lineRule="auto"/>
                  <w:outlineLvl w:val="1"/>
                  <w:rPr>
                    <w:b/>
                    <w:bCs/>
                    <w:iCs/>
                    <w:szCs w:val="24"/>
                  </w:rPr>
                </w:pPr>
              </w:p>
            </w:tc>
            <w:tc>
              <w:tcPr>
                <w:tcW w:w="1134" w:type="dxa"/>
                <w:tcBorders>
                  <w:top w:val="single" w:sz="4" w:space="0" w:color="auto"/>
                  <w:left w:val="nil"/>
                  <w:bottom w:val="single" w:sz="4" w:space="0" w:color="auto"/>
                  <w:right w:val="single" w:sz="4" w:space="0" w:color="auto"/>
                </w:tcBorders>
              </w:tcPr>
              <w:p>
                <w:pPr>
                  <w:keepNext/>
                  <w:spacing w:line="276" w:lineRule="auto"/>
                  <w:outlineLvl w:val="1"/>
                  <w:rPr>
                    <w:b/>
                    <w:bCs/>
                    <w:iCs/>
                    <w:szCs w:val="24"/>
                  </w:rPr>
                </w:pPr>
              </w:p>
            </w:tc>
          </w:tr>
        </w:tbl>
        <w:p>
          <w:pPr>
            <w:rPr>
              <w:szCs w:val="24"/>
            </w:rPr>
          </w:pPr>
        </w:p>
        <w:p>
          <w:pPr>
            <w:tabs>
              <w:tab w:val="left" w:pos="4253"/>
              <w:tab w:val="left" w:pos="6946"/>
            </w:tabs>
            <w:rPr>
              <w:szCs w:val="24"/>
            </w:rPr>
          </w:pPr>
          <w:r>
            <w:rPr>
              <w:szCs w:val="24"/>
            </w:rPr>
            <w:t>_______________________</w:t>
            <w:tab/>
            <w:t xml:space="preserve"> _______________</w:t>
            <w:tab/>
            <w:t>___________________</w:t>
          </w:r>
        </w:p>
        <w:p>
          <w:pPr>
            <w:tabs>
              <w:tab w:val="left" w:pos="4820"/>
              <w:tab w:val="left" w:pos="7230"/>
            </w:tabs>
            <w:ind w:firstLine="50"/>
            <w:rPr>
              <w:sz w:val="20"/>
            </w:rPr>
          </w:pPr>
          <w:r>
            <w:rPr>
              <w:sz w:val="20"/>
            </w:rPr>
            <w:t>(vadovo pareigų pavadinimas)</w:t>
            <w:tab/>
            <w:t>(parašas)</w:t>
            <w:tab/>
            <w:t>(vardas ir pavardė)</w:t>
          </w:r>
        </w:p>
        <w:p>
          <w:pPr>
            <w:tabs>
              <w:tab w:val="left" w:pos="4820"/>
              <w:tab w:val="left" w:pos="7230"/>
            </w:tabs>
            <w:rPr>
              <w:sz w:val="20"/>
            </w:rPr>
          </w:pPr>
        </w:p>
        <w:p>
          <w:pPr>
            <w:tabs>
              <w:tab w:val="left" w:pos="4253"/>
              <w:tab w:val="left" w:pos="6946"/>
            </w:tabs>
            <w:rPr>
              <w:szCs w:val="24"/>
            </w:rPr>
          </w:pPr>
          <w:r>
            <w:rPr>
              <w:szCs w:val="24"/>
            </w:rPr>
            <w:t>______________________________</w:t>
            <w:tab/>
            <w:t>_______________</w:t>
            <w:tab/>
            <w:t>___________________</w:t>
          </w:r>
        </w:p>
        <w:p>
          <w:pPr>
            <w:tabs>
              <w:tab w:val="left" w:pos="4820"/>
              <w:tab w:val="left" w:pos="7371"/>
            </w:tabs>
            <w:rPr>
              <w:sz w:val="20"/>
              <w:szCs w:val="24"/>
            </w:rPr>
          </w:pPr>
          <w:r>
            <w:rPr>
              <w:sz w:val="20"/>
              <w:szCs w:val="24"/>
            </w:rPr>
            <w:t xml:space="preserve">(vyriausiojo buhalterio (buhalterio) arba  </w:t>
            <w:tab/>
            <w:t xml:space="preserve"> (parašas)</w:t>
            <w:tab/>
            <w:t>(vardas ir pavardė)</w:t>
          </w:r>
        </w:p>
        <w:p>
          <w:pPr>
            <w:tabs>
              <w:tab w:val="left" w:pos="7655"/>
            </w:tabs>
            <w:rPr>
              <w:sz w:val="20"/>
              <w:szCs w:val="24"/>
            </w:rPr>
          </w:pPr>
          <w:r>
            <w:rPr>
              <w:sz w:val="20"/>
              <w:szCs w:val="24"/>
            </w:rPr>
            <w:t>galinčio tvarkyti apskaitą kito asmens</w:t>
          </w:r>
        </w:p>
        <w:p>
          <w:pPr>
            <w:widowControl w:val="0"/>
            <w:tabs>
              <w:tab w:val="left" w:pos="4820"/>
              <w:tab w:val="left" w:pos="7230"/>
            </w:tabs>
          </w:pPr>
          <w:r>
            <w:rPr>
              <w:sz w:val="20"/>
              <w:szCs w:val="24"/>
            </w:rPr>
            <w:t>pareigų pavadinimas)</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2367b0674811e58e1ab2c84776483b">
            <w:r w:rsidRPr="00532B9F">
              <w:rPr>
                <w:rFonts w:ascii="Times New Roman" w:eastAsia="MS Mincho" w:hAnsi="Times New Roman"/>
                <w:sz w:val="20"/>
                <w:i/>
                <w:iCs/>
                <w:color w:val="0000FF" w:themeColor="hyperlink"/>
                <w:u w:val="single"/>
              </w:rPr>
              <w:t>VAS-48</w:t>
            </w:r>
          </w:fldSimple>
          <w:r>
            <w:rPr>
              <w:rFonts w:ascii="Times New Roman" w:eastAsia="MS Mincho" w:hAnsi="Times New Roman"/>
              <w:sz w:val="20"/>
              <w:i/>
              <w:iCs/>
            </w:rPr>
            <w:t>,
2015-09-24,
paskelbta TAR 2015-09-30, i. k. 2015-14490            </w:t>
          </w:r>
        </w:p>
        <w:p/>
      </w:sdtContent>
    </w:sdt>
    <w:sdt>
      <w:sdtPr>
        <w:alias w:val="3 pr."/>
        <w:tag w:val="part_91d9e7c4628045ea85ea5ea4dc5214e6"/>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w:t>
          </w:r>
          <w:r>
            <w:rPr>
              <w:rFonts w:ascii="Times New Roman" w:hAnsi="Times New Roman"/>
              <w:b/>
              <w:sz w:val="22"/>
            </w:rPr>
            <w:t xml:space="preserve"> priedas.</w:t>
          </w:r>
          <w:r>
            <w:rPr>
              <w:rFonts w:ascii="Times New Roman" w:eastAsia="MS Mincho" w:hAnsi="Times New Roman"/>
              <w:sz w:val="20"/>
              <w:i/>
              <w:iCs/>
            </w:rPr>
            <w:t xml:space="preserve"> Neteko galios nuo 2016-01-01</w:t>
          </w:r>
        </w:p>
        <w:p>
          <w:pPr>
            <w:pStyle w:val="PlainText"/>
            <w:rPr>
              <w:rFonts w:ascii="Times New Roman" w:eastAsia="MS Mincho" w:hAnsi="Times New Roman"/>
              <w:sz w:val="20"/>
              <w:i/>
              <w:iCs/>
            </w:rPr>
          </w:pPr>
          <w:r>
            <w:rPr>
              <w:rFonts w:ascii="Times New Roman" w:eastAsia="MS Mincho" w:hAnsi="Times New Roman"/>
              <w:sz w:val="20"/>
              <w:i/>
              <w:iCs/>
            </w:rPr>
            <w:t>Priedo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2367b0674811e58e1ab2c84776483b">
            <w:r w:rsidRPr="00532B9F">
              <w:rPr>
                <w:rFonts w:ascii="Times New Roman" w:eastAsia="MS Mincho" w:hAnsi="Times New Roman"/>
                <w:sz w:val="20"/>
                <w:i/>
                <w:iCs/>
                <w:color w:val="0000FF" w:themeColor="hyperlink"/>
                <w:u w:val="single"/>
              </w:rPr>
              <w:t>VAS-48</w:t>
            </w:r>
          </w:fldSimple>
          <w:r>
            <w:rPr>
              <w:rFonts w:ascii="Times New Roman" w:eastAsia="MS Mincho" w:hAnsi="Times New Roman"/>
              <w:sz w:val="20"/>
              <w:i/>
              <w:iCs/>
            </w:rPr>
            <w:t>,
2015-09-24,
paskelbta TAR 2015-09-30, i. k. 2015-14490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Audito ir apskaitos tarnyba,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c6dd1309a3211e3bdd0a9c9ad8ce1bf">
            <w:r w:rsidRPr="00532B9F">
              <w:rPr>
                <w:rFonts w:ascii="Times New Roman" w:eastAsia="MS Mincho" w:hAnsi="Times New Roman"/>
                <w:sz w:val="20"/>
                <w:iCs/>
                <w:color w:val="0000FF" w:themeColor="hyperlink"/>
                <w:u w:val="single"/>
              </w:rPr>
              <w:t>VAS-19</w:t>
            </w:r>
          </w:fldSimple>
          <w:r>
            <w:rPr>
              <w:rFonts w:ascii="Times New Roman" w:eastAsia="MS Mincho" w:hAnsi="Times New Roman"/>
              <w:sz w:val="20"/>
              <w:iCs/>
            </w:rPr>
            <w:t>,
2014-02-18,
paskelbta TAR 2014-02-21, i. k. 2014-01974                </w:t>
          </w:r>
        </w:p>
        <w:p>
          <w:pPr>
            <w:jc w:val="both"/>
            <w:rPr>
              <w:rFonts w:ascii="Times New Roman" w:hAnsi="Times New Roman"/>
            </w:rPr>
          </w:pPr>
          <w:r>
            <w:rPr>
              <w:rFonts w:ascii="Times New Roman" w:hAnsi="Times New Roman"/>
              <w:sz w:val="20"/>
            </w:rPr>
            <w:t>Dėl Audito ir apskaitos tarnybos direktoriaus 2012 m. spalio 16 d. įsakymo Nr. VAS-18 „Dėl 38-ojo verslo apskaitos standarto „Neribotos civilinės atsakomybės juridinių asmenų ir mažųjų bendrijų buhalterinė apskaita ir finansinės ataskaitos“ 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Audito ir apskaitos tarnyba,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de91a6089ac11e4a98a9f2247652cf4">
            <w:r w:rsidRPr="00532B9F">
              <w:rPr>
                <w:rFonts w:ascii="Times New Roman" w:eastAsia="MS Mincho" w:hAnsi="Times New Roman"/>
                <w:sz w:val="20"/>
                <w:iCs/>
                <w:color w:val="0000FF" w:themeColor="hyperlink"/>
                <w:u w:val="single"/>
              </w:rPr>
              <w:t>VAS-35</w:t>
            </w:r>
          </w:fldSimple>
          <w:r>
            <w:rPr>
              <w:rFonts w:ascii="Times New Roman" w:eastAsia="MS Mincho" w:hAnsi="Times New Roman"/>
              <w:sz w:val="20"/>
              <w:iCs/>
            </w:rPr>
            <w:t>,
2014-12-18,
paskelbta TAR 2014-12-22, i. k. 2014-20444                </w:t>
          </w:r>
        </w:p>
        <w:p>
          <w:pPr>
            <w:jc w:val="both"/>
            <w:rPr>
              <w:rFonts w:ascii="Times New Roman" w:hAnsi="Times New Roman"/>
            </w:rPr>
          </w:pPr>
          <w:r>
            <w:rPr>
              <w:rFonts w:ascii="Times New Roman" w:hAnsi="Times New Roman"/>
              <w:sz w:val="20"/>
            </w:rPr>
            <w:t>Dėl Audito ir apskaitos tarnybos direktoriaus 2012 m. spalio 16 d. įsakymo Nr. VAS-18 „Dėl 38-ojo verslo apskaitos standarto „Neribotos civilinės atsakomybės juridinių asmenų ir mažųjų bendrijų buhalterinė apskaita ir finansinės ataskaitos“ 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Audito ir apskaitos tarnyba,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729fb60aadb11e48ebccd46991dfff9">
            <w:r w:rsidRPr="00532B9F">
              <w:rPr>
                <w:rFonts w:ascii="Times New Roman" w:eastAsia="MS Mincho" w:hAnsi="Times New Roman"/>
                <w:sz w:val="20"/>
                <w:iCs/>
                <w:color w:val="0000FF" w:themeColor="hyperlink"/>
                <w:u w:val="single"/>
              </w:rPr>
              <w:t>VAS-1</w:t>
            </w:r>
          </w:fldSimple>
          <w:r>
            <w:rPr>
              <w:rFonts w:ascii="Times New Roman" w:eastAsia="MS Mincho" w:hAnsi="Times New Roman"/>
              <w:sz w:val="20"/>
              <w:iCs/>
            </w:rPr>
            <w:t>,
2015-02-02,
paskelbta TAR 2015-02-04, i. k. 2015-01688                </w:t>
          </w:r>
        </w:p>
        <w:p>
          <w:pPr>
            <w:jc w:val="both"/>
            <w:rPr>
              <w:rFonts w:ascii="Times New Roman" w:hAnsi="Times New Roman"/>
            </w:rPr>
          </w:pPr>
          <w:r>
            <w:rPr>
              <w:rFonts w:ascii="Times New Roman" w:hAnsi="Times New Roman"/>
              <w:sz w:val="20"/>
            </w:rPr>
            <w:t>Dėl Audito ir apskaitos tarnybos direktoriaus 2012 m. spalio 16 d. įsakymo Nr. VAS-18 „Dėl 38-ojo verslo apskaitos standarto „Neribotos civilinės atsakomybės juridinių asmenų ir mažųjų bendrijų buhalterinė apskaita ir finansinės ataskaitos“ 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Audito ir apskaitos tarnyba,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32367b0674811e58e1ab2c84776483b">
            <w:r w:rsidRPr="00532B9F">
              <w:rPr>
                <w:rFonts w:ascii="Times New Roman" w:eastAsia="MS Mincho" w:hAnsi="Times New Roman"/>
                <w:sz w:val="20"/>
                <w:iCs/>
                <w:color w:val="0000FF" w:themeColor="hyperlink"/>
                <w:u w:val="single"/>
              </w:rPr>
              <w:t>VAS-48</w:t>
            </w:r>
          </w:fldSimple>
          <w:r>
            <w:rPr>
              <w:rFonts w:ascii="Times New Roman" w:eastAsia="MS Mincho" w:hAnsi="Times New Roman"/>
              <w:sz w:val="20"/>
              <w:iCs/>
            </w:rPr>
            <w:t>,
2015-09-24,
paskelbta TAR 2015-09-30, i. k. 2015-14490                </w:t>
          </w:r>
        </w:p>
        <w:p>
          <w:pPr>
            <w:jc w:val="both"/>
            <w:rPr>
              <w:rFonts w:ascii="Times New Roman" w:hAnsi="Times New Roman"/>
            </w:rPr>
          </w:pPr>
          <w:r>
            <w:rPr>
              <w:rFonts w:ascii="Times New Roman" w:hAnsi="Times New Roman"/>
              <w:sz w:val="20"/>
            </w:rPr>
            <w:t>Dėl Audito ir apskaitos tarnybos direktoriaus 2012 m. spalio 16 d. įsakymo Nr. VAS-18 „Dėl 38-ojo verslo apskaitos standarto „Neribotos civilinės atsakomybės juridinių asmenų ir mažųjų bendrijų buhalterinė apskaita ir finansinės ataskaitos“ 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40" w:code="9"/>
      <w:pgMar w:top="1134" w:right="1134" w:bottom="1134" w:left="1701" w:header="567" w:footer="284" w:gutter="0"/>
      <w:cols w:space="1296"/>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defaultTabStop w:val="1298"/>
  <w:hyphenationZone w:val="396"/>
  <w:doNotHyphenateCaps/>
  <w:drawingGridHorizontalSpacing w:val="120"/>
  <w:displayHorizontalDrawingGridEvery w:val="2"/>
  <w:displayVertic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71658"/>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46020C92"/>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header" Target="header1.xml"/>
  <Relationship Id="rId10" Type="http://schemas.openxmlformats.org/officeDocument/2006/relationships/hyperlink" TargetMode="External" Target="https://www.e-tar.lt/portal/lt/legalAct/TAR.132D0D75309C"/>
  <Relationship Id="rId11" Type="http://schemas.openxmlformats.org/officeDocument/2006/relationships/hyperlink" TargetMode="External" Target="https://www.e-tar.lt/portal/lt/legalAct/TAR.38E9DF08C3B8"/>
  <Relationship Id="rId12" Type="http://schemas.openxmlformats.org/officeDocument/2006/relationships/hyperlink" TargetMode="External" Target="https://www.e-tar.lt/portal/lt/legalAct/TAR.43178AA9832E"/>
  <Relationship Id="rId13" Type="http://schemas.openxmlformats.org/officeDocument/2006/relationships/hyperlink" TargetMode="External" Target="https://www.e-tar.lt/portal/lt/legalAct/TAR.97094B63FD95"/>
  <Relationship Id="rId14" Type="http://schemas.openxmlformats.org/officeDocument/2006/relationships/hyperlink" TargetMode="External" Target="https://www.e-tar.lt/portal/lt/legalAct/TAR.A1FD809510BB"/>
  <Relationship Id="rId15" Type="http://schemas.openxmlformats.org/officeDocument/2006/relationships/hyperlink" TargetMode="External" Target="https://www.e-tar.lt/portal/lt/legalAct/TAR.A5ACBDA529A9"/>
  <Relationship Id="rId16" Type="http://schemas.openxmlformats.org/officeDocument/2006/relationships/hyperlink" TargetMode="External" Target="https://www.e-tar.lt/portal/lt/legalAct/TAR.FAB13F21783F"/>
  <Relationship Id="rId17" Type="http://schemas.openxmlformats.org/officeDocument/2006/relationships/settings" Target="settings.xml"/>
  <Relationship Id="rId18" Type="http://schemas.openxmlformats.org/officeDocument/2006/relationships/styles" Target="styles.xml"/>
  <Relationship Id="rId19" Type="http://schemas.microsoft.com/office/2007/relationships/stylesWithEffects" Target="stylesWithEffects.xml"/>
  <Relationship Id="rId2" Type="http://schemas.openxmlformats.org/officeDocument/2006/relationships/header" Target="header2.xml"/>
  <Relationship Id="rId20" Type="http://schemas.openxmlformats.org/officeDocument/2006/relationships/theme" Target="theme/theme1.xml"/>
  <Relationship Id="rId21" Type="http://schemas.openxmlformats.org/officeDocument/2006/relationships/webSettings" Target="webSettings.xml"/>
  <Relationship Id="rId22" Type="http://schemas.openxmlformats.org/officeDocument/2006/relationships/image" Target="media/image1.wmf"/>
  <Relationship Id="rId23" Type="http://schemas.openxmlformats.org/officeDocument/2006/relationships/control" Target="activeX/activeX1.xml"/>
  <Relationship Id="rId24" Type="http://schemas.openxmlformats.org/officeDocument/2006/relationships/hyperlink" TargetMode="External" Target="https://www.e-tar.lt/portal/lt/legalAct/TAR.43178AA9832E"/>
  <Relationship Id="rId25" Type="http://schemas.openxmlformats.org/officeDocument/2006/relationships/hyperlink" TargetMode="External" Target="https://www.e-tar.lt/portal/lt/legalAct/TAR.85582B6CAA33"/>
  <Relationship Id="rId26" Type="http://schemas.openxmlformats.org/officeDocument/2006/relationships/hyperlink" TargetMode="External" Target="https://www.e-tar.lt/portal/lt/legalAct/TAR.641D9D2D0A68"/>
  <Relationship Id="rId27" Type="http://schemas.openxmlformats.org/officeDocument/2006/relationships/hyperlink" TargetMode="External" Target="https://www.e-tar.lt/portal/lt/legalAct/TAR.423E0A9A30E7"/>
  <Relationship Id="rId28" Type="http://schemas.openxmlformats.org/officeDocument/2006/relationships/hyperlink" TargetMode="External" Target="https://www.e-tar.lt/portal/lt/legalAct/TAR.25F4F342B55D"/>
  <Relationship Id="rId29" Type="http://schemas.openxmlformats.org/officeDocument/2006/relationships/customXml" Target="../customXml/item1.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header" Target="header3.xml"/>
  <Relationship Id="rId6" Type="http://schemas.openxmlformats.org/officeDocument/2006/relationships/footer" Target="footer3.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microsoft.com/office/2007/relationships/stylesWithEffects" Target="stylesWithEffects.xml"/>
  <Relationship Id="rId5" Type="http://schemas.openxmlformats.org/officeDocument/2006/relationships/webSettings" Target="webSettings.xml"/>
</Relationships>

</file>

<file path=word/glossary/document.xml><?xml version="1.0" encoding="utf-8"?>
<w:glossary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Parts>
    <w:docPart>
      <w:docPartPr>
        <w:name w:val="DefaultPlaceholder_1082065158"/>
        <w:category>
          <w:name w:val="Bendrosios nuostatos"/>
          <w:gallery w:val="placeholder"/>
        </w:category>
        <w:types>
          <w:type w:val="bbPlcHdr"/>
        </w:types>
        <w:behaviors>
          <w:behavior w:val="content"/>
        </w:behaviors>
        <w:guid w:val="{A13515F8-8589-4773-81A9-62D1C21BAF75}"/>
      </w:docPartPr>
      <w:docPartBody>
        <w:p>
          <w:r>
            <w:rPr>
              <w:rStyle w:val="Vietosrezervavimoenklotekstas"/>
            </w:rPr>
            <w:t>Spustelėkite čia, jei norite įvesti tekstą.</w:t>
          </w:r>
        </w:p>
      </w:docPartBody>
    </w:docPart>
  </w:docParts>
</w:glossaryDocument>
</file>

<file path=word/glossary/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glossary/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C113F"/>
    <w:rsid w:val="009A5C91"/>
    <w:rsid w:val="00FC113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4:docId w14:val="71D7606F"/>
</w:settings>
</file>

<file path=word/glossary/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FC113F"/>
    <w:rPr>
      <w:color w:val="808080"/>
    </w:rPr>
  </w:style>
</w:styles>
</file>

<file path=word/glossary/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FC113F"/>
    <w:rPr>
      <w:color w:val="808080"/>
    </w:rPr>
  </w:style>
</w:styles>
</file>

<file path=word/glossary/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ff0c40de962f4de6808e2577c87b9e56" PartId="5a4f024c4d1647aea34c72948c023c52">
    <Part Type="preambule" DocPartId="452cbf0c859a46e4a5a3fbef6c29aa0d" PartId="351c8b1cba7b486ea35898ee2a6846f1"/>
    <Part Type="punktas" Nr="1" Abbr="1 p." DocPartId="2f36e65f03ad46769e0c61d10a6f0254" PartId="573fdfd4442e434db5b5ddd67194f4c5"/>
    <Part Type="punktas" Nr="2" Abbr="2 p." DocPartId="9e22d087ecaf4b47a8476d85bd1222e8" PartId="f7906c5ef1024386b8a7f1aa956ac9b9"/>
    <Part Type="punktas" Nr="3" Abbr="3 p." DocPartId="76079676a91844669743a9a8e155a37f" PartId="8b005bef1669488f8a30d97b15262be2"/>
    <Part Type="signatura" DocPartId="b223f76a3aa64694a5cc00a1bb3752cc" PartId="84dd29cb26c74c1e968fd10beaa09725">
      <Part Type="patvirtinta" Title="38-ASIS VERSLO APSKAITOS STANDARTAS „NERIBOTOS CIVILINĖS ATSAKOMYBĖS JURIDINIŲ ASMENŲ IR MAŽŲJŲ BENDRIJŲ BUHALTERINĖ APSKAITA IR FINANSINĖS ATASKAITOS“" DocPartId="6f43595dc4ad4b0b9e3bee37267408ca" PartId="f915f739c69645cb9d453268518973f4">
        <Part Type="skyrius" Nr="1" Title="BENDROSIOS NUOSTATOS" DocPartId="cba0de8b9da642b1b199f50a7c73739c" PartId="08ee42dd705c4ed089485080565f6695">
          <Part Type="punktas" Nr="1" Abbr="1 p." DocPartId="6b2346d29f5c401c89661a7bc7368a1a" PartId="03e737185a054dfeb72e3267e92bcd8b"/>
          <Part Type="punktas" Nr="2" Abbr="2 p." DocPartId="5bf5280a1e16460a9c0da9bbf4348bdf" PartId="818b2d5258a548ac97ce407ce41a1d41"/>
          <Part Type="punktas" Nr="3" Abbr="3 p." DocPartId="46bd3169949c46bc858578d27eacf6a2" PartId="47d9ef90242f4f50b578e43ddbaf8eab"/>
          <Part Type="punktas" Nr="4" Abbr="4 p." DocPartId="b569039a106449f9bb4ce06d9ad3209e" PartId="41c72e7d047a4b5f90912466d7ff892d">
            <Part Type="punktas" Nr="4.1" Abbr="4.1 p." DocPartId="7770cae9ff874c2ea568fd618881b9c3" PartId="cf03c48f9e4b480fb81b3c398fdce935"/>
            <Part Type="punktas" Nr="4.2" Abbr="4.2 p." DocPartId="78b216514cf24ed196a7ae0b3766968c" PartId="7f3c42aca2714dedbdac25b86a523a32"/>
          </Part>
          <Part Type="punktas" Nr="4-1" Abbr="4-1 p." Title="" DocPartId="5ebc4064fa524a179571ced7e3918ad4" PartId="ce3a82ac4d7a4dab89fa155d2797d53a"/>
          <Part Type="punktas" Nr="5" Abbr="5 p." DocPartId="f0f9bd7e8e944f7b8aeaafe072b4a0d4" PartId="8c32e6e0c12d441db52f605643928169"/>
          <Part Type="punktas" Nr="6" Abbr="6 p." DocPartId="0328f6956a054c5b8091375ab405b040" PartId="63b1068df6a8406eb0f926f13329866a"/>
          <Part Type="punktas" Nr="7" Abbr="7 p." DocPartId="2fcea3da73f648c98c03b9a82d1f2690" PartId="288eec286432443ca8472e906da89534"/>
          <Part Type="punktas" Nr="8" Abbr="8 p." DocPartId="2c0f58f6850a48689db2fe5b49aac70f" PartId="6c98b26bce6040f4967a291647ede438"/>
        </Part>
        <Part Type="skyrius" Nr="2" Title="PAGRINDINIAI FINANSINIŲ ATASKAITŲ REIKALAVIMAI" DocPartId="4dcca96b04dd45d38537d4130e2ba586" PartId="a3e4bae28b4e46f0ba7dd4f0f988bfac">
          <Part Type="punktas" Nr="9" Abbr="9 p." DocPartId="f6a99cd4c7504ba3a9e3fccb6facccd3" PartId="4c61763401494adf885e8f950d2ff4b4"/>
          <Part Type="punktas" Nr="10" Abbr="10 p." DocPartId="e087a35d15b049d5b1f3358a3d8b662a" PartId="9437ea25dd494e92be07ce32d44e4e1b">
            <Part Type="punktas" Nr="10.1" Abbr="10.1 p." DocPartId="bb6ec9656fb24059b6bc77345c27814d" PartId="b77d1b6f118f4611b1f40cb81c17d7ff"/>
            <Part Type="punktas" Nr="10.2" Abbr="10.2 p." DocPartId="7dbc682a4a044a40a2cce6d6c5c86e6d" PartId="ecdd06e50de24dedb5c0d89e488fa6e2"/>
            <Part Type="punktas" Nr="10.3" Abbr="10.3 p." DocPartId="cf9819c14fe24d42827ea33425acd0ec" PartId="992e53b6e67c4e839c17fdd1d9dfb178"/>
          </Part>
          <Part Type="punktas" Nr="11" Abbr="11 p." DocPartId="dad433e43a3d4295a86bae8c0292f4af" PartId="1646f7d4fbce4811bb07e1b61e3b25cd">
            <Part Type="punktas" Nr="11.1" Abbr="11.1 p." DocPartId="828e19665ae34351b7dfe14fd713ef8a" PartId="cd2e66178cbe477d8e1e8e501e1a6157"/>
            <Part Type="punktas" Nr="11.2" Abbr="11.2 p." DocPartId="47d9a2c86f4e42748963323ae17df4d7" PartId="93e2d356a0804a209a27fb05d6c3fe48"/>
          </Part>
          <Part Type="punktas" Nr="12" Abbr="12 p." DocPartId="ac1afc0a3fef450d902bd235655efe2f" PartId="bc0fbf43ebd4452083017d8959e40a98"/>
          <Part Type="punktas" Nr="13" Abbr="13 p." DocPartId="8da4c9f9b4ed484eb5846a6b11c2ad93" PartId="d43af71feab74922825c4855b94af62d"/>
          <Part Type="punktas" Nr="14" Abbr="14 p." DocPartId="086dca8bdd544e1b87d903029cf928c7" PartId="a2bd1067ae644ed3b67a318d0cd70a12"/>
          <Part Type="punktas" Nr="15" Abbr="15 p." DocPartId="99cdee007e074f24b62145be917b989a" PartId="0aefd7a0b9b645ce919c17e0fcd470c4"/>
          <Part Type="punktas" Nr="16" Abbr="16 p." DocPartId="bc85b554916441c78b953983b52f5797" PartId="cbcf9c6a463c4318a97475fe34f47126"/>
          <Part Type="punktas" Nr="17" Abbr="17 p." DocPartId="e55cea51103c4a28afa366b52043b42d" PartId="6eb2aa8bf22045288ff5763522ca7096"/>
          <Part Type="punktas" Nr="18" Abbr="18 p." DocPartId="6aaabb07c2744566a1d2938eda3334de" PartId="c6f58f3ac49f40a1bc5d31e88ad1a386"/>
          <Part Type="punktas" Nr="19" Abbr="19 p." DocPartId="a86d1504711a43ba9be1fa5aa4aa0d39" PartId="195bc252b0b443b88be4ff59aad27d65"/>
          <Part Type="punktas" Nr="20" Abbr="20 p." DocPartId="a6dc255455e347d1ba50da12bfa32d0d" PartId="3a06913794a24dc086482517aa6a71d8"/>
          <Part Type="punktas" Nr="21" Abbr="21 p." DocPartId="48964882e13646c78de1c011a05dc6ae" PartId="d659aa0b044e4ff2b0fc034144482490"/>
          <Part Type="punktas" Nr="22" Abbr="22 p." DocPartId="df4c1e73c8af45569d6438dde193087d" PartId="4162d4954e2b4edf928c31dcdaa916c7"/>
          <Part Type="punktas" Nr="23" Abbr="23 p." DocPartId="5bd858cadf0f4dc9bf643c76feee5505" PartId="06a7fc2fbbfb475b82779437d88aef44"/>
          <Part Type="punktas" Nr="24" Abbr="24 p." DocPartId="6e770bc6e4c24cd992bc447e073a0c24" PartId="03eb55a0268b484685a9c566baf9e0bb">
            <Part Type="punktas" Nr="24.1" Abbr="24.1 p." DocPartId="4a348362c1e8432899977de62c99fce2" PartId="69dfa0b9ab884b3c8864527b3f3b565d"/>
            <Part Type="punktas" Nr="24.2" Abbr="24.2 p." DocPartId="4a3feefbd4fe4a1cb3fae05e321844a9" PartId="c78b7dfcb7c543278817cac13c75f217"/>
          </Part>
          <Part Type="punktas" Nr="25" Abbr="25 p." DocPartId="1d3045183d4f4031b99e9b203e122564" PartId="f1dff493b52142cca4403159bc766b2b"/>
        </Part>
        <Part Type="skyrius" Nr="3" Title="BALANSAS" DocPartId="2619429b71fa47d38d6beed6e6e4f719" PartId="34d992b9b78a4af99af3d9761a41090a">
          <Part Type="punktas" Nr="26" Abbr="26 p." DocPartId="1a81db4811374051a0d905089c992ecf" PartId="a2881aaa7c344772bdc6264de6f9bd4a">
            <Part Type="punktas" Nr="26.1" Abbr="26.1 p." DocPartId="1798ae1f62e4469cacdf0e5a0272cd01" PartId="347f0a7073ba46b8b60e79d86294f1dc"/>
            <Part Type="punktas" Nr="26.2" Abbr="26.2 p." DocPartId="8a8f345046d2494cab5e0c257b5dcf4a" PartId="47a17837cd1b47a197bc80ffc76ece24"/>
            <Part Type="punktas" Nr="26.3" Abbr="26.3 p." DocPartId="575311a451204a8995f578a71095dd78" PartId="bbd059bc1fd2475d95640d3e223f372e"/>
            <Part Type="punktas" Nr="26.4" Abbr="26.4 p." DocPartId="b4e4248d90ab4269b47071aa97aa9b7b" PartId="bf137a2f89c84cd59a3f4c137cdcf67f"/>
            <Part Type="punktas" Nr="26.5" Abbr="26.5 p." DocPartId="34b0a0b409a84a56855ee1dc77ed96c0" PartId="b03ddde605ac4625943f94092a4d10a9"/>
            <Part Type="punktas" Nr="26.6" Abbr="26.6 p." DocPartId="e8ed7f14257144edafa94b1de3682d4b" PartId="8eb31ecce6b94f08bd4c60544860d31c"/>
            <Part Type="punktas" Nr="26.7" Abbr="26.7 p." DocPartId="0f8de5be13a8408abe58a90b4d66aea0" PartId="5739a610fe0c47998f5bc83c3db329f2"/>
            <Part Type="punktas" Nr="26.8" Abbr="26.8 p." DocPartId="654352062d4f42f6820d05610daa485e" PartId="aa75913ecff7459e8690174d5400eb36"/>
            <Part Type="punktas" Nr="26.9" Abbr="26.9 p." DocPartId="c66ed28772074561a2d7f718f307541f" PartId="2689ade2dcfc4b9a8d4c772cc6cd0a4d"/>
            <Part Type="punktas" Nr="26.10" Abbr="26.10 p." DocPartId="15e2536d8d6d4149b5d8d6a0e068a75f" PartId="fd875df2ed8b48188a75be179429effb"/>
            <Part Type="punktas" Nr="26.11" Abbr="26.11 p." DocPartId="851e1f82d0db4b2f8dd68403b36a7e38" PartId="21d95549228140998b350c6cef116425"/>
            <Part Type="punktas" Nr="26.12" Abbr="26.12 p." DocPartId="90e9465b569840148398bd6bd8dc3a95" PartId="c6dcb6652d99448b97724e52153968f1"/>
            <Part Type="punktas" Nr="26.13" Abbr="26.13 p." DocPartId="462d5daac4a34ac3965f8dab8e0d1a5f" PartId="99ee2539dcbf49c38e05e9cf61320bad"/>
            <Part Type="punktas" Nr="26.14" Abbr="26.14 p." DocPartId="292186876dfe4597aede1eb536608b3e" PartId="d3f5b8ca64ff4a7b977f2f897461f488"/>
            <Part Type="punktas" Nr="26.15" Abbr="26.15 p." DocPartId="e8e5f8a393ee4b61a4f04ce151eab2a9" PartId="10eafa9494b04f74b8a4bcaac617a196"/>
            <Part Type="punktas" Nr="26.16" Abbr="26.16 p." DocPartId="99cad29e52864286a7298f5a1c884859" PartId="21d04c873e9e41b3bae1395d3bbb2069"/>
            <Part Type="punktas" Nr="26.17" Abbr="26.17 p." DocPartId="affeac26ee184921aee9d3a9923a387b" PartId="c90602c8c545498ca7e67317e4732e99"/>
          </Part>
          <Part Type="punktas" Nr="27" Abbr="27 p." DocPartId="9635e7400df24077b260acf324b6ec64" PartId="f1dd73bfea36455db19b972a23dabea7"/>
          <Part Type="punktas" Nr="28" Abbr="28 p." DocPartId="0e7c0f6e50fa4025978c4bc2c6060c78" PartId="f3802edb2965436385b1052bba91830e">
            <Part Type="punktas" Nr="28.1" Abbr="28.1 p." DocPartId="4b201ed14a284f31980149a466aac1ac" PartId="dbe1ec3abaa44884a402eb5c4ea7b448"/>
            <Part Type="punktas" Nr="28.2" Abbr="28.2 p." DocPartId="1a43e67bdf65488fafd0621542a2a584" PartId="5dbbd84ffeb64c87bfce222dbc064ac1"/>
            <Part Type="punktas" Nr="28.3" Abbr="28.3 p." DocPartId="0ed6eaaa0d5d44a58e77209123e657f9" PartId="505c5a1ac20a46a59eb459f6f8d82d43"/>
            <Part Type="punktas" Nr="28.4" Abbr="28.4 p." DocPartId="62c41168960643af86a17a1982b82cc9" PartId="a85be0a83fee4b1ebfe7c560716df028"/>
          </Part>
          <Part Type="punktas" Nr="29" Abbr="29 p." DocPartId="ab516ec96cf4422a97a065d24a096727" PartId="8c521b94e40c4c88860d3b6cf080a201"/>
          <Part Type="punktas" Nr="30" Abbr="30 p." DocPartId="01a7c6d615d1469d993d03f8ecb63204" PartId="22769019bd9a4a259a5d6c939f18581c"/>
          <Part Type="punktas" Nr="31" Abbr="31 p." DocPartId="12d1ea52d38e4905bb480a42f09b5ce5" PartId="f82d28450fc148be9b7d16b0c152df9d"/>
          <Part Type="punktas" Nr="32" Abbr="32 p." DocPartId="600e2852be854b24bb1719b2ff8e6019" PartId="a6df0b5f07ec4ecb9072338c152903a0"/>
          <Part Type="punktas" Nr="33" Abbr="33 p." DocPartId="c009c57d69034c8993853c397490d59c" PartId="e5d6cf18b649414582242b01c6c4edf4"/>
          <Part Type="punktas" Nr="34" Abbr="34 p." DocPartId="c3e80c2700e64339ad1092f1abb3f7ed" PartId="8137776a1c984b1a8421779247e65c36"/>
          <Part Type="punktas" Nr="35" Abbr="35 p." DocPartId="603f8bf2bf0c4adb9504179f4ff6c66b" PartId="5f45a38f328d409685d50ddc0073d66a"/>
          <Part Type="punktas" Nr="36" Abbr="36 p." DocPartId="79f7d6c1ec4e4a65ab1a4523ebe9f3f7" PartId="e3ae4ef7dc534568a83fcddc59247d8c"/>
          <Part Type="punktas" Nr="37" Abbr="37 p." DocPartId="a87d11b2336c43b9be2b85d3346452b4" PartId="b45b48b2df60458d99362af6f0974b95">
            <Part Type="punktas" Nr="37.1" Abbr="37.1 p." DocPartId="72b09e64bd1444ab839a39928c9e9b08" PartId="d37185674c10496b9ef035e2335190e0"/>
            <Part Type="punktas" Nr="37.2" Abbr="37.2 p." DocPartId="20fd05add44a442280bd66c8ad4d9a4e" PartId="b826c61f773a4cfda7a941062bc2000a"/>
            <Part Type="punktas" Nr="37.3" Abbr="37.3 p." DocPartId="6578b394f21e4346b25823cb0d674ef8" PartId="8305360801834dd68ebd65a864d2c45c"/>
            <Part Type="punktas" Nr="37.4" Abbr="37.4 p." DocPartId="355e2aba6bf4442f92eb2631de17ff4e" PartId="8e7e86d1e35b437882d66b306719cc82"/>
            <Part Type="punktas" Nr="37.5" Abbr="37.5 p." DocPartId="c0c77246ac9c455ab0b69fdbc15f96b2" PartId="56859f8a25024fc8b9c98a85214d170b"/>
          </Part>
          <Part Type="punktas" Nr="38" Abbr="38 p." DocPartId="58ed6f173191438b9c022cb4b877cedf" PartId="890ccf167d5c459b85502c87dc756016"/>
          <Part Type="punktas" Nr="39" Abbr="39 p." DocPartId="1813f745fe114ff0a0aedc70b0eb8991" PartId="d6bc1244c7eb471b876ad216f719aa60"/>
          <Part Type="punktas" Nr="40" Abbr="40 p." DocPartId="4b9ae1cd620b49cfa9cf10ecf10f481f" PartId="372809f7c8084346b7245b7295ce445f"/>
          <Part Type="punktas" Nr="41" Abbr="41 p." DocPartId="67d6c5d687a44886a3d547dbfe5305fd" PartId="24b9a818866b461a9874bf7e49b5521b"/>
          <Part Type="punktas" Nr="42" Abbr="42 p." DocPartId="e8fc6716f4af4ea98522af2566752a75" PartId="8b69eb99323448c1805b29fcff58edef"/>
          <Part Type="punktas" Nr="43" Abbr="43 p." DocPartId="35c4c96692714c609d1125b0508c4eea" PartId="e7ef9ecbda634143a6df9417b67b8e00"/>
          <Part Type="punktas" Nr="44" Abbr="44 p." DocPartId="26aad636fb7d4bb48e5d556b9dfc73b4" PartId="d01b5be14de24938a9a60d2607aa17d3"/>
          <Part Type="punktas" Nr="45" Abbr="45 p." DocPartId="f6d96d071c0748ab90fd720872f8fe25" PartId="f8b75e6569f945e8b6685c25c192baa0"/>
          <Part Type="punktas" Nr="46" Abbr="46 p." DocPartId="6ed0946ff130426baaeff6d35ba3821f" PartId="362308509c824ca594b69eaa8ada24a5"/>
          <Part Type="punktas" Nr="47" Abbr="47 p." DocPartId="2796733283f448daab625035f9fbd604" PartId="0161ed87c30441ac9684f4dfa52662cb"/>
          <Part Type="punktas" Nr="48" Abbr="48 p." DocPartId="c9b13a8e43954b29833f13ee4c63138d" PartId="0e89fdb0d62d47d8bf74cea126ced64b"/>
          <Part Type="punktas" Nr="49" Abbr="49 p." DocPartId="993df1a69dce4f47a8a01f07c65be697" PartId="cd23f61df1844839b254290e1e691c52"/>
          <Part Type="punktas" Nr="50" Abbr="50 p." DocPartId="328bc3bc62cc4e16835cf00fa290ed1c" PartId="bb99cfe1554142c08631081a1192478a"/>
          <Part Type="punktas" Nr="51" Abbr="51 p." DocPartId="704211d20c9d489a9837975223c8729d" PartId="c3ba0423a95d416890ebb6761a890178"/>
          <Part Type="punktas" Nr="52" Abbr="52 p." DocPartId="c5e92da7ae434fbbafab3efb948bc6d3" PartId="6bb08122d2644481a86c33aef9049cc3"/>
          <Part Type="punktas" Nr="53" Abbr="53 p." DocPartId="42297c6035a24d578e26794e1e9a4007" PartId="7afa809bf652413babe25e2fab7e7891"/>
          <Part Type="punktas" Nr="54" Abbr="54 p." DocPartId="c96d018e1b8549c19ed0d24f71678025" PartId="16d52d69350441feb86c094743b14659"/>
          <Part Type="punktas" Nr="55" Abbr="55 p." DocPartId="587cf399c4df4fecb9b78de0b0b08b7c" PartId="7b8c614e4a5e4def91d4e874007c2725"/>
          <Part Type="punktas" Nr="56" Abbr="56 p." DocPartId="9c37c9e19a0540ee982a8781d9f6202e" PartId="e2761da787194336b07aed7d4ede21fb"/>
          <Part Type="punktas" Nr="57" Abbr="57 p." DocPartId="e45a5e0bc4ef4316aeed6c2750a4b64e" PartId="194e481d386544ff9e3ffc3754e33a69"/>
          <Part Type="punktas" Nr="58" Abbr="58 p." DocPartId="5e74c3d2125c4187b4bbf235e323aa13" PartId="d6628420c32e4bb89bda5fd30a7941a9"/>
          <Part Type="punktas" Nr="59" Abbr="59 p." DocPartId="18dbecbef5134c6caa62221b75f5f9e6" PartId="535b73b6aef44ca79bd392f46befec34"/>
          <Part Type="punktas" Nr="60" Abbr="60 p." DocPartId="62631cf49e34422fbdd879cbe4800f69" PartId="477ace7ea5064121b6d238abe01511b3"/>
          <Part Type="punktas" Nr="61" Abbr="61 p." DocPartId="e177f10d8c6948ad8bc4bb5d785003c3" PartId="7b67beabd81d4bc5b778d275f28a6303"/>
          <Part Type="punktas" Nr="62" Abbr="62 p." DocPartId="b86e9057799b440aad514c48a782653d" PartId="7a2c58b33e654c318f88f7490f84313c"/>
          <Part Type="punktas" Nr="63" Abbr="63 p." DocPartId="ba694e6a9eba46d4bb1c2e7bd430bb8d" PartId="a49f2d8571994929839a1d8d7242f636"/>
          <Part Type="punktas" Nr="64" Abbr="64 p." DocPartId="60ad49df9375497ab2fb2b3ff1370f55" PartId="553ff29d7b2848978f2bbcfb9e24782d"/>
          <Part Type="punktas" Nr="65" Abbr="65 p." DocPartId="20eca76fcddc4ddc99cd332b379a034f" PartId="22c2c6546aee4bbd84847713ef4220b6"/>
          <Part Type="punktas" Nr="66" Abbr="66 p." DocPartId="160484c576fc454abd23681caf50f0e2" PartId="41738002bf6843a0aa23085e63d9aa32"/>
          <Part Type="punktas" Nr="67" Abbr="67 p." DocPartId="8b67e8b3dd4846a3aa354d25453b6d81" PartId="8bb2889a89844da397db90181a2a846d"/>
          <Part Type="punktas" Nr="68" Abbr="68 p." DocPartId="c0bdad17f9504e9a87df4adf9b8068e5" PartId="d8e2f7d95cf24f8fbd69edba6fea3a3e"/>
          <Part Type="punktas" Nr="69" Abbr="69 p." DocPartId="317d2949c0a547ae8284f2a61e90a527" PartId="3f4bf69144754d4a9b4e0e0f6a3ca67a"/>
          <Part Type="punktas" Nr="70" Abbr="70 p." DocPartId="9847f1c198fb4090bd1970e5a3de0f07" PartId="b8610ef00f1841b1aa949dd28569e5b7"/>
          <Part Type="punktas" Nr="71" Abbr="71 p." DocPartId="467b8e4132d74a59bca5eff46cf16e49" PartId="9e56de7b224a402a8e519fc8cc3d6477"/>
          <Part Type="punktas" Nr="72" Abbr="72 p." DocPartId="2957c74bbb11461eb2c4a6e127094373" PartId="141a06afdbbf471cbd1df80177f2f637"/>
          <Part Type="punktas" Nr="73" Abbr="73 p." DocPartId="4ea209bb288c4fe08315b67efaa6312c" PartId="9e5a6190c0c2498f96ca0bdc1f2719a9"/>
          <Part Type="punktas" Nr="74" Abbr="74 p." DocPartId="8f36408898a343e8919a3cf8e7013fb1" PartId="2e665802d45540d8a73fd1a01a916f15"/>
          <Part Type="punktas" Nr="75" Abbr="75 p." DocPartId="1153a1c7184c498f90257bf639197fab" PartId="3acabcff02054e7891a3bfadc37405c7"/>
          <Part Type="punktas" Nr="76" Abbr="76 p." DocPartId="6d0cbc0f67c748d0a19144093c667efd" PartId="2011b41bdfb546ef82a3251b2270cf5e"/>
          <Part Type="punktas" Nr="77" Abbr="77 p." DocPartId="8f98be8c4a5f415c9f0d2b469d00476c" PartId="7d6a05afbe74463facc9069ebaf16c9c"/>
          <Part Type="punktas" Nr="78" Abbr="78 p." DocPartId="25e1fa8872df4aa1b7ace5483de44e7b" PartId="dc64d5424cfa419c802514aa7f093468"/>
          <Part Type="punktas" Nr="79" Abbr="79 p." DocPartId="6093006d7bda48a78bcf2e52c6a58abd" PartId="b6f33775e99246e6a9416bcf20e12621"/>
          <Part Type="punktas" Nr="80" Abbr="80 p." DocPartId="8b0215596895451396b8955be9b2e89c" PartId="f54a083595b04c71a15f0fbce8770fac"/>
          <Part Type="punktas" Nr="81" Abbr="81 p." DocPartId="d815a78e453646da80e95b70816524e5" PartId="caeee4e64b684bb58c9a1dc91b390748"/>
          <Part Type="punktas" Nr="82" Abbr="82 p." DocPartId="ceffddff5286400fbb48cdfa498e9f63" PartId="741fa0a5bf844ffd91d24265d3221899"/>
          <Part Type="punktas" Nr="83" Abbr="83 p." DocPartId="d6a39bb07f914398988a66e6529a9239" PartId="385ec9a58ad74cb7bb52bc80eaaac5e0"/>
          <Part Type="punktas" Nr="84" Abbr="84 p." DocPartId="695e8e2f04334220a431815811f2e475" PartId="44ad3cda05d74d2a8f5d033c8e0e3a14"/>
          <Part Type="punktas" Nr="85" Abbr="85 p." DocPartId="9a89eb09032b44148a58c66077650b15" PartId="f9cded5eac194961ad6990b6a85738f4"/>
          <Part Type="punktas" Nr="86" Abbr="86 p." DocPartId="9556277ef7574ca0888beaa291c5251c" PartId="51f38847063e4a80bc6cb0cd2ca05aa5"/>
          <Part Type="punktas" Nr="87" Abbr="87 p." DocPartId="e20563985672447f83370fe9e4c06b0b" PartId="f712b96562c84404922d3a1ff43bc94d"/>
          <Part Type="punktas" Nr="88" Abbr="88 p." DocPartId="ba2206fc782e40579811d3d98a1960e7" PartId="ac164f5fa9464320a18447faf1b43df9"/>
          <Part Type="punktas" Nr="89" Abbr="89 p." DocPartId="998ff284a9d4472693f6f32b9cfa74dd" PartId="9a3b50c6430f4f5890a2994f48fc0d8d"/>
          <Part Type="punktas" Nr="90" Abbr="90 p." DocPartId="796fc50709004541a6bb84a013ffbbe0" PartId="9a29f057431a4bf3b25072c202dcb51d"/>
          <Part Type="punktas" Nr="91" Abbr="91 p." DocPartId="559018c6a6c74f82a6c7ead5ab3ebe71" PartId="2d3b376e24664ac4b3bb680bff2cf8ae"/>
          <Part Type="punktas" Nr="92" Abbr="92 p." DocPartId="9461c7ef69e24bf78a3aac6190c7ddd5" PartId="e6380651f3d14470a1b300403ea8ec06"/>
          <Part Type="punktas" Nr="93" Abbr="93 p." DocPartId="67eda2ea732a4cd9b0e5ad54c8f7613a" PartId="52107aad5a354caabd49c50cd531c6eb"/>
          <Part Type="punktas" Nr="94" Abbr="94 p." DocPartId="56820dc0ee1544b3a82e7b9bdbf097cc" PartId="0969287907a143f5ac9ea35bf2703a34"/>
          <Part Type="punktas" Nr="95" Abbr="95 p." DocPartId="d4eba34247f348abab3d2819384b3118" PartId="c1163ccfff7a4c39bbed074079803212"/>
          <Part Type="punktas" Nr="96" Abbr="96 p." DocPartId="271d3ab844d1444cb027a509657cd1b4" PartId="3b0d3236758d476bb6d7b918b1f78130"/>
          <Part Type="punktas" Nr="97" Abbr="97 p." DocPartId="9589e14da10742128f6ee86348f90967" PartId="551feaa226d74a9b95719f166445a004"/>
          <Part Type="punktas" Nr="98" Abbr="98 p." DocPartId="840f984dccea484485848a7f39b6a34b" PartId="4ee692fb89e7482cba98bdf3c182499d"/>
        </Part>
        <Part Type="skyrius" Nr="4" Abbr="" Title="PELNO (NUOSTOLIŲ) ATASKAITA" DocPartId="4675b0924ab040d68761ffe565e70e4b" PartId="5839b945d69a42cebbf9a8fdba7e96a0">
          <Part Type="punktas" Nr="99" Abbr="99 p." DocPartId="4dfe70e1a2834765a45a3380ef7e082c" PartId="892d6da234ec4dd48f3bdf89a89473da">
            <Part Type="punktas" Nr="99.1" Abbr="99.1 p." DocPartId="7cab65766409460f9f58ab74633d5b7d" PartId="59ad826dcde44b118ab5020be4136597"/>
            <Part Type="punktas" Nr="99.2" Abbr="99.2 p." DocPartId="932b4381242f4bd7a6cd59332cff716e" PartId="e1c480c90dae405a86569d634880f798"/>
            <Part Type="punktas" Nr="99.3" Abbr="99.3 p." DocPartId="e82d744a7e5d442291ff620a1ff1fdce" PartId="0c8647ba8c3d487a9f14702812453a5a"/>
            <Part Type="punktas" Nr="99.4" Abbr="99.4 p." DocPartId="135d7dcddae0469da87582a3a0322eef" PartId="967ea27faeca41e4b394afebad16d399"/>
            <Part Type="punktas" Nr="99.5" Abbr="99.5 p." DocPartId="1c4a5ee6d3cd4011801edb0a92d3f95f" PartId="aff1ede2d3844deab524018a60ae2006"/>
            <Part Type="punktas" Nr="99.6" Abbr="99.6 p." DocPartId="44a1e729f69b4637b64eb0e46df2f86d" PartId="05f9b5b87179422c8e8da4faa9b2f7b9"/>
            <Part Type="punktas" Nr="99.7" Abbr="99.7 p." DocPartId="0a9673e64cdb4d77a42915d38c2238e1" PartId="e96605d0b6834d5180f89a3a6bca829f"/>
            <Part Type="punktas" Nr="99.8" Abbr="99.8 p." DocPartId="770633d4fbba4ccb9922133f4fbfd65b" PartId="0ab3a57e7bae45ccbd5e8d09173492b8"/>
            <Part Type="punktas" Nr="99.9" Abbr="99.9 p." DocPartId="fe0d876457e64c08b6c1e4d3c8f105f7" PartId="0f7b1adf566e4ff1890812463a0584c0"/>
            <Part Type="punktas" Nr="99.10" Abbr="99.10 p." DocPartId="61acaf334c864c818f1d56586179fab9" PartId="52b7ea172caa4955b5d97241a612f266"/>
          </Part>
          <Part Type="punktas" Nr="100" Abbr="100 p." DocPartId="c0a411124304489898c031b97f3ea761" PartId="8fa30c034b274b6d9941086bf701da0b"/>
          <Part Type="punktas" Nr="101" Abbr="101 p." DocPartId="988e1c1d6a5f4c7e86875b11df1fa8b5" PartId="72e7f59dbb61425d8f91205caf515151"/>
          <Part Type="punktas" Nr="102" Abbr="102 p." DocPartId="110e5ff56d7745d09e2aa41cc1b13fb4" PartId="6e943226163c4f47876aeeb3c412744e"/>
          <Part Type="punktas" Nr="103" Abbr="103 p." DocPartId="c0bfa6caa53c454099b358eaba1c2343" PartId="4c451617f14b4a22967a6f76cd1de9a8"/>
          <Part Type="punktas" Nr="104" Abbr="104 p." DocPartId="f9e6b7c7e31b445f90e76ad03811cc9c" PartId="faa29c39d69f45d0af70b0e03e9d3255"/>
          <Part Type="punktas" Nr="105" Abbr="105 p." DocPartId="09610480683844e0a3fc9a02d1827381" PartId="3ec24c9238944c6da54962c61423e861"/>
          <Part Type="punktas" Nr="106" Abbr="106 p." DocPartId="845b7faee3744f619979abe911b05d96" PartId="258dbc0758dc43aa8538a1d826fac034">
            <Part Type="punktas" Nr="106.1" Abbr="106.1 p." DocPartId="9b6a4b79af154d4185d29e19550511e7" PartId="de343cec7e6f49f782d4c371e25c4411"/>
            <Part Type="punktas" Nr="106.2" Abbr="106.2 p." DocPartId="197e0e9a4e0c490b85ca0b5de86a53f1" PartId="5d5452b6007b48f69b31825c3e9ef816"/>
            <Part Type="punktas" Nr="106.3" Abbr="106.3 p." DocPartId="164904f288234c14beacc10068fa57f4" PartId="216c782a770b49439f98f7a8e95dec78"/>
            <Part Type="punktas" Nr="106.4" Abbr="106.4 p." DocPartId="a11f8cc88aa24721bde618a25575ef5d" PartId="b4a363b552e040aea2d1465a0b295b04"/>
          </Part>
          <Part Type="punktas" Nr="107" Abbr="107 p." DocPartId="4028b42a579a4e69a0dc64dc4a52ef78" PartId="307efc0e948a4a728734aa4e3bf22cf1"/>
          <Part Type="punktas" Nr="108" Abbr="108 p." DocPartId="b83fad4cccb44d20b447f74463145d64" PartId="0c8f6881c26b4ded9e6b3a86a2c04fa6">
            <Part Type="punktas" Nr="108.1" Abbr="108.1 p." DocPartId="b21fa849d058488ca98246f1c237ad71" PartId="de28c8316cc1475fb95918118e09ba47"/>
            <Part Type="punktas" Nr="108.2" Abbr="108.2 p." DocPartId="3515c89c2101475798976142412eb787" PartId="805f555c3df0455f955500ce35408e94"/>
            <Part Type="punktas" Nr="108.3" Abbr="108.3 p." DocPartId="9d4e5dbe13094c01870ee85f4dd7c6ca" PartId="182234259db8452e8868d252093f0b83"/>
            <Part Type="punktas" Nr="108.4" Abbr="108.4 p." DocPartId="71f259a678994579a9044da95541ab2a" PartId="2fa30263ec8840188a67902b5c46a4e7"/>
          </Part>
          <Part Type="punktas" Nr="109" Abbr="109 p." DocPartId="8f9ca83ffee240468db5d20e6aedf764" PartId="57149349b9d34de799789758d5c9ed24"/>
          <Part Type="punktas" Nr="110" Abbr="110 p." DocPartId="dd5d3034eda24e23b45a2469ab5edbcc" PartId="4e2ba35f926a40cea264bebb3688ce50"/>
          <Part Type="punktas" Nr="111" Abbr="111 p." DocPartId="4ff5c7f715e94b519ad5fd847c88aa28" PartId="5e51257e9d414b02a8362b82ac7e6638"/>
          <Part Type="punktas" Nr="112" Abbr="112 p." DocPartId="f0730ee588b74a6d92d4181c112a8dee" PartId="4bad051344c6491ea42153b7ab9ee1c5"/>
          <Part Type="punktas" Nr="113" Abbr="113 p." DocPartId="8905a9e6ec0f4cde905e91a3e3846d19" PartId="0cc20bc6b3794c50b0da09324bd03792"/>
          <Part Type="punktas" Nr="114" Abbr="114 p." DocPartId="64fa9954e83743cb805c24baaf9a90dd" PartId="5039d6d0b5934529a538ec9370e385d9"/>
          <Part Type="punktas" Nr="115" Abbr="115 p." DocPartId="749a672b1e5a455fbf84e79be6bea15d" PartId="4593689c72f44b8b8fb03f1232f4c700"/>
          <Part Type="punktas" Nr="116" Abbr="116 p." DocPartId="08838319974a4e90abd12912653c95a6" PartId="6cd7cf6414df4db3bc88ce46123a723d"/>
          <Part Type="punktas" Nr="117" Abbr="117 p." DocPartId="d286ccf5f42141129699b0d450a137b0" PartId="69e7b66bc89f4db782afccce69d05ec0"/>
          <Part Type="punktas" Nr="118" Abbr="118 p." DocPartId="f8228b416996400e81fff6c8e7d360e7" PartId="2ca8b7ef89994e59a787819f4473f5c1"/>
          <Part Type="punktas" Nr="119" Abbr="119 p." DocPartId="0de73597b53145bba3f6ecbd5cfdcfd0" PartId="d24ab23045934f87b53c8ab712a10a47"/>
        </Part>
        <Part Type="skyrius" Nr="5" Title="„V. NERIBOTOS CIVILINĖS ATSAKOMYBĖS JURIDINIŲ ASMENŲ NUOSAVAS KAPITALAS“" DocPartId="888663e69c9a49029531fff52ff98167" PartId="a03f20a3ed6448c69c962cfdfdbf7b84">
          <Part Type="punktas" Nr="120" Abbr="120 p." DocPartId="0b2e550b0939452e82c72c2d2f3047d0" PartId="070be6c1c34b4c129d6aa5d0f68575af"/>
          <Part Type="punktas" Nr="121" Abbr="121 p." DocPartId="77c14be4e8d146a1ab2f5e9448bf43b3" PartId="ffd079e9e0ce4d298df7cb1987548232"/>
          <Part Type="punktas" Nr="122" Abbr="122 p." DocPartId="92755f9666494b9e9c0ae9ced6d6366f" PartId="532d3418bb904d50a480887dc39235b1">
            <Part Type="punktas" Nr="122.1" Abbr="122.1 p." DocPartId="792d5d3e98224fb1baf6a97b73bb79f8" PartId="255d70fc99dd4d3e93474e0dc13f2b1b"/>
            <Part Type="punktas" Nr="122.2" Abbr="122.2 p." DocPartId="d3cecf4906c4450d940a755326f41d24" PartId="42912bc1632e44ddbb84867c68d9e71b"/>
          </Part>
          <Part Type="punktas" Nr="123" Abbr="123 p." DocPartId="0161819f74c74c4b9bd3b1e1700c6996" PartId="d00dec5859ec4ff4875eb687b85a92f8"/>
          <Part Type="punktas" Nr="124" Abbr="124 p." DocPartId="f6a0a7d105194333a5a948c410e526d4" PartId="77c4a2345b0d41a8bb97bf3286bd821b">
            <Part Type="punktas" Nr="124.1" Abbr="124.1 p." DocPartId="9d82f230e4e34448ab9730a1b29b6743" PartId="e906260a129b4afb9560459076b51047"/>
            <Part Type="punktas" Nr="124.2" Abbr="124.2 p." DocPartId="2cddd88983b54449bce2bfb42a21fce0" PartId="914e17eb5f4841529e0af58ff32a7b2a"/>
          </Part>
          <Part Type="punktas" Nr="125" Abbr="125 p." DocPartId="ca2ad974f7de492ba3f23aebb1ecb642" PartId="9294cf19c64742218a18e83271f2f49c"/>
          <Part Type="punktas" Nr="126" Abbr="126 p." DocPartId="e6d224a112154342bbb8bbd603db9d5c" PartId="fb54f8183924482bb791caf87b40e852"/>
          <Part Type="punktas" Nr="127" Abbr="127 p." DocPartId="a3bd1e6062b349de98f8b5ddef224be0" PartId="d6f610af534845c98abf3a64f9a40673"/>
          <Part Type="punktas" Nr="128" Abbr="128 p." DocPartId="f3eafc925b3349b990c90e0bbec2d90d" PartId="8461c442db4f4affb18c6ddec5d97ac8"/>
          <Part Type="punktas" Nr="129" Abbr="129 p." DocPartId="20ad547ddf7343938af8616eeb9a2539" PartId="3a8007e396604f08abf980bbf47a04cb"/>
          <Part Type="punktas" Nr="130" Abbr="130 p." DocPartId="f21d02887f544540ae24b37bfe2b8065" PartId="52a0f40873f64fe58c747e270f5d86b2"/>
          <Part Type="punktas" Nr="131" Abbr="131 p." DocPartId="20692cf5367f4afb88faa922c70c82dd" PartId="2f820022edff4348a784693effdc2ca6"/>
        </Part>
        <Part Type="skyrius" Nr="6" Title="MAŽOSIOS BENDRIJOS NUOSAVAS KAPITALAS" DocPartId="87454dc24eec462783458799609ad891" PartId="12c3fc08f93a4c1a80fd18c95150c070">
          <Part Type="punktas" Nr="132" Abbr="132 p." DocPartId="2c41d8780cfa44ccbee454743514042f" PartId="4f3e510f92a04ac8ad5b714c56095d61"/>
          <Part Type="punktas" Nr="133" Abbr="133 p." DocPartId="ada652347f1f4522a1d1f8dfa673ef22" PartId="3fc632fb65c345458a72c0a62f79e058"/>
          <Part Type="punktas" Nr="134" Abbr="134 p." DocPartId="109cceb983844cef9cd1d39c4a842dd6" PartId="60ae82fe89ae43ab8fb1df529e0b0045"/>
          <Part Type="punktas" Nr="135" Abbr="135 p." DocPartId="218a6f285f964a309b23bd222adf04b6" PartId="8f1356cdcc7545f39a3c19c653eaa3c7"/>
          <Part Type="punktas" Nr="136" Abbr="136 p." DocPartId="111c8e3d9b294f46804dd306356ed9d2" PartId="d85dc450f42a4265be988c8bc09fa7eb"/>
        </Part>
        <Part Type="skyrius" Nr="7" Title="ĮMONĖS REORGANIZAVIMAS, PERTVARKYMAS IR LIKVIDAVIMAS" DocPartId="267fa8e8119c447ca125f46ebd02d604" PartId="871b487585d641608e5596b77a6c7c85">
          <Part Type="punktas" Nr="137" Abbr="137 p." DocPartId="5e1ef75ac0134e0fae51f358b416cd88" PartId="7b2cdb0437764d3993a72fcfcf23f1bb"/>
          <Part Type="punktas" Nr="138" Abbr="138 p." DocPartId="c666512d89d5482f9ceaa36dd5a4083f" PartId="d436e28198c7414fb783b64851c378e9"/>
          <Part Type="punktas" Nr="139" Abbr="139 p." DocPartId="4b1ebd42efed4be989eae4c9a8f456d4" PartId="3791b9fe40f546b4af1c80ba75077af9"/>
          <Part Type="punktas" Nr="140" Abbr="140 p." DocPartId="959a563b78bc4b65aec661943f5ac523" PartId="badfcc8178ef489480f9e71b8da3d1ab"/>
          <Part Type="punktas" Nr="141" Abbr="141 p." DocPartId="4eef3f4d53cc44749d63ef092c82429f" PartId="da41d99223d34b95a2e9c9af433b98cf"/>
          <Part Type="punktas" Nr="142" Abbr="142 p." DocPartId="fe623e43a1dd4973985512798941a4ad" PartId="fab094a9cfd84ce09ab666e2e0447ad1"/>
        </Part>
        <Part Type="skyrius" Nr="8" Title="INFORMACIJOS ATSKLEIDIMAS AIŠKINAMAJAME RAŠTE" DocPartId="2e79a95773204f38accd7eb979ed01f4" PartId="0e2ed2a988b7466981e3782e30ebdd36">
          <Part Type="punktas" Nr="143" Abbr="143 p." DocPartId="e7c6e40c44374d848e9107416d915932" PartId="f5ac05b579d049adbd86230438f541cf">
            <Part Type="punktas" Nr="143.1" Abbr="143.1 p." DocPartId="f0ca38ff5b1548af8a1c103ffe3ff237" PartId="14e09cda4fd1473bb27c0a87f1590058"/>
            <Part Type="punktas" Nr="143.2" Abbr="143.2 p." DocPartId="c506e4c1262f48818258685ec2cc56fa" PartId="9587a6f867414ff8b3ea0e0c180e82d0"/>
            <Part Type="punktas" Nr="143.3" Abbr="143.3 p." DocPartId="36c99c2ba6c64f0ebe1c23c9dfd401fa" PartId="78c00774794045458b5ad154f5a32b8c"/>
            <Part Type="punktas" Nr="143.4" Abbr="143.4 p." DocPartId="fc6bb3dd2ea04a488478ff9539dce859" PartId="a7bc43848a234ddf837e596a1daa6e8e"/>
            <Part Type="punktas" Nr="143.5" Abbr="143.5 p." DocPartId="892fe1379ba44edeb140fe223bc7707a" PartId="b76efeae8a09420c9e69319ad6b79cca"/>
            <Part Type="punktas" Nr="143.6" Abbr="143.6 p." DocPartId="66724d05272d4f5eaac2aa212084d85e" PartId="4b7cd5a51838452396907b734f099e28"/>
            <Part Type="punktas" Nr="143.7" Abbr="143.7 p." DocPartId="5d4a504a3e694346bb05efc63e475ef9" PartId="c93f3309bea44e4d85621c7d835800d2"/>
          </Part>
          <Part Type="punktas" Nr="144" Abbr="144 p." DocPartId="87c1c05417b44513ac90ff88c238f917" PartId="9a4b5067b3a546f797c13e17777b7f1a">
            <Part Type="punktas" Nr="144.1" Abbr="144.1 p." DocPartId="fc08d44caaf241e6bd6a921479a13508" PartId="b0b501d0b1bb44259c658fc1f95f2157"/>
            <Part Type="punktas" Nr="144.2" Abbr="144.2 p." DocPartId="8a1c20698ffd4fb59212e29078b3a503" PartId="0007e8c7e8d245109e704615d2e6f3ff"/>
            <Part Type="punktas" Nr="144.3" Abbr="144.3 p." DocPartId="093f0599bdfb470d9f9e0c7312825997" PartId="f5956cc2d0ac432694454e7f402534cf"/>
            <Part Type="punktas" Nr="144.4" Abbr="144.4 p." DocPartId="f1e87406cfeb4dca8bf9160b4f90d8ea" PartId="63878fdd5ff54536b35635a2c021cb85"/>
            <Part Type="punktas" Nr="144.5" Abbr="144.5 p." DocPartId="e4a5cccb8faf4ac2a6e62610fe1bf31e" PartId="1b32f500e1914cc7bfce10589481df01"/>
            <Part Type="punktas" Nr="144.6" Abbr="144.6 p." DocPartId="ecb88ddb0c274e10aff6dff56226f31b" PartId="6addc090a0594f63b3a05782911291e1"/>
            <Part Type="punktas" Nr="144.7" Abbr="144.7 p." DocPartId="32228c330e134e26ad79580e4ecc9018" PartId="da6f491dc9a44c45b5fdb7cc204aef1f"/>
            <Part Type="punktas" Nr="144.8" Abbr="144.8 p." DocPartId="aa4c6b2a57e444f8a6ab6ddac0fcad4d" PartId="00237877574c46719b4cbef401abd42d"/>
            <Part Type="punktas" Nr="144.9" Abbr="144.9 p." DocPartId="7a1224dfb80f473bb3477b98724b929f" PartId="fda40837764d440caddfc314b22f02cf"/>
          </Part>
        </Part>
        <Part Type="skyrius" Nr="9" Title="BAIGIAMOSIOS NUOSTATOS" DocPartId="9cf522aa76254ced9235388ab47fe7ab" PartId="44c18a298a91490cbef98ba99dfc8010">
          <Part Type="punktas" Nr="145" Abbr="145 p." DocPartId="c1725029dc6f48539f62549e184119a4" PartId="54a27991835045919f91af1c1ebe3669"/>
          <Part Type="punktas" Nr="146" Abbr="146 p." DocPartId="195fa81a07804fc2bf307dbb4c89e7af" PartId="5a447e78eea44d6fa3f7a18c34f93980"/>
          <Part Type="punktas" Nr="147" Abbr="147 p." DocPartId="6db5daf140364284b5b6ac0ffd6c9e52" PartId="49327136a7074eff87557e1910e856ad"/>
          <Part Type="punktas" Nr="148" Abbr="148 p." DocPartId="7a1de1769fce45fbb6e31ec6ae267006" PartId="df167e62fb7744f087badc1ce49b5ebc"/>
        </Part>
        <Part Type="pabaiga" DocPartId="a0ba5ba88ff74f8da5291da284cf6b1b" PartId="234a44c156974184ae30282faced05af"/>
      </Part>
    </Part>
  </Part>
  <Part Type="priedas" Nr="1" Abbr="1 pr." Title="(Balanso forma)" DocPartId="eede7095853f4102b08d8e7387473e8d" PartId="fab8f15313494cc1bef3284b6cd28c77"/>
  <Part Type="priedas" Nr="2" Abbr="2 pr." Title="(Pelno (nuostolių) ataskaitos forma)" DocPartId="2b0291123e33406f974aa6b023eb83cd" PartId="453e3dcbbe174e84ac3b1a59b4bb49c4"/>
  <Part Type="priedas" Nr="3" Abbr="3 pr." Title="(Pavyzdinė nuosavo kapitalo pokyčių ataskaitos forma)" DocPartId="fbe5170b199d40bea8da4c9b3d33c919" PartId="91d9e7c4628045ea85ea5ea4dc5214e6"/>
</Parts>
</file>

<file path=customXml/itemProps1.xml><?xml version="1.0" encoding="utf-8"?>
<ds:datastoreItem xmlns:ds="http://schemas.openxmlformats.org/officeDocument/2006/customXml" ds:itemID="{9F253E93-3015-409C-80AF-E9CF57F72AEB}">
  <ds:schemaRefs>
    <ds:schemaRef ds:uri="http://lrs.lt/TAIS/DocParts"/>
  </ds:schemaRefs>
</ds:datastoreItem>
</file>

<file path=docProps/app.xml><?xml version="1.0" encoding="utf-8"?>
<Properties xmlns="http://schemas.openxmlformats.org/officeDocument/2006/extended-properties">
  <Template>Normal.dotm</Template>
  <TotalTime>33</TotalTime>
  <Pages>26</Pages>
  <Words>45541</Words>
  <Characters>25959</Characters>
  <Application>Microsoft Office Word</Application>
  <DocSecurity>0</DocSecurity>
  <Lines>216</Lines>
  <Paragraphs>142</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AUDITO IR APSKAITOS TARNYBOS DIREKTORIAUS</vt:lpstr>
    </vt:vector>
  </TitlesOfParts>
  <Company/>
  <LinksUpToDate>false</LinksUpToDate>
  <CharactersWithSpaces>71358</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2016-02-25T12:01:00Z</dcterms:created>
  <dc:creator>Rima</dc:creator>
  <lastModifiedBy>GRUNDAITĖ Aistė</lastModifiedBy>
  <dcterms:modified xsi:type="dcterms:W3CDTF">2016-02-25T12:53:00Z</dcterms:modified>
  <revision>8</revision>
  <dc:title>AUDITO IR APSKAITOS TARNYBOS DIREKTORIAUS</dc:title>
</coreProperties>
</file>