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2d7952e1cfb4fc0a59a7e8271d6318a"/>
        <w:lock w:val="sdtLocked"/>
        <w:richText/>
      </w:sdtPr>
      <w:sdtContent>
        <w:p>
          <w:pPr>
            <w:jc w:val="both"/>
            <w:rPr>
              <w:rFonts w:ascii="Times New Roman" w:hAnsi="Times New Roman"/>
            </w:rPr>
          </w:pPr>
          <w:r>
            <w:rPr>
              <w:rFonts w:ascii="Times New Roman" w:hAnsi="Times New Roman"/>
              <w:b/>
              <w:i/>
            </w:rPr>
            <w:t>Suvestinė redakcija nuo 2025-05-01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2012, Nr. </w:t>
          </w:r>
          <w:fldSimple w:instr="HYPERLINK https://www.e-tar.lt/portal/legalAct.html?documentId=TAR.230369A41D88">
            <w:r w:rsidRPr="00532B9F">
              <w:rPr>
                <w:rFonts w:ascii="Times New Roman" w:eastAsia="MS Mincho" w:hAnsi="Times New Roman"/>
                <w:sz w:val="20"/>
                <w:i/>
                <w:iCs/>
                <w:color w:val="0000FF" w:themeColor="hyperlink"/>
                <w:u w:val="single"/>
              </w:rPr>
              <w:t>108-5509</w:t>
            </w:r>
          </w:fldSimple>
          <w:r>
            <w:rPr>
              <w:rFonts w:ascii="Times New Roman" w:eastAsia="MS Mincho" w:hAnsi="Times New Roman"/>
              <w:sz w:val="20"/>
              <w:i/>
              <w:iCs/>
            </w:rPr>
            <w:t>, i. k. 112106ANUTA00O3-229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2021-09-01:</w:t>
          </w:r>
        </w:p>
        <w:p>
          <w:pPr>
            <w:rPr>
              <w:rFonts w:ascii="Times New Roman" w:hAnsi="Times New Roman"/>
              <w:sz w:val="20"/>
              <w:i/>
            </w:rPr>
          </w:pPr>
          <w:r>
            <w:rPr>
              <w:rFonts w:ascii="Times New Roman" w:hAnsi="Times New Roman"/>
              <w:sz w:val="20"/>
              <w:i/>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pPr>
            <w:rPr>
              <w:rFonts w:ascii="Times New Roman" w:hAnsi="Times New Roman"/>
              <w:sz w:val="22"/>
            </w:rPr>
          </w:pPr>
        </w:p>
        <w:p>
          <w:pPr>
            <w:widowControl w:val="0"/>
            <w:suppressAutoHyphens/>
            <w:jc w:val="center"/>
            <w:rPr>
              <w:b/>
              <w:bCs/>
              <w:color w:val="000000"/>
              <w:szCs w:val="24"/>
            </w:rPr>
          </w:pPr>
          <w:sdt>
            <w:sdtPr>
              <w:alias w:val="Pavadinimas"/>
              <w:tag w:val="title_e2d7952e1cfb4fc0a59a7e8271d6318a"/>
              <w:lock w:val="sdtLocked"/>
              <w:richText/>
            </w:sdtPr>
            <w:sdtContent>
              <w:r>
                <w:rPr>
                  <w:b/>
                  <w:bCs/>
                  <w:color w:val="000000"/>
                  <w:szCs w:val="24"/>
                </w:rPr>
                <w:t>VALSTYBINĖ ENERGETIKOS REGULIAVIMO TARYBA</w:t>
              </w:r>
            </w:sdtContent>
          </w:sdt>
        </w:p>
        <w:p>
          <w:pPr>
            <w:widowControl w:val="0"/>
            <w:suppressAutoHyphens/>
            <w:ind w:firstLine="720"/>
            <w:jc w:val="center"/>
            <w:rPr>
              <w:b/>
              <w:bCs/>
              <w:color w:val="000000"/>
              <w:szCs w:val="24"/>
            </w:rPr>
          </w:pPr>
        </w:p>
        <w:p>
          <w:pPr>
            <w:widowControl w:val="0"/>
            <w:suppressAutoHyphens/>
            <w:jc w:val="center"/>
            <w:rPr>
              <w:b/>
              <w:bCs/>
              <w:color w:val="000000"/>
              <w:szCs w:val="24"/>
            </w:rPr>
          </w:pPr>
          <w:r>
            <w:rPr>
              <w:b/>
              <w:bCs/>
              <w:color w:val="000000"/>
              <w:szCs w:val="24"/>
            </w:rPr>
            <w:t>NUTARIMAS</w:t>
          </w:r>
        </w:p>
        <w:p>
          <w:pPr>
            <w:spacing w:line="22" w:lineRule="atLeast"/>
            <w:jc w:val="center"/>
            <w:rPr>
              <w:b/>
              <w:bCs/>
              <w:szCs w:val="24"/>
              <w:lang w:eastAsia="lt-LT"/>
            </w:rPr>
          </w:pPr>
          <w:r>
            <w:rPr>
              <w:b/>
              <w:bCs/>
              <w:caps/>
              <w:color w:val="000000"/>
            </w:rPr>
            <w:t xml:space="preserve">dėl </w:t>
          </w:r>
          <w:r>
            <w:rPr>
              <w:b/>
              <w:szCs w:val="24"/>
            </w:rPr>
            <w:t xml:space="preserve">ELEKTROS ENERGIJOS KAINOS, REZERVINĖS GALIOS, </w:t>
          </w:r>
          <w:r>
            <w:rPr>
              <w:b/>
              <w:color w:val="000000"/>
              <w:szCs w:val="24"/>
            </w:rPr>
            <w:t xml:space="preserve">IZOLIUOTO ELEKTROS ENERGETIKOS SISTEMOS DARBO IR </w:t>
          </w:r>
          <w:r>
            <w:rPr>
              <w:b/>
              <w:bCs/>
              <w:color w:val="000000"/>
            </w:rPr>
            <w:t xml:space="preserve">TOTALIOS ELEKTROS ENERGETIKOS SISTEMOS AVARIJOS PREVENCIJOS AR LIKVIDAVIMO, </w:t>
          </w:r>
          <w:r>
            <w:rPr>
              <w:b/>
              <w:color w:val="000000"/>
              <w:szCs w:val="24"/>
            </w:rPr>
            <w:t>IZOLIUOTO ELEKTROS ENERGETIKOS SISTEMOS DARBO</w:t>
          </w:r>
          <w:r>
            <w:rPr>
              <w:b/>
              <w:szCs w:val="24"/>
            </w:rPr>
            <w:t xml:space="preserve"> REZERVO</w:t>
          </w:r>
          <w:r>
            <w:rPr>
              <w:bCs/>
              <w:szCs w:val="24"/>
            </w:rPr>
            <w:t xml:space="preserve"> </w:t>
          </w:r>
          <w:r>
            <w:rPr>
              <w:b/>
              <w:szCs w:val="24"/>
            </w:rPr>
            <w:t xml:space="preserve">UŽTIKRINIMO PASLAUGŲ KAINŲ NUSTATYMO METODIKOS </w:t>
          </w:r>
          <w:r>
            <w:rPr>
              <w:b/>
              <w:bCs/>
              <w:szCs w:val="24"/>
              <w:lang w:eastAsia="lt-LT"/>
            </w:rPr>
            <w:t>PATVIRTINIMO</w:t>
          </w:r>
        </w:p>
        <w:p>
          <w:pPr>
            <w:spacing w:line="22" w:lineRule="atLeast"/>
            <w:jc w:val="center"/>
            <w:rPr>
              <w:b/>
              <w:bCs/>
              <w:szCs w:val="24"/>
              <w:lang w:eastAsia="lt-LT"/>
            </w:rPr>
          </w:pPr>
        </w:p>
        <w:p>
          <w:pPr>
            <w:spacing w:line="22" w:lineRule="atLeast"/>
            <w:jc w:val="center"/>
            <w:rPr>
              <w:b/>
              <w:bCs/>
              <w:szCs w:val="24"/>
              <w:lang w:eastAsia="lt-LT"/>
            </w:rPr>
          </w:pPr>
          <w:r>
            <w:rPr>
              <w:color w:val="000000"/>
              <w:szCs w:val="24"/>
            </w:rPr>
            <w:t>2012 m. rugsėjo 14 d. Nr. O3-229</w:t>
          </w:r>
        </w:p>
        <w:p>
          <w:pPr>
            <w:spacing w:line="22" w:lineRule="atLeast"/>
            <w:jc w:val="center"/>
            <w:rPr>
              <w:b/>
              <w:bCs/>
              <w:szCs w:val="24"/>
              <w:lang w:eastAsia="lt-LT"/>
            </w:rPr>
          </w:pPr>
          <w:r>
            <w:rPr>
              <w:color w:val="000000"/>
              <w:szCs w:val="24"/>
            </w:rPr>
            <w:t>Vilnius</w:t>
          </w:r>
        </w:p>
        <w:p>
          <w:pPr>
            <w:spacing w:line="22" w:lineRule="atLeast"/>
            <w:jc w:val="center"/>
            <w:rPr>
              <w:b/>
              <w:bCs/>
              <w:caps/>
              <w:strike/>
              <w:color w:val="000000"/>
              <w:szCs w:val="24"/>
            </w:rPr>
          </w:pPr>
        </w:p>
        <w:p>
          <w:pPr>
            <w:widowControl w:val="0"/>
            <w:suppressAutoHyphens/>
            <w:jc w:val="center"/>
            <w:rPr>
              <w:strike/>
              <w:color w:val="000000"/>
              <w:szCs w:val="24"/>
            </w:rPr>
          </w:pPr>
        </w:p>
        <w:sdt>
          <w:sdtPr>
            <w:alias w:val="preambule"/>
            <w:tag w:val="part_7925c90f314a4d23bdff42b2a9a303ff"/>
            <w:lock w:val="sdtLocked"/>
            <w:richText/>
          </w:sdtPr>
          <w:sdtContent>
            <w:p>
              <w:pPr>
                <w:ind w:firstLine="709"/>
                <w:jc w:val="both"/>
                <w:rPr>
                  <w:color w:val="000000"/>
                  <w:szCs w:val="24"/>
                  <w:lang w:eastAsia="lt-LT"/>
                </w:rPr>
              </w:pPr>
              <w:r>
                <w:rPr>
                  <w:color w:val="000000"/>
                  <w:szCs w:val="24"/>
                  <w:lang w:eastAsia="lt-LT"/>
                </w:rPr>
                <w:t>Vadovaudamasi Lietuvos Respublikos energetikos įstatymo 8 straipsnio 11 dalies 2 punktu ir Lietuvos Respublikos elektros energetikos įstatymo 68 straipsniu bei atsižvelgdama į Valstybinės energetikos reguliavimo tarybos (toliau – Taryba) Dujų ir elektros departamento Elektros skyriaus 2012 m. rugsėjo 7 d. pažymą Nr. O5-207 „Dėl Elektros energijos kainos ir rezervinės galios užtikrinimo paslaugų kainų nustatymo metodikos patvirtinimo“, Taryba n u t a r i a:</w:t>
              </w:r>
            </w:p>
          </w:sdtContent>
        </w:sdt>
        <w:sdt>
          <w:sdtPr>
            <w:alias w:val="pastraipa"/>
            <w:tag w:val="part_519f8bf704154ac5bb5136beb0f03ba9"/>
            <w:lock w:val="sdtLocked"/>
            <w:richText/>
          </w:sdtPr>
          <w:sdtContent>
            <w:p>
              <w:pPr>
                <w:ind w:firstLine="709"/>
                <w:jc w:val="both"/>
              </w:pPr>
              <w:r>
                <w:rPr>
                  <w:color w:val="000000"/>
                  <w:szCs w:val="24"/>
                  <w:lang w:eastAsia="lt-LT"/>
                </w:rPr>
                <w:t xml:space="preserve">Patvirtinti </w:t>
              </w:r>
              <w:r>
                <w:rPr>
                  <w:color w:val="333333"/>
                  <w:szCs w:val="24"/>
                  <w:shd w:val="clear" w:color="auto" w:fill="FFFFFF"/>
                </w:rPr>
                <w:t>Elektros energijos kainos, rezervinės galios,</w:t>
              </w:r>
              <w:r>
                <w:rPr>
                  <w:bCs/>
                  <w:szCs w:val="24"/>
                </w:rPr>
                <w:t xml:space="preserve"> </w:t>
              </w:r>
              <w:r>
                <w:rPr>
                  <w:color w:val="333333"/>
                  <w:szCs w:val="24"/>
                  <w:shd w:val="clear" w:color="auto" w:fill="FFFFFF"/>
                </w:rPr>
                <w:t xml:space="preserve">izoliuoto elektros energetikos sistemos darbo, </w:t>
              </w:r>
              <w:r>
                <w:rPr>
                  <w:bCs/>
                  <w:szCs w:val="24"/>
                </w:rPr>
                <w:t>totalios elektros energetikos sistemos avarijos prevencijos ar likvidavimo</w:t>
              </w:r>
              <w:r>
                <w:rPr>
                  <w:color w:val="333333"/>
                  <w:szCs w:val="24"/>
                  <w:shd w:val="clear" w:color="auto" w:fill="FFFFFF"/>
                </w:rPr>
                <w:t xml:space="preserve">, </w:t>
              </w:r>
              <w:r>
                <w:rPr>
                  <w:bCs/>
                  <w:color w:val="000000"/>
                  <w:szCs w:val="24"/>
                </w:rPr>
                <w:t>izoliuoto elektros energetikos sistemos darbo</w:t>
              </w:r>
              <w:r>
                <w:rPr>
                  <w:bCs/>
                  <w:szCs w:val="24"/>
                </w:rPr>
                <w:t xml:space="preserve"> rezervo</w:t>
              </w:r>
              <w:r>
                <w:rPr>
                  <w:bCs/>
                  <w:color w:val="000000"/>
                  <w:szCs w:val="24"/>
                </w:rPr>
                <w:t xml:space="preserve"> </w:t>
              </w:r>
              <w:r>
                <w:rPr>
                  <w:bCs/>
                  <w:szCs w:val="24"/>
                </w:rPr>
                <w:t>užtikrinimo paslaugų kainų nustatymo metodiką</w:t>
              </w:r>
              <w:r>
                <w:rPr>
                  <w:color w:val="000000"/>
                  <w:szCs w:val="24"/>
                  <w:lang w:eastAsia="lt-LT"/>
                </w:rPr>
                <w:t> (pridedama).</w:t>
              </w:r>
            </w:p>
          </w:sdtContent>
        </w:sdt>
        <w:sdt>
          <w:sdtPr>
            <w:alias w:val="signatura"/>
            <w:tag w:val="part_97d454e0594f4780bdb080d31a0f13fd"/>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pPr>
              <w:r>
                <w:rPr>
                  <w:caps/>
                  <w:color w:val="000000"/>
                </w:rPr>
                <w:t xml:space="preserve">Komisijos pirmininkė </w:t>
                <w:tab/>
                <w:t>Diana Korsakaitė</w:t>
              </w:r>
            </w:p>
          </w:sdtContent>
        </w:sdt>
        <w:p/>
      </w:sdtContent>
    </w:sdt>
    <w:sdt>
      <w:sdtPr>
        <w:alias w:val="patvirtinta"/>
        <w:tag w:val="part_42fd9b0502c3421ab23ac404128790ee"/>
        <w:lock w:val="sdtLocked"/>
        <w:richText/>
      </w:sdtPr>
      <w:sdtContent>
        <w:p>
          <w:pPr>
            <w:spacing w:line="22" w:lineRule="atLeast"/>
            <w:ind w:left="4535"/>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709" w:footer="709" w:gutter="0"/>
              <w:pgNumType w:start="1"/>
              <w:cols w:space="708"/>
              <w:titlePg/>
              <w:docGrid w:linePitch="326"/>
            </w:sectPr>
          </w:pPr>
        </w:p>
        <w:p>
          <w:pPr>
            <w:spacing w:line="22" w:lineRule="atLeast"/>
            <w:ind w:left="3686"/>
            <w:rPr>
              <w:szCs w:val="24"/>
            </w:rPr>
          </w:pPr>
          <w:r>
            <w:rPr>
              <w:szCs w:val="24"/>
            </w:rPr>
            <w:t>PATVIRTINTA</w:t>
          </w:r>
        </w:p>
        <w:p>
          <w:pPr>
            <w:spacing w:line="22" w:lineRule="atLeast"/>
            <w:ind w:left="3686"/>
            <w:rPr>
              <w:szCs w:val="24"/>
            </w:rPr>
          </w:pPr>
          <w:r>
            <w:rPr>
              <w:szCs w:val="24"/>
            </w:rPr>
            <w:t xml:space="preserve">Valstybinės kainų ir energetikos kontrolės </w:t>
          </w:r>
        </w:p>
        <w:p>
          <w:pPr>
            <w:spacing w:line="22" w:lineRule="atLeast"/>
            <w:ind w:left="3686"/>
            <w:rPr>
              <w:bCs/>
              <w:szCs w:val="24"/>
            </w:rPr>
          </w:pPr>
          <w:r>
            <w:rPr>
              <w:szCs w:val="24"/>
            </w:rPr>
            <w:t xml:space="preserve">komisijos </w:t>
          </w:r>
          <w:r>
            <w:rPr>
              <w:bCs/>
              <w:szCs w:val="24"/>
            </w:rPr>
            <w:t>2012 m. rugsėjo 14 d. nutarimu Nr.</w:t>
          </w:r>
          <w:r>
            <w:rPr>
              <w:szCs w:val="24"/>
            </w:rPr>
            <w:t> </w:t>
          </w:r>
          <w:r>
            <w:rPr>
              <w:bCs/>
              <w:szCs w:val="24"/>
            </w:rPr>
            <w:t>O3-229</w:t>
          </w:r>
        </w:p>
        <w:p>
          <w:pPr>
            <w:spacing w:line="22" w:lineRule="atLeast"/>
            <w:ind w:left="3686"/>
            <w:rPr>
              <w:szCs w:val="24"/>
            </w:rPr>
          </w:pPr>
          <w:r>
            <w:rPr>
              <w:szCs w:val="24"/>
            </w:rPr>
            <w:t>(</w:t>
          </w:r>
          <w:r>
            <w:rPr>
              <w:szCs w:val="24"/>
              <w:lang w:eastAsia="lt-LT"/>
            </w:rPr>
            <w:t>Valstybinės energetikos reguliavimo taryb</w:t>
          </w:r>
          <w:r>
            <w:rPr>
              <w:szCs w:val="24"/>
            </w:rPr>
            <w:t xml:space="preserve">os </w:t>
          </w:r>
        </w:p>
        <w:p>
          <w:pPr>
            <w:spacing w:line="22" w:lineRule="atLeast"/>
            <w:ind w:left="3686"/>
            <w:rPr>
              <w:szCs w:val="24"/>
            </w:rPr>
          </w:pPr>
          <w:r>
            <w:rPr>
              <w:szCs w:val="24"/>
            </w:rPr>
            <w:t>2019 m. lapkričio 14 d. nutarimo Nr. O3E-715</w:t>
          </w:r>
        </w:p>
        <w:p>
          <w:pPr>
            <w:spacing w:line="22" w:lineRule="atLeast"/>
            <w:ind w:left="3686"/>
            <w:rPr>
              <w:szCs w:val="24"/>
            </w:rPr>
          </w:pPr>
          <w:r>
            <w:rPr>
              <w:szCs w:val="24"/>
            </w:rPr>
            <w:t>redakcija)</w:t>
          </w:r>
        </w:p>
        <w:p>
          <w:pPr>
            <w:spacing w:line="22" w:lineRule="atLeast"/>
            <w:jc w:val="center"/>
            <w:rPr>
              <w:b/>
              <w:szCs w:val="24"/>
            </w:rPr>
          </w:pPr>
        </w:p>
        <w:p>
          <w:pPr>
            <w:spacing w:line="22" w:lineRule="atLeast"/>
            <w:jc w:val="center"/>
            <w:rPr>
              <w:b/>
              <w:szCs w:val="24"/>
            </w:rPr>
          </w:pPr>
        </w:p>
        <w:p>
          <w:pPr>
            <w:spacing w:line="22" w:lineRule="atLeast"/>
            <w:jc w:val="center"/>
            <w:rPr>
              <w:b/>
              <w:szCs w:val="24"/>
            </w:rPr>
          </w:pPr>
          <w:sdt>
            <w:sdtPr>
              <w:alias w:val="Pavadinimas"/>
              <w:tag w:val="title_42fd9b0502c3421ab23ac404128790ee"/>
              <w:lock w:val="sdtLocked"/>
              <w:richText/>
            </w:sdtPr>
            <w:sdtContent>
              <w:r>
                <w:rPr>
                  <w:b/>
                  <w:szCs w:val="24"/>
                </w:rPr>
                <w:t>ELEKTROS ENERGIJOS KAINOS, REZERVINĖS GALIOS, IZOLIUOTO ELEKTROS ENERGETIKOS SISTEMOS DARBO IR TOTALIOS ELEKTROS ENERGETIKOS SISTEMOS AVARIJOS PREVENCIJOS AR LIKVIDAVIMO, IZOLIUOTO ELEKTROS ENERGETIKOS SISTEMOS DARBO REZERVO UŽTIKRINIMO PASLAUGŲ KAINŲ NUSTATYMO METODIKA</w:t>
              </w:r>
            </w:sdtContent>
          </w:sdt>
        </w:p>
        <w:p>
          <w:pPr>
            <w:spacing w:line="22" w:lineRule="atLeast"/>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
          <w:sdtPr>
            <w:alias w:val="skyrius"/>
            <w:tag w:val="part_b5df455d1cde4839baa7e5e31178d130"/>
            <w:lock w:val="sdtLocked"/>
            <w:richText/>
          </w:sdtPr>
          <w:sdtContent>
            <w:p>
              <w:pPr>
                <w:spacing w:line="22" w:lineRule="atLeast"/>
                <w:jc w:val="center"/>
                <w:rPr>
                  <w:b/>
                  <w:szCs w:val="24"/>
                </w:rPr>
              </w:pPr>
              <w:sdt>
                <w:sdtPr>
                  <w:alias w:val="Numeris"/>
                  <w:tag w:val="nr_b5df455d1cde4839baa7e5e31178d130"/>
                  <w:lock w:val="sdtLocked"/>
                  <w:richText/>
                </w:sdtPr>
                <w:sdtContent>
                  <w:r>
                    <w:rPr>
                      <w:b/>
                      <w:szCs w:val="24"/>
                    </w:rPr>
                    <w:t>I</w:t>
                  </w:r>
                </w:sdtContent>
              </w:sdt>
              <w:r>
                <w:rPr>
                  <w:b/>
                  <w:szCs w:val="24"/>
                </w:rPr>
                <w:t xml:space="preserve"> SKYRIUS</w:t>
              </w:r>
            </w:p>
            <w:p>
              <w:pPr>
                <w:spacing w:line="22" w:lineRule="atLeast"/>
                <w:ind w:firstLine="62"/>
                <w:jc w:val="center"/>
                <w:rPr>
                  <w:b/>
                  <w:szCs w:val="24"/>
                </w:rPr>
              </w:pPr>
              <w:sdt>
                <w:sdtPr>
                  <w:alias w:val="Pavadinimas"/>
                  <w:tag w:val="title_b5df455d1cde4839baa7e5e31178d130"/>
                  <w:lock w:val="sdtLocked"/>
                  <w:richText/>
                </w:sdtPr>
                <w:sdtContent>
                  <w:r>
                    <w:rPr>
                      <w:b/>
                      <w:szCs w:val="24"/>
                    </w:rPr>
                    <w:t>BENDROSIOS NUOSTATOS</w:t>
                  </w:r>
                </w:sdtContent>
              </w:sdt>
            </w:p>
            <w:p>
              <w:pPr>
                <w:tabs>
                  <w:tab w:val="left" w:pos="540"/>
                  <w:tab w:val="num" w:pos="720"/>
                </w:tabs>
                <w:spacing w:line="22" w:lineRule="atLeast"/>
                <w:ind w:firstLine="567"/>
                <w:jc w:val="both"/>
                <w:rPr>
                  <w:color w:val="000000"/>
                  <w:szCs w:val="24"/>
                </w:rPr>
              </w:pPr>
            </w:p>
            <w:sdt>
              <w:sdtPr>
                <w:alias w:val="1 p."/>
                <w:tag w:val="part_3c8b697231264eba8728db3dfc3a8aee"/>
                <w:lock w:val="sdtLocked"/>
                <w:richText/>
              </w:sdtPr>
              <w:sdtContent>
                <w:p>
                  <w:pPr>
                    <w:tabs>
                      <w:tab w:val="left" w:pos="993"/>
                    </w:tabs>
                    <w:ind w:firstLine="709"/>
                    <w:jc w:val="both"/>
                    <w:rPr>
                      <w:szCs w:val="24"/>
                    </w:rPr>
                  </w:pPr>
                  <w:sdt>
                    <w:sdtPr>
                      <w:alias w:val="Numeris"/>
                      <w:tag w:val="nr_3c8b697231264eba8728db3dfc3a8aee"/>
                      <w:lock w:val="sdtLocked"/>
                      <w:richText/>
                    </w:sdtPr>
                    <w:sdtContent>
                      <w:r>
                        <w:rPr>
                          <w:szCs w:val="24"/>
                        </w:rPr>
                        <w:t>1</w:t>
                      </w:r>
                    </w:sdtContent>
                  </w:sdt>
                  <w:r>
                    <w:rPr>
                      <w:szCs w:val="24"/>
                    </w:rPr>
                    <w:t>. Elektros energijos kainos, rezervinės galios, izoliuoto elektros energetikos sistemos darbo</w:t>
                  </w:r>
                  <w:r>
                    <w:rPr>
                      <w:b/>
                      <w:bCs/>
                      <w:color w:val="333333"/>
                      <w:szCs w:val="24"/>
                      <w:shd w:val="clear" w:color="auto" w:fill="FFFFFF"/>
                    </w:rPr>
                    <w:t xml:space="preserve"> </w:t>
                  </w:r>
                  <w:r>
                    <w:rPr>
                      <w:color w:val="333333"/>
                      <w:szCs w:val="24"/>
                      <w:shd w:val="clear" w:color="auto" w:fill="FFFFFF"/>
                    </w:rPr>
                    <w:t xml:space="preserve">ir </w:t>
                  </w:r>
                  <w:r>
                    <w:rPr>
                      <w:szCs w:val="24"/>
                    </w:rPr>
                    <w:t>totalios elektros energetikos sistemos avarijos prevencijos ar likvidavimo</w:t>
                  </w:r>
                  <w:r>
                    <w:rPr>
                      <w:color w:val="333333"/>
                      <w:szCs w:val="24"/>
                      <w:shd w:val="clear" w:color="auto" w:fill="FFFFFF"/>
                    </w:rPr>
                    <w:t xml:space="preserve">, </w:t>
                  </w:r>
                  <w:r>
                    <w:rPr>
                      <w:color w:val="000000"/>
                      <w:szCs w:val="24"/>
                    </w:rPr>
                    <w:t>izoliuoto elektros energetikos sistemos darbo</w:t>
                  </w:r>
                  <w:r>
                    <w:rPr>
                      <w:szCs w:val="24"/>
                    </w:rPr>
                    <w:t xml:space="preserve"> rezervo</w:t>
                  </w:r>
                  <w:r>
                    <w:rPr>
                      <w:bCs/>
                      <w:color w:val="000000"/>
                      <w:szCs w:val="24"/>
                    </w:rPr>
                    <w:t xml:space="preserve"> </w:t>
                  </w:r>
                  <w:r>
                    <w:rPr>
                      <w:szCs w:val="24"/>
                    </w:rPr>
                    <w:t>užtikrinimo paslaugų kainų nustatymo metodika (toliau – Metodika) reglamentuoja parduodamos elektros energijos kainos, rezervinės galios</w:t>
                  </w:r>
                  <w:r>
                    <w:rPr>
                      <w:bCs/>
                      <w:szCs w:val="24"/>
                    </w:rPr>
                    <w:t>,</w:t>
                  </w:r>
                  <w:r>
                    <w:rPr>
                      <w:szCs w:val="24"/>
                    </w:rPr>
                    <w:t xml:space="preserve"> </w:t>
                  </w:r>
                  <w:r>
                    <w:rPr>
                      <w:color w:val="000000"/>
                      <w:szCs w:val="24"/>
                    </w:rPr>
                    <w:t>izoliuoto elektros energetikos sistemos darbo ir (ar)</w:t>
                  </w:r>
                  <w:r>
                    <w:rPr>
                      <w:b/>
                      <w:color w:val="000000"/>
                      <w:szCs w:val="24"/>
                    </w:rPr>
                    <w:t xml:space="preserve"> </w:t>
                  </w:r>
                  <w:r>
                    <w:rPr>
                      <w:bCs/>
                      <w:szCs w:val="24"/>
                    </w:rPr>
                    <w:t>totalios elektros energetikos sistemos avarijos prevencijos ar likvidavimo</w:t>
                  </w:r>
                  <w:r>
                    <w:rPr>
                      <w:bCs/>
                      <w:color w:val="333333"/>
                      <w:szCs w:val="24"/>
                      <w:shd w:val="clear" w:color="auto" w:fill="FFFFFF"/>
                    </w:rPr>
                    <w:t xml:space="preserve">, </w:t>
                  </w:r>
                  <w:r>
                    <w:rPr>
                      <w:bCs/>
                      <w:color w:val="000000"/>
                      <w:szCs w:val="24"/>
                    </w:rPr>
                    <w:t>izoliuoto elektros energetikos sistemos darbo</w:t>
                  </w:r>
                  <w:r>
                    <w:rPr>
                      <w:bCs/>
                      <w:szCs w:val="24"/>
                    </w:rPr>
                    <w:t xml:space="preserve"> rezervo (toliau – izoliuoto darbo rezervo)</w:t>
                  </w:r>
                  <w:r>
                    <w:rPr>
                      <w:bCs/>
                      <w:color w:val="000000"/>
                      <w:szCs w:val="24"/>
                    </w:rPr>
                    <w:t xml:space="preserve"> užtikrinimo</w:t>
                  </w:r>
                  <w:r>
                    <w:rPr>
                      <w:b/>
                      <w:color w:val="000000"/>
                      <w:szCs w:val="24"/>
                    </w:rPr>
                    <w:t xml:space="preserve"> </w:t>
                  </w:r>
                  <w:r>
                    <w:rPr>
                      <w:szCs w:val="24"/>
                    </w:rPr>
                    <w:t xml:space="preserve">paslaugų kainų nustatymą Viešuosius interesus atitinkančių paslaugų elektros energetikos sektoriuje teikimo ir jų apimčių nustatymo tvarkos aprašo, patvirtinto Lietuvos Respublikos Vyriausybės 2012 m. liepos 18 d. nutarimu Nr. 916 „Dėl Viešuosius interesus atitinkančių paslaugų elektros energetikos sektoriuje teikimo ir jų apimčių nustatymo tvarkos aprašo patvirtinimo“ (toliau – Aprašas), 7.3 ir 7.4 papunkčiuose nurodytas paslaugas teikiantiems gamintojams bei elektros energijos gamintojams ir nepriklausomiems tiekėjams, turintiems didelę įtaką elektros energijos rinkoje ir (ar) rezervinės galios paslaugų rinkoje, kurie dėl veiksmingos konkurencijos trūkumo gali taikyti pernelyg dideles kainas arba naudoti kainų spaudimą, tuo darydami žalą rinkos dalyviams bei gamintojams, kurie teikia </w:t>
                  </w:r>
                  <w:r>
                    <w:rPr>
                      <w:color w:val="000000"/>
                      <w:szCs w:val="24"/>
                    </w:rPr>
                    <w:t xml:space="preserve">izoliuoto elektros energetikos sistemos darbo ir (ar) totalios elektros energetikos sistemos avarijos prevencijos ar likvidavimo </w:t>
                  </w:r>
                  <w:r>
                    <w:rPr>
                      <w:szCs w:val="24"/>
                    </w:rPr>
                    <w:t>užtikrinimo paslaugas</w:t>
                  </w:r>
                  <w:r>
                    <w:rPr>
                      <w:color w:val="000000"/>
                      <w:szCs w:val="24"/>
                    </w:rPr>
                    <w:t xml:space="preserve"> ir kurių kainos reguliuojamos Lietuvos Respublikos elektros energetikos įstatyme nustatyta tvarka</w:t>
                  </w:r>
                  <w:r>
                    <w:rPr>
                      <w:bCs/>
                      <w:color w:val="000000"/>
                      <w:szCs w:val="24"/>
                    </w:rPr>
                    <w:t>,</w:t>
                  </w:r>
                  <w:r>
                    <w:rPr>
                      <w:bCs/>
                      <w:szCs w:val="24"/>
                      <w:lang w:eastAsia="lt-LT"/>
                    </w:rPr>
                    <w:t xml:space="preserve"> taip pat </w:t>
                  </w:r>
                  <w:r>
                    <w:rPr>
                      <w:bCs/>
                    </w:rPr>
                    <w:t>paskirtajam kaupimo įrenginių sistemos operatoriui (toliau – paskirtasis kaupimo sistemos operatorius)</w:t>
                  </w:r>
                  <w:r>
                    <w:rPr>
                      <w:bCs/>
                      <w:szCs w:val="24"/>
                      <w:lang w:eastAsia="lt-LT"/>
                    </w:rPr>
                    <w:t xml:space="preserve">, teikiančiam </w:t>
                  </w:r>
                  <w:r>
                    <w:rPr>
                      <w:bCs/>
                      <w:szCs w:val="24"/>
                    </w:rPr>
                    <w:t>izoliuoto darbo rezervo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2 p."/>
                <w:tag w:val="part_9cb30f9933894ff7a892c4394078fe5c"/>
                <w:lock w:val="sdtLocked"/>
                <w:richText/>
              </w:sdtPr>
              <w:sdtContent>
                <w:p>
                  <w:pPr>
                    <w:spacing w:line="22" w:lineRule="atLeast"/>
                    <w:ind w:firstLine="709"/>
                    <w:jc w:val="both"/>
                    <w:rPr>
                      <w:szCs w:val="24"/>
                    </w:rPr>
                  </w:pPr>
                  <w:sdt>
                    <w:sdtPr>
                      <w:alias w:val="Numeris"/>
                      <w:tag w:val="nr_9cb30f9933894ff7a892c4394078fe5c"/>
                      <w:lock w:val="sdtLocked"/>
                      <w:richText/>
                    </w:sdtPr>
                    <w:sdtContent>
                      <w:r>
                        <w:rPr>
                          <w:szCs w:val="24"/>
                        </w:rPr>
                        <w:t>2</w:t>
                      </w:r>
                    </w:sdtContent>
                  </w:sdt>
                  <w:r>
                    <w:rPr>
                      <w:szCs w:val="24"/>
                    </w:rPr>
                    <w:t xml:space="preserve">. </w:t>
                  </w:r>
                  <w:r>
                    <w:rPr>
                      <w:szCs w:val="24"/>
                      <w:lang w:eastAsia="lt-LT"/>
                    </w:rPr>
                    <w:t>Vadovaudamiesi Metodika elektros energijos gamintojai, teikiantys Aprašo 7.3 ir 7.4 </w:t>
                  </w:r>
                  <w:r>
                    <w:rPr>
                      <w:szCs w:val="24"/>
                    </w:rPr>
                    <w:t xml:space="preserve">papunkčiuose </w:t>
                  </w:r>
                  <w:r>
                    <w:rPr>
                      <w:szCs w:val="24"/>
                      <w:lang w:eastAsia="lt-LT"/>
                    </w:rPr>
                    <w:t xml:space="preserve">nurodytas paslaugas, gamintojai ir nepriklausomi tiekėjai, turintys didelę įtaką rinkoje, </w:t>
                  </w:r>
                  <w:r>
                    <w:rPr>
                      <w:szCs w:val="24"/>
                    </w:rPr>
                    <w:t xml:space="preserve">gamintojai, kurie teikia </w:t>
                  </w:r>
                  <w:r>
                    <w:rPr>
                      <w:color w:val="000000"/>
                      <w:szCs w:val="24"/>
                    </w:rPr>
                    <w:t>izoliuoto elektros energetikos sistemos darbo ir (ar) totalios elektros energetikos sistemos avarijos prevencijos ar likvidavimo</w:t>
                  </w:r>
                  <w:r>
                    <w:rPr>
                      <w:b/>
                      <w:color w:val="000000"/>
                      <w:szCs w:val="24"/>
                    </w:rPr>
                    <w:t xml:space="preserve"> </w:t>
                  </w:r>
                  <w:r>
                    <w:rPr>
                      <w:bCs/>
                      <w:color w:val="000000"/>
                      <w:szCs w:val="24"/>
                    </w:rPr>
                    <w:t>užtikrinimo paslaugas – ir kurių kainos reguliuojamos Lietuvos Respublikos elektros energetikos įstatyme nustatyta tvarka – bei paskirtasis kaupimo sistemos operatorius, teikiantis izoliuoto darbo rezervo paslaugą,</w:t>
                  </w:r>
                  <w:r>
                    <w:rPr>
                      <w:szCs w:val="24"/>
                      <w:lang w:eastAsia="lt-LT"/>
                    </w:rPr>
                    <w:t xml:space="preserve"> vykdo apskaitos atskyrimą ir sąnaudų paskirstymą, </w:t>
                  </w:r>
                  <w:r>
                    <w:rPr>
                      <w:bCs/>
                      <w:szCs w:val="24"/>
                      <w:lang w:eastAsia="lt-LT"/>
                    </w:rPr>
                    <w:t xml:space="preserve">atitinkamai rengia ir teikia elektros energijos kainos viršutinės ribos nustatymo projektą, rezervinės galios užtikrinimo paslaugų bei </w:t>
                  </w:r>
                  <w:r>
                    <w:rPr>
                      <w:bCs/>
                      <w:color w:val="000000"/>
                      <w:szCs w:val="24"/>
                    </w:rPr>
                    <w:t xml:space="preserve">izoliuoto darbo rezervo paslaugos </w:t>
                  </w:r>
                  <w:r>
                    <w:rPr>
                      <w:bCs/>
                      <w:szCs w:val="24"/>
                      <w:lang w:eastAsia="lt-LT"/>
                    </w:rPr>
                    <w:t>kainų viršutinių ribų nustatymo projektus Valstybinei energetikos reguliavimo tarybai (toliau – Taryba). Vadovaujantis Metodika ir atsižvelgiant į elektros energijos gamintojų, nepriklausomų tiekėjų ir paskirtojo kaupimo sistemos operatoriaus</w:t>
                  </w:r>
                  <w:r>
                    <w:rPr>
                      <w:b/>
                      <w:szCs w:val="24"/>
                      <w:lang w:eastAsia="lt-LT"/>
                    </w:rPr>
                    <w:t xml:space="preserve"> </w:t>
                  </w:r>
                  <w:r>
                    <w:rPr>
                      <w:szCs w:val="24"/>
                      <w:lang w:eastAsia="lt-LT"/>
                    </w:rPr>
                    <w:t xml:space="preserve">pateiktus atitinkamus projektus, Taryba nustato elektros energijos kainos ir rezervinės galios užtikrinimo paslaugų kainų viršutines ribas elektros energijos gamintojams, teikiantiems Aprašo 7.3 ir 7.4 </w:t>
                  </w:r>
                  <w:r>
                    <w:rPr>
                      <w:szCs w:val="24"/>
                    </w:rPr>
                    <w:t xml:space="preserve">papunkčiuose </w:t>
                  </w:r>
                  <w:r>
                    <w:rPr>
                      <w:szCs w:val="24"/>
                      <w:lang w:eastAsia="lt-LT"/>
                    </w:rPr>
                    <w:t>nurodytas paslaugas, gamintojams ir nepriklausomiems tiekėjams, turintiems didelę įtaką rinkoje</w:t>
                  </w:r>
                  <w:r>
                    <w:rPr>
                      <w:bCs/>
                      <w:szCs w:val="24"/>
                      <w:lang w:eastAsia="lt-LT"/>
                    </w:rPr>
                    <w:t>,</w:t>
                  </w:r>
                  <w:r>
                    <w:rPr>
                      <w:b/>
                      <w:szCs w:val="24"/>
                      <w:lang w:eastAsia="lt-LT"/>
                    </w:rPr>
                    <w:t xml:space="preserve"> </w:t>
                  </w:r>
                  <w:r>
                    <w:rPr>
                      <w:szCs w:val="24"/>
                    </w:rPr>
                    <w:t xml:space="preserve">gamintojams, kurie teikia </w:t>
                  </w:r>
                  <w:r>
                    <w:rPr>
                      <w:color w:val="000000"/>
                      <w:szCs w:val="24"/>
                    </w:rPr>
                    <w:t xml:space="preserve">izoliuoto elektros energetikos sistemos darbo ir (ar) totalios elektros energetikos sistemos avarijos prevencijos ar likvidavimo </w:t>
                  </w:r>
                  <w:r>
                    <w:rPr>
                      <w:szCs w:val="24"/>
                    </w:rPr>
                    <w:t>užtikrinimo paslaugas</w:t>
                  </w:r>
                  <w:r>
                    <w:rPr>
                      <w:color w:val="000000"/>
                      <w:szCs w:val="24"/>
                    </w:rPr>
                    <w:t xml:space="preserve"> ir kurių kainos reguliuojamos Elektros energetikos įstatyme nustatyta tvarka</w:t>
                  </w:r>
                  <w:r>
                    <w:rPr>
                      <w:bCs/>
                      <w:szCs w:val="24"/>
                    </w:rPr>
                    <w:t xml:space="preserve">, bei </w:t>
                  </w:r>
                  <w:r>
                    <w:rPr>
                      <w:bCs/>
                      <w:color w:val="000000"/>
                      <w:szCs w:val="24"/>
                    </w:rPr>
                    <w:t xml:space="preserve">izoliuoto darbo rezervo paslaugos </w:t>
                  </w:r>
                  <w:r>
                    <w:rPr>
                      <w:bCs/>
                      <w:szCs w:val="24"/>
                      <w:lang w:eastAsia="lt-LT"/>
                    </w:rPr>
                    <w:t xml:space="preserve">kainos viršutinę ribą </w:t>
                  </w:r>
                  <w:r>
                    <w:rPr>
                      <w:bCs/>
                      <w:color w:val="000000"/>
                      <w:szCs w:val="24"/>
                    </w:rPr>
                    <w:t>paskirtajam kaupimo sistemos operatoriui, teikiančiam izoliuoto darbo rezervo paslaugą</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3 p."/>
                <w:tag w:val="part_8539517b295f475cab9e44bcd381d75a"/>
                <w:lock w:val="sdtLocked"/>
                <w:richText/>
              </w:sdtPr>
              <w:sdtContent>
                <w:p>
                  <w:pPr>
                    <w:tabs>
                      <w:tab w:val="left" w:pos="993"/>
                    </w:tabs>
                    <w:ind w:firstLine="709"/>
                    <w:jc w:val="both"/>
                    <w:rPr>
                      <w:szCs w:val="24"/>
                    </w:rPr>
                  </w:pPr>
                  <w:sdt>
                    <w:sdtPr>
                      <w:alias w:val="Numeris"/>
                      <w:tag w:val="nr_8539517b295f475cab9e44bcd381d75a"/>
                      <w:lock w:val="sdtLocked"/>
                      <w:richText/>
                    </w:sdtPr>
                    <w:sdtContent>
                      <w:r>
                        <w:rPr>
                          <w:szCs w:val="24"/>
                        </w:rPr>
                        <w:t>3</w:t>
                      </w:r>
                    </w:sdtContent>
                  </w:sdt>
                  <w:r>
                    <w:rPr>
                      <w:szCs w:val="24"/>
                    </w:rPr>
                    <w:t>. Metodikos tikslas – nustatyti skaidrius, objektyvius ir nediskriminuojančius elektros energijos, rezervinės galios, izoliuoto elektros energetikos sistemos darbo, totalios elektros energetikos sistemos avarijos prevencijos ar likvidavimo</w:t>
                  </w:r>
                  <w:r>
                    <w:rPr>
                      <w:color w:val="000000"/>
                      <w:szCs w:val="24"/>
                    </w:rPr>
                    <w:t xml:space="preserve"> bei izoliuoto darbo rezervo</w:t>
                  </w:r>
                  <w:r>
                    <w:rPr>
                      <w:szCs w:val="24"/>
                    </w:rPr>
                    <w:t xml:space="preserve"> užtikrinimo paslaugų kainodaros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4 p."/>
                <w:tag w:val="part_d569b3a65f134996be48a22a38d6e5f0"/>
                <w:lock w:val="sdtLocked"/>
                <w:richText/>
              </w:sdtPr>
              <w:sdtContent>
                <w:p>
                  <w:pPr>
                    <w:spacing w:line="22" w:lineRule="atLeast"/>
                    <w:ind w:firstLine="709"/>
                    <w:jc w:val="both"/>
                    <w:rPr>
                      <w:szCs w:val="24"/>
                      <w:lang w:eastAsia="lt-LT"/>
                    </w:rPr>
                  </w:pPr>
                  <w:sdt>
                    <w:sdtPr>
                      <w:alias w:val="Numeris"/>
                      <w:tag w:val="nr_d569b3a65f134996be48a22a38d6e5f0"/>
                      <w:lock w:val="sdtLocked"/>
                      <w:richText/>
                    </w:sdtPr>
                    <w:sdtContent>
                      <w:r>
                        <w:rPr>
                          <w:szCs w:val="24"/>
                          <w:lang w:eastAsia="lt-LT"/>
                        </w:rPr>
                        <w:t>4</w:t>
                      </w:r>
                    </w:sdtContent>
                  </w:sdt>
                  <w:r>
                    <w:rPr>
                      <w:szCs w:val="24"/>
                      <w:lang w:eastAsia="lt-LT"/>
                    </w:rPr>
                    <w:t xml:space="preserve">. </w:t>
                  </w:r>
                  <w:r>
                    <w:rPr>
                      <w:szCs w:val="24"/>
                    </w:rPr>
                    <w:t>M</w:t>
                  </w:r>
                  <w:r>
                    <w:rPr>
                      <w:szCs w:val="24"/>
                      <w:lang w:eastAsia="lt-LT"/>
                    </w:rPr>
                    <w:t>etodikoje vartojamos sąvokos:</w:t>
                  </w:r>
                </w:p>
                <w:sdt>
                  <w:sdtPr>
                    <w:alias w:val="4.1 pp."/>
                    <w:tag w:val="part_6e66b6d4206843fc9b6fa76e4bc6f597"/>
                    <w:lock w:val="sdtLocked"/>
                    <w:richText/>
                  </w:sdtPr>
                  <w:sdtContent>
                    <w:p>
                      <w:pPr>
                        <w:spacing w:line="22" w:lineRule="atLeast"/>
                        <w:ind w:firstLine="709"/>
                        <w:jc w:val="both"/>
                        <w:rPr>
                          <w:szCs w:val="24"/>
                          <w:lang w:eastAsia="lt-LT"/>
                        </w:rPr>
                      </w:pPr>
                      <w:sdt>
                        <w:sdtPr>
                          <w:alias w:val="Numeris"/>
                          <w:tag w:val="nr_6e66b6d4206843fc9b6fa76e4bc6f597"/>
                          <w:lock w:val="sdtLocked"/>
                          <w:richText/>
                        </w:sdtPr>
                        <w:sdtContent>
                          <w:r>
                            <w:rPr>
                              <w:szCs w:val="24"/>
                              <w:lang w:eastAsia="lt-LT"/>
                            </w:rPr>
                            <w:t>4.1</w:t>
                          </w:r>
                        </w:sdtContent>
                      </w:sdt>
                      <w:r>
                        <w:rPr>
                          <w:szCs w:val="24"/>
                          <w:lang w:eastAsia="lt-LT"/>
                        </w:rPr>
                        <w:t xml:space="preserve">. </w:t>
                      </w:r>
                      <w:r>
                        <w:rPr>
                          <w:b/>
                          <w:szCs w:val="24"/>
                          <w:lang w:eastAsia="lt-LT"/>
                        </w:rPr>
                        <w:t>Asmuo</w:t>
                      </w:r>
                      <w:r>
                        <w:rPr>
                          <w:szCs w:val="24"/>
                          <w:lang w:eastAsia="lt-LT"/>
                        </w:rPr>
                        <w:t xml:space="preserve"> – elektros energijos gamintojas, teikiantis Aprašo 7.3 ir 7.4 </w:t>
                      </w:r>
                      <w:r>
                        <w:rPr>
                          <w:szCs w:val="24"/>
                        </w:rPr>
                        <w:t xml:space="preserve">papunkčiuose </w:t>
                      </w:r>
                      <w:r>
                        <w:rPr>
                          <w:szCs w:val="24"/>
                          <w:lang w:eastAsia="lt-LT"/>
                        </w:rPr>
                        <w:t>nurodytas paslaugas, gamintojas arba nepriklausomas tiekėjas, motyvuotu Tarybos sprendimu pripažintas turinčiu didelę įtaką elektros energijos rinkoje ir (ar) rezervinės galios užtikrinimo paslaugų rinkoje</w:t>
                      </w:r>
                      <w:r>
                        <w:rPr>
                          <w:b/>
                          <w:szCs w:val="24"/>
                          <w:lang w:eastAsia="lt-LT"/>
                        </w:rPr>
                        <w:t>,</w:t>
                      </w:r>
                      <w:r>
                        <w:rPr>
                          <w:szCs w:val="24"/>
                          <w:lang w:eastAsia="lt-LT"/>
                        </w:rPr>
                        <w:t xml:space="preserve"> </w:t>
                      </w:r>
                      <w:r>
                        <w:rPr>
                          <w:strike/>
                          <w:szCs w:val="24"/>
                          <w:lang w:eastAsia="lt-LT"/>
                        </w:rPr>
                        <w:t xml:space="preserve">bei </w:t>
                      </w:r>
                      <w:r>
                        <w:rPr>
                          <w:szCs w:val="24"/>
                        </w:rPr>
                        <w:t xml:space="preserve">gamintojas, kuris teikia </w:t>
                      </w:r>
                      <w:r>
                        <w:rPr>
                          <w:color w:val="000000"/>
                          <w:szCs w:val="24"/>
                        </w:rPr>
                        <w:t>izoliuoto elektros energetikos sistemos darbo ir (ar) totalios elektros energetikos sistemos avarijos prevencijos ar likvidavimo paslaugas ir kurio kainos reguliuojamos Elektros energetikos įstatyme nustatyta tvarka, bei paskirtasis kaupimo sistemos operatorius, teikiantis izoliuoto darbo rezervo paslaugą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4.2 pp."/>
                    <w:tag w:val="part_928dc3d72b254387abfd457c39127c30"/>
                    <w:lock w:val="sdtLocked"/>
                    <w:richText/>
                  </w:sdtPr>
                  <w:sdtContent>
                    <w:p>
                      <w:pPr>
                        <w:spacing w:line="22" w:lineRule="atLeast"/>
                        <w:ind w:firstLine="709"/>
                        <w:jc w:val="both"/>
                        <w:rPr>
                          <w:szCs w:val="24"/>
                          <w:lang w:eastAsia="lt-LT"/>
                        </w:rPr>
                      </w:pPr>
                      <w:sdt>
                        <w:sdtPr>
                          <w:alias w:val="Numeris"/>
                          <w:tag w:val="nr_928dc3d72b254387abfd457c39127c30"/>
                          <w:lock w:val="sdtLocked"/>
                          <w:richText/>
                        </w:sdtPr>
                        <w:sdtContent>
                          <w:r>
                            <w:rPr>
                              <w:szCs w:val="24"/>
                              <w:lang w:eastAsia="lt-LT"/>
                            </w:rPr>
                            <w:t>4.2</w:t>
                          </w:r>
                        </w:sdtContent>
                      </w:sdt>
                      <w:r>
                        <w:rPr>
                          <w:szCs w:val="24"/>
                          <w:lang w:eastAsia="lt-LT"/>
                        </w:rPr>
                        <w:t xml:space="preserve">. </w:t>
                      </w:r>
                      <w:r>
                        <w:rPr>
                          <w:b/>
                          <w:szCs w:val="24"/>
                          <w:lang w:eastAsia="lt-LT"/>
                        </w:rPr>
                        <w:t>Reguliavimo apskaitos (apskaitos atskyrimo ir sąnaudų paskirstymo) sistema</w:t>
                      </w:r>
                      <w:r>
                        <w:rPr>
                          <w:szCs w:val="24"/>
                          <w:lang w:eastAsia="lt-LT"/>
                        </w:rPr>
                        <w:t xml:space="preserve"> – veiklos apskaitos sistema, apimanti apskaitos atskyrimą ir sąnaudų paskirstymą, suformuota ir naudojama reguliavimo tikslais. </w:t>
                      </w:r>
                    </w:p>
                  </w:sdtContent>
                </w:sdt>
              </w:sdtContent>
            </w:sdt>
            <w:sdt>
              <w:sdtPr>
                <w:alias w:val="5 p."/>
                <w:tag w:val="part_e7362eb94a6d4660b8b0a74df371bbff"/>
                <w:lock w:val="sdtLocked"/>
                <w:richText/>
              </w:sdtPr>
              <w:sdtContent>
                <w:p>
                  <w:pPr>
                    <w:spacing w:line="22" w:lineRule="atLeast"/>
                    <w:ind w:firstLine="709"/>
                    <w:jc w:val="both"/>
                    <w:rPr>
                      <w:szCs w:val="24"/>
                    </w:rPr>
                  </w:pPr>
                  <w:sdt>
                    <w:sdtPr>
                      <w:alias w:val="Numeris"/>
                      <w:tag w:val="nr_e7362eb94a6d4660b8b0a74df371bbff"/>
                      <w:lock w:val="sdtLocked"/>
                      <w:richText/>
                    </w:sdtPr>
                    <w:sdtContent>
                      <w:r>
                        <w:rPr>
                          <w:szCs w:val="24"/>
                        </w:rPr>
                        <w:t>5</w:t>
                      </w:r>
                    </w:sdtContent>
                  </w:sdt>
                  <w:r>
                    <w:rPr>
                      <w:szCs w:val="24"/>
                    </w:rPr>
                    <w:t xml:space="preserve">. </w:t>
                  </w:r>
                  <w:r>
                    <w:rPr>
                      <w:szCs w:val="24"/>
                      <w:lang w:eastAsia="lt-LT"/>
                    </w:rPr>
                    <w:t>Kitos šioje Metodikoje vartojamos sąvokos suprantamos taip, kaip jos apibrėžtos Lietuvos Respublikos energetikos įstatyme, Elektros energetikos įstatyme taip pat kituose įstatymuose ir teisės aktuose.</w:t>
                  </w:r>
                </w:p>
                <w:p>
                  <w:pPr>
                    <w:spacing w:line="22" w:lineRule="atLeast"/>
                    <w:ind w:firstLine="709"/>
                    <w:rPr>
                      <w:szCs w:val="24"/>
                    </w:rPr>
                  </w:pPr>
                </w:p>
              </w:sdtContent>
            </w:sdt>
          </w:sdtContent>
        </w:sdt>
        <w:sdt>
          <w:sdtPr>
            <w:alias w:val="skyrius"/>
            <w:tag w:val="part_ceccde039e2d47c98f14ca865e9a5c9a"/>
            <w:lock w:val="sdtLocked"/>
            <w:richText/>
          </w:sdtPr>
          <w:sdtContent>
            <w:p>
              <w:pPr>
                <w:spacing w:line="22" w:lineRule="atLeast"/>
                <w:ind w:firstLine="709"/>
                <w:jc w:val="center"/>
                <w:rPr>
                  <w:b/>
                  <w:szCs w:val="24"/>
                </w:rPr>
              </w:pPr>
              <w:sdt>
                <w:sdtPr>
                  <w:alias w:val="Numeris"/>
                  <w:tag w:val="nr_ceccde039e2d47c98f14ca865e9a5c9a"/>
                  <w:lock w:val="sdtLocked"/>
                  <w:richText/>
                </w:sdtPr>
                <w:sdtContent>
                  <w:r>
                    <w:rPr>
                      <w:b/>
                      <w:szCs w:val="24"/>
                    </w:rPr>
                    <w:t>II</w:t>
                  </w:r>
                </w:sdtContent>
              </w:sdt>
              <w:r>
                <w:rPr>
                  <w:b/>
                  <w:szCs w:val="24"/>
                </w:rPr>
                <w:t xml:space="preserve"> SKYRIUS</w:t>
              </w:r>
            </w:p>
            <w:p>
              <w:pPr>
                <w:spacing w:line="22" w:lineRule="atLeast"/>
                <w:ind w:firstLine="771"/>
                <w:jc w:val="center"/>
                <w:rPr>
                  <w:b/>
                  <w:szCs w:val="24"/>
                </w:rPr>
              </w:pPr>
              <w:sdt>
                <w:sdtPr>
                  <w:alias w:val="Pavadinimas"/>
                  <w:tag w:val="title_ceccde039e2d47c98f14ca865e9a5c9a"/>
                  <w:lock w:val="sdtLocked"/>
                  <w:richText/>
                </w:sdtPr>
                <w:sdtContent>
                  <w:r>
                    <w:rPr>
                      <w:b/>
                      <w:szCs w:val="24"/>
                    </w:rPr>
                    <w:t>APSKAITOS ATSKYRIMAS</w:t>
                  </w:r>
                </w:sdtContent>
              </w:sdt>
            </w:p>
            <w:p>
              <w:pPr>
                <w:spacing w:line="22" w:lineRule="atLeast"/>
                <w:ind w:firstLine="709"/>
                <w:jc w:val="both"/>
                <w:rPr>
                  <w:b/>
                  <w:szCs w:val="24"/>
                </w:rPr>
              </w:pPr>
            </w:p>
            <w:sdt>
              <w:sdtPr>
                <w:alias w:val="6 p."/>
                <w:tag w:val="part_92fc563b82e64f099dbaca82a110574e"/>
                <w:lock w:val="sdtLocked"/>
                <w:richText/>
              </w:sdtPr>
              <w:sdtContent>
                <w:p>
                  <w:pPr>
                    <w:spacing w:line="22" w:lineRule="atLeast"/>
                    <w:ind w:firstLine="709"/>
                    <w:jc w:val="both"/>
                    <w:rPr>
                      <w:szCs w:val="24"/>
                    </w:rPr>
                  </w:pPr>
                  <w:sdt>
                    <w:sdtPr>
                      <w:alias w:val="Numeris"/>
                      <w:tag w:val="nr_92fc563b82e64f099dbaca82a110574e"/>
                      <w:lock w:val="sdtLocked"/>
                      <w:richText/>
                    </w:sdtPr>
                    <w:sdtContent>
                      <w:r>
                        <w:rPr>
                          <w:szCs w:val="24"/>
                        </w:rPr>
                        <w:t>6</w:t>
                      </w:r>
                    </w:sdtContent>
                  </w:sdt>
                  <w:r>
                    <w:rPr>
                      <w:szCs w:val="24"/>
                    </w:rPr>
                    <w:t xml:space="preserve">. Asmenys, išskyrus Asmenis, kuriems pagal </w:t>
                  </w:r>
                  <w:r>
                    <w:rPr>
                      <w:szCs w:val="24"/>
                      <w:lang w:eastAsia="lt-LT"/>
                    </w:rPr>
                    <w:t xml:space="preserve">Metodikos 22, 23, 31 ir 32 punktų reikalavimus yra nustatyta </w:t>
                  </w:r>
                  <w:r>
                    <w:rPr>
                      <w:szCs w:val="24"/>
                    </w:rPr>
                    <w:t xml:space="preserve">tretinio aktyviosios galios rezervo paslaugos kainų viršutinė riba arba izoliuoto elektros energetikos sistemos darbo paslaugos kainos viršutinė riba, rengia reguliavimo apskaitos sistemą ir teikia Tarybai </w:t>
                  </w:r>
                  <w:r>
                    <w:rPr>
                      <w:color w:val="000000"/>
                      <w:szCs w:val="24"/>
                    </w:rPr>
                    <w:t>reguliuojamos veiklos ataskaitas</w:t>
                  </w:r>
                  <w:r>
                    <w:rPr>
                      <w:szCs w:val="24"/>
                    </w:rPr>
                    <w:t xml:space="preserve"> vadovaudamiesi Elektros energetikos įmonių apskaitos atskyrimo ir sąnaudų paskirstymo reikalavimų aprašu, patvirtintu Valstybinės kainų ir energetikos kontrolės komisijos 2018 m. gruodžio 21 d. nutarimu Nr. O3E-468 „Dėl Elektros energetikos įmonių apskaitos atskyrimo ir sąnaudų paskirstymo reikalavimų aprašo patvirtinimo“ (toliau – Sąnaudų aprašas).</w:t>
                  </w:r>
                </w:p>
                <w:p>
                  <w:pPr>
                    <w:spacing w:line="22" w:lineRule="atLeast"/>
                    <w:ind w:firstLine="709"/>
                    <w:jc w:val="both"/>
                    <w:rPr>
                      <w:szCs w:val="24"/>
                    </w:rPr>
                  </w:pPr>
                </w:p>
              </w:sdtContent>
            </w:sdt>
          </w:sdtContent>
        </w:sdt>
        <w:sdt>
          <w:sdtPr>
            <w:alias w:val="skyrius"/>
            <w:tag w:val="part_8fd9b0daa781459a8114d270764e76a1"/>
            <w:lock w:val="sdtLocked"/>
            <w:richText/>
          </w:sdtPr>
          <w:sdtContent>
            <w:p>
              <w:pPr>
                <w:spacing w:line="22" w:lineRule="atLeast"/>
                <w:ind w:firstLine="709"/>
                <w:jc w:val="center"/>
                <w:rPr>
                  <w:b/>
                  <w:szCs w:val="24"/>
                </w:rPr>
              </w:pPr>
              <w:sdt>
                <w:sdtPr>
                  <w:alias w:val="Numeris"/>
                  <w:tag w:val="nr_8fd9b0daa781459a8114d270764e76a1"/>
                  <w:lock w:val="sdtLocked"/>
                  <w:richText/>
                </w:sdtPr>
                <w:sdtContent>
                  <w:r>
                    <w:rPr>
                      <w:b/>
                      <w:szCs w:val="24"/>
                    </w:rPr>
                    <w:t>III</w:t>
                  </w:r>
                </w:sdtContent>
              </w:sdt>
              <w:r>
                <w:rPr>
                  <w:b/>
                  <w:szCs w:val="24"/>
                </w:rPr>
                <w:t xml:space="preserve"> SKYRIUS</w:t>
              </w:r>
            </w:p>
            <w:p>
              <w:pPr>
                <w:spacing w:line="22" w:lineRule="atLeast"/>
                <w:ind w:firstLine="709"/>
                <w:jc w:val="center"/>
                <w:rPr>
                  <w:b/>
                  <w:szCs w:val="24"/>
                </w:rPr>
              </w:pPr>
              <w:sdt>
                <w:sdtPr>
                  <w:alias w:val="Pavadinimas"/>
                  <w:tag w:val="title_8fd9b0daa781459a8114d270764e76a1"/>
                  <w:lock w:val="sdtLocked"/>
                  <w:richText/>
                </w:sdtPr>
                <w:sdtContent>
                  <w:r>
                    <w:rPr>
                      <w:b/>
                      <w:szCs w:val="24"/>
                    </w:rPr>
                    <w:t>SĄNAUDŲ NUSTATYMAS</w:t>
                  </w:r>
                </w:sdtContent>
              </w:sdt>
            </w:p>
            <w:p>
              <w:pPr>
                <w:spacing w:line="22" w:lineRule="atLeast"/>
                <w:ind w:firstLine="709"/>
                <w:jc w:val="both"/>
                <w:rPr>
                  <w:szCs w:val="24"/>
                </w:rPr>
              </w:pPr>
            </w:p>
            <w:sdt>
              <w:sdtPr>
                <w:alias w:val="7 p."/>
                <w:tag w:val="part_8f1f2532286641b59b520dd1b4f262fc"/>
                <w:lock w:val="sdtLocked"/>
                <w:richText/>
              </w:sdtPr>
              <w:sdtContent>
                <w:p>
                  <w:pPr>
                    <w:spacing w:line="22" w:lineRule="atLeast"/>
                    <w:ind w:firstLine="709"/>
                    <w:jc w:val="both"/>
                    <w:rPr>
                      <w:szCs w:val="24"/>
                    </w:rPr>
                  </w:pPr>
                  <w:sdt>
                    <w:sdtPr>
                      <w:alias w:val="Numeris"/>
                      <w:tag w:val="nr_8f1f2532286641b59b520dd1b4f262fc"/>
                      <w:lock w:val="sdtLocked"/>
                      <w:richText/>
                    </w:sdtPr>
                    <w:sdtContent>
                      <w:r>
                        <w:rPr>
                          <w:szCs w:val="24"/>
                        </w:rPr>
                        <w:t>7</w:t>
                      </w:r>
                    </w:sdtContent>
                  </w:sdt>
                  <w:r>
                    <w:rPr>
                      <w:szCs w:val="24"/>
                    </w:rPr>
                    <w:t>. Asmuo, teikdamas Tarybai reguliuojamų paslaugų (produktų) kainų nustatymo projektus, veikloje patiriamas sąnaudas nustato pagal Sąnaudų aprašo ir Metodikos reikalavimus. Asmuo, teikdamas Tarybai reguliuojamų paslaugų (produktų) kainų nustatymo projektus, privalo:</w:t>
                  </w:r>
                </w:p>
                <w:sdt>
                  <w:sdtPr>
                    <w:alias w:val="7.1 pp."/>
                    <w:tag w:val="part_831274a3f639407fa959d4a8ae50d894"/>
                    <w:lock w:val="sdtLocked"/>
                    <w:richText/>
                  </w:sdtPr>
                  <w:sdtContent>
                    <w:p>
                      <w:pPr>
                        <w:spacing w:line="22" w:lineRule="atLeast"/>
                        <w:ind w:firstLine="709"/>
                        <w:jc w:val="both"/>
                        <w:rPr>
                          <w:szCs w:val="24"/>
                        </w:rPr>
                      </w:pPr>
                      <w:sdt>
                        <w:sdtPr>
                          <w:alias w:val="Numeris"/>
                          <w:tag w:val="nr_831274a3f639407fa959d4a8ae50d894"/>
                          <w:lock w:val="sdtLocked"/>
                          <w:richText/>
                        </w:sdtPr>
                        <w:sdtContent>
                          <w:r>
                            <w:rPr>
                              <w:szCs w:val="24"/>
                            </w:rPr>
                            <w:t>7.1</w:t>
                          </w:r>
                        </w:sdtContent>
                      </w:sdt>
                      <w:r>
                        <w:rPr>
                          <w:szCs w:val="24"/>
                        </w:rPr>
                        <w:t>. suskirstyti teikiamas sąnaudas į Metodikos 8 punkte nurodytas sąnaudų grupes. Asmuo, užtikrindamas sąnaudų paskirstymo principų įgyvendinimą, gali skirstyti sąnaudas į detalesnes grupes, nei nurodyta šios Metodikos 8 punkte;</w:t>
                      </w:r>
                    </w:p>
                  </w:sdtContent>
                </w:sdt>
                <w:sdt>
                  <w:sdtPr>
                    <w:alias w:val="7.2 pp."/>
                    <w:tag w:val="part_757307b6bf1d41a28b04ef030dfcc2c3"/>
                    <w:lock w:val="sdtLocked"/>
                    <w:richText/>
                  </w:sdtPr>
                  <w:sdtContent>
                    <w:p>
                      <w:pPr>
                        <w:spacing w:line="22" w:lineRule="atLeast"/>
                        <w:ind w:firstLine="709"/>
                        <w:jc w:val="both"/>
                        <w:rPr>
                          <w:szCs w:val="24"/>
                        </w:rPr>
                      </w:pPr>
                      <w:sdt>
                        <w:sdtPr>
                          <w:alias w:val="Numeris"/>
                          <w:tag w:val="nr_757307b6bf1d41a28b04ef030dfcc2c3"/>
                          <w:lock w:val="sdtLocked"/>
                          <w:richText/>
                        </w:sdtPr>
                        <w:sdtContent>
                          <w:r>
                            <w:rPr>
                              <w:szCs w:val="24"/>
                            </w:rPr>
                            <w:t>7.2</w:t>
                          </w:r>
                        </w:sdtContent>
                      </w:sdt>
                      <w:r>
                        <w:rPr>
                          <w:szCs w:val="24"/>
                        </w:rPr>
                        <w:t>. užtikrinti, kad būtų galimybė patikrinti sąnaudų pateikimo išsamumą bei sąnaudų prognozių sudarymo prielaidas.</w:t>
                      </w:r>
                    </w:p>
                  </w:sdtContent>
                </w:sdt>
              </w:sdtContent>
            </w:sdt>
            <w:sdt>
              <w:sdtPr>
                <w:alias w:val="8 p."/>
                <w:tag w:val="part_8047427ed42c40f782aac4806dd703b1"/>
                <w:lock w:val="sdtLocked"/>
                <w:richText/>
              </w:sdtPr>
              <w:sdtContent>
                <w:p>
                  <w:pPr>
                    <w:spacing w:line="22" w:lineRule="atLeast"/>
                    <w:ind w:firstLine="709"/>
                    <w:jc w:val="both"/>
                    <w:rPr>
                      <w:szCs w:val="24"/>
                    </w:rPr>
                  </w:pPr>
                  <w:sdt>
                    <w:sdtPr>
                      <w:alias w:val="Numeris"/>
                      <w:tag w:val="nr_8047427ed42c40f782aac4806dd703b1"/>
                      <w:lock w:val="sdtLocked"/>
                      <w:richText/>
                    </w:sdtPr>
                    <w:sdtContent>
                      <w:r>
                        <w:rPr>
                          <w:szCs w:val="24"/>
                        </w:rPr>
                        <w:t>8</w:t>
                      </w:r>
                    </w:sdtContent>
                  </w:sdt>
                  <w:r>
                    <w:rPr>
                      <w:szCs w:val="24"/>
                    </w:rPr>
                    <w:t xml:space="preserve">. Asmens, teikiančio Tarybai reguliuojamų paslaugų (produktų) kainų nustatymo projektus,  patiriamos sąnaudos turi būti suskirstomos bent į šias sąnaudų grupes:</w:t>
                  </w:r>
                </w:p>
                <w:sdt>
                  <w:sdtPr>
                    <w:alias w:val="8.1 pp."/>
                    <w:tag w:val="part_7a6454cfd91f4d219afc225b86e622da"/>
                    <w:lock w:val="sdtLocked"/>
                    <w:richText/>
                  </w:sdtPr>
                  <w:sdtContent>
                    <w:p>
                      <w:pPr>
                        <w:spacing w:line="22" w:lineRule="atLeast"/>
                        <w:ind w:firstLine="709"/>
                        <w:jc w:val="both"/>
                        <w:rPr>
                          <w:szCs w:val="24"/>
                        </w:rPr>
                      </w:pPr>
                      <w:sdt>
                        <w:sdtPr>
                          <w:alias w:val="Numeris"/>
                          <w:tag w:val="nr_7a6454cfd91f4d219afc225b86e622da"/>
                          <w:lock w:val="sdtLocked"/>
                          <w:richText/>
                        </w:sdtPr>
                        <w:sdtContent>
                          <w:r>
                            <w:rPr>
                              <w:szCs w:val="24"/>
                            </w:rPr>
                            <w:t>8.1</w:t>
                          </w:r>
                        </w:sdtContent>
                      </w:sdt>
                      <w:r>
                        <w:rPr>
                          <w:szCs w:val="24"/>
                        </w:rPr>
                        <w:t>. kuro elektros energijos gamybai sąnaudos;</w:t>
                      </w:r>
                    </w:p>
                  </w:sdtContent>
                </w:sdt>
                <w:sdt>
                  <w:sdtPr>
                    <w:alias w:val="8.2 pp."/>
                    <w:tag w:val="part_03d89caae08f451283dc61298ffd4685"/>
                    <w:lock w:val="sdtLocked"/>
                    <w:richText/>
                  </w:sdtPr>
                  <w:sdtContent>
                    <w:p>
                      <w:pPr>
                        <w:spacing w:line="22" w:lineRule="atLeast"/>
                        <w:ind w:firstLine="709"/>
                        <w:jc w:val="both"/>
                        <w:rPr>
                          <w:szCs w:val="24"/>
                        </w:rPr>
                      </w:pPr>
                      <w:sdt>
                        <w:sdtPr>
                          <w:alias w:val="Numeris"/>
                          <w:tag w:val="nr_03d89caae08f451283dc61298ffd4685"/>
                          <w:lock w:val="sdtLocked"/>
                          <w:richText/>
                        </w:sdtPr>
                        <w:sdtContent>
                          <w:r>
                            <w:rPr>
                              <w:szCs w:val="24"/>
                            </w:rPr>
                            <w:t>8.2</w:t>
                          </w:r>
                        </w:sdtContent>
                      </w:sdt>
                      <w:r>
                        <w:rPr>
                          <w:szCs w:val="24"/>
                        </w:rPr>
                        <w:t xml:space="preserve">. apyvartinių taršos leidimų įsigijimo sąnaudos; </w:t>
                      </w:r>
                    </w:p>
                  </w:sdtContent>
                </w:sdt>
                <w:sdt>
                  <w:sdtPr>
                    <w:alias w:val="8.3 pp."/>
                    <w:tag w:val="part_575776d385534292b6f4253c14bf9db5"/>
                    <w:lock w:val="sdtLocked"/>
                    <w:richText/>
                  </w:sdtPr>
                  <w:sdtContent>
                    <w:p>
                      <w:pPr>
                        <w:spacing w:line="22" w:lineRule="atLeast"/>
                        <w:ind w:firstLine="709"/>
                        <w:jc w:val="both"/>
                        <w:rPr>
                          <w:szCs w:val="24"/>
                        </w:rPr>
                      </w:pPr>
                      <w:sdt>
                        <w:sdtPr>
                          <w:alias w:val="Numeris"/>
                          <w:tag w:val="nr_575776d385534292b6f4253c14bf9db5"/>
                          <w:lock w:val="sdtLocked"/>
                          <w:richText/>
                        </w:sdtPr>
                        <w:sdtContent>
                          <w:r>
                            <w:rPr>
                              <w:szCs w:val="24"/>
                            </w:rPr>
                            <w:t>8.3</w:t>
                          </w:r>
                        </w:sdtContent>
                      </w:sdt>
                      <w:r>
                        <w:rPr>
                          <w:szCs w:val="24"/>
                        </w:rPr>
                        <w:t>. reagentų nusierinimo sąnaudos;</w:t>
                      </w:r>
                    </w:p>
                  </w:sdtContent>
                </w:sdt>
                <w:sdt>
                  <w:sdtPr>
                    <w:alias w:val="8.4 pp."/>
                    <w:tag w:val="part_611786746e13488fa13b04b78f584d68"/>
                    <w:lock w:val="sdtLocked"/>
                    <w:richText/>
                  </w:sdtPr>
                  <w:sdtContent>
                    <w:p>
                      <w:pPr>
                        <w:spacing w:line="22" w:lineRule="atLeast"/>
                        <w:ind w:firstLine="709"/>
                        <w:jc w:val="both"/>
                        <w:rPr>
                          <w:szCs w:val="24"/>
                        </w:rPr>
                      </w:pPr>
                      <w:sdt>
                        <w:sdtPr>
                          <w:alias w:val="Numeris"/>
                          <w:tag w:val="nr_611786746e13488fa13b04b78f584d68"/>
                          <w:lock w:val="sdtLocked"/>
                          <w:richText/>
                        </w:sdtPr>
                        <w:sdtContent>
                          <w:r>
                            <w:rPr>
                              <w:szCs w:val="24"/>
                            </w:rPr>
                            <w:t>8.4</w:t>
                          </w:r>
                        </w:sdtContent>
                      </w:sdt>
                      <w:r>
                        <w:rPr>
                          <w:szCs w:val="24"/>
                        </w:rPr>
                        <w:t>. elektros energijos įsigijimo sąnaudos;</w:t>
                      </w:r>
                    </w:p>
                  </w:sdtContent>
                </w:sdt>
                <w:sdt>
                  <w:sdtPr>
                    <w:alias w:val="8.5 pp."/>
                    <w:tag w:val="part_8f8a727e98ec423eb986a634287d576c"/>
                    <w:lock w:val="sdtLocked"/>
                    <w:richText/>
                  </w:sdtPr>
                  <w:sdtContent>
                    <w:p>
                      <w:pPr>
                        <w:spacing w:line="22" w:lineRule="atLeast"/>
                        <w:ind w:firstLine="709"/>
                        <w:jc w:val="both"/>
                        <w:rPr>
                          <w:szCs w:val="24"/>
                        </w:rPr>
                      </w:pPr>
                      <w:sdt>
                        <w:sdtPr>
                          <w:alias w:val="Numeris"/>
                          <w:tag w:val="nr_8f8a727e98ec423eb986a634287d576c"/>
                          <w:lock w:val="sdtLocked"/>
                          <w:richText/>
                        </w:sdtPr>
                        <w:sdtContent>
                          <w:r>
                            <w:rPr>
                              <w:szCs w:val="24"/>
                            </w:rPr>
                            <w:t>8.5</w:t>
                          </w:r>
                        </w:sdtContent>
                      </w:sdt>
                      <w:r>
                        <w:rPr>
                          <w:szCs w:val="24"/>
                        </w:rPr>
                        <w:t>. nusidėvėjimo (amortizacijos) sąnaudos;</w:t>
                      </w:r>
                    </w:p>
                  </w:sdtContent>
                </w:sdt>
                <w:sdt>
                  <w:sdtPr>
                    <w:alias w:val="8.6 pp."/>
                    <w:tag w:val="part_8dd02c34fb64479399411c6f084982a1"/>
                    <w:lock w:val="sdtLocked"/>
                    <w:richText/>
                  </w:sdtPr>
                  <w:sdtContent>
                    <w:p>
                      <w:pPr>
                        <w:tabs>
                          <w:tab w:val="left" w:pos="993"/>
                        </w:tabs>
                        <w:ind w:left="709"/>
                        <w:jc w:val="both"/>
                        <w:rPr>
                          <w:szCs w:val="24"/>
                        </w:rPr>
                      </w:pPr>
                      <w:sdt>
                        <w:sdtPr>
                          <w:alias w:val="Numeris"/>
                          <w:tag w:val="nr_8dd02c34fb64479399411c6f084982a1"/>
                          <w:lock w:val="sdtLocked"/>
                          <w:richText/>
                        </w:sdtPr>
                        <w:sdtContent>
                          <w:r>
                            <w:rPr>
                              <w:szCs w:val="24"/>
                            </w:rPr>
                            <w:t>8.6</w:t>
                          </w:r>
                        </w:sdtContent>
                      </w:sdt>
                      <w:r>
                        <w:rPr>
                          <w:szCs w:val="24"/>
                        </w:rPr>
                        <w:t>. remonto, techninės priežiūros ir eksploatavimo sąnaudos;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8.7 pp."/>
                    <w:tag w:val="part_193047b5d4e64636b666cf4453c0618c"/>
                    <w:lock w:val="sdtLocked"/>
                    <w:richText/>
                  </w:sdtPr>
                  <w:sdtContent>
                    <w:p>
                      <w:pPr>
                        <w:spacing w:line="22" w:lineRule="atLeast"/>
                        <w:ind w:firstLine="709"/>
                        <w:jc w:val="both"/>
                        <w:rPr>
                          <w:szCs w:val="24"/>
                        </w:rPr>
                      </w:pPr>
                      <w:sdt>
                        <w:sdtPr>
                          <w:alias w:val="Numeris"/>
                          <w:tag w:val="nr_193047b5d4e64636b666cf4453c0618c"/>
                          <w:lock w:val="sdtLocked"/>
                          <w:richText/>
                        </w:sdtPr>
                        <w:sdtContent>
                          <w:r>
                            <w:rPr>
                              <w:szCs w:val="24"/>
                            </w:rPr>
                            <w:t>8.7</w:t>
                          </w:r>
                        </w:sdtContent>
                      </w:sdt>
                      <w:r>
                        <w:rPr>
                          <w:szCs w:val="24"/>
                        </w:rPr>
                        <w:t>. personalo sąnaudos;</w:t>
                      </w:r>
                    </w:p>
                  </w:sdtContent>
                </w:sdt>
                <w:sdt>
                  <w:sdtPr>
                    <w:alias w:val="8.8 pp."/>
                    <w:tag w:val="part_577e2fdeb4c44b31bbbd567102558a94"/>
                    <w:lock w:val="sdtLocked"/>
                    <w:richText/>
                  </w:sdtPr>
                  <w:sdtContent>
                    <w:p>
                      <w:pPr>
                        <w:spacing w:line="22" w:lineRule="atLeast"/>
                        <w:ind w:firstLine="709"/>
                        <w:jc w:val="both"/>
                        <w:rPr>
                          <w:szCs w:val="24"/>
                        </w:rPr>
                      </w:pPr>
                      <w:sdt>
                        <w:sdtPr>
                          <w:alias w:val="Numeris"/>
                          <w:tag w:val="nr_577e2fdeb4c44b31bbbd567102558a94"/>
                          <w:lock w:val="sdtLocked"/>
                          <w:richText/>
                        </w:sdtPr>
                        <w:sdtContent>
                          <w:r>
                            <w:rPr>
                              <w:szCs w:val="24"/>
                            </w:rPr>
                            <w:t>8.8</w:t>
                          </w:r>
                        </w:sdtContent>
                      </w:sdt>
                      <w:r>
                        <w:rPr>
                          <w:szCs w:val="24"/>
                        </w:rPr>
                        <w:t>. mokesčių sąnaudos;</w:t>
                      </w:r>
                    </w:p>
                  </w:sdtContent>
                </w:sdt>
                <w:sdt>
                  <w:sdtPr>
                    <w:alias w:val="8.9 pp."/>
                    <w:tag w:val="part_a996d8831fc5476ca12a164586cd1bb3"/>
                    <w:lock w:val="sdtLocked"/>
                    <w:richText/>
                  </w:sdtPr>
                  <w:sdtContent>
                    <w:p>
                      <w:pPr>
                        <w:spacing w:line="22" w:lineRule="atLeast"/>
                        <w:ind w:firstLine="709"/>
                        <w:jc w:val="both"/>
                        <w:rPr>
                          <w:szCs w:val="24"/>
                        </w:rPr>
                      </w:pPr>
                      <w:sdt>
                        <w:sdtPr>
                          <w:alias w:val="Numeris"/>
                          <w:tag w:val="nr_a996d8831fc5476ca12a164586cd1bb3"/>
                          <w:lock w:val="sdtLocked"/>
                          <w:richText/>
                        </w:sdtPr>
                        <w:sdtContent>
                          <w:r>
                            <w:rPr>
                              <w:szCs w:val="24"/>
                            </w:rPr>
                            <w:t>8.9</w:t>
                          </w:r>
                        </w:sdtContent>
                      </w:sdt>
                      <w:r>
                        <w:rPr>
                          <w:szCs w:val="24"/>
                        </w:rPr>
                        <w:t>. finansinės sąnaudos;</w:t>
                      </w:r>
                    </w:p>
                  </w:sdtContent>
                </w:sdt>
                <w:sdt>
                  <w:sdtPr>
                    <w:alias w:val="8.10 pp."/>
                    <w:tag w:val="part_61c684cb662645148391c082a5c51a5b"/>
                    <w:lock w:val="sdtLocked"/>
                    <w:richText/>
                  </w:sdtPr>
                  <w:sdtContent>
                    <w:p>
                      <w:pPr>
                        <w:spacing w:line="22" w:lineRule="atLeast"/>
                        <w:ind w:firstLine="709"/>
                        <w:jc w:val="both"/>
                        <w:rPr>
                          <w:szCs w:val="24"/>
                        </w:rPr>
                      </w:pPr>
                      <w:sdt>
                        <w:sdtPr>
                          <w:alias w:val="Numeris"/>
                          <w:tag w:val="nr_61c684cb662645148391c082a5c51a5b"/>
                          <w:lock w:val="sdtLocked"/>
                          <w:richText/>
                        </w:sdtPr>
                        <w:sdtContent>
                          <w:r>
                            <w:rPr>
                              <w:szCs w:val="24"/>
                            </w:rPr>
                            <w:t>8.10</w:t>
                          </w:r>
                        </w:sdtContent>
                      </w:sdt>
                      <w:r>
                        <w:rPr>
                          <w:szCs w:val="24"/>
                        </w:rPr>
                        <w:t>. administracinės sąnaudos;</w:t>
                      </w:r>
                    </w:p>
                  </w:sdtContent>
                </w:sdt>
                <w:sdt>
                  <w:sdtPr>
                    <w:alias w:val="8.11 pp."/>
                    <w:tag w:val="part_117eb20724d3495d85296baf36fec4b0"/>
                    <w:lock w:val="sdtLocked"/>
                    <w:richText/>
                  </w:sdtPr>
                  <w:sdtContent>
                    <w:p>
                      <w:pPr>
                        <w:tabs>
                          <w:tab w:val="left" w:pos="1134"/>
                        </w:tabs>
                        <w:spacing w:line="22" w:lineRule="atLeast"/>
                        <w:ind w:firstLine="709"/>
                        <w:jc w:val="both"/>
                        <w:rPr>
                          <w:color w:val="000000"/>
                          <w:szCs w:val="24"/>
                        </w:rPr>
                      </w:pPr>
                      <w:sdt>
                        <w:sdtPr>
                          <w:alias w:val="Numeris"/>
                          <w:tag w:val="nr_117eb20724d3495d85296baf36fec4b0"/>
                          <w:lock w:val="sdtLocked"/>
                          <w:richText/>
                        </w:sdtPr>
                        <w:sdtContent>
                          <w:r>
                            <w:rPr>
                              <w:color w:val="000000"/>
                              <w:szCs w:val="24"/>
                            </w:rPr>
                            <w:t>8.11</w:t>
                          </w:r>
                        </w:sdtContent>
                      </w:sdt>
                      <w:r>
                        <w:rPr>
                          <w:color w:val="000000"/>
                          <w:szCs w:val="24"/>
                        </w:rPr>
                        <w:t>. rinkodaros ir pardavimų sąnaudos;</w:t>
                      </w:r>
                    </w:p>
                  </w:sdtContent>
                </w:sdt>
                <w:sdt>
                  <w:sdtPr>
                    <w:alias w:val="8.12 pp."/>
                    <w:tag w:val="part_f89761d8b3ce4b22b0884df4a0e7dec7"/>
                    <w:lock w:val="sdtLocked"/>
                    <w:richText/>
                  </w:sdtPr>
                  <w:sdtContent>
                    <w:p>
                      <w:pPr>
                        <w:tabs>
                          <w:tab w:val="left" w:pos="1134"/>
                        </w:tabs>
                        <w:spacing w:line="22" w:lineRule="atLeast"/>
                        <w:ind w:firstLine="709"/>
                        <w:jc w:val="both"/>
                        <w:rPr>
                          <w:color w:val="000000"/>
                          <w:szCs w:val="24"/>
                        </w:rPr>
                      </w:pPr>
                      <w:sdt>
                        <w:sdtPr>
                          <w:alias w:val="Numeris"/>
                          <w:tag w:val="nr_f89761d8b3ce4b22b0884df4a0e7dec7"/>
                          <w:lock w:val="sdtLocked"/>
                          <w:richText/>
                        </w:sdtPr>
                        <w:sdtContent>
                          <w:r>
                            <w:rPr>
                              <w:color w:val="000000"/>
                              <w:szCs w:val="24"/>
                            </w:rPr>
                            <w:t>8.12</w:t>
                          </w:r>
                        </w:sdtContent>
                      </w:sdt>
                      <w:r>
                        <w:rPr>
                          <w:color w:val="000000"/>
                          <w:szCs w:val="24"/>
                        </w:rPr>
                        <w:t xml:space="preserve">. </w:t>
                      </w:r>
                      <w:r>
                        <w:rPr>
                          <w:szCs w:val="24"/>
                        </w:rPr>
                        <w:t>gamtinių dujų tiekimo saugumo papildomos dedamosios prie gamtinių dujų perdavimo kainos sąnaudos;</w:t>
                      </w:r>
                    </w:p>
                  </w:sdtContent>
                </w:sdt>
                <w:sdt>
                  <w:sdtPr>
                    <w:alias w:val="8.13 pp."/>
                    <w:tag w:val="part_61e9af1d14e341c394351d01dbc3c2ca"/>
                    <w:lock w:val="sdtLocked"/>
                    <w:richText/>
                  </w:sdtPr>
                  <w:sdtContent>
                    <w:p>
                      <w:pPr>
                        <w:tabs>
                          <w:tab w:val="left" w:pos="1134"/>
                        </w:tabs>
                        <w:spacing w:line="22" w:lineRule="atLeast"/>
                        <w:ind w:firstLine="709"/>
                        <w:jc w:val="both"/>
                        <w:rPr>
                          <w:color w:val="000000"/>
                          <w:szCs w:val="24"/>
                        </w:rPr>
                      </w:pPr>
                      <w:sdt>
                        <w:sdtPr>
                          <w:alias w:val="Numeris"/>
                          <w:tag w:val="nr_61e9af1d14e341c394351d01dbc3c2ca"/>
                          <w:lock w:val="sdtLocked"/>
                          <w:richText/>
                        </w:sdtPr>
                        <w:sdtContent>
                          <w:r>
                            <w:rPr>
                              <w:color w:val="000000"/>
                              <w:szCs w:val="24"/>
                            </w:rPr>
                            <w:t>8.13</w:t>
                          </w:r>
                        </w:sdtContent>
                      </w:sdt>
                      <w:r>
                        <w:rPr>
                          <w:color w:val="000000"/>
                          <w:szCs w:val="24"/>
                        </w:rPr>
                        <w:t>. kitos sąnaudos.</w:t>
                      </w:r>
                    </w:p>
                  </w:sdtContent>
                </w:sdt>
              </w:sdtContent>
            </w:sdt>
            <w:sdt>
              <w:sdtPr>
                <w:alias w:val="9 p."/>
                <w:tag w:val="part_c397e2b91c35493f9283e84f553b6ab9"/>
                <w:lock w:val="sdtLocked"/>
                <w:richText/>
              </w:sdtPr>
              <w:sdtContent>
                <w:p>
                  <w:pPr>
                    <w:tabs>
                      <w:tab w:val="left" w:pos="709"/>
                    </w:tabs>
                    <w:spacing w:line="22" w:lineRule="atLeast"/>
                    <w:ind w:firstLine="709"/>
                    <w:jc w:val="both"/>
                    <w:rPr>
                      <w:szCs w:val="24"/>
                    </w:rPr>
                  </w:pPr>
                  <w:sdt>
                    <w:sdtPr>
                      <w:alias w:val="Numeris"/>
                      <w:tag w:val="nr_c397e2b91c35493f9283e84f553b6ab9"/>
                      <w:lock w:val="sdtLocked"/>
                      <w:richText/>
                    </w:sdtPr>
                    <w:sdtContent>
                      <w:r>
                        <w:rPr>
                          <w:szCs w:val="24"/>
                        </w:rPr>
                        <w:t>9</w:t>
                      </w:r>
                    </w:sdtContent>
                  </w:sdt>
                  <w:r>
                    <w:rPr>
                      <w:szCs w:val="24"/>
                    </w:rPr>
                    <w:t xml:space="preserve">. </w:t>
                  </w:r>
                  <w:r>
                    <w:rPr>
                      <w:color w:val="000000"/>
                      <w:szCs w:val="24"/>
                    </w:rPr>
                    <w:t>Sąnaudos, kurių apimtis per ataskaitinį laikotarpį priklauso nuo pagamintos ir (ar) nupirktos elektros energijos kiekio per tą laikotarpį, laikomos kintamomis sąnaudomis (šios Metodikos 8.1– 8.4 papunkčiuose nurodytos sąnaudų grupės ir galimai kitos sąnaudos, kurių apimtis per ataskaitinį laikotarpį priklauso nuo pagamintos ir (ar) nupirktos elektros energijos kiekio per tą laikotarpį). Sąnaudos, kurių apimtis per ataskaitinį laikotarpį nepriklauso nuo pagaminto ar nupirkto elektros energijos kiekio per tą laikotarpį, laikomos pastoviomis sąnaudomis (šios Metodikos 8.5–8.13 papunkčiuose nurodytos sąnaudų grupės).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10 p."/>
                <w:tag w:val="part_8870a83acef74bd9948fe4abdbe6be45"/>
                <w:lock w:val="sdtLocked"/>
                <w:richText/>
              </w:sdtPr>
              <w:sdtContent>
                <w:p>
                  <w:pPr>
                    <w:tabs>
                      <w:tab w:val="left" w:pos="709"/>
                    </w:tabs>
                    <w:spacing w:line="22" w:lineRule="atLeast"/>
                    <w:ind w:firstLine="709"/>
                    <w:jc w:val="both"/>
                    <w:rPr>
                      <w:szCs w:val="24"/>
                    </w:rPr>
                  </w:pPr>
                  <w:sdt>
                    <w:sdtPr>
                      <w:alias w:val="Numeris"/>
                      <w:tag w:val="nr_8870a83acef74bd9948fe4abdbe6be45"/>
                      <w:lock w:val="sdtLocked"/>
                      <w:richText/>
                    </w:sdtPr>
                    <w:sdtContent>
                      <w:r>
                        <w:rPr>
                          <w:szCs w:val="24"/>
                        </w:rPr>
                        <w:t>10</w:t>
                      </w:r>
                    </w:sdtContent>
                  </w:sdt>
                  <w:r>
                    <w:rPr>
                      <w:szCs w:val="24"/>
                    </w:rPr>
                    <w:t>. Skaičiuodamas ilgalaikio turto nusidėvėjimo (amortizacijos) sąnaudas Asmuo privalo taikyti Sąnaudų apraše nustatytus ilgalaikio turto nusidėvėjimo (amortizacijos) skaičiavimo laikotarpius.</w:t>
                  </w:r>
                </w:p>
              </w:sdtContent>
            </w:sdt>
            <w:sdt>
              <w:sdtPr>
                <w:alias w:val="11 p."/>
                <w:tag w:val="part_c4767868812744049ed8cc85a60fb958"/>
                <w:lock w:val="sdtLocked"/>
                <w:richText/>
              </w:sdtPr>
              <w:sdtContent>
                <w:p>
                  <w:pPr>
                    <w:tabs>
                      <w:tab w:val="left" w:pos="709"/>
                    </w:tabs>
                    <w:spacing w:line="22" w:lineRule="atLeast"/>
                    <w:ind w:firstLine="709"/>
                    <w:jc w:val="both"/>
                    <w:rPr>
                      <w:szCs w:val="24"/>
                    </w:rPr>
                  </w:pPr>
                  <w:sdt>
                    <w:sdtPr>
                      <w:alias w:val="Numeris"/>
                      <w:tag w:val="nr_c4767868812744049ed8cc85a60fb958"/>
                      <w:lock w:val="sdtLocked"/>
                      <w:richText/>
                    </w:sdtPr>
                    <w:sdtContent>
                      <w:r>
                        <w:rPr>
                          <w:szCs w:val="24"/>
                        </w:rPr>
                        <w:t>11</w:t>
                      </w:r>
                    </w:sdtContent>
                  </w:sdt>
                  <w:r>
                    <w:rPr>
                      <w:szCs w:val="24"/>
                    </w:rPr>
                    <w:t>. Jeigu Asmuo teikia skirtingas paslaugas (produktus), skaičiuodamas sąnaudas pagal šią Metodiką, jis, laikydamasis priežastingumo principo, privalo ataskaitinio laikotarpio sąnaudas paskirstyti atskiroms paslaugoms (produktams). Jei tiesioginis paskirstymas nėra galimas, Asmuo, ataskaitinio laikotarpio sąnaudas paskirstydamas atskiroms paslaugoms (produktams), privalo naudoti atitinkamus sąnaudų kriterijus. Nustatydamas sąnaudų kriterijų dydžius Asmuo turi laikytis priežastingumo principo.</w:t>
                  </w:r>
                </w:p>
              </w:sdtContent>
            </w:sdt>
            <w:sdt>
              <w:sdtPr>
                <w:alias w:val="11-1 p."/>
                <w:tag w:val="part_18b1a9effc8a44d297bbf283382b4713"/>
                <w:lock w:val="sdtLocked"/>
                <w:richText/>
              </w:sdtPr>
              <w:sdtContent>
                <w:p>
                  <w:pPr>
                    <w:tabs>
                      <w:tab w:val="left" w:pos="709"/>
                    </w:tabs>
                    <w:ind w:firstLine="709"/>
                    <w:jc w:val="both"/>
                    <w:rPr>
                      <w:szCs w:val="24"/>
                    </w:rPr>
                  </w:pPr>
                  <w:sdt>
                    <w:sdtPr>
                      <w:alias w:val="Numeris"/>
                      <w:tag w:val="nr_18b1a9effc8a44d297bbf283382b4713"/>
                      <w:lock w:val="sdtLocked"/>
                      <w:richText/>
                    </w:sdtPr>
                    <w:sdtContent>
                      <w:r>
                        <w:rPr>
                          <w:szCs w:val="24"/>
                          <w:lang w:eastAsia="lt-LT"/>
                        </w:rPr>
                        <w:t>11</w:t>
                      </w:r>
                      <w:r>
                        <w:rPr>
                          <w:szCs w:val="24"/>
                          <w:vertAlign w:val="superscript"/>
                          <w:lang w:eastAsia="lt-LT"/>
                        </w:rPr>
                        <w:t>1</w:t>
                      </w:r>
                    </w:sdtContent>
                  </w:sdt>
                  <w:r>
                    <w:rPr>
                      <w:szCs w:val="24"/>
                      <w:lang w:eastAsia="lt-LT"/>
                    </w:rPr>
                    <w:t>. Asmens reguliuojamų kainų verslo vieneto ir paslaugų (produktų) ataskaitinio laikotarpio sąnaudoms priskiriamos sąnaudos, susijusios su Tarybos suderintu energetikos inovacijų investicijų projektu.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sdtContent>
            </w:sdt>
            <w:sdt>
              <w:sdtPr>
                <w:alias w:val="12 p."/>
                <w:tag w:val="part_901d3f992be4433ba00871a9d75cf2b5"/>
                <w:lock w:val="sdtLocked"/>
                <w:richText/>
              </w:sdtPr>
              <w:sdtContent>
                <w:p>
                  <w:pPr>
                    <w:tabs>
                      <w:tab w:val="left" w:pos="709"/>
                    </w:tabs>
                    <w:spacing w:line="22" w:lineRule="atLeast"/>
                    <w:ind w:firstLine="709"/>
                    <w:jc w:val="both"/>
                    <w:rPr>
                      <w:szCs w:val="24"/>
                    </w:rPr>
                  </w:pPr>
                  <w:sdt>
                    <w:sdtPr>
                      <w:alias w:val="Numeris"/>
                      <w:tag w:val="nr_901d3f992be4433ba00871a9d75cf2b5"/>
                      <w:lock w:val="sdtLocked"/>
                      <w:richText/>
                    </w:sdtPr>
                    <w:sdtContent>
                      <w:r>
                        <w:rPr>
                          <w:szCs w:val="24"/>
                        </w:rPr>
                        <w:t>12</w:t>
                      </w:r>
                    </w:sdtContent>
                  </w:sdt>
                  <w:r>
                    <w:rPr>
                      <w:szCs w:val="24"/>
                    </w:rPr>
                    <w:t>. Asmuo visas patiriamas sąnaudas galutinių paslaugų (produktų) atžvilgiu privalo priskirti vienai iš šių kategorijų:</w:t>
                  </w:r>
                </w:p>
                <w:sdt>
                  <w:sdtPr>
                    <w:alias w:val="12.1 pp."/>
                    <w:tag w:val="part_5319244dd86940eb89c75a8063fb51f2"/>
                    <w:lock w:val="sdtLocked"/>
                    <w:richText/>
                  </w:sdtPr>
                  <w:sdtContent>
                    <w:p>
                      <w:pPr>
                        <w:tabs>
                          <w:tab w:val="left" w:pos="709"/>
                        </w:tabs>
                        <w:spacing w:line="22" w:lineRule="atLeast"/>
                        <w:ind w:firstLine="709"/>
                        <w:jc w:val="both"/>
                        <w:rPr>
                          <w:szCs w:val="24"/>
                        </w:rPr>
                      </w:pPr>
                      <w:sdt>
                        <w:sdtPr>
                          <w:alias w:val="Numeris"/>
                          <w:tag w:val="nr_5319244dd86940eb89c75a8063fb51f2"/>
                          <w:lock w:val="sdtLocked"/>
                          <w:richText/>
                        </w:sdtPr>
                        <w:sdtContent>
                          <w:r>
                            <w:rPr>
                              <w:szCs w:val="24"/>
                            </w:rPr>
                            <w:t>12.1</w:t>
                          </w:r>
                        </w:sdtContent>
                      </w:sdt>
                      <w:r>
                        <w:rPr>
                          <w:szCs w:val="24"/>
                        </w:rPr>
                        <w:t>. tiesioginių sąnaudų kategorijai priskiriamos sąnaudos, kurių atsiradimą (susiformavimą) ir apimtį lėmė konkreti paslauga (produktas) bei jų apimtis ataskaitiniu laikotarpiu;</w:t>
                      </w:r>
                    </w:p>
                  </w:sdtContent>
                </w:sdt>
                <w:sdt>
                  <w:sdtPr>
                    <w:alias w:val="12.2 pp."/>
                    <w:tag w:val="part_26fa1fabb22949b6990902a00af6f387"/>
                    <w:lock w:val="sdtLocked"/>
                    <w:richText/>
                  </w:sdtPr>
                  <w:sdtContent>
                    <w:p>
                      <w:pPr>
                        <w:tabs>
                          <w:tab w:val="left" w:pos="709"/>
                        </w:tabs>
                        <w:spacing w:line="22" w:lineRule="atLeast"/>
                        <w:ind w:firstLine="709"/>
                        <w:jc w:val="both"/>
                        <w:rPr>
                          <w:szCs w:val="24"/>
                        </w:rPr>
                      </w:pPr>
                      <w:sdt>
                        <w:sdtPr>
                          <w:alias w:val="Numeris"/>
                          <w:tag w:val="nr_26fa1fabb22949b6990902a00af6f387"/>
                          <w:lock w:val="sdtLocked"/>
                          <w:richText/>
                        </w:sdtPr>
                        <w:sdtContent>
                          <w:r>
                            <w:rPr>
                              <w:szCs w:val="24"/>
                            </w:rPr>
                            <w:t>12.2</w:t>
                          </w:r>
                        </w:sdtContent>
                      </w:sdt>
                      <w:r>
                        <w:rPr>
                          <w:szCs w:val="24"/>
                        </w:rPr>
                        <w:t>. netiesioginių sąnaudų kategorijai priskiriamos sąnaudos, kurių atsiradimą (susiformavimą) lėmė keleto paslaugų (produktų) grupė, vidinis procesas ar jų grupė ir kurių sąsajumas su konkrečiomis paslaugomis (produktais) yra netiesioginis;</w:t>
                      </w:r>
                    </w:p>
                  </w:sdtContent>
                </w:sdt>
                <w:sdt>
                  <w:sdtPr>
                    <w:alias w:val="12.3 pp."/>
                    <w:tag w:val="part_86c4ddae5ec94e179ef89cc6727d8036"/>
                    <w:lock w:val="sdtLocked"/>
                    <w:richText/>
                  </w:sdtPr>
                  <w:sdtContent>
                    <w:p>
                      <w:pPr>
                        <w:tabs>
                          <w:tab w:val="left" w:pos="709"/>
                        </w:tabs>
                        <w:spacing w:line="22" w:lineRule="atLeast"/>
                        <w:ind w:firstLine="709"/>
                        <w:jc w:val="both"/>
                        <w:rPr>
                          <w:szCs w:val="24"/>
                        </w:rPr>
                      </w:pPr>
                      <w:sdt>
                        <w:sdtPr>
                          <w:alias w:val="Numeris"/>
                          <w:tag w:val="nr_86c4ddae5ec94e179ef89cc6727d8036"/>
                          <w:lock w:val="sdtLocked"/>
                          <w:richText/>
                        </w:sdtPr>
                        <w:sdtContent>
                          <w:r>
                            <w:rPr>
                              <w:szCs w:val="24"/>
                            </w:rPr>
                            <w:t>12.3</w:t>
                          </w:r>
                        </w:sdtContent>
                      </w:sdt>
                      <w:r>
                        <w:rPr>
                          <w:szCs w:val="24"/>
                        </w:rPr>
                        <w:t>. bendrųjų sąnaudų kategorijai priskiriamos sąnaudos, kurios su konkrečiomis paslaugomis neturi nei tiesioginio, nei netiesioginio sąsajumo, tačiau kurių atsiradimą (susiformavimą) lėmė poreikis užtikrinti Asmens organizacinės veiklos nepertraukiamumą, saugumą, stabilumą;</w:t>
                      </w:r>
                    </w:p>
                  </w:sdtContent>
                </w:sdt>
              </w:sdtContent>
            </w:sdt>
            <w:sdt>
              <w:sdtPr>
                <w:alias w:val="13 p."/>
                <w:tag w:val="part_4f9517688ad34b27951a775d620b902a"/>
                <w:lock w:val="sdtLocked"/>
                <w:richText/>
              </w:sdtPr>
              <w:sdtContent>
                <w:p>
                  <w:pPr>
                    <w:tabs>
                      <w:tab w:val="left" w:pos="709"/>
                    </w:tabs>
                    <w:spacing w:line="22" w:lineRule="atLeast"/>
                    <w:ind w:firstLine="709"/>
                    <w:jc w:val="both"/>
                    <w:rPr>
                      <w:szCs w:val="24"/>
                    </w:rPr>
                  </w:pPr>
                  <w:sdt>
                    <w:sdtPr>
                      <w:alias w:val="Numeris"/>
                      <w:tag w:val="nr_4f9517688ad34b27951a775d620b902a"/>
                      <w:lock w:val="sdtLocked"/>
                      <w:richText/>
                    </w:sdtPr>
                    <w:sdtContent>
                      <w:r>
                        <w:rPr>
                          <w:szCs w:val="24"/>
                        </w:rPr>
                        <w:t>13</w:t>
                      </w:r>
                    </w:sdtContent>
                  </w:sdt>
                  <w:r>
                    <w:rPr>
                      <w:szCs w:val="24"/>
                    </w:rPr>
                    <w:t>. Tiesioginių sąnaudų kategorijos sąnaudų straipsnius Asmuo turi paskirstyti toms paslaugoms (produktams), kurios tiesiogiai nulėmė tų sąnaudų atsiradimą (susiformavimą).</w:t>
                  </w:r>
                </w:p>
              </w:sdtContent>
            </w:sdt>
            <w:sdt>
              <w:sdtPr>
                <w:alias w:val="14 p."/>
                <w:tag w:val="part_bd31e0ca87774e589f5c45ec6b725e0b"/>
                <w:lock w:val="sdtLocked"/>
                <w:richText/>
              </w:sdtPr>
              <w:sdtContent>
                <w:p>
                  <w:pPr>
                    <w:tabs>
                      <w:tab w:val="left" w:pos="567"/>
                    </w:tabs>
                    <w:spacing w:line="22" w:lineRule="atLeast"/>
                    <w:ind w:firstLine="709"/>
                    <w:jc w:val="both"/>
                    <w:rPr>
                      <w:szCs w:val="24"/>
                    </w:rPr>
                  </w:pPr>
                  <w:sdt>
                    <w:sdtPr>
                      <w:alias w:val="Numeris"/>
                      <w:tag w:val="nr_bd31e0ca87774e589f5c45ec6b725e0b"/>
                      <w:lock w:val="sdtLocked"/>
                      <w:richText/>
                    </w:sdtPr>
                    <w:sdtContent>
                      <w:r>
                        <w:rPr>
                          <w:szCs w:val="24"/>
                        </w:rPr>
                        <w:t>14</w:t>
                      </w:r>
                    </w:sdtContent>
                  </w:sdt>
                  <w:r>
                    <w:rPr>
                      <w:szCs w:val="24"/>
                    </w:rPr>
                    <w:t xml:space="preserve">. Netiesioginių sąnaudų kategorijos straipsnius Asmuo per sąnaudų centrus turi paskirstyti toms paslaugoms (produktams), jų grupėms, verslo vienetams, kurie netiesiogiai bendrai lėmė tų sąnaudų atsiradimą (susiformavimą). Asmuo, paskirstydamas netiesiogines sąnaudas, turi užtikrinti priežastingumo principo įgyvendinimą. </w:t>
                  </w:r>
                </w:p>
              </w:sdtContent>
            </w:sdt>
            <w:sdt>
              <w:sdtPr>
                <w:alias w:val="15 p."/>
                <w:tag w:val="part_c81a3daa352f4dedae7f537f7154c1bf"/>
                <w:lock w:val="sdtLocked"/>
                <w:richText/>
              </w:sdtPr>
              <w:sdtContent>
                <w:p>
                  <w:pPr>
                    <w:tabs>
                      <w:tab w:val="left" w:pos="567"/>
                    </w:tabs>
                    <w:spacing w:line="22" w:lineRule="atLeast"/>
                    <w:ind w:firstLine="709"/>
                    <w:jc w:val="both"/>
                    <w:rPr>
                      <w:szCs w:val="24"/>
                    </w:rPr>
                  </w:pPr>
                  <w:sdt>
                    <w:sdtPr>
                      <w:alias w:val="Numeris"/>
                      <w:tag w:val="nr_c81a3daa352f4dedae7f537f7154c1bf"/>
                      <w:lock w:val="sdtLocked"/>
                      <w:richText/>
                    </w:sdtPr>
                    <w:sdtContent>
                      <w:r>
                        <w:rPr>
                          <w:szCs w:val="24"/>
                        </w:rPr>
                        <w:t>15</w:t>
                      </w:r>
                    </w:sdtContent>
                  </w:sdt>
                  <w:r>
                    <w:rPr>
                      <w:szCs w:val="24"/>
                    </w:rPr>
                    <w:t>. Bendrųjų sąnaudų, kurioms Asmuo, vadovaudamasis priežastingumo principu, turi priskirti kaip galima mažiau sąnaudų, ir kurios bet kuriuo atveju turi sudaryti ne daugiau kaip 10 proc. paskirstytinų sąnaudų, kategorija paskirstoma verslo vienetams ir paslaugoms (produktams) pagal atitinkamam verslo vienetui ir konkrečiai paslaugai (produktui) priskirtą tiesioginių ir netiesioginių sąnaudų sumą.</w:t>
                  </w:r>
                </w:p>
              </w:sdtContent>
            </w:sdt>
            <w:sdt>
              <w:sdtPr>
                <w:alias w:val="16 p."/>
                <w:tag w:val="part_298af1b4ec3f41b0a4d30dd296f717cf"/>
                <w:lock w:val="sdtLocked"/>
                <w:richText/>
              </w:sdtPr>
              <w:sdtContent>
                <w:p>
                  <w:pPr>
                    <w:ind w:firstLine="709"/>
                    <w:jc w:val="both"/>
                    <w:rPr>
                      <w:szCs w:val="24"/>
                    </w:rPr>
                  </w:pPr>
                  <w:sdt>
                    <w:sdtPr>
                      <w:alias w:val="Numeris"/>
                      <w:tag w:val="nr_298af1b4ec3f41b0a4d30dd296f717cf"/>
                      <w:lock w:val="sdtLocked"/>
                      <w:richText/>
                    </w:sdtPr>
                    <w:sdtContent>
                      <w:r>
                        <w:rPr>
                          <w:szCs w:val="24"/>
                          <w:lang w:eastAsia="lt-LT"/>
                        </w:rPr>
                        <w:t>16</w:t>
                      </w:r>
                    </w:sdtContent>
                  </w:sdt>
                  <w:r>
                    <w:rPr>
                      <w:szCs w:val="24"/>
                      <w:lang w:eastAsia="lt-LT"/>
                    </w:rPr>
                    <w:t>. Asmeniui, vykdančiam sąnaudų paskirstymą, reguliuojamų kainų paslaugoms (produktams) ir atitinkamiems verslo vienetams, į kurių sudėtį įeina reguliuojamų kainų paslaugos (produktai), draudžiama priskirti sąnaudas (Asmuo šias sąnaudas gali priskirti kitoms, nereguliuojamoms paslaugoms (produktams) ir atitinkamiems verslo vienetams) numatytas Sąnaudų apraše kaip nepaskirstomąsias.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sdtContent>
            </w:sdt>
            <w:sdt>
              <w:sdtPr>
                <w:alias w:val="17 p."/>
                <w:tag w:val="part_2eca6020a76546e5bab9c6ac119c9805"/>
                <w:lock w:val="sdtLocked"/>
                <w:richText/>
              </w:sdtPr>
              <w:sdtContent>
                <w:p>
                  <w:pPr>
                    <w:tabs>
                      <w:tab w:val="left" w:pos="567"/>
                      <w:tab w:val="left" w:pos="709"/>
                    </w:tabs>
                    <w:spacing w:line="22" w:lineRule="atLeast"/>
                    <w:ind w:firstLine="709"/>
                    <w:jc w:val="both"/>
                    <w:rPr>
                      <w:szCs w:val="24"/>
                    </w:rPr>
                  </w:pPr>
                  <w:sdt>
                    <w:sdtPr>
                      <w:alias w:val="Numeris"/>
                      <w:tag w:val="nr_2eca6020a76546e5bab9c6ac119c9805"/>
                      <w:lock w:val="sdtLocked"/>
                      <w:richText/>
                    </w:sdtPr>
                    <w:sdtContent>
                      <w:r>
                        <w:rPr>
                          <w:szCs w:val="24"/>
                        </w:rPr>
                        <w:t>17</w:t>
                      </w:r>
                    </w:sdtContent>
                  </w:sdt>
                  <w:r>
                    <w:rPr>
                      <w:szCs w:val="24"/>
                    </w:rPr>
                    <w:t>. Asmuo investicijų grąžą turi konkrečioms paslaugoms (produktams) paskirstyti pagal atitinkamos paslaugos (produkto) teikimui naudojamo ilgalaikio materialaus ir nematerialaus turto vertę.</w:t>
                  </w:r>
                </w:p>
              </w:sdtContent>
            </w:sdt>
            <w:sdt>
              <w:sdtPr>
                <w:alias w:val="18 p."/>
                <w:tag w:val="part_58ba81b2994449ef9ca101034bc3de8e"/>
                <w:lock w:val="sdtLocked"/>
                <w:richText/>
              </w:sdtPr>
              <w:sdtContent>
                <w:p>
                  <w:pPr>
                    <w:tabs>
                      <w:tab w:val="left" w:pos="993"/>
                    </w:tabs>
                    <w:ind w:firstLine="709"/>
                    <w:jc w:val="both"/>
                    <w:rPr>
                      <w:color w:val="000000"/>
                      <w:szCs w:val="24"/>
                      <w:lang w:eastAsia="lt-LT"/>
                    </w:rPr>
                  </w:pPr>
                  <w:sdt>
                    <w:sdtPr>
                      <w:alias w:val="Numeris"/>
                      <w:tag w:val="nr_58ba81b2994449ef9ca101034bc3de8e"/>
                      <w:lock w:val="sdtLocked"/>
                      <w:richText/>
                    </w:sdtPr>
                    <w:sdtContent>
                      <w:r>
                        <w:rPr>
                          <w:color w:val="000000"/>
                        </w:rPr>
                        <w:t>18</w:t>
                      </w:r>
                    </w:sdtContent>
                  </w:sdt>
                  <w:r>
                    <w:rPr>
                      <w:color w:val="000000"/>
                    </w:rPr>
                    <w:t xml:space="preserve">. Nustatant investicijų grąžą Asmenims, išskyrus Asmenis nurodytus Metodikos </w:t>
                    <w:br/>
                    <w:t>V skyriuje, atsižvelgiama į:</w:t>
                  </w:r>
                </w:p>
                <w:sdt>
                  <w:sdtPr>
                    <w:alias w:val="18.1 pp."/>
                    <w:tag w:val="part_42023caf87d946368b79ffa7ecdb2a5d"/>
                    <w:lock w:val="sdtLocked"/>
                    <w:richText/>
                  </w:sdtPr>
                  <w:sdtContent>
                    <w:p>
                      <w:pPr>
                        <w:tabs>
                          <w:tab w:val="left" w:pos="993"/>
                        </w:tabs>
                        <w:ind w:firstLine="709"/>
                        <w:jc w:val="both"/>
                        <w:rPr>
                          <w:color w:val="000000"/>
                        </w:rPr>
                      </w:pPr>
                      <w:sdt>
                        <w:sdtPr>
                          <w:alias w:val="Numeris"/>
                          <w:tag w:val="nr_42023caf87d946368b79ffa7ecdb2a5d"/>
                          <w:lock w:val="sdtLocked"/>
                          <w:richText/>
                        </w:sdtPr>
                        <w:sdtContent>
                          <w:r>
                            <w:rPr>
                              <w:color w:val="000000"/>
                            </w:rPr>
                            <w:t>18.1</w:t>
                          </w:r>
                        </w:sdtContent>
                      </w:sdt>
                      <w:r>
                        <w:rPr>
                          <w:color w:val="000000"/>
                        </w:rPr>
                        <w:t>.</w:t>
                      </w:r>
                      <w:r>
                        <w:rPr>
                          <w:b/>
                          <w:bCs/>
                          <w:color w:val="000000"/>
                        </w:rPr>
                        <w:t xml:space="preserve"> </w:t>
                      </w:r>
                      <w:r>
                        <w:rPr>
                          <w:color w:val="000000"/>
                        </w:rPr>
                        <w:t>protingumo kriterijų atitinkančios investicijų grąžos normą </w:t>
                      </w:r>
                      <w:r>
                        <w:rPr>
                          <w:i/>
                          <w:iCs/>
                          <w:color w:val="000000"/>
                        </w:rPr>
                        <w:t>r</w:t>
                      </w:r>
                      <w:r>
                        <w:rPr>
                          <w:color w:val="000000"/>
                        </w:rPr>
                        <w:t> (proc.) ir reguliuojamoje veikloje naudojamo ilgalaikio materialaus ir nematerialaus turto vertę, priskirtiną reguliuojamai paslaugai (produktui), pagal formulę:</w:t>
                      </w:r>
                    </w:p>
                    <w:p>
                      <w:pPr>
                        <w:tabs>
                          <w:tab w:val="left" w:pos="993"/>
                        </w:tabs>
                        <w:ind w:firstLine="709"/>
                        <w:jc w:val="both"/>
                        <w:rPr>
                          <w:color w:val="000000"/>
                          <w:szCs w:val="24"/>
                          <w:lang w:eastAsia="lt-LT"/>
                        </w:rPr>
                      </w:pPr>
                    </w:p>
                    <w:p>
                      <w:pPr>
                        <w:tabs>
                          <w:tab w:val="left" w:pos="993"/>
                        </w:tabs>
                        <w:ind w:firstLine="709"/>
                        <w:jc w:val="both"/>
                        <w:rPr>
                          <w:color w:val="000000"/>
                          <w:szCs w:val="24"/>
                          <w:lang w:eastAsia="lt-LT"/>
                        </w:rPr>
                      </w:pPr>
                      <m:oMath>
                        <m:r>
                          <w:rPr>
                            <w:rFonts w:ascii="Cambria Math" w:hAnsi="Cambria Math"/>
                            <w:color w:val="000000"/>
                            <w:sz w:val="22"/>
                            <w:szCs w:val="22"/>
                            <w:lang w:eastAsia="lt-LT"/>
                          </w:rPr>
                          <m:t xml:space="preserve">              </m:t>
                        </m:r>
                        <m:sSub>
                          <m:sSubPr>
                            <m:ctrlPr>
                              <w:rPr>
                                <w:rFonts w:ascii="Cambria Math" w:hAnsi="Cambria Math"/>
                                <w:bCs/>
                                <w:i/>
                                <w:sz w:val="22"/>
                                <w:szCs w:val="22"/>
                                <w:lang w:eastAsia="lt-LT"/>
                              </w:rPr>
                            </m:ctrlPr>
                          </m:sSubPr>
                          <m:e>
                            <m:r>
                              <w:rPr>
                                <w:rFonts w:ascii="Cambria Math" w:hAnsi="Cambria Math"/>
                                <w:sz w:val="22"/>
                                <w:szCs w:val="22"/>
                                <w:lang w:eastAsia="lt-LT"/>
                              </w:rPr>
                              <m:t>ROI</m:t>
                            </m:r>
                          </m:e>
                          <m:sub>
                            <m:r>
                              <w:rPr>
                                <w:rFonts w:ascii="Cambria Math" w:hAnsi="Cambria Math"/>
                                <w:sz w:val="22"/>
                                <w:szCs w:val="22"/>
                                <w:lang w:eastAsia="lt-LT"/>
                              </w:rPr>
                              <m:t>i</m:t>
                            </m:r>
                          </m:sub>
                        </m:sSub>
                        <m:r>
                          <w:rPr>
                            <w:rFonts w:ascii="Cambria Math" w:hAnsi="Cambria Math"/>
                            <w:sz w:val="22"/>
                            <w:szCs w:val="22"/>
                            <w:lang w:eastAsia="lt-LT"/>
                          </w:rPr>
                          <m:t xml:space="preserve">= </m:t>
                        </m:r>
                        <m:f>
                          <m:fPr>
                            <m:ctrlPr>
                              <w:rPr>
                                <w:rFonts w:ascii="Cambria Math" w:hAnsi="Cambria Math"/>
                                <w:bCs/>
                                <w:i/>
                                <w:sz w:val="22"/>
                                <w:szCs w:val="22"/>
                                <w:lang w:eastAsia="lt-LT"/>
                              </w:rPr>
                            </m:ctrlPr>
                          </m:fPr>
                          <m:num>
                            <m:r>
                              <w:rPr>
                                <w:rFonts w:ascii="Cambria Math" w:hAnsi="Cambria Math"/>
                                <w:sz w:val="22"/>
                                <w:szCs w:val="22"/>
                                <w:lang w:eastAsia="lt-LT"/>
                              </w:rPr>
                              <m:t>r</m:t>
                            </m:r>
                            <m:r>
                              <w:rPr>
                                <w:rFonts w:ascii="Cambria Math" w:hAnsi="Cambria Math"/>
                                <w:sz w:val="22"/>
                                <w:szCs w:val="22"/>
                                <w:lang w:eastAsia="lt-LT"/>
                              </w:rPr>
                              <m:t>×</m:t>
                            </m:r>
                            <m:sSub>
                              <m:sSubPr>
                                <m:ctrlPr>
                                  <w:rPr>
                                    <w:rFonts w:ascii="Cambria Math" w:hAnsi="Cambria Math"/>
                                    <w:bCs/>
                                    <w:i/>
                                    <w:sz w:val="22"/>
                                    <w:szCs w:val="22"/>
                                    <w:lang w:eastAsia="lt-LT"/>
                                  </w:rPr>
                                </m:ctrlPr>
                              </m:sSubPr>
                              <m:e>
                                <m:r>
                                  <w:rPr>
                                    <w:rFonts w:ascii="Cambria Math" w:hAnsi="Cambria Math"/>
                                    <w:sz w:val="22"/>
                                    <w:szCs w:val="22"/>
                                    <w:lang w:eastAsia="lt-LT"/>
                                  </w:rPr>
                                  <m:t>(</m:t>
                                </m:r>
                                <m:r>
                                  <w:rPr>
                                    <w:rFonts w:ascii="Cambria Math" w:hAnsi="Cambria Math"/>
                                    <w:sz w:val="22"/>
                                    <w:szCs w:val="22"/>
                                    <w:lang w:eastAsia="lt-LT"/>
                                  </w:rPr>
                                  <m:t>RAB</m:t>
                                </m:r>
                              </m:e>
                              <m:sub>
                                <m:r>
                                  <w:rPr>
                                    <w:rFonts w:ascii="Cambria Math" w:hAnsi="Cambria Math"/>
                                    <w:sz w:val="22"/>
                                    <w:szCs w:val="22"/>
                                    <w:lang w:eastAsia="lt-LT"/>
                                  </w:rPr>
                                  <m:t>i</m:t>
                                </m:r>
                              </m:sub>
                            </m:sSub>
                            <m:r>
                              <w:rPr>
                                <w:rFonts w:ascii="Cambria Math" w:hAnsi="Cambria Math"/>
                                <w:sz w:val="22"/>
                                <w:szCs w:val="22"/>
                                <w:lang w:eastAsia="lt-LT"/>
                              </w:rPr>
                              <m:t>-</m:t>
                            </m:r>
                            <m:nary>
                              <m:naryPr>
                                <m:chr m:val="∑"/>
                                <m:limLoc m:val="undOvr"/>
                                <m:ctrlPr>
                                  <w:rPr>
                                    <w:rFonts w:ascii="Cambria Math" w:hAnsi="Cambria Math"/>
                                    <w:bCs/>
                                    <w:i/>
                                    <w:sz w:val="22"/>
                                    <w:szCs w:val="22"/>
                                    <w:lang w:eastAsia="lt-LT"/>
                                  </w:rPr>
                                </m:ctrlPr>
                              </m:naryPr>
                              <m:sub>
                                <m:r>
                                  <w:rPr>
                                    <w:rFonts w:ascii="Cambria Math" w:hAnsi="Cambria Math"/>
                                    <w:sz w:val="22"/>
                                    <w:szCs w:val="22"/>
                                    <w:lang w:eastAsia="lt-LT"/>
                                  </w:rPr>
                                  <m:t>p</m:t>
                                </m:r>
                                <m:r>
                                  <w:rPr>
                                    <w:rFonts w:ascii="Cambria Math" w:hAnsi="Cambria Math"/>
                                    <w:sz w:val="22"/>
                                    <w:szCs w:val="22"/>
                                    <w:lang w:eastAsia="lt-LT"/>
                                  </w:rPr>
                                  <m:t>=1</m:t>
                                </m:r>
                              </m:sub>
                              <m:sup>
                                <m:r>
                                  <w:rPr>
                                    <w:rFonts w:ascii="Cambria Math" w:hAnsi="Cambria Math"/>
                                    <w:sz w:val="22"/>
                                    <w:szCs w:val="22"/>
                                    <w:lang w:eastAsia="lt-LT"/>
                                  </w:rPr>
                                  <m:t>n</m:t>
                                </m:r>
                              </m:sup>
                              <m:e>
                                <m:sSub>
                                  <m:sSubPr>
                                    <m:ctrlPr>
                                      <w:rPr>
                                        <w:rFonts w:ascii="Cambria Math" w:hAnsi="Cambria Math"/>
                                        <w:bCs/>
                                        <w:i/>
                                        <w:sz w:val="22"/>
                                        <w:szCs w:val="22"/>
                                        <w:lang w:eastAsia="lt-LT"/>
                                      </w:rPr>
                                    </m:ctrlPr>
                                  </m:sSubPr>
                                  <m:e>
                                    <m:r>
                                      <w:rPr>
                                        <w:rFonts w:ascii="Cambria Math" w:hAnsi="Cambria Math"/>
                                        <w:sz w:val="22"/>
                                        <w:szCs w:val="22"/>
                                        <w:lang w:eastAsia="lt-LT"/>
                                      </w:rPr>
                                      <m:t>RAB</m:t>
                                    </m:r>
                                  </m:e>
                                  <m:sub>
                                    <m:sSub>
                                      <m:sSubPr>
                                        <m:ctrlPr>
                                          <w:rPr>
                                            <w:rFonts w:ascii="Cambria Math" w:hAnsi="Cambria Math"/>
                                            <w:bCs/>
                                            <w:i/>
                                            <w:sz w:val="22"/>
                                            <w:szCs w:val="22"/>
                                            <w:lang w:eastAsia="lt-LT"/>
                                          </w:rPr>
                                        </m:ctrlPr>
                                      </m:sSubPr>
                                      <m:e>
                                        <m:r>
                                          <w:rPr>
                                            <w:rFonts w:ascii="Cambria Math" w:hAnsi="Cambria Math"/>
                                            <w:sz w:val="22"/>
                                            <w:szCs w:val="22"/>
                                            <w:lang w:eastAsia="lt-LT"/>
                                          </w:rPr>
                                          <m:t>P</m:t>
                                        </m:r>
                                      </m:e>
                                      <m:sub>
                                        <m:r>
                                          <w:rPr>
                                            <w:rFonts w:ascii="Cambria Math" w:hAnsi="Cambria Math"/>
                                            <w:sz w:val="22"/>
                                            <w:szCs w:val="22"/>
                                            <w:lang w:eastAsia="lt-LT"/>
                                          </w:rPr>
                                          <m:t>i</m:t>
                                        </m:r>
                                      </m:sub>
                                    </m:sSub>
                                  </m:sub>
                                </m:sSub>
                              </m:e>
                            </m:nary>
                            <m:r>
                              <w:rPr>
                                <w:rFonts w:ascii="Cambria Math" w:hAnsi="Cambria Math"/>
                                <w:sz w:val="22"/>
                                <w:szCs w:val="22"/>
                                <w:lang w:eastAsia="lt-LT"/>
                              </w:rPr>
                              <m:t>)</m:t>
                            </m:r>
                          </m:num>
                          <m:den>
                            <m:r>
                              <w:rPr>
                                <w:rFonts w:ascii="Cambria Math" w:hAnsi="Cambria Math"/>
                                <w:sz w:val="22"/>
                                <w:szCs w:val="22"/>
                                <w:lang w:eastAsia="lt-LT"/>
                              </w:rPr>
                              <m:t>100</m:t>
                            </m:r>
                          </m:den>
                        </m:f>
                        <m:r>
                          <w:rPr>
                            <w:rFonts w:ascii="Cambria Math" w:hAnsi="Cambria Math"/>
                            <w:sz w:val="22"/>
                            <w:szCs w:val="22"/>
                            <w:lang w:eastAsia="lt-LT"/>
                          </w:rPr>
                          <m:t>+</m:t>
                        </m:r>
                        <m:nary>
                          <m:naryPr>
                            <m:chr m:val="∑"/>
                            <m:limLoc m:val="undOvr"/>
                            <m:ctrlPr>
                              <w:rPr>
                                <w:rFonts w:ascii="Cambria Math" w:hAnsi="Cambria Math"/>
                                <w:bCs/>
                                <w:i/>
                                <w:sz w:val="22"/>
                                <w:szCs w:val="22"/>
                                <w:lang w:eastAsia="lt-LT"/>
                              </w:rPr>
                            </m:ctrlPr>
                          </m:naryPr>
                          <m:sub>
                            <m:r>
                              <w:rPr>
                                <w:rFonts w:ascii="Cambria Math" w:hAnsi="Cambria Math"/>
                                <w:sz w:val="22"/>
                                <w:szCs w:val="22"/>
                                <w:lang w:eastAsia="lt-LT"/>
                              </w:rPr>
                              <m:t>p</m:t>
                            </m:r>
                            <m:r>
                              <w:rPr>
                                <w:rFonts w:ascii="Cambria Math" w:hAnsi="Cambria Math"/>
                                <w:sz w:val="22"/>
                                <w:szCs w:val="22"/>
                                <w:lang w:eastAsia="lt-LT"/>
                              </w:rPr>
                              <m:t>=1</m:t>
                            </m:r>
                          </m:sub>
                          <m:sup>
                            <m:r>
                              <w:rPr>
                                <w:rFonts w:ascii="Cambria Math" w:hAnsi="Cambria Math"/>
                                <w:sz w:val="22"/>
                                <w:szCs w:val="22"/>
                                <w:lang w:eastAsia="lt-LT"/>
                              </w:rPr>
                              <m:t>n</m:t>
                            </m:r>
                          </m:sup>
                          <m:e>
                            <m:f>
                              <m:fPr>
                                <m:ctrlPr>
                                  <w:rPr>
                                    <w:rFonts w:ascii="Cambria Math" w:hAnsi="Cambria Math"/>
                                    <w:bCs/>
                                    <w:i/>
                                    <w:sz w:val="22"/>
                                    <w:szCs w:val="22"/>
                                    <w:lang w:eastAsia="lt-LT"/>
                                  </w:rPr>
                                </m:ctrlPr>
                              </m:fPr>
                              <m:num>
                                <m:sSub>
                                  <m:sSubPr>
                                    <m:ctrlPr>
                                      <w:rPr>
                                        <w:rFonts w:ascii="Cambria Math" w:hAnsi="Cambria Math"/>
                                        <w:bCs/>
                                        <w:i/>
                                        <w:sz w:val="22"/>
                                        <w:szCs w:val="22"/>
                                        <w:lang w:eastAsia="lt-LT"/>
                                      </w:rPr>
                                    </m:ctrlPr>
                                  </m:sSubPr>
                                  <m:e>
                                    <m:r>
                                      <w:rPr>
                                        <w:rFonts w:ascii="Cambria Math" w:hAnsi="Cambria Math"/>
                                        <w:sz w:val="22"/>
                                        <w:szCs w:val="22"/>
                                        <w:lang w:eastAsia="lt-LT"/>
                                      </w:rPr>
                                      <m:t>r</m:t>
                                    </m:r>
                                  </m:e>
                                  <m:sub>
                                    <m:r>
                                      <w:rPr>
                                        <w:rFonts w:ascii="Cambria Math" w:hAnsi="Cambria Math"/>
                                        <w:sz w:val="22"/>
                                        <w:szCs w:val="22"/>
                                        <w:lang w:eastAsia="lt-LT"/>
                                      </w:rPr>
                                      <m:t>p</m:t>
                                    </m:r>
                                  </m:sub>
                                </m:sSub>
                                <m:r>
                                  <w:rPr>
                                    <w:rFonts w:ascii="Cambria Math" w:hAnsi="Cambria Math"/>
                                    <w:sz w:val="22"/>
                                    <w:szCs w:val="22"/>
                                    <w:lang w:eastAsia="lt-LT"/>
                                  </w:rPr>
                                  <m:t>×</m:t>
                                </m:r>
                                <m:sSub>
                                  <m:sSubPr>
                                    <m:ctrlPr>
                                      <w:rPr>
                                        <w:rFonts w:ascii="Cambria Math" w:hAnsi="Cambria Math"/>
                                        <w:bCs/>
                                        <w:i/>
                                        <w:sz w:val="22"/>
                                        <w:szCs w:val="22"/>
                                        <w:lang w:eastAsia="lt-LT"/>
                                      </w:rPr>
                                    </m:ctrlPr>
                                  </m:sSubPr>
                                  <m:e>
                                    <m:sSub>
                                      <m:sSubPr>
                                        <m:ctrlPr>
                                          <w:rPr>
                                            <w:rFonts w:ascii="Cambria Math" w:hAnsi="Cambria Math"/>
                                            <w:bCs/>
                                            <w:i/>
                                            <w:sz w:val="22"/>
                                            <w:szCs w:val="22"/>
                                            <w:lang w:eastAsia="lt-LT"/>
                                          </w:rPr>
                                        </m:ctrlPr>
                                      </m:sSubPr>
                                      <m:e>
                                        <m:r>
                                          <w:rPr>
                                            <w:rFonts w:ascii="Cambria Math" w:hAnsi="Cambria Math"/>
                                            <w:sz w:val="22"/>
                                            <w:szCs w:val="22"/>
                                            <w:lang w:eastAsia="lt-LT"/>
                                          </w:rPr>
                                          <m:t>RAB</m:t>
                                        </m:r>
                                      </m:e>
                                      <m:sub>
                                        <m:r>
                                          <w:rPr>
                                            <w:rFonts w:ascii="Cambria Math" w:hAnsi="Cambria Math"/>
                                            <w:sz w:val="22"/>
                                            <w:szCs w:val="22"/>
                                            <w:lang w:eastAsia="lt-LT"/>
                                          </w:rPr>
                                          <m:t>P</m:t>
                                        </m:r>
                                      </m:sub>
                                    </m:sSub>
                                  </m:e>
                                  <m:sub>
                                    <m:r>
                                      <w:rPr>
                                        <w:rFonts w:ascii="Cambria Math" w:hAnsi="Cambria Math"/>
                                        <w:sz w:val="22"/>
                                        <w:szCs w:val="22"/>
                                        <w:lang w:eastAsia="lt-LT"/>
                                      </w:rPr>
                                      <m:t>i</m:t>
                                    </m:r>
                                  </m:sub>
                                </m:sSub>
                              </m:num>
                              <m:den>
                                <m:r>
                                  <w:rPr>
                                    <w:rFonts w:ascii="Cambria Math" w:hAnsi="Cambria Math"/>
                                    <w:sz w:val="22"/>
                                    <w:szCs w:val="22"/>
                                    <w:lang w:eastAsia="lt-LT"/>
                                  </w:rPr>
                                  <m:t>100</m:t>
                                </m:r>
                              </m:den>
                            </m:f>
                          </m:e>
                        </m:nary>
                      </m:oMath>
                      <w:r>
                        <w:rPr>
                          <w:bCs/>
                          <w:sz w:val="22"/>
                          <w:szCs w:val="22"/>
                          <w:lang w:eastAsia="lt-LT"/>
                        </w:rPr>
                        <w:t>(Eur)</w:t>
                      </w:r>
                      <w:r>
                        <w:rPr>
                          <w:b/>
                          <w:bCs/>
                          <w:sz w:val="22"/>
                          <w:szCs w:val="22"/>
                          <w:lang w:eastAsia="lt-LT"/>
                        </w:rPr>
                        <w:t xml:space="preserve">            </w:t>
                      </w:r>
                      <w:r>
                        <w:rPr>
                          <w:color w:val="000000"/>
                          <w:szCs w:val="24"/>
                        </w:rPr>
                        <w:t xml:space="preserve">     (</w:t>
                      </w:r>
                      <w:r>
                        <w:rPr>
                          <w:color w:val="000000"/>
                          <w:szCs w:val="24"/>
                          <w:lang w:val="en-US"/>
                        </w:rPr>
                        <w:t>1</w:t>
                      </w:r>
                      <w:r>
                        <w:rPr>
                          <w:color w:val="000000"/>
                          <w:szCs w:val="24"/>
                        </w:rPr>
                        <w:t>)</w:t>
                      </w:r>
                    </w:p>
                    <w:p>
                      <w:pPr>
                        <w:tabs>
                          <w:tab w:val="left" w:pos="993"/>
                        </w:tabs>
                        <w:ind w:firstLine="709"/>
                        <w:jc w:val="both"/>
                        <w:rPr>
                          <w:i/>
                          <w:iCs/>
                          <w:strike/>
                          <w:color w:val="000000"/>
                          <w:szCs w:val="24"/>
                        </w:rPr>
                      </w:pPr>
                    </w:p>
                    <w:p>
                      <w:pPr>
                        <w:tabs>
                          <w:tab w:val="left" w:pos="993"/>
                        </w:tabs>
                        <w:ind w:firstLine="709"/>
                        <w:jc w:val="both"/>
                        <w:rPr>
                          <w:i/>
                          <w:iCs/>
                          <w:strike/>
                          <w:color w:val="000000"/>
                          <w:szCs w:val="24"/>
                        </w:rPr>
                      </w:pPr>
                    </w:p>
                    <w:p>
                      <w:pPr>
                        <w:ind w:firstLine="709"/>
                        <w:jc w:val="both"/>
                        <w:rPr>
                          <w:i/>
                          <w:iCs/>
                          <w:color w:val="000000"/>
                          <w:szCs w:val="24"/>
                          <w:lang w:eastAsia="lt-LT"/>
                        </w:rPr>
                      </w:pPr>
                    </w:p>
                    <w:p>
                      <w:pPr>
                        <w:ind w:firstLine="709"/>
                        <w:jc w:val="both"/>
                        <w:rPr>
                          <w:color w:val="000000"/>
                          <w:szCs w:val="24"/>
                          <w:lang w:eastAsia="lt-LT"/>
                        </w:rPr>
                      </w:pPr>
                      <w:r>
                        <w:rPr>
                          <w:i/>
                          <w:iCs/>
                          <w:color w:val="000000"/>
                          <w:szCs w:val="24"/>
                          <w:lang w:eastAsia="lt-LT"/>
                        </w:rPr>
                        <w:t>kur:</w:t>
                      </w:r>
                    </w:p>
                    <w:p>
                      <w:pPr>
                        <w:ind w:firstLine="709"/>
                        <w:jc w:val="both"/>
                        <w:rPr>
                          <w:color w:val="000000"/>
                          <w:szCs w:val="24"/>
                          <w:lang w:eastAsia="lt-LT"/>
                        </w:rPr>
                      </w:pPr>
                      <w:r>
                        <w:rPr>
                          <w:color w:val="000000"/>
                          <w:szCs w:val="24"/>
                          <w:lang w:eastAsia="lt-LT"/>
                        </w:rPr>
                        <w:t>ROI</w:t>
                      </w:r>
                      <w:r>
                        <w:rPr>
                          <w:color w:val="000000"/>
                          <w:szCs w:val="24"/>
                          <w:vertAlign w:val="subscript"/>
                          <w:lang w:eastAsia="lt-LT"/>
                        </w:rPr>
                        <w:t>i</w:t>
                      </w:r>
                      <w:r>
                        <w:rPr>
                          <w:color w:val="000000"/>
                          <w:szCs w:val="24"/>
                          <w:lang w:eastAsia="lt-LT"/>
                        </w:rPr>
                        <w:t> – investicijų grąža, priskirtina paslaugai (produktui), Eur;</w:t>
                      </w:r>
                    </w:p>
                    <w:p>
                      <w:pPr>
                        <w:ind w:firstLine="709"/>
                        <w:jc w:val="both"/>
                        <w:rPr>
                          <w:color w:val="000000"/>
                          <w:szCs w:val="24"/>
                          <w:lang w:eastAsia="lt-LT"/>
                        </w:rPr>
                      </w:pPr>
                      <w:r>
                        <w:rPr>
                          <w:color w:val="000000"/>
                          <w:szCs w:val="24"/>
                          <w:lang w:eastAsia="lt-LT"/>
                        </w:rPr>
                        <w:t>i – reguliuojamų kainų paslauga (produktas);</w:t>
                      </w:r>
                    </w:p>
                    <w:p>
                      <w:pPr>
                        <w:tabs>
                          <w:tab w:val="left" w:pos="1843"/>
                        </w:tabs>
                        <w:ind w:firstLine="709"/>
                        <w:jc w:val="both"/>
                        <w:rPr>
                          <w:szCs w:val="24"/>
                          <w:lang w:eastAsia="lt-LT"/>
                        </w:rPr>
                      </w:pPr>
                      <w:r>
                        <w:rPr>
                          <w:szCs w:val="24"/>
                          <w:lang w:eastAsia="lt-LT"/>
                        </w:rPr>
                        <w:t>r – protingumo kriterijų atitinkanti investicijų grąžos norma, nustatoma pagal vidutinę svertinę kapitalo kainą (WACC), proc.;</w:t>
                      </w:r>
                    </w:p>
                    <w:p>
                      <w:pPr>
                        <w:tabs>
                          <w:tab w:val="left" w:pos="1843"/>
                        </w:tabs>
                        <w:ind w:firstLine="709"/>
                        <w:jc w:val="both"/>
                        <w:rPr>
                          <w:szCs w:val="24"/>
                        </w:rPr>
                      </w:pPr>
                      <w:r>
                        <w:rPr>
                          <w:szCs w:val="24"/>
                          <w:lang w:eastAsia="lt-LT"/>
                        </w:rPr>
                        <w:t>RAB</w:t>
                      </w:r>
                      <w:r>
                        <w:rPr>
                          <w:szCs w:val="24"/>
                          <w:vertAlign w:val="subscript"/>
                          <w:lang w:eastAsia="lt-LT"/>
                        </w:rPr>
                        <w:t>i</w:t>
                      </w:r>
                      <w:r>
                        <w:rPr>
                          <w:szCs w:val="24"/>
                          <w:lang w:eastAsia="lt-LT"/>
                        </w:rPr>
                        <w:t xml:space="preserve"> –</w:t>
                      </w:r>
                      <w:r>
                        <w:rPr>
                          <w:color w:val="000000"/>
                          <w:szCs w:val="24"/>
                          <w:lang w:eastAsia="lt-LT"/>
                        </w:rPr>
                        <w:t xml:space="preserve"> reguliuojamoje veikloje naudojamo ilgalaikio materialaus ir nematerialaus turto vertė, priskirtina paslaugai (produktui)</w:t>
                      </w:r>
                      <w:r>
                        <w:rPr>
                          <w:szCs w:val="24"/>
                          <w:lang w:eastAsia="lt-LT"/>
                        </w:rPr>
                        <w:t xml:space="preserve"> ir  apskaičiuota pagal (</w:t>
                      </w:r>
                      <w:r>
                        <w:rPr>
                          <w:szCs w:val="24"/>
                          <w:lang w:val="en-US" w:eastAsia="lt-LT"/>
                        </w:rPr>
                        <w:t>2</w:t>
                      </w:r>
                      <w:r>
                        <w:rPr>
                          <w:szCs w:val="24"/>
                          <w:lang w:eastAsia="lt-LT"/>
                        </w:rPr>
                        <w:t>) formulę, Eur;</w:t>
                      </w:r>
                      <w:r>
                        <w:rPr>
                          <w:szCs w:val="24"/>
                        </w:rPr>
                        <w:t xml:space="preserve"> </w:t>
                      </w:r>
                    </w:p>
                    <w:p>
                      <w:pPr>
                        <w:tabs>
                          <w:tab w:val="left" w:pos="1843"/>
                        </w:tabs>
                        <w:ind w:firstLine="709"/>
                        <w:jc w:val="both"/>
                        <w:rPr>
                          <w:szCs w:val="24"/>
                          <w:vertAlign w:val="subscript"/>
                          <w:lang w:eastAsia="lt-LT"/>
                        </w:rPr>
                      </w:pPr>
                      <w:r>
                        <w:rPr>
                          <w:szCs w:val="24"/>
                        </w:rPr>
                        <w:t>RAB</w:t>
                      </w:r>
                      <w:r>
                        <w:rPr>
                          <w:szCs w:val="24"/>
                          <w:vertAlign w:val="subscript"/>
                        </w:rPr>
                        <w:t xml:space="preserve">Pi </w:t>
                      </w:r>
                      <w:r>
                        <w:rPr>
                          <w:szCs w:val="24"/>
                          <w:vertAlign w:val="subscript"/>
                          <w:lang w:eastAsia="lt-LT"/>
                        </w:rPr>
                        <w:t xml:space="preserve"> </w:t>
                      </w:r>
                      <w:r>
                        <w:rPr>
                          <w:szCs w:val="24"/>
                          <w:lang w:eastAsia="lt-LT"/>
                        </w:rPr>
                        <w:t>– paslaugai priskirtino reguliuojamo turto, sukurto Metodikos 18.2 ir 18.3 papunkčiuose nurodytais projektais, vertė, Eur;</w:t>
                      </w:r>
                    </w:p>
                    <w:p>
                      <w:pPr>
                        <w:tabs>
                          <w:tab w:val="left" w:pos="1843"/>
                        </w:tabs>
                        <w:ind w:firstLine="709"/>
                        <w:jc w:val="both"/>
                        <w:rPr>
                          <w:szCs w:val="24"/>
                          <w:lang w:eastAsia="lt-LT"/>
                        </w:rPr>
                      </w:pPr>
                      <w:r>
                        <w:rPr>
                          <w:szCs w:val="24"/>
                          <w:lang w:eastAsia="lt-LT"/>
                        </w:rPr>
                        <w:t>r</w:t>
                      </w:r>
                      <w:r>
                        <w:rPr>
                          <w:szCs w:val="24"/>
                          <w:vertAlign w:val="subscript"/>
                          <w:lang w:eastAsia="lt-LT"/>
                        </w:rPr>
                        <w:t>p</w:t>
                      </w:r>
                      <w:r>
                        <w:rPr>
                          <w:szCs w:val="24"/>
                          <w:lang w:eastAsia="lt-LT"/>
                        </w:rPr>
                        <w:t xml:space="preserve"> – protingumo kriterijų atitinkanti investicijų grąžos norma, nustatoma pagal vidutinę svertinę kapitalo kainą (WACC) ir Tarybos sprendimu skiriamą skatinimą Metodikos 18.2 ir 18.3 papunkčiuose nurodytų projektų atvejais, proc.;</w:t>
                      </w:r>
                    </w:p>
                    <w:p>
                      <w:pPr>
                        <w:tabs>
                          <w:tab w:val="left" w:pos="1843"/>
                        </w:tabs>
                        <w:ind w:firstLine="709"/>
                        <w:jc w:val="both"/>
                        <w:rPr>
                          <w:szCs w:val="24"/>
                          <w:lang w:eastAsia="lt-LT"/>
                        </w:rPr>
                      </w:pPr>
                      <w:r>
                        <w:rPr>
                          <w:szCs w:val="24"/>
                          <w:lang w:eastAsia="lt-LT"/>
                        </w:rPr>
                        <w:t>p – Metodikos 18.2 ar 18.3 papunkčiuose nurodytas projektas, kuriam skiriamas padidintas WACC</w:t>
                      </w:r>
                      <w:r>
                        <w:rPr>
                          <w:color w:val="000000"/>
                          <w:szCs w:val="24"/>
                          <w:lang w:eastAsia="lt-LT"/>
                        </w:rPr>
                        <w:t>;</w:t>
                      </w:r>
                    </w:p>
                    <w:p>
                      <w:pPr>
                        <w:tabs>
                          <w:tab w:val="left" w:pos="1843"/>
                        </w:tabs>
                        <w:ind w:firstLine="709"/>
                        <w:jc w:val="both"/>
                        <w:rPr>
                          <w:color w:val="000000"/>
                          <w:szCs w:val="24"/>
                          <w:lang w:eastAsia="lt-LT"/>
                        </w:rPr>
                      </w:pPr>
                      <w:r>
                        <w:rPr>
                          <w:color w:val="000000"/>
                          <w:szCs w:val="24"/>
                          <w:lang w:eastAsia="lt-LT"/>
                        </w:rPr>
                        <w:t xml:space="preserve">n – </w:t>
                      </w:r>
                      <w:r>
                        <w:rPr>
                          <w:szCs w:val="24"/>
                          <w:lang w:eastAsia="lt-LT"/>
                        </w:rPr>
                        <w:t>Metodikos 18.2 ar 18.3 papunkčiuose nurodytas projektų skaičius, kuriam skiriamas padidintas WACC</w:t>
                      </w:r>
                      <w:r>
                        <w:rPr>
                          <w:color w:val="000000"/>
                          <w:szCs w:val="24"/>
                          <w:lang w:eastAsia="lt-LT"/>
                        </w:rPr>
                        <w:t>.</w:t>
                      </w:r>
                    </w:p>
                    <w:p>
                      <w:pPr>
                        <w:ind w:firstLine="709"/>
                        <w:jc w:val="both"/>
                        <w:rPr>
                          <w:strike/>
                          <w:color w:val="000000"/>
                          <w:szCs w:val="24"/>
                          <w:lang w:eastAsia="lt-LT"/>
                        </w:rPr>
                      </w:pPr>
                    </w:p>
                  </w:sdtContent>
                </w:sdt>
                <w:sdt>
                  <w:sdtPr>
                    <w:alias w:val="18.2 pp."/>
                    <w:tag w:val="part_e614cac23bcc4767839937514964f4ed"/>
                    <w:lock w:val="sdtLocked"/>
                    <w:richText/>
                  </w:sdtPr>
                  <w:sdtContent>
                    <w:p>
                      <w:pPr>
                        <w:ind w:firstLine="709"/>
                        <w:jc w:val="both"/>
                        <w:rPr>
                          <w:color w:val="000000"/>
                          <w:szCs w:val="24"/>
                          <w:lang w:eastAsia="lt-LT"/>
                        </w:rPr>
                      </w:pPr>
                      <w:sdt>
                        <w:sdtPr>
                          <w:alias w:val="Numeris"/>
                          <w:tag w:val="nr_e614cac23bcc4767839937514964f4ed"/>
                          <w:lock w:val="sdtLocked"/>
                          <w:richText/>
                        </w:sdtPr>
                        <w:sdtContent>
                          <w:r>
                            <w:rPr>
                              <w:color w:val="000000"/>
                            </w:rPr>
                            <w:t>18.2</w:t>
                          </w:r>
                        </w:sdtContent>
                      </w:sdt>
                      <w:r>
                        <w:rPr>
                          <w:color w:val="000000"/>
                        </w:rPr>
                        <w:t xml:space="preserve">. Asmens įgyvendintas energetikos inovacijas. Asmeniui įgyvendinus energetikos inovacijas, kurios laikomos pasiteisinusiomis pagal Asmenų prašymų leisti veikti bandomojoje energetikos inovacijų aplinkoje pateikimo ir nagrinėjimo bei veiklos bandomojoje energetikos inovacijų aplinkoje vykdymo tvarkos aprašą, patvirtintą Tarybos 2020 m. rugpjūčio 7 d. nutarimu </w:t>
                        <w:br/>
                        <w:t>Nr. O3E-699 „Dėl Asmenų prašymų leisti veikti bandomojoje energetikos inovacijų aplinkoje pateikimo ir nagrinėjimo bei veiklos bandomojoje energetikos inovacijų aplinkoje vykdymo tvarkos aprašo patvirtinimo“ (toliau – Inovacijų aprašas), ateinančiam 5 metų periodui yra taikoma papildoma investicinė grąža, kuri apskaičiuojama įvertinus 1 procentiniu punktu padidintą WACC (Tarybos nustatytas WACC + 1 proc.), padauginus iš likutinės ilgalaikio turto vienetų vertės dalies, finansuotos iš Asmens nuosavų ir (ar) skolintų lėšų ir sukurtos diegiant energetikos inovacijas bandomojoje aplinkoje.</w:t>
                      </w:r>
                    </w:p>
                  </w:sdtContent>
                </w:sdt>
                <w:sdt>
                  <w:sdtPr>
                    <w:alias w:val="18.3 pp."/>
                    <w:tag w:val="part_fe2cf67e8cb6455aa7cf2a2d6a324110"/>
                    <w:lock w:val="sdtLocked"/>
                    <w:richText/>
                  </w:sdtPr>
                  <w:sdtContent>
                    <w:p>
                      <w:pPr>
                        <w:ind w:firstLine="709"/>
                        <w:jc w:val="both"/>
                        <w:rPr>
                          <w:szCs w:val="24"/>
                        </w:rPr>
                      </w:pPr>
                      <w:sdt>
                        <w:sdtPr>
                          <w:alias w:val="Numeris"/>
                          <w:tag w:val="nr_fe2cf67e8cb6455aa7cf2a2d6a324110"/>
                          <w:lock w:val="sdtLocked"/>
                          <w:richText/>
                        </w:sdtPr>
                        <w:sdtContent>
                          <w:r>
                            <w:rPr>
                              <w:color w:val="000000"/>
                            </w:rPr>
                            <w:t>18.3</w:t>
                          </w:r>
                        </w:sdtContent>
                      </w:sdt>
                      <w:r>
                        <w:rPr>
                          <w:color w:val="000000"/>
                        </w:rPr>
                        <w:t xml:space="preserve">. Asmens įgyvendinamus investicijų projektus, </w:t>
                      </w:r>
                      <w:r>
                        <w:rPr>
                          <w:szCs w:val="24"/>
                          <w:lang w:eastAsia="lt-LT"/>
                        </w:rPr>
                        <w:t xml:space="preserve">įgyvendinančius Lietuvos Respublikos klimato kaitos mažinimo, šiltnamio efektą sukeliančių dujų mažinimo, aplinkos apsaugos tikslus, nustatytus atskiriems reguliuojamiems sektoriams Nacionalinėje energetinės nepriklausomybės strategijoje, patvirtintoje Lietuvos Respublikos Seimo 2012 m. birželio 26 d. nutarimu Nr. </w:t>
                      </w:r>
                      <w:r>
                        <w:rPr>
                          <w:szCs w:val="24"/>
                        </w:rPr>
                        <w:t xml:space="preserve">XI-2133 </w:t>
                      </w:r>
                      <w:r>
                        <w:rPr>
                          <w:szCs w:val="24"/>
                          <w:lang w:eastAsia="lt-LT"/>
                        </w:rPr>
                        <w:t>„Dėl Nacionalinės energetinės nepriklausomybės strategijos patvirtinimo“ (toliau – Nacionalinė energetinės nepriklausomybės strategija), Lietuvos Respublikos Nacionaliniame energetikos ir klimato kaitos srities veiksmų plane 2021–2030 m. ir Nacionalinėje aplinkos apsaugos strategijoje, patvirtintoje Lietuvos Respublikos Seimo 2015 m. balandžio 16 d. nutarimu Nr. XII-1626 „Dėl Nacionalinės aplinkos apsaugos strategijos patvirtinimo“ (toliau – Nacionalinė aplinkos apsaugos strategija), ir prisidedančius prie teigiamo poveikio šiuose strateginiuose dokumentuose nustatytiems rodikliams. Šiems projektams pagal Investicijų grąžos normos nustatymo metodikos, patvirtintos Tarybos 2015 m. rugsėjo 22 d. nutarimu Nr. O3-510 „Dėl Investicijų grąžos normos nustatymo metodikos patvirtinimo“ (toliau – Investicijų grąžos normos nustatymo metodika), 10 punktą, skiriamas papildomas 1 proc. investicijų grąžos priedas (Tarybos nustatytas WACC + 1 proc.), kuris padauginamas iš likutinės ilgalaikio turto vienetų vertės dalies, sukurtos įgyvendinant anksčiau nurodytus investicijų projektus.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19 p."/>
                <w:tag w:val="part_ca2b792fea1a4f5fb33f39ea8c9d5ed7"/>
                <w:lock w:val="sdtLocked"/>
                <w:richText/>
              </w:sdtPr>
              <w:sdtContent>
                <w:p>
                  <w:pPr>
                    <w:tabs>
                      <w:tab w:val="left" w:pos="567"/>
                    </w:tabs>
                    <w:spacing w:line="22" w:lineRule="atLeast"/>
                    <w:ind w:firstLine="709"/>
                    <w:jc w:val="both"/>
                    <w:rPr>
                      <w:szCs w:val="24"/>
                    </w:rPr>
                  </w:pPr>
                  <w:sdt>
                    <w:sdtPr>
                      <w:alias w:val="Numeris"/>
                      <w:tag w:val="nr_ca2b792fea1a4f5fb33f39ea8c9d5ed7"/>
                      <w:lock w:val="sdtLocked"/>
                      <w:richText/>
                    </w:sdtPr>
                    <w:sdtContent>
                      <w:r>
                        <w:rPr>
                          <w:szCs w:val="24"/>
                        </w:rPr>
                        <w:t>19</w:t>
                      </w:r>
                    </w:sdtContent>
                  </w:sdt>
                  <w:r>
                    <w:rPr>
                      <w:szCs w:val="24"/>
                    </w:rPr>
                    <w:t>. Reguliuojamai paslaugai vykdyti būtino turto vertė apskaičiuojama įvertinant:</w:t>
                  </w:r>
                </w:p>
                <w:sdt>
                  <w:sdtPr>
                    <w:alias w:val="19.1 pp."/>
                    <w:tag w:val="part_45341fedfcd4429983fdc16ffe292896"/>
                    <w:lock w:val="sdtLocked"/>
                    <w:richText/>
                  </w:sdtPr>
                  <w:sdtContent>
                    <w:p>
                      <w:pPr>
                        <w:tabs>
                          <w:tab w:val="left" w:pos="1276"/>
                        </w:tabs>
                        <w:spacing w:line="22" w:lineRule="atLeast"/>
                        <w:ind w:firstLine="709"/>
                        <w:jc w:val="both"/>
                        <w:rPr>
                          <w:szCs w:val="24"/>
                        </w:rPr>
                      </w:pPr>
                      <w:sdt>
                        <w:sdtPr>
                          <w:alias w:val="Numeris"/>
                          <w:tag w:val="nr_45341fedfcd4429983fdc16ffe292896"/>
                          <w:lock w:val="sdtLocked"/>
                          <w:richText/>
                        </w:sdtPr>
                        <w:sdtContent>
                          <w:r>
                            <w:rPr>
                              <w:szCs w:val="24"/>
                            </w:rPr>
                            <w:t>19.1</w:t>
                          </w:r>
                        </w:sdtContent>
                      </w:sdt>
                      <w:r>
                        <w:rPr>
                          <w:szCs w:val="24"/>
                        </w:rPr>
                        <w:t>. ilgalaikio</w:t>
                      </w:r>
                      <w:r>
                        <w:rPr>
                          <w:color w:val="000000"/>
                          <w:szCs w:val="24"/>
                        </w:rPr>
                        <w:t xml:space="preserve"> </w:t>
                      </w:r>
                      <w:r>
                        <w:rPr>
                          <w:szCs w:val="24"/>
                        </w:rPr>
                        <w:t>materialaus ir nematerialaus turto vienetų vertę (reguliuojamos paslaugos ir (ar) produkto turto vertę), kuri apskaičiuota nepripažįstant dėl turto vertinimo rezultato ir dėl turto perkainojimo</w:t>
                      </w:r>
                      <w:r>
                        <w:rPr>
                          <w:color w:val="000000"/>
                          <w:szCs w:val="24"/>
                        </w:rPr>
                        <w:t xml:space="preserve">, atlikto pagal Tarptautinių apskaitos standartų arba Verslo apskaitos standartų reikalavimus po 2001 m. gruodžio 31 d., </w:t>
                      </w:r>
                      <w:r>
                        <w:rPr>
                          <w:szCs w:val="24"/>
                        </w:rPr>
                        <w:t>atsiradusių turto vertės pasikeitimų;</w:t>
                      </w:r>
                    </w:p>
                  </w:sdtContent>
                </w:sdt>
                <w:sdt>
                  <w:sdtPr>
                    <w:alias w:val="19.2 pp."/>
                    <w:tag w:val="part_b8d6107abb5740da8a02d5132c3d3811"/>
                    <w:lock w:val="sdtLocked"/>
                    <w:richText/>
                  </w:sdtPr>
                  <w:sdtContent>
                    <w:p>
                      <w:pPr>
                        <w:ind w:firstLine="709"/>
                        <w:jc w:val="both"/>
                        <w:rPr>
                          <w:color w:val="000000"/>
                          <w:szCs w:val="24"/>
                          <w:lang w:eastAsia="lt-LT"/>
                        </w:rPr>
                      </w:pPr>
                      <w:sdt>
                        <w:sdtPr>
                          <w:alias w:val="Numeris"/>
                          <w:tag w:val="nr_b8d6107abb5740da8a02d5132c3d3811"/>
                          <w:lock w:val="sdtLocked"/>
                          <w:richText/>
                        </w:sdtPr>
                        <w:sdtContent>
                          <w:r>
                            <w:rPr>
                              <w:color w:val="000000"/>
                              <w:szCs w:val="24"/>
                              <w:lang w:eastAsia="lt-LT"/>
                            </w:rPr>
                            <w:t>19.2</w:t>
                          </w:r>
                        </w:sdtContent>
                      </w:sdt>
                      <w:r>
                        <w:rPr>
                          <w:color w:val="000000"/>
                          <w:szCs w:val="24"/>
                          <w:lang w:eastAsia="lt-LT"/>
                        </w:rPr>
                        <w:t>. reguliuojamoje veikloje naudojamo ilgalaikio materialaus ir nematerialaus turto vertę apskaičiuojamą pagal formulę ir duomenis šiam turtui apskaičiuoti pateikiamus Metodikos 4 priedo lentelėje:</w:t>
                      </w:r>
                    </w:p>
                    <w:p>
                      <w:pPr>
                        <w:ind w:firstLine="709"/>
                        <w:jc w:val="both"/>
                        <w:rPr>
                          <w:color w:val="000000"/>
                          <w:szCs w:val="24"/>
                          <w:lang w:eastAsia="lt-LT"/>
                        </w:rPr>
                      </w:pPr>
                    </w:p>
                    <w:p>
                      <w:pPr>
                        <w:tabs>
                          <w:tab w:val="left" w:pos="993"/>
                        </w:tabs>
                        <w:ind w:firstLine="709"/>
                        <w:jc w:val="both"/>
                        <w:rPr>
                          <w:i/>
                          <w:iCs/>
                          <w:color w:val="000000"/>
                          <w:szCs w:val="24"/>
                          <w:lang w:eastAsia="lt-LT"/>
                        </w:rPr>
                      </w:pPr>
                      <w:r>
                        <w:rPr>
                          <w:i/>
                          <w:iCs/>
                          <w:color w:val="000000"/>
                          <w:szCs w:val="24"/>
                          <w:lang w:eastAsia="lt-LT"/>
                        </w:rPr>
                        <w:t>RAB</w:t>
                      </w:r>
                      <w:r>
                        <w:rPr>
                          <w:i/>
                          <w:iCs/>
                          <w:color w:val="000000"/>
                          <w:szCs w:val="24"/>
                          <w:vertAlign w:val="subscript"/>
                          <w:lang w:eastAsia="lt-LT"/>
                        </w:rPr>
                        <w:t xml:space="preserve"> i, y </w:t>
                      </w:r>
                      <w:r>
                        <w:rPr>
                          <w:i/>
                          <w:iCs/>
                          <w:color w:val="000000"/>
                          <w:szCs w:val="24"/>
                          <w:lang w:eastAsia="lt-LT"/>
                        </w:rPr>
                        <w:t xml:space="preserve">= RAB </w:t>
                      </w:r>
                      <w:r>
                        <w:rPr>
                          <w:i/>
                          <w:iCs/>
                          <w:color w:val="000000"/>
                          <w:szCs w:val="24"/>
                          <w:vertAlign w:val="subscript"/>
                          <w:lang w:eastAsia="lt-LT"/>
                        </w:rPr>
                        <w:t xml:space="preserve">i, y-2 </w:t>
                      </w:r>
                      <w:r>
                        <w:rPr>
                          <w:i/>
                          <w:iCs/>
                          <w:color w:val="000000"/>
                          <w:szCs w:val="24"/>
                          <w:lang w:eastAsia="lt-LT"/>
                        </w:rPr>
                        <w:t xml:space="preserve"> + I </w:t>
                      </w:r>
                      <w:r>
                        <w:rPr>
                          <w:i/>
                          <w:iCs/>
                          <w:color w:val="000000"/>
                          <w:szCs w:val="24"/>
                          <w:vertAlign w:val="subscript"/>
                          <w:lang w:eastAsia="lt-LT"/>
                        </w:rPr>
                        <w:t xml:space="preserve">i, y-1  </w:t>
                      </w:r>
                      <w:r>
                        <w:rPr>
                          <w:i/>
                          <w:iCs/>
                          <w:color w:val="000000"/>
                          <w:szCs w:val="24"/>
                          <w:lang w:eastAsia="lt-LT"/>
                        </w:rPr>
                        <w:t xml:space="preserve">– N </w:t>
                      </w:r>
                      <w:r>
                        <w:rPr>
                          <w:i/>
                          <w:iCs/>
                          <w:color w:val="000000"/>
                          <w:szCs w:val="24"/>
                          <w:vertAlign w:val="subscript"/>
                          <w:lang w:eastAsia="lt-LT"/>
                        </w:rPr>
                        <w:t xml:space="preserve">i, y-1  </w:t>
                      </w:r>
                      <w:r>
                        <w:rPr>
                          <w:i/>
                          <w:iCs/>
                          <w:color w:val="000000"/>
                          <w:szCs w:val="24"/>
                          <w:lang w:eastAsia="lt-LT"/>
                        </w:rPr>
                        <w:t xml:space="preserve">– R </w:t>
                      </w:r>
                      <w:r>
                        <w:rPr>
                          <w:i/>
                          <w:iCs/>
                          <w:color w:val="000000"/>
                          <w:szCs w:val="24"/>
                          <w:vertAlign w:val="subscript"/>
                          <w:lang w:eastAsia="lt-LT"/>
                        </w:rPr>
                        <w:t xml:space="preserve">i, y-1  </w:t>
                      </w:r>
                      <w:r>
                        <w:rPr>
                          <w:b/>
                          <w:bCs/>
                          <w:i/>
                          <w:iCs/>
                          <w:color w:val="000000"/>
                          <w:szCs w:val="24"/>
                          <w:lang w:eastAsia="lt-LT"/>
                        </w:rPr>
                        <w:t xml:space="preserve">+ </w:t>
                      </w:r>
                      <w:r>
                        <w:rPr>
                          <w:i/>
                          <w:iCs/>
                          <w:color w:val="000000"/>
                          <w:szCs w:val="24"/>
                          <w:lang w:eastAsia="lt-LT"/>
                        </w:rPr>
                        <w:t>T</w:t>
                      </w:r>
                      <w:r>
                        <w:rPr>
                          <w:i/>
                          <w:iCs/>
                          <w:color w:val="000000"/>
                          <w:szCs w:val="24"/>
                          <w:vertAlign w:val="subscript"/>
                          <w:lang w:eastAsia="lt-LT"/>
                        </w:rPr>
                        <w:t xml:space="preserve">INOi, </w:t>
                      </w:r>
                      <w:r>
                        <w:rPr>
                          <w:i/>
                          <w:iCs/>
                          <w:color w:val="000000"/>
                          <w:szCs w:val="24"/>
                          <w:vertAlign w:val="subscript"/>
                          <w:lang w:val="en-US" w:eastAsia="lt-LT"/>
                        </w:rPr>
                        <w:t>y-1</w:t>
                      </w:r>
                      <w:r>
                        <w:rPr>
                          <w:b/>
                          <w:bCs/>
                          <w:i/>
                          <w:iCs/>
                          <w:color w:val="000000"/>
                          <w:szCs w:val="24"/>
                          <w:vertAlign w:val="subscript"/>
                          <w:lang w:val="en-US" w:eastAsia="lt-LT"/>
                        </w:rPr>
                        <w:t xml:space="preserve"> </w:t>
                      </w:r>
                      <w:r>
                        <w:rPr>
                          <w:i/>
                          <w:iCs/>
                          <w:color w:val="000000"/>
                          <w:szCs w:val="24"/>
                          <w:lang w:val="en-US" w:eastAsia="lt-LT"/>
                        </w:rPr>
                        <w:t xml:space="preserve">+ </w:t>
                      </w:r>
                      <w:r>
                        <w:rPr>
                          <w:i/>
                          <w:iCs/>
                          <w:color w:val="000000"/>
                          <w:szCs w:val="24"/>
                          <w:lang w:eastAsia="lt-LT"/>
                        </w:rPr>
                        <w:t>T</w:t>
                      </w:r>
                      <w:r>
                        <w:rPr>
                          <w:i/>
                          <w:iCs/>
                          <w:color w:val="000000"/>
                          <w:szCs w:val="24"/>
                          <w:vertAlign w:val="subscript"/>
                          <w:lang w:eastAsia="lt-LT"/>
                        </w:rPr>
                        <w:t>INVi, y-1</w:t>
                      </w:r>
                      <w:r>
                        <w:rPr>
                          <w:b/>
                          <w:bCs/>
                          <w:i/>
                          <w:iCs/>
                          <w:color w:val="000000"/>
                          <w:szCs w:val="24"/>
                          <w:vertAlign w:val="subscript"/>
                          <w:lang w:eastAsia="lt-LT"/>
                        </w:rPr>
                        <w:t xml:space="preserve">      </w:t>
                      </w:r>
                      <w:r>
                        <w:rPr>
                          <w:b/>
                          <w:bCs/>
                          <w:i/>
                          <w:iCs/>
                          <w:color w:val="000000"/>
                          <w:szCs w:val="24"/>
                          <w:lang w:eastAsia="lt-LT"/>
                        </w:rPr>
                        <w:t xml:space="preserve">           </w:t>
                      </w:r>
                      <w:r>
                        <w:rPr>
                          <w:color w:val="000000"/>
                          <w:szCs w:val="24"/>
                          <w:lang w:eastAsia="lt-LT"/>
                        </w:rPr>
                        <w:t xml:space="preserve"> (2)</w:t>
                      </w:r>
                    </w:p>
                    <w:p>
                      <w:pPr>
                        <w:ind w:firstLine="709"/>
                        <w:jc w:val="both"/>
                        <w:rPr>
                          <w:color w:val="000000"/>
                          <w:szCs w:val="24"/>
                          <w:lang w:eastAsia="lt-LT"/>
                        </w:rPr>
                      </w:pPr>
                    </w:p>
                    <w:p>
                      <w:pPr>
                        <w:ind w:firstLine="709"/>
                        <w:jc w:val="both"/>
                        <w:rPr>
                          <w:color w:val="000000"/>
                          <w:szCs w:val="24"/>
                          <w:lang w:eastAsia="lt-LT"/>
                        </w:rPr>
                      </w:pPr>
                    </w:p>
                    <w:p>
                      <w:pPr>
                        <w:ind w:firstLine="709"/>
                        <w:jc w:val="both"/>
                        <w:rPr>
                          <w:color w:val="000000"/>
                          <w:szCs w:val="24"/>
                          <w:lang w:eastAsia="lt-LT"/>
                        </w:rPr>
                      </w:pPr>
                      <w:r>
                        <w:rPr>
                          <w:i/>
                          <w:iCs/>
                          <w:color w:val="000000"/>
                          <w:szCs w:val="24"/>
                          <w:lang w:eastAsia="lt-LT"/>
                        </w:rPr>
                        <w:t>kur:</w:t>
                      </w:r>
                    </w:p>
                    <w:p>
                      <w:pPr>
                        <w:ind w:firstLine="709"/>
                        <w:jc w:val="both"/>
                        <w:rPr>
                          <w:color w:val="000000"/>
                          <w:szCs w:val="24"/>
                          <w:lang w:eastAsia="lt-LT"/>
                        </w:rPr>
                      </w:pPr>
                      <w:r>
                        <w:rPr>
                          <w:i/>
                          <w:iCs/>
                          <w:color w:val="000000"/>
                          <w:szCs w:val="24"/>
                          <w:lang w:eastAsia="lt-LT"/>
                        </w:rPr>
                        <w:t>RAB </w:t>
                      </w:r>
                      <w:r>
                        <w:rPr>
                          <w:i/>
                          <w:iCs/>
                          <w:color w:val="000000"/>
                          <w:szCs w:val="24"/>
                          <w:vertAlign w:val="subscript"/>
                          <w:lang w:eastAsia="lt-LT"/>
                        </w:rPr>
                        <w:t>i, y</w:t>
                      </w:r>
                      <w:r>
                        <w:rPr>
                          <w:color w:val="000000"/>
                          <w:szCs w:val="24"/>
                          <w:lang w:eastAsia="lt-LT"/>
                        </w:rPr>
                        <w:t xml:space="preserve"> – reguliuojamoje veikloje naudojamo ilgalaikio materialaus ir nematerialaus turto vertė metams </w:t>
                      </w:r>
                      <w:r>
                        <w:rPr>
                          <w:i/>
                          <w:iCs/>
                          <w:color w:val="000000"/>
                          <w:szCs w:val="24"/>
                          <w:lang w:eastAsia="lt-LT"/>
                        </w:rPr>
                        <w:t>y</w:t>
                      </w:r>
                      <w:r>
                        <w:rPr>
                          <w:color w:val="000000"/>
                          <w:szCs w:val="24"/>
                          <w:lang w:eastAsia="lt-LT"/>
                        </w:rPr>
                        <w:t>, Eur;</w:t>
                      </w:r>
                    </w:p>
                    <w:p>
                      <w:pPr>
                        <w:ind w:firstLine="709"/>
                        <w:jc w:val="both"/>
                        <w:rPr>
                          <w:color w:val="000000"/>
                          <w:szCs w:val="24"/>
                          <w:lang w:val="en-US" w:eastAsia="lt-LT"/>
                        </w:rPr>
                      </w:pPr>
                      <w:r>
                        <w:rPr>
                          <w:i/>
                          <w:iCs/>
                          <w:color w:val="000000"/>
                          <w:szCs w:val="24"/>
                          <w:lang w:eastAsia="lt-LT"/>
                        </w:rPr>
                        <w:t>RAB</w:t>
                      </w:r>
                      <w:r>
                        <w:rPr>
                          <w:i/>
                          <w:iCs/>
                          <w:color w:val="000000"/>
                          <w:szCs w:val="24"/>
                          <w:vertAlign w:val="subscript"/>
                          <w:lang w:eastAsia="lt-LT"/>
                        </w:rPr>
                        <w:t> i, y-2 </w:t>
                      </w:r>
                      <w:r>
                        <w:rPr>
                          <w:color w:val="000000"/>
                          <w:szCs w:val="24"/>
                          <w:lang w:eastAsia="lt-LT"/>
                        </w:rPr>
                        <w:t>– reguliuojamoje veikloje naudojamo ilgalaikio materialaus ir nematerialaus turto vertė metų y-2 pabaigoje</w:t>
                      </w:r>
                      <w:r>
                        <w:rPr>
                          <w:strike/>
                          <w:color w:val="000000"/>
                          <w:szCs w:val="24"/>
                          <w:lang w:eastAsia="lt-LT"/>
                        </w:rPr>
                        <w:t xml:space="preserve"> </w:t>
                      </w:r>
                      <w:r>
                        <w:rPr>
                          <w:color w:val="000000"/>
                          <w:szCs w:val="24"/>
                          <w:lang w:eastAsia="lt-LT"/>
                        </w:rPr>
                        <w:t>, Eur. Pirmaisiais metais, kurių vertei apskaičiuoti bus naudojama paslaugos (produkto) teikėjo ilgalaikio materialaus ir nematerialaus turto vienetų ir kito reguliuojamoje veikloje naudojamo turto vertė</w:t>
                      </w:r>
                      <w:r>
                        <w:rPr>
                          <w:b/>
                          <w:bCs/>
                          <w:color w:val="000000"/>
                          <w:szCs w:val="24"/>
                          <w:lang w:eastAsia="lt-LT"/>
                        </w:rPr>
                        <w:t>,</w:t>
                      </w:r>
                      <w:r>
                        <w:rPr>
                          <w:color w:val="000000"/>
                          <w:szCs w:val="24"/>
                          <w:lang w:eastAsia="lt-LT"/>
                        </w:rPr>
                        <w:t xml:space="preserve"> lygi šių turto vienetų neperkainotai grynajai buhalterinei vertei, įvertinant investicijas (į eksploataciją įvestą turtą), turto nusidėvėjimą, nurašymus iki metų y-2</w:t>
                      </w:r>
                      <w:r>
                        <w:rPr>
                          <w:b/>
                          <w:bCs/>
                          <w:color w:val="000000"/>
                          <w:szCs w:val="24"/>
                          <w:lang w:eastAsia="lt-LT"/>
                        </w:rPr>
                        <w:t xml:space="preserve"> </w:t>
                      </w:r>
                      <w:r>
                        <w:rPr>
                          <w:color w:val="000000"/>
                          <w:szCs w:val="24"/>
                          <w:lang w:eastAsia="lt-LT"/>
                        </w:rPr>
                        <w:t>pabaigos;</w:t>
                      </w:r>
                    </w:p>
                    <w:p>
                      <w:pPr>
                        <w:ind w:firstLine="709"/>
                        <w:jc w:val="both"/>
                        <w:rPr>
                          <w:color w:val="000000"/>
                          <w:szCs w:val="24"/>
                          <w:lang w:eastAsia="lt-LT"/>
                        </w:rPr>
                      </w:pPr>
                      <w:r>
                        <w:rPr>
                          <w:i/>
                          <w:iCs/>
                          <w:color w:val="000000"/>
                          <w:szCs w:val="24"/>
                          <w:lang w:eastAsia="lt-LT"/>
                        </w:rPr>
                        <w:t>I </w:t>
                      </w:r>
                      <w:r>
                        <w:rPr>
                          <w:i/>
                          <w:iCs/>
                          <w:color w:val="000000"/>
                          <w:szCs w:val="24"/>
                          <w:vertAlign w:val="subscript"/>
                          <w:lang w:eastAsia="lt-LT"/>
                        </w:rPr>
                        <w:t>i,</w:t>
                      </w:r>
                      <w:r>
                        <w:rPr>
                          <w:i/>
                          <w:iCs/>
                          <w:color w:val="000000"/>
                          <w:szCs w:val="24"/>
                          <w:lang w:eastAsia="lt-LT"/>
                        </w:rPr>
                        <w:t> </w:t>
                      </w:r>
                      <w:r>
                        <w:rPr>
                          <w:i/>
                          <w:iCs/>
                          <w:color w:val="000000"/>
                          <w:szCs w:val="24"/>
                          <w:vertAlign w:val="subscript"/>
                          <w:lang w:eastAsia="lt-LT"/>
                        </w:rPr>
                        <w:t>y-1</w:t>
                      </w:r>
                      <w:r>
                        <w:rPr>
                          <w:color w:val="000000"/>
                          <w:szCs w:val="24"/>
                          <w:vertAlign w:val="subscript"/>
                          <w:lang w:eastAsia="lt-LT"/>
                        </w:rPr>
                        <w:t> </w:t>
                      </w:r>
                      <w:r>
                        <w:rPr>
                          <w:color w:val="000000"/>
                          <w:szCs w:val="24"/>
                          <w:lang w:eastAsia="lt-LT"/>
                        </w:rPr>
                        <w:t xml:space="preserve">– paslaugos teikėjo investicijos (į eksploataciją įvestas turtas </w:t>
                      </w:r>
                      <w:r>
                        <w:rPr>
                          <w:color w:val="000000"/>
                          <w:szCs w:val="24"/>
                        </w:rPr>
                        <w:t>ir (ar) pagal su Taryba suderintas investicijas planuojamas iki metų</w:t>
                      </w:r>
                      <w:r>
                        <w:rPr>
                          <w:i/>
                          <w:iCs/>
                          <w:color w:val="000000"/>
                          <w:szCs w:val="24"/>
                        </w:rPr>
                        <w:t xml:space="preserve"> y-1</w:t>
                      </w:r>
                      <w:r>
                        <w:rPr>
                          <w:color w:val="000000"/>
                          <w:szCs w:val="24"/>
                        </w:rPr>
                        <w:t xml:space="preserve"> pabaigos į eksploataciją įvesti turtas</w:t>
                      </w:r>
                      <w:r>
                        <w:rPr>
                          <w:color w:val="000000"/>
                          <w:szCs w:val="24"/>
                          <w:lang w:eastAsia="lt-LT"/>
                        </w:rPr>
                        <w:t>) į ilgalaikį materialų ir nematerialų reguliuojamoje veikloje naudojamą turtą metais y</w:t>
                      </w:r>
                      <w:r>
                        <w:rPr>
                          <w:i/>
                          <w:iCs/>
                          <w:color w:val="000000"/>
                          <w:szCs w:val="24"/>
                          <w:lang w:eastAsia="lt-LT"/>
                        </w:rPr>
                        <w:t>-1</w:t>
                      </w:r>
                      <w:r>
                        <w:rPr>
                          <w:color w:val="000000"/>
                          <w:szCs w:val="24"/>
                          <w:lang w:eastAsia="lt-LT"/>
                        </w:rPr>
                        <w:t>, Eur;</w:t>
                      </w:r>
                    </w:p>
                    <w:p>
                      <w:pPr>
                        <w:ind w:firstLine="709"/>
                        <w:jc w:val="both"/>
                        <w:rPr>
                          <w:color w:val="000000"/>
                          <w:szCs w:val="24"/>
                          <w:lang w:eastAsia="lt-LT"/>
                        </w:rPr>
                      </w:pPr>
                      <w:r>
                        <w:rPr>
                          <w:i/>
                          <w:iCs/>
                          <w:color w:val="000000"/>
                          <w:szCs w:val="24"/>
                          <w:lang w:eastAsia="lt-LT"/>
                        </w:rPr>
                        <w:t>N </w:t>
                      </w:r>
                      <w:r>
                        <w:rPr>
                          <w:i/>
                          <w:iCs/>
                          <w:color w:val="000000"/>
                          <w:szCs w:val="24"/>
                          <w:vertAlign w:val="subscript"/>
                          <w:lang w:eastAsia="lt-LT"/>
                        </w:rPr>
                        <w:t>i,</w:t>
                      </w:r>
                      <w:r>
                        <w:rPr>
                          <w:i/>
                          <w:iCs/>
                          <w:color w:val="000000"/>
                          <w:szCs w:val="24"/>
                          <w:lang w:eastAsia="lt-LT"/>
                        </w:rPr>
                        <w:t> </w:t>
                      </w:r>
                      <w:r>
                        <w:rPr>
                          <w:i/>
                          <w:iCs/>
                          <w:color w:val="000000"/>
                          <w:szCs w:val="24"/>
                          <w:vertAlign w:val="subscript"/>
                          <w:lang w:eastAsia="lt-LT"/>
                        </w:rPr>
                        <w:t>y-1 </w:t>
                      </w:r>
                      <w:r>
                        <w:rPr>
                          <w:color w:val="000000"/>
                          <w:szCs w:val="24"/>
                          <w:lang w:eastAsia="lt-LT"/>
                        </w:rPr>
                        <w:t>– paslaugos teikėjo reguliuojamoje veikloje naudojamo turto nusidėvėjimo kaštai metais </w:t>
                      </w:r>
                      <w:r>
                        <w:rPr>
                          <w:i/>
                          <w:iCs/>
                          <w:color w:val="000000"/>
                          <w:szCs w:val="24"/>
                          <w:lang w:eastAsia="lt-LT"/>
                        </w:rPr>
                        <w:t>y-1</w:t>
                      </w:r>
                      <w:r>
                        <w:rPr>
                          <w:color w:val="000000"/>
                          <w:szCs w:val="24"/>
                          <w:lang w:eastAsia="lt-LT"/>
                        </w:rPr>
                        <w:t>, Eur;</w:t>
                      </w:r>
                    </w:p>
                    <w:p>
                      <w:pPr>
                        <w:ind w:firstLine="709"/>
                        <w:jc w:val="both"/>
                        <w:rPr>
                          <w:color w:val="000000"/>
                          <w:szCs w:val="24"/>
                          <w:lang w:eastAsia="lt-LT"/>
                        </w:rPr>
                      </w:pPr>
                      <w:r>
                        <w:rPr>
                          <w:i/>
                          <w:iCs/>
                          <w:color w:val="000000"/>
                          <w:szCs w:val="24"/>
                          <w:lang w:eastAsia="lt-LT"/>
                        </w:rPr>
                        <w:t>R </w:t>
                      </w:r>
                      <w:r>
                        <w:rPr>
                          <w:i/>
                          <w:iCs/>
                          <w:color w:val="000000"/>
                          <w:szCs w:val="24"/>
                          <w:vertAlign w:val="subscript"/>
                          <w:lang w:eastAsia="lt-LT"/>
                        </w:rPr>
                        <w:t>i,</w:t>
                      </w:r>
                      <w:r>
                        <w:rPr>
                          <w:i/>
                          <w:iCs/>
                          <w:color w:val="000000"/>
                          <w:szCs w:val="24"/>
                          <w:lang w:eastAsia="lt-LT"/>
                        </w:rPr>
                        <w:t> </w:t>
                      </w:r>
                      <w:r>
                        <w:rPr>
                          <w:i/>
                          <w:iCs/>
                          <w:color w:val="000000"/>
                          <w:szCs w:val="24"/>
                          <w:vertAlign w:val="subscript"/>
                          <w:lang w:eastAsia="lt-LT"/>
                        </w:rPr>
                        <w:t>y-1 </w:t>
                      </w:r>
                      <w:r>
                        <w:rPr>
                          <w:color w:val="000000"/>
                          <w:szCs w:val="24"/>
                          <w:lang w:eastAsia="lt-LT"/>
                        </w:rPr>
                        <w:t>– paslaugos teikėjo nurašytas ir parduotas reguliuojamoje veikloje naudotas turtas, metais </w:t>
                      </w:r>
                      <w:r>
                        <w:rPr>
                          <w:i/>
                          <w:iCs/>
                          <w:color w:val="000000"/>
                          <w:szCs w:val="24"/>
                          <w:lang w:eastAsia="lt-LT"/>
                        </w:rPr>
                        <w:t>y-1</w:t>
                      </w:r>
                      <w:r>
                        <w:rPr>
                          <w:color w:val="000000"/>
                          <w:szCs w:val="24"/>
                          <w:lang w:eastAsia="lt-LT"/>
                        </w:rPr>
                        <w:t>, Eur;</w:t>
                      </w:r>
                    </w:p>
                    <w:p>
                      <w:pPr>
                        <w:ind w:firstLine="709"/>
                        <w:jc w:val="both"/>
                        <w:rPr>
                          <w:b/>
                          <w:bCs/>
                          <w:i/>
                          <w:iCs/>
                          <w:color w:val="000000"/>
                          <w:szCs w:val="24"/>
                          <w:lang w:eastAsia="lt-LT"/>
                        </w:rPr>
                      </w:pPr>
                      <w:r>
                        <w:rPr>
                          <w:i/>
                          <w:iCs/>
                          <w:color w:val="000000"/>
                        </w:rPr>
                        <w:t>T</w:t>
                      </w:r>
                      <w:r>
                        <w:rPr>
                          <w:i/>
                          <w:iCs/>
                          <w:color w:val="000000"/>
                          <w:vertAlign w:val="subscript"/>
                        </w:rPr>
                        <w:t>INOi, y-1</w:t>
                      </w:r>
                      <w:r>
                        <w:rPr>
                          <w:color w:val="000000"/>
                        </w:rPr>
                        <w:t> – ilgalaikio turto vienetų vertės dalis, sukurta diegiant energetikos inovacijas, kuri buvo finansuojama iš Asmens nuosavų ir (ar) skolintų lėšų, tuo atveju, kai Taryba nustato, kad energetikos inovacijų diegimas bandomojoje aplinkoje yra laikomas pasiteisinusiu pagal Inovacijų aprašo nuostatas, metais </w:t>
                      </w:r>
                      <w:r>
                        <w:rPr>
                          <w:i/>
                          <w:iCs/>
                          <w:color w:val="000000"/>
                        </w:rPr>
                        <w:t>y-1</w:t>
                      </w:r>
                      <w:r>
                        <w:rPr>
                          <w:color w:val="000000"/>
                        </w:rPr>
                        <w:t>, Eur;</w:t>
                      </w:r>
                    </w:p>
                    <w:p>
                      <w:pPr>
                        <w:ind w:firstLine="709"/>
                        <w:jc w:val="both"/>
                        <w:rPr>
                          <w:szCs w:val="24"/>
                        </w:rPr>
                      </w:pPr>
                      <w:r>
                        <w:rPr>
                          <w:i/>
                          <w:iCs/>
                          <w:color w:val="000000"/>
                          <w:szCs w:val="24"/>
                          <w:lang w:eastAsia="lt-LT"/>
                        </w:rPr>
                        <w:t>T</w:t>
                      </w:r>
                      <w:r>
                        <w:rPr>
                          <w:i/>
                          <w:iCs/>
                          <w:color w:val="000000"/>
                          <w:szCs w:val="24"/>
                          <w:vertAlign w:val="subscript"/>
                          <w:lang w:eastAsia="lt-LT"/>
                        </w:rPr>
                        <w:t>INVi, y-1</w:t>
                      </w:r>
                      <w:r>
                        <w:rPr>
                          <w:color w:val="000000"/>
                          <w:szCs w:val="24"/>
                          <w:vertAlign w:val="subscript"/>
                          <w:lang w:eastAsia="lt-LT"/>
                        </w:rPr>
                        <w:t xml:space="preserve"> </w:t>
                      </w:r>
                      <w:r>
                        <w:rPr>
                          <w:color w:val="000000"/>
                          <w:szCs w:val="24"/>
                          <w:lang w:eastAsia="lt-LT"/>
                        </w:rPr>
                        <w:t xml:space="preserve">– </w:t>
                      </w:r>
                      <w:r>
                        <w:rPr>
                          <w:szCs w:val="24"/>
                          <w:lang w:eastAsia="lt-LT"/>
                        </w:rPr>
                        <w:t>likutinės ilgalaikio turto vienetų vertės dalis, sukurta projektais, įgyvendinančiais Lietuvos Respublikos klimato kaitos mažinimo, šiltnamio efektą sukeliančių dujų mažinimo, aplinkos apsaugos tikslus, nustatytus atskiriems reguliuojamiems sektoriams Nacionalinėje energetinės nepriklausomybės strategijoje, Lietuvos Respublikos Nacionaliniame energetikos ir klimato kaitos srities veiksmų plane 2021–2030 m. ir Nacionalinėje aplinkos apsaugos strategijoje, ir prisidedančiais prie teigiamo poveikio šiuose strateginiuose dokumentuose nustatytiems rodikliams.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19.3 pp."/>
                    <w:tag w:val="part_b820507259704da7b91c11b69a37cce7"/>
                    <w:lock w:val="sdtLocked"/>
                    <w:richText/>
                  </w:sdtPr>
                  <w:sdtContent>
                    <w:p>
                      <w:pPr>
                        <w:tabs>
                          <w:tab w:val="left" w:pos="993"/>
                        </w:tabs>
                        <w:ind w:firstLine="709"/>
                        <w:jc w:val="both"/>
                      </w:pPr>
                      <w:sdt>
                        <w:sdtPr>
                          <w:alias w:val="Numeris"/>
                          <w:tag w:val="nr_b820507259704da7b91c11b69a37cce7"/>
                          <w:lock w:val="sdtLocked"/>
                          <w:richText/>
                        </w:sdtPr>
                        <w:sdtContent>
                          <w:r>
                            <w:rPr>
                              <w:szCs w:val="24"/>
                            </w:rPr>
                            <w:t>19.3</w:t>
                          </w:r>
                        </w:sdtContent>
                      </w:sdt>
                      <w:r>
                        <w:rPr>
                          <w:szCs w:val="24"/>
                        </w:rPr>
                        <w:t>. neįtraukiant turto, kuris yra nudėvėtas, nesusijęs su reguliuojama paslauga ir (ar) produktu, nenaudojamo, esančio atsargose</w:t>
                      </w:r>
                      <w:r>
                        <w:rPr>
                          <w:color w:val="000000"/>
                          <w:szCs w:val="24"/>
                        </w:rPr>
                        <w:t xml:space="preserve"> </w:t>
                      </w:r>
                      <w:r>
                        <w:rPr>
                          <w:szCs w:val="24"/>
                        </w:rPr>
                        <w:t>(išskyrus būtinąsias atsargas elektros energijos gamybos tikslams), užkonservuoto turto, investicinio turto, taip pat</w:t>
                      </w:r>
                      <w:r>
                        <w:rPr>
                          <w:color w:val="000000"/>
                          <w:szCs w:val="24"/>
                        </w:rPr>
                        <w:t xml:space="preserve"> </w:t>
                      </w:r>
                      <w:r>
                        <w:rPr>
                          <w:szCs w:val="24"/>
                        </w:rPr>
                        <w:t>turto dalies, įsigytos už Europos Sąjungos struktūrinių fondų lėšas, gautas subsidijas, dotacijas ir už elektros energijos vartotojų įrenginių prijungimą prie tinklų sumokėtas įmokas įsigyto turto, ar jo dalies, ilgalaikio turto vertės dalies, sukurtos diegiant energetikos inovacijas ir finansuotos iš reguliuojamų paslaugų (produktų) kainos ir (ar) kito turto, kurį draudžiama įtraukti į reguliuojamos paslaugos (produkto) turto vertę pagal Sąnaudų aprašo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19.4 pp."/>
                    <w:tag w:val="part_7cb192ca02f146dfb77696b0d30512d4"/>
                    <w:lock w:val="sdtLocked"/>
                    <w:richText/>
                  </w:sdtPr>
                  <w:sdtContent>
                    <w:p>
                      <w:pPr>
                        <w:tabs>
                          <w:tab w:val="left" w:pos="993"/>
                        </w:tabs>
                        <w:ind w:firstLine="709"/>
                        <w:jc w:val="both"/>
                      </w:pPr>
                      <w:sdt>
                        <w:sdtPr>
                          <w:alias w:val="Numeris"/>
                          <w:tag w:val="nr_7cb192ca02f146dfb77696b0d30512d4"/>
                          <w:lock w:val="sdtLocked"/>
                          <w:richText/>
                        </w:sdtPr>
                        <w:sdtContent>
                          <w:r>
                            <w:rPr>
                              <w:color w:val="000000"/>
                            </w:rPr>
                            <w:t>19.4</w:t>
                          </w:r>
                        </w:sdtContent>
                      </w:sdt>
                      <w:r>
                        <w:rPr>
                          <w:color w:val="000000"/>
                        </w:rPr>
                        <w:t xml:space="preserve">. neįtraukiant ilgalaikio turto vertės dalies, sukurtos diegiant energetikos inovacijas, kuri buvo finansuojama iš reguliuojamą veiklą vykdančio Asmens nuosavų ir (ar) skolintų lėšų, išskyrus atvejus, kai Taryba nustato, kad energetikos inovacijų diegimas bandomojoje aplinkoje yra laikomas pasiteisinusiu pagal Inovacijų aprašo </w:t>
                      </w:r>
                      <w:r>
                        <w:t>nuostatas</w:t>
                      </w:r>
                      <w:r>
                        <w:rPr>
                          <w:strike/>
                        </w:rPr>
                        <w:t>.</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19.5 pp."/>
                    <w:tag w:val="part_9516b89b78f2433c9466571edef582aa"/>
                    <w:lock w:val="sdtLocked"/>
                    <w:richText/>
                  </w:sdtPr>
                  <w:sdtContent>
                    <w:p>
                      <w:pPr>
                        <w:ind w:firstLine="709"/>
                        <w:jc w:val="both"/>
                      </w:pPr>
                      <w:sdt>
                        <w:sdtPr>
                          <w:alias w:val="Numeris"/>
                          <w:tag w:val="nr_9516b89b78f2433c9466571edef582aa"/>
                          <w:lock w:val="sdtLocked"/>
                          <w:richText/>
                        </w:sdtPr>
                        <w:sdtContent>
                          <w:r>
                            <w:rPr>
                              <w:szCs w:val="24"/>
                              <w:lang w:val="en-US" w:eastAsia="lt-LT"/>
                            </w:rPr>
                            <w:t>19.5</w:t>
                          </w:r>
                        </w:sdtContent>
                      </w:sdt>
                      <w:r>
                        <w:rPr>
                          <w:szCs w:val="24"/>
                          <w:lang w:val="en-US" w:eastAsia="lt-LT"/>
                        </w:rPr>
                        <w:t xml:space="preserve">. </w:t>
                      </w:r>
                      <w:r>
                        <w:rPr>
                          <w:color w:val="000000"/>
                          <w:szCs w:val="24"/>
                          <w:lang w:eastAsia="lt-LT"/>
                        </w:rPr>
                        <w:t xml:space="preserve">atskirai įtraukiant </w:t>
                      </w:r>
                      <w:r>
                        <w:rPr>
                          <w:szCs w:val="24"/>
                          <w:lang w:eastAsia="lt-LT"/>
                        </w:rPr>
                        <w:t>likutinę ilgalaikio turto vienetų vertės dalį, sukurtą projektais, įgyvendinančiais Lietuvos Respublikos klimato kaitos mažinimo, šiltnamio efektą sukeliančių dujų mažinimo, aplinkos apsaugos tikslus, nustatytus atskiriems reguliuojamiems sektoriams Nacionalinėje energetinės nepriklausomybės strategijoje, Nacionaliniame energetikos ir klimato kaitos srities veiksmų plane 2021–2030 m. ir Nacionalinėje aplinkos apsaugos strategijoje, ir prisidedančiais prie teigiamo poveikio šiuose strateginiuose dokumentuose nustatytiems rodikliams.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Content>
            </w:sdt>
            <w:sdt>
              <w:sdtPr>
                <w:alias w:val="20 p."/>
                <w:tag w:val="part_79fe1caa218e420595eade8d2763ef4b"/>
                <w:lock w:val="sdtLocked"/>
                <w:richText/>
              </w:sdtPr>
              <w:sdtContent>
                <w:p>
                  <w:pPr>
                    <w:ind w:firstLine="709"/>
                    <w:jc w:val="both"/>
                  </w:pPr>
                  <w:sdt>
                    <w:sdtPr>
                      <w:alias w:val="Numeris"/>
                      <w:tag w:val="nr_79fe1caa218e420595eade8d2763ef4b"/>
                      <w:lock w:val="sdtLocked"/>
                      <w:richText/>
                    </w:sdtPr>
                    <w:sdtContent>
                      <w:r>
                        <w:rPr>
                          <w:color w:val="000000"/>
                        </w:rPr>
                        <w:t>20</w:t>
                      </w:r>
                    </w:sdtContent>
                  </w:sdt>
                  <w:r>
                    <w:rPr>
                      <w:color w:val="000000"/>
                    </w:rPr>
                    <w:t>. Investicijų grąža Asmenims, išskyrus Asmenis nurodytus Metodikos V skyriuje, nustatoma vadovaujantis Investicijų grąžos normos nustatymo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20-1 p."/>
                <w:tag w:val="part_8982d20995b14695bd0dda476cf6dded"/>
                <w:lock w:val="sdtLocked"/>
                <w:richText/>
              </w:sdtPr>
              <w:sdtContent>
                <w:p>
                  <w:pPr>
                    <w:ind w:firstLine="709"/>
                    <w:jc w:val="both"/>
                    <w:rPr>
                      <w:szCs w:val="24"/>
                    </w:rPr>
                  </w:pPr>
                  <w:sdt>
                    <w:sdtPr>
                      <w:alias w:val="Numeris"/>
                      <w:tag w:val="nr_8982d20995b14695bd0dda476cf6dded"/>
                      <w:lock w:val="sdtLocked"/>
                      <w:richText/>
                    </w:sdtPr>
                    <w:sdtContent>
                      <w:r>
                        <w:rPr>
                          <w:szCs w:val="24"/>
                          <w:lang w:eastAsia="lt-LT" w:bidi="bn-IN"/>
                        </w:rPr>
                        <w:t>20</w:t>
                      </w:r>
                      <w:r>
                        <w:rPr>
                          <w:szCs w:val="24"/>
                          <w:vertAlign w:val="superscript"/>
                          <w:lang w:eastAsia="lt-LT" w:bidi="bn-IN"/>
                        </w:rPr>
                        <w:t>1</w:t>
                      </w:r>
                    </w:sdtContent>
                  </w:sdt>
                  <w:r>
                    <w:rPr>
                      <w:szCs w:val="24"/>
                      <w:lang w:eastAsia="lt-LT" w:bidi="bn-IN"/>
                    </w:rPr>
                    <w:t xml:space="preserve">. Nustatant Asmenims reguliuojamos paslaugos pajamų ar kainų viršutinę ribą taip pat įvertinama Gamtinių dujų, elektros energetikos, suskystintų naftos dujų įmonių investicijų vertinimo ir derinimo tvarkos aprašo, patvirtinto Tarybos </w:t>
                  </w:r>
                  <w:r>
                    <w:rPr>
                      <w:szCs w:val="24"/>
                    </w:rPr>
                    <w:t xml:space="preserve">2009 m. liepos 10 d. nutarimu Nr. O3-100 „Dėl </w:t>
                  </w:r>
                  <w:r>
                    <w:rPr>
                      <w:color w:val="333333"/>
                      <w:szCs w:val="24"/>
                      <w:shd w:val="clear" w:color="auto" w:fill="FFFFFF"/>
                    </w:rPr>
                    <w:t>Gamtinių dujų, elektros energetikos, suskystintų naftos dujų įmonių investicijų vertinimo ir derinimo tvarkos aprašo patvirtinimo</w:t>
                  </w:r>
                  <w:r>
                    <w:rPr>
                      <w:szCs w:val="24"/>
                    </w:rPr>
                    <w:t xml:space="preserve">“, </w:t>
                  </w:r>
                  <w:r>
                    <w:rPr>
                      <w:szCs w:val="24"/>
                      <w:lang w:eastAsia="lt-LT" w:bidi="bn-IN"/>
                    </w:rPr>
                    <w:t xml:space="preserve">nustatyta tvarka su Taryba suderintų </w:t>
                  </w:r>
                  <w:r>
                    <w:rPr>
                      <w:szCs w:val="24"/>
                    </w:rPr>
                    <w:t xml:space="preserve">projektų, skirtų pakeisti reguliuojamosios įmonės eksploatuojamą reguliuojamą ilgalaikį turtą, kuriais perkamos paslaugos iš išorės (toliau – </w:t>
                  </w:r>
                  <w:r>
                    <w:rPr>
                      <w:szCs w:val="24"/>
                      <w:lang w:eastAsia="lt-LT" w:bidi="bn-IN"/>
                    </w:rPr>
                    <w:t xml:space="preserve">OPEX projektai), sąnaudos, bei </w:t>
                  </w:r>
                  <w:r>
                    <w:rPr>
                      <w:szCs w:val="24"/>
                    </w:rPr>
                    <w:t xml:space="preserve">nuokrypius nuo </w:t>
                  </w:r>
                  <w:r>
                    <w:rPr>
                      <w:szCs w:val="24"/>
                      <w:lang w:eastAsia="lt-LT" w:bidi="bn-IN"/>
                    </w:rPr>
                    <w:t>su Taryba suderintų OPEX projektų apimties, numatytos derinant atitinkamą OPEX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Content>
        </w:sdt>
        <w:sdt>
          <w:sdtPr>
            <w:alias w:val="skyrius"/>
            <w:tag w:val="part_e5d6a2bfb3ce46f4bb92d1d839bd6b79"/>
            <w:lock w:val="sdtLocked"/>
            <w:richText/>
          </w:sdtPr>
          <w:sdtContent>
            <w:p>
              <w:pPr>
                <w:tabs>
                  <w:tab w:val="left" w:pos="0"/>
                  <w:tab w:val="left" w:pos="1134"/>
                </w:tabs>
                <w:spacing w:line="22" w:lineRule="atLeast"/>
                <w:ind w:firstLine="709"/>
                <w:jc w:val="center"/>
                <w:rPr>
                  <w:b/>
                  <w:szCs w:val="24"/>
                </w:rPr>
              </w:pPr>
              <w:sdt>
                <w:sdtPr>
                  <w:alias w:val="Numeris"/>
                  <w:tag w:val="nr_e5d6a2bfb3ce46f4bb92d1d839bd6b79"/>
                  <w:lock w:val="sdtLocked"/>
                  <w:richText/>
                </w:sdtPr>
                <w:sdtContent>
                  <w:r>
                    <w:rPr>
                      <w:b/>
                      <w:szCs w:val="24"/>
                    </w:rPr>
                    <w:t>IV</w:t>
                  </w:r>
                </w:sdtContent>
              </w:sdt>
              <w:r>
                <w:rPr>
                  <w:b/>
                  <w:szCs w:val="24"/>
                </w:rPr>
                <w:t xml:space="preserve"> SKYRIUS</w:t>
              </w:r>
            </w:p>
            <w:p>
              <w:pPr>
                <w:tabs>
                  <w:tab w:val="left" w:pos="0"/>
                  <w:tab w:val="left" w:pos="1134"/>
                </w:tabs>
                <w:spacing w:line="22" w:lineRule="atLeast"/>
                <w:ind w:firstLine="771"/>
                <w:jc w:val="center"/>
                <w:rPr>
                  <w:b/>
                  <w:szCs w:val="24"/>
                </w:rPr>
              </w:pPr>
              <w:sdt>
                <w:sdtPr>
                  <w:alias w:val="Pavadinimas"/>
                  <w:tag w:val="title_e5d6a2bfb3ce46f4bb92d1d839bd6b79"/>
                  <w:lock w:val="sdtLocked"/>
                  <w:richText/>
                </w:sdtPr>
                <w:sdtContent>
                  <w:r>
                    <w:rPr>
                      <w:b/>
                      <w:szCs w:val="24"/>
                    </w:rPr>
                    <w:t xml:space="preserve">ELEKTROS ENERGIJOS, REZERVINĖS GALIOS IR </w:t>
                  </w:r>
                  <w:r>
                    <w:rPr>
                      <w:b/>
                      <w:color w:val="000000"/>
                      <w:szCs w:val="24"/>
                    </w:rPr>
                    <w:t>TOTALIOS ELEKTROS ENERGETIKOS SISTEMOS AVARIJOS PREVENCIJOS AR LIKVIDAVIMO</w:t>
                  </w:r>
                  <w:r>
                    <w:rPr>
                      <w:b/>
                      <w:szCs w:val="24"/>
                    </w:rPr>
                    <w:t xml:space="preserve"> PASLAUGŲ KAINŲ NUSTATYMO TAISYKLĖS</w:t>
                  </w:r>
                </w:sdtContent>
              </w:sdt>
            </w:p>
            <w:p>
              <w:pPr>
                <w:tabs>
                  <w:tab w:val="left" w:pos="0"/>
                  <w:tab w:val="left" w:pos="1134"/>
                </w:tabs>
                <w:spacing w:line="22" w:lineRule="atLeast"/>
                <w:ind w:firstLine="709"/>
                <w:jc w:val="both"/>
                <w:rPr>
                  <w:b/>
                  <w:szCs w:val="24"/>
                </w:rPr>
              </w:pPr>
            </w:p>
            <w:sdt>
              <w:sdtPr>
                <w:alias w:val="21 p."/>
                <w:tag w:val="part_fe257f7c0c8f46679f37305e09cee7b2"/>
                <w:lock w:val="sdtLocked"/>
                <w:richText/>
              </w:sdtPr>
              <w:sdtContent>
                <w:p>
                  <w:pPr>
                    <w:tabs>
                      <w:tab w:val="left" w:pos="0"/>
                    </w:tabs>
                    <w:spacing w:line="22" w:lineRule="atLeast"/>
                    <w:ind w:firstLine="709"/>
                    <w:jc w:val="both"/>
                    <w:rPr>
                      <w:szCs w:val="24"/>
                    </w:rPr>
                  </w:pPr>
                  <w:sdt>
                    <w:sdtPr>
                      <w:alias w:val="Numeris"/>
                      <w:tag w:val="nr_fe257f7c0c8f46679f37305e09cee7b2"/>
                      <w:lock w:val="sdtLocked"/>
                      <w:richText/>
                    </w:sdtPr>
                    <w:sdtContent>
                      <w:r>
                        <w:rPr>
                          <w:szCs w:val="24"/>
                        </w:rPr>
                        <w:t>21</w:t>
                      </w:r>
                    </w:sdtContent>
                  </w:sdt>
                  <w:r>
                    <w:rPr>
                      <w:szCs w:val="24"/>
                    </w:rPr>
                    <w:t xml:space="preserve">. </w:t>
                  </w:r>
                  <w:r>
                    <w:rPr>
                      <w:szCs w:val="24"/>
                      <w:lang w:eastAsia="lt-LT"/>
                    </w:rPr>
                    <w:t xml:space="preserve">Asmeniui, kuriam </w:t>
                  </w:r>
                  <w:r>
                    <w:rPr>
                      <w:szCs w:val="24"/>
                    </w:rPr>
                    <w:t xml:space="preserve">pagal šios Metodikos reikalavimus privaloma rengti reguliavimo apskaitos </w:t>
                  </w:r>
                  <w:r>
                    <w:rPr>
                      <w:szCs w:val="24"/>
                      <w:lang w:eastAsia="lt-LT"/>
                    </w:rPr>
                    <w:t xml:space="preserve">sistemą arba kuris apskaitos sistemą yra parengęs Metodikos 24 punkte nurodytu atveju, </w:t>
                  </w:r>
                  <w:r>
                    <w:rPr>
                      <w:szCs w:val="24"/>
                    </w:rPr>
                    <w:t>tretinio aktyviosios galios rezervo paslaugos kainos viršutinė riba nustatoma mažiausių sąnaudų principu, įvertinus pigiausius Asmens elektros energijos gamybos</w:t>
                  </w:r>
                  <w:r>
                    <w:rPr>
                      <w:color w:val="000000"/>
                      <w:szCs w:val="24"/>
                    </w:rPr>
                    <w:t xml:space="preserve"> įrenginius, kuriems teisės aktais nustatytas privalomas dalyvavimas tretinio aktyviosios galios rezervų aukcione. </w:t>
                  </w:r>
                  <w:r>
                    <w:rPr>
                      <w:szCs w:val="24"/>
                    </w:rPr>
                    <w:t>Jeigu Asmuo tretinio aktyviosios galios rezervo paslaugą teikia dviem ir daugiau įrenginių, tretinio aktyviosios galios rezervo paslaugos kainos viršutinės ribos atskirai kiekvienam pigiausiam Asmens elektros energijos gamybos</w:t>
                  </w:r>
                  <w:r>
                    <w:rPr>
                      <w:color w:val="000000"/>
                      <w:szCs w:val="24"/>
                    </w:rPr>
                    <w:t xml:space="preserve"> įrenginiui nustatomos m</w:t>
                  </w:r>
                  <w:r>
                    <w:rPr>
                      <w:szCs w:val="24"/>
                    </w:rPr>
                    <w:t>ažiausių sąnaudų principu, įvertinus visus Asmens elektros energijos gamybos</w:t>
                  </w:r>
                  <w:r>
                    <w:rPr>
                      <w:color w:val="000000"/>
                      <w:szCs w:val="24"/>
                    </w:rPr>
                    <w:t xml:space="preserve"> įrenginius, kuriems teisės aktais numatytas privalomas dalyvavimas tretinio aktyviosios galios rezervų aukcione.</w:t>
                  </w:r>
                </w:p>
              </w:sdtContent>
            </w:sdt>
            <w:sdt>
              <w:sdtPr>
                <w:alias w:val="22 p."/>
                <w:tag w:val="part_5cdd0fa9bf984b538de696e434ae9420"/>
                <w:lock w:val="sdtLocked"/>
                <w:richText/>
              </w:sdtPr>
              <w:sdtContent>
                <w:p>
                  <w:pPr>
                    <w:tabs>
                      <w:tab w:val="left" w:pos="0"/>
                    </w:tabs>
                    <w:spacing w:line="22" w:lineRule="atLeast"/>
                    <w:ind w:firstLine="709"/>
                    <w:jc w:val="both"/>
                    <w:rPr>
                      <w:szCs w:val="24"/>
                    </w:rPr>
                  </w:pPr>
                  <w:sdt>
                    <w:sdtPr>
                      <w:alias w:val="Numeris"/>
                      <w:tag w:val="nr_5cdd0fa9bf984b538de696e434ae9420"/>
                      <w:lock w:val="sdtLocked"/>
                      <w:richText/>
                    </w:sdtPr>
                    <w:sdtContent>
                      <w:r>
                        <w:rPr>
                          <w:szCs w:val="24"/>
                        </w:rPr>
                        <w:t>22</w:t>
                      </w:r>
                    </w:sdtContent>
                  </w:sdt>
                  <w:r>
                    <w:rPr>
                      <w:szCs w:val="24"/>
                    </w:rPr>
                    <w:t xml:space="preserve">. </w:t>
                  </w:r>
                  <w:r>
                    <w:rPr>
                      <w:szCs w:val="24"/>
                      <w:lang w:eastAsia="lt-LT"/>
                    </w:rPr>
                    <w:t xml:space="preserve">Asmeniui, </w:t>
                  </w:r>
                  <w:r>
                    <w:rPr>
                      <w:szCs w:val="24"/>
                    </w:rPr>
                    <w:t>kuriam pagal šios Metodikos reikalavimus neprivaloma rengti reguliavimo apskaitos sistemos, tretinio aktyviosios galios rezervo</w:t>
                  </w:r>
                  <w:r>
                    <w:rPr>
                      <w:szCs w:val="24"/>
                      <w:lang w:eastAsia="lt-LT"/>
                    </w:rPr>
                    <w:t xml:space="preserve"> paslaugos </w:t>
                  </w:r>
                  <w:r>
                    <w:rPr>
                      <w:szCs w:val="24"/>
                    </w:rPr>
                    <w:t xml:space="preserve">kainos viršutinė riba pirmaisiais metais nustatoma atsižvelgiant į </w:t>
                  </w:r>
                  <w:r>
                    <w:rPr>
                      <w:szCs w:val="24"/>
                      <w:lang w:eastAsia="lt-LT"/>
                    </w:rPr>
                    <w:t xml:space="preserve">Asmens teikiamos </w:t>
                  </w:r>
                  <w:r>
                    <w:rPr>
                      <w:szCs w:val="24"/>
                    </w:rPr>
                    <w:t>tretinio aktyviosios galios rezervo</w:t>
                  </w:r>
                  <w:r>
                    <w:rPr>
                      <w:szCs w:val="24"/>
                      <w:lang w:eastAsia="lt-LT"/>
                    </w:rPr>
                    <w:t xml:space="preserve"> paslaugos kainą </w:t>
                  </w:r>
                  <w:r>
                    <w:rPr>
                      <w:szCs w:val="24"/>
                    </w:rPr>
                    <w:t xml:space="preserve">pagal paskutinio iki kainų nustatymo įvykusio </w:t>
                  </w:r>
                  <w:r>
                    <w:rPr>
                      <w:szCs w:val="24"/>
                      <w:lang w:eastAsia="lt-LT"/>
                    </w:rPr>
                    <w:t xml:space="preserve">perdavimo sistemos operatoriaus organizuoto tretinio aktyviosios galios rezervo užtikrinimo paslaugos aukciono rezultatus ir </w:t>
                  </w:r>
                  <w:r>
                    <w:rPr>
                      <w:color w:val="000000"/>
                      <w:szCs w:val="24"/>
                    </w:rPr>
                    <w:t>koreguojant 5 proc. verte.</w:t>
                  </w:r>
                  <w:r>
                    <w:rPr>
                      <w:szCs w:val="24"/>
                      <w:lang w:eastAsia="lt-LT"/>
                    </w:rPr>
                    <w:t xml:space="preserve"> Jei Asmuo nėra dalyvavęs arba Asmens kainos pasiūlymai nėra laimėję perdavimo sistemos operatoriaus organizuoto tretinio aktyviosios galios rezervo užtikrinimo paslaugos aukciono, tokiam Asmeniui </w:t>
                  </w:r>
                  <w:r>
                    <w:rPr>
                      <w:szCs w:val="24"/>
                    </w:rPr>
                    <w:t>tretinio aktyviosios galios rezervo</w:t>
                  </w:r>
                  <w:r>
                    <w:rPr>
                      <w:szCs w:val="24"/>
                      <w:lang w:eastAsia="lt-LT"/>
                    </w:rPr>
                    <w:t xml:space="preserve"> paslaugos </w:t>
                  </w:r>
                  <w:r>
                    <w:rPr>
                      <w:szCs w:val="24"/>
                    </w:rPr>
                    <w:t xml:space="preserve">kainos viršutinė riba pirmą kartą nustatoma pagal Asmenų, kuriems pagal šios Metodikos reikalavimus neprivaloma rengti reguliavimo apskaitos sistemos, </w:t>
                  </w:r>
                  <w:r>
                    <w:rPr>
                      <w:szCs w:val="24"/>
                      <w:lang w:eastAsia="lt-LT"/>
                    </w:rPr>
                    <w:t>teikiamų tretinio aktyviosios galios rezervo užtikrinimo paslaugos kainų svertinį vidurkį, apskaičiuotą atsižvelgiant į</w:t>
                  </w:r>
                  <w:r>
                    <w:rPr>
                      <w:szCs w:val="24"/>
                    </w:rPr>
                    <w:t xml:space="preserve"> paskutinio iki kainų nustatymo įvykusio </w:t>
                  </w:r>
                  <w:r>
                    <w:rPr>
                      <w:szCs w:val="24"/>
                      <w:lang w:eastAsia="lt-LT"/>
                    </w:rPr>
                    <w:t>perdavimo sistemos operatoriaus organizuoto aukciono rezultatus, ir šį vidurkį koreguojant 5 proc. verte.</w:t>
                  </w:r>
                </w:p>
              </w:sdtContent>
            </w:sdt>
            <w:sdt>
              <w:sdtPr>
                <w:alias w:val="23 p."/>
                <w:tag w:val="part_79eda06d97e748eab3760cf8e28f2c2b"/>
                <w:lock w:val="sdtLocked"/>
                <w:richText/>
              </w:sdtPr>
              <w:sdtContent>
                <w:p>
                  <w:pPr>
                    <w:tabs>
                      <w:tab w:val="left" w:pos="0"/>
                    </w:tabs>
                    <w:spacing w:line="22" w:lineRule="atLeast"/>
                    <w:ind w:firstLine="709"/>
                    <w:jc w:val="both"/>
                    <w:rPr>
                      <w:szCs w:val="24"/>
                      <w:lang w:eastAsia="lt-LT"/>
                    </w:rPr>
                  </w:pPr>
                  <w:sdt>
                    <w:sdtPr>
                      <w:alias w:val="Numeris"/>
                      <w:tag w:val="nr_79eda06d97e748eab3760cf8e28f2c2b"/>
                      <w:lock w:val="sdtLocked"/>
                      <w:richText/>
                    </w:sdtPr>
                    <w:sdtContent>
                      <w:r>
                        <w:rPr>
                          <w:szCs w:val="24"/>
                          <w:lang w:eastAsia="lt-LT"/>
                        </w:rPr>
                        <w:t>23</w:t>
                      </w:r>
                    </w:sdtContent>
                  </w:sdt>
                  <w:r>
                    <w:rPr>
                      <w:szCs w:val="24"/>
                      <w:lang w:eastAsia="lt-LT"/>
                    </w:rPr>
                    <w:t xml:space="preserve">. </w:t>
                  </w:r>
                  <w:r>
                    <w:rPr>
                      <w:color w:val="000000"/>
                      <w:szCs w:val="24"/>
                    </w:rPr>
                    <w:t xml:space="preserve">Visais kitais metais, einančiais po pirmųjų metų, kuriems </w:t>
                  </w:r>
                  <w:r>
                    <w:rPr>
                      <w:szCs w:val="24"/>
                    </w:rPr>
                    <w:t>tretinio aktyviosios galios rezervo</w:t>
                  </w:r>
                  <w:r>
                    <w:rPr>
                      <w:szCs w:val="24"/>
                      <w:lang w:eastAsia="lt-LT"/>
                    </w:rPr>
                    <w:t xml:space="preserve"> paslaugos </w:t>
                  </w:r>
                  <w:r>
                    <w:rPr>
                      <w:szCs w:val="24"/>
                    </w:rPr>
                    <w:t>kainos viršutinė riba buvo nustatyta pagal Metodikos 22 punktą, tretinio aktyviosios galios rezervo</w:t>
                  </w:r>
                  <w:r>
                    <w:rPr>
                      <w:szCs w:val="24"/>
                      <w:lang w:eastAsia="lt-LT"/>
                    </w:rPr>
                    <w:t xml:space="preserve"> paslaugos </w:t>
                  </w:r>
                  <w:r>
                    <w:rPr>
                      <w:szCs w:val="24"/>
                    </w:rPr>
                    <w:t xml:space="preserve">kainos viršutinė riba nustatoma </w:t>
                  </w:r>
                  <w:r>
                    <w:rPr>
                      <w:color w:val="000000"/>
                      <w:szCs w:val="24"/>
                    </w:rPr>
                    <w:t>– Tarybos praėjusiais metais Asmeniui nustatytą kainos viršutinę ribą pakoreguojant Finansų ministerijos prognozuojamos metinės infliacijos dydžiu ir efektyvumo rodikliu, kuris yra lygus 1 proc.</w:t>
                  </w:r>
                </w:p>
              </w:sdtContent>
            </w:sdt>
            <w:sdt>
              <w:sdtPr>
                <w:alias w:val="24 p."/>
                <w:tag w:val="part_09d46139bb0940f4875ad9ca67813ec7"/>
                <w:lock w:val="sdtLocked"/>
                <w:richText/>
              </w:sdtPr>
              <w:sdtContent>
                <w:p>
                  <w:pPr>
                    <w:tabs>
                      <w:tab w:val="left" w:pos="0"/>
                    </w:tabs>
                    <w:spacing w:line="22" w:lineRule="atLeast"/>
                    <w:ind w:firstLine="709"/>
                    <w:jc w:val="both"/>
                    <w:rPr>
                      <w:szCs w:val="24"/>
                      <w:lang w:eastAsia="lt-LT"/>
                    </w:rPr>
                  </w:pPr>
                  <w:sdt>
                    <w:sdtPr>
                      <w:alias w:val="Numeris"/>
                      <w:tag w:val="nr_09d46139bb0940f4875ad9ca67813ec7"/>
                      <w:lock w:val="sdtLocked"/>
                      <w:richText/>
                    </w:sdtPr>
                    <w:sdtContent>
                      <w:r>
                        <w:rPr>
                          <w:szCs w:val="24"/>
                          <w:lang w:eastAsia="lt-LT"/>
                        </w:rPr>
                        <w:t>24</w:t>
                      </w:r>
                    </w:sdtContent>
                  </w:sdt>
                  <w:r>
                    <w:rPr>
                      <w:szCs w:val="24"/>
                      <w:lang w:eastAsia="lt-LT"/>
                    </w:rPr>
                    <w:t xml:space="preserve">. Asmeniui, kuriam pagal šios Metodikos 22 ir 23 punktų reikalavimus yra nustatytos </w:t>
                  </w:r>
                  <w:r>
                    <w:rPr>
                      <w:szCs w:val="24"/>
                    </w:rPr>
                    <w:t>tretinio aktyviosios galios rezervo paslaugos kainų viršutinės ribos, neprivaloma rengti reguliavimo apskaitos sistemos.</w:t>
                  </w:r>
                </w:p>
              </w:sdtContent>
            </w:sdt>
            <w:sdt>
              <w:sdtPr>
                <w:alias w:val="25 p."/>
                <w:tag w:val="part_7b876f67d7ac467094effbf46117ca40"/>
                <w:lock w:val="sdtLocked"/>
                <w:richText/>
              </w:sdtPr>
              <w:sdtContent>
                <w:p>
                  <w:pPr>
                    <w:ind w:firstLine="709"/>
                    <w:jc w:val="both"/>
                    <w:rPr>
                      <w:szCs w:val="24"/>
                      <w:lang w:eastAsia="lt-LT"/>
                    </w:rPr>
                  </w:pPr>
                  <w:sdt>
                    <w:sdtPr>
                      <w:alias w:val="Numeris"/>
                      <w:tag w:val="nr_7b876f67d7ac467094effbf46117ca40"/>
                      <w:lock w:val="sdtLocked"/>
                      <w:richText/>
                    </w:sdtPr>
                    <w:sdtContent>
                      <w:r>
                        <w:rPr>
                          <w:szCs w:val="24"/>
                          <w:lang w:eastAsia="lt-LT"/>
                        </w:rPr>
                        <w:t>25</w:t>
                      </w:r>
                    </w:sdtContent>
                  </w:sdt>
                  <w:r>
                    <w:rPr>
                      <w:szCs w:val="24"/>
                      <w:lang w:eastAsia="lt-LT"/>
                    </w:rPr>
                    <w:t xml:space="preserve">. Jeigu Asmuo, kuriam pagal šios Metodikos 22 ir 23 punktų reikalavimus yra nustatytos tretinio aktyviosios galios rezervo užtikrinimo paslaugos kainos viršutinės ribos, pagal šios Metodikos 6 punktą parengia ir pateikia auditoriaus patikrintą reguliuojamosios veiklos ataskaitą sąnaudų pagrįstumui įvertinti, per ataskaitinį laikotarpį (y-2) susidarę neatitikimai tarp faktiškai patirtų sąnaudų ir gautų pajamų iš perdavimo sistemos operatoriaus vertinami, jeigu </w:t>
                  </w:r>
                  <w:r>
                    <w:rPr>
                      <w:szCs w:val="24"/>
                    </w:rPr>
                    <w:t xml:space="preserve">ataskaitiniu laikotarpiu (y-2) </w:t>
                  </w:r>
                  <w:r>
                    <w:rPr>
                      <w:szCs w:val="24"/>
                      <w:lang w:eastAsia="lt-LT"/>
                    </w:rPr>
                    <w:t>Asmuo pateikė kainos pasiūlymą aukcione ne mažesne nei pagal Metodikos 22 ir 23 punktų reikalavimus nustatyta kainos viršutine riba ir tik ta dalimi, kuri nedarytų įtakos perdavimo sistemos operatoriaus organizuoto aukciono laimėtojams, už laikotarpį, kuriam Asmeniui kaina buvo nustatyta pagal šios Metodikos 22 ir 23 punktų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65ad701e6911ebb0038a8cd8ff585f">
                    <w:r w:rsidRPr="00532B9F">
                      <w:rPr>
                        <w:rFonts w:ascii="Times New Roman" w:eastAsia="MS Mincho" w:hAnsi="Times New Roman"/>
                        <w:sz w:val="20"/>
                        <w:i/>
                        <w:iCs/>
                        <w:color w:val="0000FF" w:themeColor="hyperlink"/>
                        <w:u w:val="single"/>
                      </w:rPr>
                      <w:t>O3E-1069</w:t>
                    </w:r>
                  </w:fldSimple>
                  <w:r>
                    <w:rPr>
                      <w:rFonts w:ascii="Times New Roman" w:eastAsia="MS Mincho" w:hAnsi="Times New Roman"/>
                      <w:sz w:val="20"/>
                      <w:i/>
                      <w:iCs/>
                    </w:rPr>
                    <w:t>,
2020-11-04,
paskelbta TAR 2020-11-04, i. k. 2020-22976            </w:t>
                  </w:r>
                </w:p>
                <w:p/>
              </w:sdtContent>
            </w:sdt>
            <w:sdt>
              <w:sdtPr>
                <w:alias w:val="26 p."/>
                <w:tag w:val="part_21f23f40f841411b8785200ce3d4fa84"/>
                <w:lock w:val="sdtLocked"/>
                <w:richText/>
              </w:sdtPr>
              <w:sdtContent>
                <w:p>
                  <w:pPr>
                    <w:tabs>
                      <w:tab w:val="left" w:pos="0"/>
                    </w:tabs>
                    <w:spacing w:line="22" w:lineRule="atLeast"/>
                    <w:ind w:firstLine="709"/>
                    <w:jc w:val="both"/>
                    <w:rPr>
                      <w:szCs w:val="24"/>
                    </w:rPr>
                  </w:pPr>
                  <w:sdt>
                    <w:sdtPr>
                      <w:alias w:val="Numeris"/>
                      <w:tag w:val="nr_21f23f40f841411b8785200ce3d4fa84"/>
                      <w:lock w:val="sdtLocked"/>
                      <w:richText/>
                    </w:sdtPr>
                    <w:sdtContent>
                      <w:r>
                        <w:rPr>
                          <w:szCs w:val="24"/>
                        </w:rPr>
                        <w:t>26</w:t>
                      </w:r>
                    </w:sdtContent>
                  </w:sdt>
                  <w:r>
                    <w:rPr>
                      <w:szCs w:val="24"/>
                    </w:rPr>
                    <w:t>. Reguliuojamos paslaugos (produkto) kaina yra lygi tos paslaugos (produkto) pateikimo sąnaudoms ir investicijų grąžai. Reguliuojamos paslaugos (produkto) kaina nustatoma:</w:t>
                  </w:r>
                </w:p>
                <w:sdt>
                  <w:sdtPr>
                    <w:alias w:val="26.1 pp."/>
                    <w:tag w:val="part_099f1f7d7ee045e78b8979fe250ce9f9"/>
                    <w:lock w:val="sdtLocked"/>
                    <w:richText/>
                  </w:sdtPr>
                  <w:sdtContent>
                    <w:p>
                      <w:pPr>
                        <w:ind w:firstLine="709"/>
                        <w:jc w:val="both"/>
                        <w:rPr>
                          <w:color w:val="000000"/>
                          <w:szCs w:val="24"/>
                          <w:lang w:eastAsia="lt-LT"/>
                        </w:rPr>
                      </w:pPr>
                      <w:sdt>
                        <w:sdtPr>
                          <w:alias w:val="Numeris"/>
                          <w:tag w:val="nr_099f1f7d7ee045e78b8979fe250ce9f9"/>
                          <w:lock w:val="sdtLocked"/>
                          <w:richText/>
                        </w:sdtPr>
                        <w:sdtContent>
                          <w:r>
                            <w:rPr>
                              <w:color w:val="000000"/>
                              <w:szCs w:val="24"/>
                              <w:lang w:eastAsia="lt-LT"/>
                            </w:rPr>
                            <w:t>26.1</w:t>
                          </w:r>
                        </w:sdtContent>
                      </w:sdt>
                      <w:r>
                        <w:rPr>
                          <w:color w:val="000000"/>
                          <w:szCs w:val="24"/>
                          <w:lang w:eastAsia="lt-LT"/>
                        </w:rPr>
                        <w:t>. vadovaujantis formule</w:t>
                      </w:r>
                      <w:r>
                        <w:rPr>
                          <w:szCs w:val="24"/>
                          <w:lang w:eastAsia="lt-LT"/>
                        </w:rPr>
                        <w:t xml:space="preserve"> (išskyrus antrinio avarinio aktyviosios galios rezervo užtikrinimo paslaugą</w:t>
                      </w:r>
                      <w:r>
                        <w:rPr>
                          <w:szCs w:val="24"/>
                        </w:rPr>
                        <w:t>)</w:t>
                      </w:r>
                      <w:r>
                        <w:rPr>
                          <w:color w:val="000000"/>
                          <w:szCs w:val="24"/>
                          <w:lang w:eastAsia="lt-LT"/>
                        </w:rPr>
                        <w:t>:</w:t>
                      </w:r>
                    </w:p>
                    <w:p>
                      <w:pPr>
                        <w:ind w:firstLine="709"/>
                        <w:jc w:val="both"/>
                        <w:rPr>
                          <w:color w:val="000000"/>
                          <w:szCs w:val="24"/>
                          <w:lang w:eastAsia="lt-LT"/>
                        </w:rPr>
                      </w:pPr>
                    </w:p>
                    <w:p>
                      <w:pPr>
                        <w:ind w:firstLine="709"/>
                        <w:jc w:val="both"/>
                        <w:rPr>
                          <w:i/>
                          <w:color w:val="000000"/>
                          <w:szCs w:val="24"/>
                          <w:lang w:eastAsia="lt-LT"/>
                        </w:rPr>
                      </w:pPr>
                      <m:oMath>
                        <m:r>
                          <w:rPr>
                            <w:rFonts w:ascii="Cambria Math" w:hAnsi="Cambria Math"/>
                            <w:color w:val="000000"/>
                            <w:szCs w:val="24"/>
                            <w:lang w:eastAsia="lt-LT"/>
                          </w:rPr>
                          <m:t xml:space="preserve">              </m:t>
                        </m:r>
                        <m:sSub>
                          <m:sSubPr>
                            <m:ctrlPr>
                              <w:rPr>
                                <w:rFonts w:ascii="Cambria Math" w:hAnsi="Cambria Math"/>
                                <w:i/>
                                <w:color w:val="000000"/>
                                <w:szCs w:val="24"/>
                                <w:lang w:eastAsia="lt-LT"/>
                              </w:rPr>
                            </m:ctrlPr>
                          </m:sSubPr>
                          <m:e>
                            <m:r>
                              <w:rPr>
                                <w:rFonts w:ascii="Cambria Math" w:hAnsi="Cambria Math"/>
                                <w:color w:val="000000"/>
                                <w:szCs w:val="24"/>
                                <w:lang w:eastAsia="lt-LT"/>
                              </w:rPr>
                              <m:t>T</m:t>
                            </m:r>
                          </m:e>
                          <m:sub>
                            <m:r>
                              <w:rPr>
                                <w:rFonts w:ascii="Cambria Math" w:hAnsi="Cambria Math"/>
                                <w:color w:val="000000"/>
                                <w:szCs w:val="24"/>
                                <w:lang w:eastAsia="lt-LT"/>
                              </w:rPr>
                              <m:t>i</m:t>
                            </m:r>
                            <m:r>
                              <w:rPr>
                                <w:rFonts w:ascii="Cambria Math" w:hAnsi="Cambria Math"/>
                                <w:color w:val="000000"/>
                                <w:szCs w:val="24"/>
                                <w:lang w:eastAsia="lt-LT"/>
                              </w:rPr>
                              <m:t>,</m:t>
                            </m:r>
                            <m:r>
                              <w:rPr>
                                <w:rFonts w:ascii="Cambria Math" w:hAnsi="Cambria Math"/>
                                <w:color w:val="000000"/>
                                <w:szCs w:val="24"/>
                                <w:lang w:eastAsia="lt-LT"/>
                              </w:rPr>
                              <m:t>y</m:t>
                            </m:r>
                          </m:sub>
                        </m:sSub>
                        <m:r>
                          <w:rPr>
                            <w:rFonts w:ascii="Cambria Math" w:hAnsi="Cambria Math"/>
                            <w:color w:val="000000"/>
                            <w:szCs w:val="24"/>
                            <w:lang w:eastAsia="lt-LT"/>
                          </w:rPr>
                          <m:t>=</m:t>
                        </m:r>
                        <m:sSub>
                          <m:sSubPr>
                            <m:ctrlPr>
                              <w:rPr>
                                <w:rFonts w:ascii="Cambria Math" w:hAnsi="Cambria Math"/>
                                <w:i/>
                                <w:color w:val="000000"/>
                                <w:szCs w:val="24"/>
                                <w:lang w:eastAsia="lt-LT"/>
                              </w:rPr>
                            </m:ctrlPr>
                          </m:sSubPr>
                          <m:e>
                            <m:r>
                              <w:rPr>
                                <w:rFonts w:ascii="Cambria Math" w:hAnsi="Cambria Math"/>
                                <w:color w:val="000000"/>
                                <w:szCs w:val="24"/>
                                <w:lang w:eastAsia="lt-LT"/>
                              </w:rPr>
                              <m:t>S</m:t>
                            </m:r>
                          </m:e>
                          <m:sub>
                            <m:r>
                              <w:rPr>
                                <w:rFonts w:ascii="Cambria Math" w:hAnsi="Cambria Math"/>
                                <w:color w:val="000000"/>
                                <w:szCs w:val="24"/>
                                <w:lang w:eastAsia="lt-LT"/>
                              </w:rPr>
                              <m:t>i</m:t>
                            </m:r>
                            <m:r>
                              <w:rPr>
                                <w:rFonts w:ascii="Cambria Math" w:hAnsi="Cambria Math"/>
                                <w:color w:val="000000"/>
                                <w:szCs w:val="24"/>
                                <w:lang w:eastAsia="lt-LT"/>
                              </w:rPr>
                              <m:t>,</m:t>
                            </m:r>
                            <m:r>
                              <w:rPr>
                                <w:rFonts w:ascii="Cambria Math" w:hAnsi="Cambria Math"/>
                                <w:color w:val="000000"/>
                                <w:szCs w:val="24"/>
                                <w:lang w:eastAsia="lt-LT"/>
                              </w:rPr>
                              <m:t>y</m:t>
                            </m:r>
                          </m:sub>
                        </m:sSub>
                        <m:r>
                          <w:rPr>
                            <w:rFonts w:ascii="Cambria Math" w:hAnsi="Cambria Math"/>
                            <w:color w:val="000000"/>
                            <w:szCs w:val="24"/>
                            <w:lang w:eastAsia="lt-LT"/>
                          </w:rPr>
                          <m:t>=</m:t>
                        </m:r>
                        <m:f>
                          <m:fPr>
                            <m:ctrlPr>
                              <w:rPr>
                                <w:rFonts w:ascii="Cambria Math" w:hAnsi="Cambria Math"/>
                                <w:i/>
                                <w:color w:val="000000"/>
                                <w:szCs w:val="24"/>
                                <w:lang w:eastAsia="lt-LT"/>
                              </w:rPr>
                            </m:ctrlPr>
                          </m:fPr>
                          <m:num>
                            <m:d>
                              <m:dPr>
                                <m:ctrlPr>
                                  <w:rPr>
                                    <w:rFonts w:ascii="Cambria Math" w:hAnsi="Cambria Math"/>
                                    <w:i/>
                                    <w:color w:val="000000"/>
                                    <w:szCs w:val="24"/>
                                    <w:lang w:eastAsia="lt-LT"/>
                                  </w:rPr>
                                </m:ctrlPr>
                              </m:dPr>
                              <m:e>
                                <m:sSub>
                                  <m:sSubPr>
                                    <m:ctrlPr>
                                      <w:rPr>
                                        <w:rFonts w:ascii="Cambria Math" w:hAnsi="Cambria Math"/>
                                        <w:i/>
                                        <w:color w:val="000000"/>
                                        <w:szCs w:val="24"/>
                                        <w:lang w:eastAsia="lt-LT"/>
                                      </w:rPr>
                                    </m:ctrlPr>
                                  </m:sSubPr>
                                  <m:e>
                                    <m:r>
                                      <w:rPr>
                                        <w:rFonts w:ascii="Cambria Math" w:hAnsi="Cambria Math"/>
                                        <w:color w:val="000000"/>
                                        <w:szCs w:val="24"/>
                                        <w:lang w:eastAsia="lt-LT"/>
                                      </w:rPr>
                                      <m:t>S</m:t>
                                    </m:r>
                                  </m:e>
                                  <m:sub>
                                    <m:r>
                                      <w:rPr>
                                        <w:rFonts w:ascii="Cambria Math" w:hAnsi="Cambria Math"/>
                                        <w:color w:val="000000"/>
                                        <w:szCs w:val="24"/>
                                        <w:lang w:eastAsia="lt-LT"/>
                                      </w:rPr>
                                      <m:t>P</m:t>
                                    </m:r>
                                    <m:r>
                                      <w:rPr>
                                        <w:rFonts w:ascii="Cambria Math" w:hAnsi="Cambria Math"/>
                                        <w:color w:val="000000"/>
                                        <w:szCs w:val="24"/>
                                        <w:lang w:eastAsia="lt-LT"/>
                                      </w:rPr>
                                      <m:t>,</m:t>
                                    </m:r>
                                    <m:r>
                                      <w:rPr>
                                        <w:rFonts w:ascii="Cambria Math" w:hAnsi="Cambria Math"/>
                                        <w:color w:val="000000"/>
                                        <w:szCs w:val="24"/>
                                        <w:lang w:eastAsia="lt-LT"/>
                                      </w:rPr>
                                      <m:t>i</m:t>
                                    </m:r>
                                    <m:r>
                                      <w:rPr>
                                        <w:rFonts w:ascii="Cambria Math" w:hAnsi="Cambria Math"/>
                                        <w:color w:val="000000"/>
                                        <w:szCs w:val="24"/>
                                        <w:lang w:eastAsia="lt-LT"/>
                                      </w:rPr>
                                      <m:t>,</m:t>
                                    </m:r>
                                    <m:r>
                                      <w:rPr>
                                        <w:rFonts w:ascii="Cambria Math" w:hAnsi="Cambria Math"/>
                                        <w:color w:val="000000"/>
                                        <w:szCs w:val="24"/>
                                        <w:lang w:eastAsia="lt-LT"/>
                                      </w:rPr>
                                      <m:t>y</m:t>
                                    </m:r>
                                  </m:sub>
                                </m:sSub>
                                <m:r>
                                  <w:rPr>
                                    <w:rFonts w:ascii="Cambria Math" w:hAnsi="Cambria Math"/>
                                    <w:color w:val="000000"/>
                                    <w:szCs w:val="24"/>
                                    <w:lang w:eastAsia="lt-LT"/>
                                  </w:rPr>
                                  <m:t>+</m:t>
                                </m:r>
                                <m:sSub>
                                  <m:sSubPr>
                                    <m:ctrlPr>
                                      <w:rPr>
                                        <w:rFonts w:ascii="Cambria Math" w:hAnsi="Cambria Math"/>
                                        <w:i/>
                                        <w:color w:val="000000"/>
                                        <w:szCs w:val="24"/>
                                        <w:lang w:eastAsia="lt-LT"/>
                                      </w:rPr>
                                    </m:ctrlPr>
                                  </m:sSubPr>
                                  <m:e>
                                    <m:r>
                                      <w:rPr>
                                        <w:rFonts w:ascii="Cambria Math" w:hAnsi="Cambria Math"/>
                                        <w:color w:val="000000"/>
                                        <w:szCs w:val="24"/>
                                        <w:lang w:eastAsia="lt-LT"/>
                                      </w:rPr>
                                      <m:t>S</m:t>
                                    </m:r>
                                  </m:e>
                                  <m:sub>
                                    <m:r>
                                      <w:rPr>
                                        <w:rFonts w:ascii="Cambria Math" w:hAnsi="Cambria Math"/>
                                        <w:color w:val="000000"/>
                                        <w:szCs w:val="24"/>
                                        <w:lang w:eastAsia="lt-LT"/>
                                      </w:rPr>
                                      <m:t>K</m:t>
                                    </m:r>
                                    <m:r>
                                      <w:rPr>
                                        <w:rFonts w:ascii="Cambria Math" w:hAnsi="Cambria Math"/>
                                        <w:color w:val="000000"/>
                                        <w:szCs w:val="24"/>
                                        <w:lang w:eastAsia="lt-LT"/>
                                      </w:rPr>
                                      <m:t>,</m:t>
                                    </m:r>
                                    <m:r>
                                      <w:rPr>
                                        <w:rFonts w:ascii="Cambria Math" w:hAnsi="Cambria Math"/>
                                        <w:color w:val="000000"/>
                                        <w:szCs w:val="24"/>
                                        <w:lang w:eastAsia="lt-LT"/>
                                      </w:rPr>
                                      <m:t>i</m:t>
                                    </m:r>
                                    <m:r>
                                      <w:rPr>
                                        <w:rFonts w:ascii="Cambria Math" w:hAnsi="Cambria Math"/>
                                        <w:color w:val="000000"/>
                                        <w:szCs w:val="24"/>
                                        <w:lang w:eastAsia="lt-LT"/>
                                      </w:rPr>
                                      <m:t>,</m:t>
                                    </m:r>
                                    <m:r>
                                      <w:rPr>
                                        <w:rFonts w:ascii="Cambria Math" w:hAnsi="Cambria Math"/>
                                        <w:color w:val="000000"/>
                                        <w:szCs w:val="24"/>
                                        <w:lang w:eastAsia="lt-LT"/>
                                      </w:rPr>
                                      <m:t>y</m:t>
                                    </m:r>
                                  </m:sub>
                                </m:sSub>
                                <m:r>
                                  <w:rPr>
                                    <w:rFonts w:ascii="Cambria Math" w:hAnsi="Cambria Math"/>
                                    <w:color w:val="000000"/>
                                    <w:szCs w:val="24"/>
                                    <w:lang w:eastAsia="lt-LT"/>
                                  </w:rPr>
                                  <m:t>+</m:t>
                                </m:r>
                                <m:sSub>
                                  <m:sSubPr>
                                    <m:ctrlPr>
                                      <w:rPr>
                                        <w:rFonts w:ascii="Cambria Math" w:hAnsi="Cambria Math"/>
                                        <w:i/>
                                        <w:color w:val="000000"/>
                                        <w:szCs w:val="24"/>
                                        <w:lang w:eastAsia="lt-LT"/>
                                      </w:rPr>
                                    </m:ctrlPr>
                                  </m:sSubPr>
                                  <m:e>
                                    <m:r>
                                      <w:rPr>
                                        <w:rFonts w:ascii="Cambria Math" w:hAnsi="Cambria Math"/>
                                        <w:color w:val="000000"/>
                                        <w:szCs w:val="24"/>
                                        <w:lang w:eastAsia="lt-LT"/>
                                      </w:rPr>
                                      <m:t>ROI</m:t>
                                    </m:r>
                                  </m:e>
                                  <m:sub>
                                    <m:r>
                                      <w:rPr>
                                        <w:rFonts w:ascii="Cambria Math" w:hAnsi="Cambria Math"/>
                                        <w:color w:val="000000"/>
                                        <w:szCs w:val="24"/>
                                        <w:lang w:eastAsia="lt-LT"/>
                                      </w:rPr>
                                      <m:t>i</m:t>
                                    </m:r>
                                    <m:r>
                                      <w:rPr>
                                        <w:rFonts w:ascii="Cambria Math" w:hAnsi="Cambria Math"/>
                                        <w:color w:val="000000"/>
                                        <w:szCs w:val="24"/>
                                        <w:lang w:eastAsia="lt-LT"/>
                                      </w:rPr>
                                      <m:t>,</m:t>
                                    </m:r>
                                    <m:r>
                                      <w:rPr>
                                        <w:rFonts w:ascii="Cambria Math" w:hAnsi="Cambria Math"/>
                                        <w:color w:val="000000"/>
                                        <w:szCs w:val="24"/>
                                        <w:lang w:eastAsia="lt-LT"/>
                                      </w:rPr>
                                      <m:t>y</m:t>
                                    </m:r>
                                  </m:sub>
                                </m:sSub>
                                <m:r>
                                  <w:rPr>
                                    <w:rFonts w:ascii="Cambria Math" w:hAnsi="Cambria Math"/>
                                    <w:color w:val="000000"/>
                                    <w:szCs w:val="24"/>
                                    <w:lang w:eastAsia="lt-LT"/>
                                  </w:rPr>
                                  <m:t>+ ∆</m:t>
                                </m:r>
                                <m:sSub>
                                  <m:sSubPr>
                                    <m:ctrlPr>
                                      <w:rPr>
                                        <w:rFonts w:ascii="Cambria Math" w:hAnsi="Cambria Math"/>
                                        <w:i/>
                                        <w:color w:val="000000"/>
                                        <w:szCs w:val="24"/>
                                        <w:lang w:eastAsia="lt-LT"/>
                                      </w:rPr>
                                    </m:ctrlPr>
                                  </m:sSubPr>
                                  <m:e>
                                    <m:r>
                                      <w:rPr>
                                        <w:rFonts w:ascii="Cambria Math" w:hAnsi="Cambria Math"/>
                                        <w:color w:val="000000"/>
                                        <w:szCs w:val="24"/>
                                        <w:lang w:eastAsia="lt-LT"/>
                                      </w:rPr>
                                      <m:t>ROI</m:t>
                                    </m:r>
                                  </m:e>
                                  <m:sub>
                                    <m:r>
                                      <w:rPr>
                                        <w:rFonts w:ascii="Cambria Math" w:hAnsi="Cambria Math"/>
                                        <w:color w:val="000000"/>
                                        <w:szCs w:val="24"/>
                                        <w:lang w:eastAsia="lt-LT"/>
                                      </w:rPr>
                                      <m:t>i</m:t>
                                    </m:r>
                                    <m:r>
                                      <w:rPr>
                                        <w:rFonts w:ascii="Cambria Math" w:hAnsi="Cambria Math"/>
                                        <w:color w:val="000000"/>
                                        <w:szCs w:val="24"/>
                                        <w:lang w:eastAsia="lt-LT"/>
                                      </w:rPr>
                                      <m:t>,</m:t>
                                    </m:r>
                                    <m:r>
                                      <w:rPr>
                                        <w:rFonts w:ascii="Cambria Math" w:hAnsi="Cambria Math"/>
                                        <w:color w:val="000000"/>
                                        <w:szCs w:val="24"/>
                                        <w:lang w:eastAsia="lt-LT"/>
                                      </w:rPr>
                                      <m:t>y</m:t>
                                    </m:r>
                                    <m:r>
                                      <w:rPr>
                                        <w:rFonts w:ascii="Cambria Math" w:hAnsi="Cambria Math"/>
                                        <w:color w:val="000000"/>
                                        <w:szCs w:val="24"/>
                                        <w:lang w:eastAsia="lt-LT"/>
                                      </w:rPr>
                                      <m:t>-2</m:t>
                                    </m:r>
                                  </m:sub>
                                </m:sSub>
                                <m:r>
                                  <w:rPr>
                                    <w:rFonts w:ascii="Cambria Math" w:hAnsi="Cambria Math"/>
                                    <w:color w:val="000000"/>
                                    <w:szCs w:val="24"/>
                                    <w:lang w:eastAsia="lt-LT"/>
                                  </w:rPr>
                                  <m:t xml:space="preserve">+ </m:t>
                                </m:r>
                                <m:sSub>
                                  <m:sSubPr>
                                    <m:ctrlPr>
                                      <w:rPr>
                                        <w:rFonts w:ascii="Cambria Math" w:hAnsi="Cambria Math"/>
                                        <w:i/>
                                        <w:color w:val="000000"/>
                                        <w:szCs w:val="24"/>
                                        <w:lang w:eastAsia="lt-LT"/>
                                      </w:rPr>
                                    </m:ctrlPr>
                                  </m:sSubPr>
                                  <m:e>
                                    <m:r>
                                      <w:rPr>
                                        <w:rFonts w:ascii="Cambria Math" w:hAnsi="Cambria Math"/>
                                        <w:color w:val="000000"/>
                                        <w:szCs w:val="24"/>
                                        <w:lang w:eastAsia="lt-LT"/>
                                      </w:rPr>
                                      <m:t>N</m:t>
                                    </m:r>
                                  </m:e>
                                  <m:sub>
                                    <m:r>
                                      <w:rPr>
                                        <w:rFonts w:ascii="Cambria Math" w:hAnsi="Cambria Math"/>
                                        <w:color w:val="000000"/>
                                        <w:szCs w:val="24"/>
                                        <w:lang w:eastAsia="lt-LT"/>
                                      </w:rPr>
                                      <m:t>INOi</m:t>
                                    </m:r>
                                    <m:r>
                                      <w:rPr>
                                        <w:rFonts w:ascii="Cambria Math" w:hAnsi="Cambria Math"/>
                                        <w:color w:val="000000"/>
                                        <w:szCs w:val="24"/>
                                        <w:lang w:eastAsia="lt-LT"/>
                                      </w:rPr>
                                      <m:t>,</m:t>
                                    </m:r>
                                    <m:r>
                                      <w:rPr>
                                        <w:rFonts w:ascii="Cambria Math" w:hAnsi="Cambria Math"/>
                                        <w:color w:val="000000"/>
                                        <w:szCs w:val="24"/>
                                        <w:lang w:eastAsia="lt-LT"/>
                                      </w:rPr>
                                      <m:t>y</m:t>
                                    </m:r>
                                  </m:sub>
                                </m:sSub>
                              </m:e>
                            </m:d>
                          </m:num>
                          <m:den>
                            <m:sSub>
                              <m:sSubPr>
                                <m:ctrlPr>
                                  <w:rPr>
                                    <w:rFonts w:ascii="Cambria Math" w:hAnsi="Cambria Math"/>
                                    <w:i/>
                                    <w:color w:val="000000"/>
                                    <w:szCs w:val="24"/>
                                    <w:lang w:eastAsia="lt-LT"/>
                                  </w:rPr>
                                </m:ctrlPr>
                              </m:sSubPr>
                              <m:e>
                                <m:r>
                                  <w:rPr>
                                    <w:rFonts w:ascii="Cambria Math" w:hAnsi="Cambria Math"/>
                                    <w:color w:val="000000"/>
                                    <w:szCs w:val="24"/>
                                    <w:lang w:eastAsia="lt-LT"/>
                                  </w:rPr>
                                  <m:t>Q</m:t>
                                </m:r>
                              </m:e>
                              <m:sub>
                                <m:r>
                                  <w:rPr>
                                    <w:rFonts w:ascii="Cambria Math" w:hAnsi="Cambria Math"/>
                                    <w:color w:val="000000"/>
                                    <w:szCs w:val="24"/>
                                    <w:lang w:eastAsia="lt-LT"/>
                                  </w:rPr>
                                  <m:t>i</m:t>
                                </m:r>
                                <m:r>
                                  <w:rPr>
                                    <w:rFonts w:ascii="Cambria Math" w:hAnsi="Cambria Math"/>
                                    <w:color w:val="000000"/>
                                    <w:szCs w:val="24"/>
                                    <w:lang w:eastAsia="lt-LT"/>
                                  </w:rPr>
                                  <m:t>,</m:t>
                                </m:r>
                                <m:r>
                                  <w:rPr>
                                    <w:rFonts w:ascii="Cambria Math" w:hAnsi="Cambria Math"/>
                                    <w:color w:val="000000"/>
                                    <w:szCs w:val="24"/>
                                    <w:lang w:eastAsia="lt-LT"/>
                                  </w:rPr>
                                  <m:t>y</m:t>
                                </m:r>
                              </m:sub>
                            </m:sSub>
                          </m:den>
                        </m:f>
                        <m:r>
                          <w:rPr>
                            <w:rFonts w:ascii="Cambria Math" w:hAnsi="Cambria Math"/>
                            <w:color w:val="000000"/>
                            <w:szCs w:val="24"/>
                            <w:lang w:eastAsia="lt-LT"/>
                          </w:rPr>
                          <m:t xml:space="preserve">                                             </m:t>
                        </m:r>
                      </m:oMath>
                      <w:r>
                        <w:rPr>
                          <w:iCs/>
                          <w:color w:val="000000"/>
                          <w:szCs w:val="24"/>
                          <w:lang w:eastAsia="lt-LT"/>
                        </w:rPr>
                        <w:t>(3)</w:t>
                      </w:r>
                    </w:p>
                    <w:p>
                      <w:pPr>
                        <w:ind w:firstLine="709"/>
                        <w:jc w:val="both"/>
                        <w:rPr>
                          <w:color w:val="000000"/>
                          <w:szCs w:val="24"/>
                          <w:lang w:eastAsia="lt-LT"/>
                        </w:rPr>
                      </w:pPr>
                    </w:p>
                    <w:p>
                      <w:pPr>
                        <w:ind w:firstLine="709"/>
                        <w:jc w:val="both"/>
                        <w:rPr>
                          <w:color w:val="000000"/>
                          <w:szCs w:val="24"/>
                          <w:lang w:eastAsia="lt-LT"/>
                        </w:rPr>
                      </w:pPr>
                      <w:r>
                        <w:rPr>
                          <w:i/>
                          <w:iCs/>
                          <w:color w:val="000000"/>
                          <w:szCs w:val="24"/>
                          <w:lang w:eastAsia="lt-LT"/>
                        </w:rPr>
                        <w:t>kur:</w:t>
                      </w:r>
                    </w:p>
                    <w:p>
                      <w:pPr>
                        <w:ind w:firstLine="709"/>
                        <w:jc w:val="both"/>
                        <w:rPr>
                          <w:color w:val="000000"/>
                          <w:szCs w:val="24"/>
                          <w:lang w:eastAsia="lt-LT"/>
                        </w:rPr>
                      </w:pPr>
                      <w:r>
                        <w:rPr>
                          <w:color w:val="000000"/>
                          <w:szCs w:val="24"/>
                          <w:lang w:eastAsia="lt-LT"/>
                        </w:rPr>
                        <w:t>T – reguliuojamos paslaugos (produkto) kaina, Eur/vnt.;</w:t>
                      </w:r>
                    </w:p>
                    <w:p>
                      <w:pPr>
                        <w:ind w:firstLine="709"/>
                        <w:jc w:val="both"/>
                        <w:rPr>
                          <w:color w:val="000000"/>
                          <w:szCs w:val="24"/>
                          <w:lang w:eastAsia="lt-LT"/>
                        </w:rPr>
                      </w:pPr>
                      <w:r>
                        <w:rPr>
                          <w:color w:val="000000"/>
                          <w:szCs w:val="24"/>
                          <w:lang w:eastAsia="lt-LT"/>
                        </w:rPr>
                        <w:t>S – reguliuojamos paslaugos (produkto) sąnaudos, Eur/vnt.;</w:t>
                      </w:r>
                    </w:p>
                    <w:p>
                      <w:pPr>
                        <w:ind w:firstLine="709"/>
                        <w:jc w:val="both"/>
                        <w:rPr>
                          <w:color w:val="000000"/>
                          <w:szCs w:val="24"/>
                          <w:lang w:eastAsia="lt-LT"/>
                        </w:rPr>
                      </w:pPr>
                      <w:r>
                        <w:rPr>
                          <w:color w:val="000000"/>
                          <w:szCs w:val="24"/>
                          <w:lang w:eastAsia="lt-LT"/>
                        </w:rPr>
                        <w:t>i – reguliuojama paslauga (produktas);</w:t>
                      </w:r>
                    </w:p>
                    <w:p>
                      <w:pPr>
                        <w:ind w:firstLine="709"/>
                        <w:jc w:val="both"/>
                        <w:rPr>
                          <w:color w:val="000000"/>
                          <w:szCs w:val="24"/>
                          <w:lang w:eastAsia="lt-LT"/>
                        </w:rPr>
                      </w:pPr>
                      <w:r>
                        <w:rPr>
                          <w:color w:val="000000"/>
                          <w:szCs w:val="24"/>
                          <w:lang w:eastAsia="lt-LT"/>
                        </w:rPr>
                        <w:t>y – ataskaitinis laikotarpis, kuriam nustatoma reguliuojamos paslaugos (produkto) kaina, metai;</w:t>
                      </w:r>
                    </w:p>
                    <w:p>
                      <w:pPr>
                        <w:ind w:firstLine="709"/>
                        <w:jc w:val="both"/>
                        <w:rPr>
                          <w:color w:val="000000"/>
                          <w:szCs w:val="24"/>
                          <w:lang w:eastAsia="lt-LT"/>
                        </w:rPr>
                      </w:pPr>
                      <w:r>
                        <w:rPr>
                          <w:color w:val="000000"/>
                          <w:szCs w:val="24"/>
                          <w:lang w:eastAsia="lt-LT"/>
                        </w:rPr>
                        <w:t>(y-2) – praėjęs ataskaitinis laikotarpis, užsibaigęs reguliuojamos paslaugos (produkto) kainos nustatymo metu, metai;</w:t>
                      </w:r>
                    </w:p>
                    <w:p>
                      <w:pPr>
                        <w:ind w:firstLine="709"/>
                        <w:jc w:val="both"/>
                        <w:rPr>
                          <w:color w:val="000000"/>
                          <w:szCs w:val="24"/>
                          <w:lang w:eastAsia="lt-LT"/>
                        </w:rPr>
                      </w:pPr>
                      <w:r>
                        <w:rPr>
                          <w:color w:val="000000"/>
                          <w:szCs w:val="24"/>
                          <w:lang w:eastAsia="lt-LT"/>
                        </w:rPr>
                        <w:t>T</w:t>
                      </w:r>
                      <w:r>
                        <w:rPr>
                          <w:color w:val="000000"/>
                          <w:szCs w:val="24"/>
                          <w:vertAlign w:val="subscript"/>
                          <w:lang w:eastAsia="lt-LT"/>
                        </w:rPr>
                        <w:t>i,y</w:t>
                      </w:r>
                      <w:r>
                        <w:rPr>
                          <w:color w:val="000000"/>
                          <w:szCs w:val="24"/>
                          <w:lang w:eastAsia="lt-LT"/>
                        </w:rPr>
                        <w:t> – i-tosios reguliuojamos paslaugos (produkto) kaina, nustatoma ataskaitiniam laikotarpiui y, Eur/vnt.;</w:t>
                      </w:r>
                    </w:p>
                    <w:p>
                      <w:pPr>
                        <w:ind w:firstLine="709"/>
                        <w:jc w:val="both"/>
                        <w:rPr>
                          <w:color w:val="000000"/>
                          <w:szCs w:val="24"/>
                          <w:lang w:eastAsia="lt-LT"/>
                        </w:rPr>
                      </w:pPr>
                      <w:r>
                        <w:rPr>
                          <w:color w:val="000000"/>
                          <w:szCs w:val="24"/>
                          <w:lang w:eastAsia="lt-LT"/>
                        </w:rPr>
                        <w:t>S</w:t>
                      </w:r>
                      <w:r>
                        <w:rPr>
                          <w:color w:val="000000"/>
                          <w:szCs w:val="24"/>
                          <w:vertAlign w:val="subscript"/>
                          <w:lang w:eastAsia="lt-LT"/>
                        </w:rPr>
                        <w:t>i,y</w:t>
                      </w:r>
                      <w:r>
                        <w:rPr>
                          <w:color w:val="000000"/>
                          <w:szCs w:val="24"/>
                          <w:lang w:eastAsia="lt-LT"/>
                        </w:rPr>
                        <w:t> – i-tosios reguliuojamos paslaugos (produkto) sąnaudos, įskaitant investicijų grąžą, ataskaitinį laikotarpį y, Eur/vnt.;</w:t>
                      </w:r>
                    </w:p>
                    <w:p>
                      <w:pPr>
                        <w:ind w:firstLine="709"/>
                        <w:jc w:val="both"/>
                        <w:rPr>
                          <w:color w:val="000000"/>
                          <w:szCs w:val="24"/>
                          <w:lang w:eastAsia="lt-LT"/>
                        </w:rPr>
                      </w:pPr>
                      <w:r>
                        <w:rPr>
                          <w:color w:val="000000"/>
                          <w:szCs w:val="24"/>
                          <w:lang w:eastAsia="lt-LT"/>
                        </w:rPr>
                        <w:t>S</w:t>
                      </w:r>
                      <w:r>
                        <w:rPr>
                          <w:color w:val="000000"/>
                          <w:szCs w:val="24"/>
                          <w:vertAlign w:val="subscript"/>
                          <w:lang w:eastAsia="lt-LT"/>
                        </w:rPr>
                        <w:t>P,i,y</w:t>
                      </w:r>
                      <w:r>
                        <w:rPr>
                          <w:color w:val="000000"/>
                          <w:szCs w:val="24"/>
                          <w:lang w:eastAsia="lt-LT"/>
                        </w:rPr>
                        <w:t xml:space="preserve"> – i-tosios reguliuojamos paslaugos (produkto) pastoviosios sąnaudos per ataskaitinį laikotarpį y, įskaitant </w:t>
                      </w:r>
                      <w:r>
                        <w:rPr>
                          <w:color w:val="000000"/>
                        </w:rPr>
                        <w:t xml:space="preserve">su Taryba suderintų OPEX projektų sąnaudas, </w:t>
                      </w:r>
                      <w:r>
                        <w:rPr>
                          <w:color w:val="000000"/>
                          <w:szCs w:val="24"/>
                          <w:lang w:eastAsia="lt-LT"/>
                        </w:rPr>
                        <w:t>Eur;</w:t>
                      </w:r>
                    </w:p>
                    <w:p>
                      <w:pPr>
                        <w:ind w:firstLine="709"/>
                        <w:jc w:val="both"/>
                        <w:rPr>
                          <w:color w:val="000000"/>
                          <w:szCs w:val="24"/>
                          <w:lang w:eastAsia="lt-LT"/>
                        </w:rPr>
                      </w:pPr>
                      <w:r>
                        <w:rPr>
                          <w:color w:val="000000"/>
                          <w:szCs w:val="24"/>
                          <w:lang w:eastAsia="lt-LT"/>
                        </w:rPr>
                        <w:t>S</w:t>
                      </w:r>
                      <w:r>
                        <w:rPr>
                          <w:color w:val="000000"/>
                          <w:szCs w:val="24"/>
                          <w:vertAlign w:val="subscript"/>
                          <w:lang w:eastAsia="lt-LT"/>
                        </w:rPr>
                        <w:t>K,i,y</w:t>
                      </w:r>
                      <w:r>
                        <w:rPr>
                          <w:color w:val="000000"/>
                          <w:szCs w:val="24"/>
                          <w:lang w:eastAsia="lt-LT"/>
                        </w:rPr>
                        <w:t> – i-tosios reguliuojamos paslaugos (produkto) kintamos sąnaudos per ataskaitinį laikotarpį y, Eur;</w:t>
                      </w:r>
                    </w:p>
                    <w:p>
                      <w:pPr>
                        <w:ind w:firstLine="709"/>
                        <w:jc w:val="both"/>
                        <w:rPr>
                          <w:color w:val="000000"/>
                          <w:szCs w:val="24"/>
                          <w:lang w:eastAsia="lt-LT"/>
                        </w:rPr>
                      </w:pPr>
                      <w:r>
                        <w:rPr>
                          <w:color w:val="000000"/>
                          <w:szCs w:val="24"/>
                          <w:lang w:eastAsia="lt-LT"/>
                        </w:rPr>
                        <w:t>ROI</w:t>
                      </w:r>
                      <w:r>
                        <w:rPr>
                          <w:color w:val="000000"/>
                          <w:szCs w:val="24"/>
                          <w:vertAlign w:val="subscript"/>
                          <w:lang w:eastAsia="lt-LT"/>
                        </w:rPr>
                        <w:t>i,y</w:t>
                      </w:r>
                      <w:r>
                        <w:rPr>
                          <w:color w:val="000000"/>
                          <w:szCs w:val="24"/>
                          <w:lang w:eastAsia="lt-LT"/>
                        </w:rPr>
                        <w:t> – i-tajai reguliuojamai paslaugai (produktui) priskirta investicijų grąža per ataskaitinį laikotarpį y, Eur;</w:t>
                      </w:r>
                    </w:p>
                    <w:p>
                      <w:pPr>
                        <w:ind w:firstLine="709"/>
                        <w:jc w:val="both"/>
                        <w:rPr>
                          <w:color w:val="000000"/>
                          <w:szCs w:val="24"/>
                          <w:lang w:eastAsia="lt-LT"/>
                        </w:rPr>
                      </w:pPr>
                      <w:r>
                        <w:rPr>
                          <w:color w:val="000000"/>
                          <w:szCs w:val="24"/>
                          <w:lang w:eastAsia="lt-LT"/>
                        </w:rPr>
                        <w:t>∆ROI</w:t>
                      </w:r>
                      <w:r>
                        <w:rPr>
                          <w:color w:val="000000"/>
                          <w:szCs w:val="24"/>
                          <w:vertAlign w:val="subscript"/>
                          <w:lang w:eastAsia="lt-LT"/>
                        </w:rPr>
                        <w:t>i,y-2</w:t>
                      </w:r>
                      <w:r>
                        <w:rPr>
                          <w:color w:val="000000"/>
                          <w:szCs w:val="24"/>
                          <w:lang w:eastAsia="lt-LT"/>
                        </w:rPr>
                        <w:t> – i-tajai reguliuojamai paslaugai (produktui) priskirtos protingumo kriterijų atitinkančios investicijų grąžos neatitikimo dydis, palyginti su nustatyta investicijų grąža, per ataskaitinį laikotarpį (y-2), Eur;</w:t>
                      </w:r>
                    </w:p>
                    <w:p>
                      <w:pPr>
                        <w:ind w:firstLine="709"/>
                        <w:jc w:val="both"/>
                        <w:rPr>
                          <w:color w:val="000000"/>
                          <w:szCs w:val="24"/>
                          <w:lang w:eastAsia="lt-LT"/>
                        </w:rPr>
                      </w:pPr>
                      <w:r>
                        <w:rPr>
                          <w:color w:val="000000"/>
                        </w:rPr>
                        <w:t>N</w:t>
                      </w:r>
                      <w:r>
                        <w:rPr>
                          <w:color w:val="000000"/>
                          <w:vertAlign w:val="subscript"/>
                        </w:rPr>
                        <w:t>INOi,y</w:t>
                      </w:r>
                      <w:r>
                        <w:rPr>
                          <w:color w:val="000000"/>
                        </w:rPr>
                        <w:t> – Asmens energetikos inovacijoms įgyvendinti skirta metinė sąnaudų, finansuojamų per reguliuojamų paslaugų (produktų) kainas, dalis, kuri negali sudaryti daugiau kaip 0,5 proc. Tarybos nustatyto metinio pajamų lygio (vertinamas Asmens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28</w:t>
                      </w:r>
                      <w:r>
                        <w:rPr>
                          <w:color w:val="000000"/>
                          <w:vertAlign w:val="superscript"/>
                        </w:rPr>
                        <w:t>2</w:t>
                      </w:r>
                      <w:r>
                        <w:rPr>
                          <w:color w:val="000000"/>
                        </w:rPr>
                        <w:t> punktą, per ataskaitinį laikotarpį y, Eur. Jeigu Asmens diegiamai energetikos inovacijai skiriama kitų institucijų ir (ar) fondų parama, paramos dydžiu lygiomis dalimis mažinama Tarybos energetikos inovacijai įgyvendinti skirta metinė sąnaudų, finansuojamų per elektros energijos kainas, dalis ir Asmens nuosavomis ir (ar) skolintomis lėšomis finansuota energetikos inovacijos sąnaudų dalis. Asmuo prie su energetikos inovacijų plėtojimu susijusių išlaidų ne mažesne dalimi, negu skyrė Taryba turi prisidėti iš nuosavų ir (ar) skolintų lėšų;</w:t>
                      </w:r>
                    </w:p>
                    <w:p>
                      <w:pPr>
                        <w:ind w:firstLine="709"/>
                        <w:jc w:val="both"/>
                      </w:pPr>
                      <w:r>
                        <w:rPr>
                          <w:color w:val="000000"/>
                          <w:szCs w:val="24"/>
                          <w:lang w:eastAsia="lt-LT"/>
                        </w:rPr>
                        <w:t>Q</w:t>
                      </w:r>
                      <w:r>
                        <w:rPr>
                          <w:color w:val="000000"/>
                          <w:szCs w:val="24"/>
                          <w:vertAlign w:val="subscript"/>
                          <w:lang w:eastAsia="lt-LT"/>
                        </w:rPr>
                        <w:t>i,y</w:t>
                      </w:r>
                      <w:r>
                        <w:rPr>
                          <w:color w:val="000000"/>
                          <w:szCs w:val="24"/>
                          <w:lang w:eastAsia="lt-LT"/>
                        </w:rPr>
                        <w:t> – i-tosios reguliuojamos paslaugos (produkto) kiekis, patiektinas per ataskaitinį laikotarpį y, vnt.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65ad701e6911ebb0038a8cd8ff585f">
                        <w:r w:rsidRPr="00532B9F">
                          <w:rPr>
                            <w:rFonts w:ascii="Times New Roman" w:eastAsia="MS Mincho" w:hAnsi="Times New Roman"/>
                            <w:sz w:val="20"/>
                            <w:i/>
                            <w:iCs/>
                            <w:color w:val="0000FF" w:themeColor="hyperlink"/>
                            <w:u w:val="single"/>
                          </w:rPr>
                          <w:t>O3E-1069</w:t>
                        </w:r>
                      </w:fldSimple>
                      <w:r>
                        <w:rPr>
                          <w:rFonts w:ascii="Times New Roman" w:eastAsia="MS Mincho" w:hAnsi="Times New Roman"/>
                          <w:sz w:val="20"/>
                          <w:i/>
                          <w:iCs/>
                        </w:rPr>
                        <w:t>,
2020-11-04,
paskelbta TAR 2020-11-04, i. k. 2020-22976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26.1-1 pp."/>
                    <w:tag w:val="part_f43fd76f2f2c4f0aaf54b7823e10115c"/>
                    <w:lock w:val="sdtLocked"/>
                    <w:richText/>
                  </w:sdtPr>
                  <w:sdtContent>
                    <w:p>
                      <w:pPr>
                        <w:ind w:firstLine="709"/>
                        <w:jc w:val="both"/>
                        <w:rPr>
                          <w:szCs w:val="24"/>
                          <w:lang w:eastAsia="lt-LT"/>
                        </w:rPr>
                      </w:pPr>
                      <w:sdt>
                        <w:sdtPr>
                          <w:alias w:val="Numeris"/>
                          <w:tag w:val="nr_f43fd76f2f2c4f0aaf54b7823e10115c"/>
                          <w:lock w:val="sdtLocked"/>
                          <w:richText/>
                        </w:sdtPr>
                        <w:sdtContent>
                          <w:r>
                            <w:rPr>
                              <w:szCs w:val="24"/>
                              <w:lang w:eastAsia="lt-LT"/>
                            </w:rPr>
                            <w:t>26.1</w:t>
                          </w:r>
                          <w:r>
                            <w:rPr>
                              <w:szCs w:val="24"/>
                              <w:vertAlign w:val="superscript"/>
                              <w:lang w:eastAsia="lt-LT"/>
                            </w:rPr>
                            <w:t>1</w:t>
                          </w:r>
                        </w:sdtContent>
                      </w:sdt>
                      <w:r>
                        <w:rPr>
                          <w:szCs w:val="24"/>
                          <w:lang w:eastAsia="lt-LT"/>
                        </w:rPr>
                        <w:t>. Antrinio avarinio aktyviosios galios rezervo užtikrinimo paslaugos</w:t>
                      </w:r>
                      <w:r>
                        <w:rPr>
                          <w:szCs w:val="24"/>
                        </w:rPr>
                        <w:t xml:space="preserve"> </w:t>
                      </w:r>
                      <w:r>
                        <w:rPr>
                          <w:szCs w:val="24"/>
                          <w:lang w:eastAsia="lt-LT"/>
                        </w:rPr>
                        <w:t>kaina nustatoma vadovaujantis formule:</w:t>
                      </w:r>
                    </w:p>
                    <w:p>
                      <w:pPr>
                        <w:ind w:firstLine="720"/>
                        <w:jc w:val="both"/>
                        <w:rPr>
                          <w:szCs w:val="24"/>
                          <w:lang w:eastAsia="lt-LT"/>
                        </w:rPr>
                      </w:pPr>
                    </w:p>
                    <w:p>
                      <w:pPr>
                        <w:ind w:firstLine="720"/>
                        <w:jc w:val="both"/>
                        <w:rPr>
                          <w:szCs w:val="24"/>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AAG</m:t>
                            </m:r>
                            <m:r>
                              <w:rPr>
                                <w:rFonts w:ascii="Cambria Math" w:hAnsi="Cambria Math"/>
                                <w:szCs w:val="24"/>
                                <w:lang w:eastAsia="lt-LT"/>
                              </w:rPr>
                              <m:t xml:space="preserve">, </m:t>
                            </m:r>
                            <m:r>
                              <w:rPr>
                                <w:rFonts w:ascii="Cambria Math" w:hAnsi="Cambria Math"/>
                                <w:szCs w:val="24"/>
                                <w:lang w:eastAsia="lt-LT"/>
                              </w:rPr>
                              <m:t>y</m:t>
                            </m:r>
                          </m:sub>
                        </m:sSub>
                        <m:r>
                          <w:rPr>
                            <w:rFonts w:ascii="Cambria Math" w:hAnsi="Cambria Math"/>
                            <w:szCs w:val="24"/>
                            <w:lang w:eastAsia="lt-LT"/>
                          </w:rPr>
                          <m:t>=</m:t>
                        </m:r>
                        <m:sSub>
                          <m:sSubPr>
                            <m:ctrlPr>
                              <w:rPr>
                                <w:rFonts w:ascii="Cambria Math" w:hAnsi="Cambria Math"/>
                                <w:i/>
                                <w:szCs w:val="24"/>
                                <w:lang w:val="en-US" w:eastAsia="lt-LT"/>
                              </w:rPr>
                            </m:ctrlPr>
                          </m:sSubPr>
                          <m:e>
                            <m:r>
                              <w:rPr>
                                <w:rFonts w:ascii="Cambria Math" w:hAnsi="Cambria Math"/>
                                <w:szCs w:val="24"/>
                                <w:lang w:eastAsia="lt-LT"/>
                              </w:rPr>
                              <m:t>S</m:t>
                            </m:r>
                          </m:e>
                          <m:sub>
                            <m:r>
                              <w:rPr>
                                <w:rFonts w:ascii="Cambria Math" w:hAnsi="Cambria Math"/>
                                <w:szCs w:val="24"/>
                                <w:lang w:eastAsia="lt-LT"/>
                              </w:rPr>
                              <m:t>AAG</m:t>
                            </m:r>
                            <m:r>
                              <w:rPr>
                                <w:rFonts w:ascii="Cambria Math" w:hAnsi="Cambria Math"/>
                                <w:szCs w:val="24"/>
                                <w:lang w:eastAsia="lt-LT"/>
                              </w:rPr>
                              <m:t>,</m:t>
                            </m:r>
                            <m:r>
                              <w:rPr>
                                <w:rFonts w:ascii="Cambria Math" w:hAnsi="Cambria Math"/>
                                <w:szCs w:val="24"/>
                                <w:lang w:eastAsia="lt-LT"/>
                              </w:rPr>
                              <m:t>y</m:t>
                            </m:r>
                          </m:sub>
                        </m:sSub>
                        <m:r>
                          <w:rPr>
                            <w:rFonts w:ascii="Cambria Math" w:hAnsi="Cambria Math"/>
                            <w:szCs w:val="24"/>
                            <w:lang w:eastAsia="lt-LT"/>
                          </w:rPr>
                          <m:t>=</m:t>
                        </m:r>
                        <m:f>
                          <m:fPr>
                            <m:ctrlPr>
                              <w:rPr>
                                <w:rFonts w:ascii="Cambria Math" w:hAnsi="Cambria Math"/>
                                <w:i/>
                                <w:szCs w:val="24"/>
                                <w:lang w:val="en-US" w:eastAsia="lt-LT"/>
                              </w:rPr>
                            </m:ctrlPr>
                          </m:fPr>
                          <m:num>
                            <m:d>
                              <m:dPr>
                                <m:ctrlPr>
                                  <w:rPr>
                                    <w:rFonts w:ascii="Cambria Math" w:hAnsi="Cambria Math"/>
                                    <w:i/>
                                    <w:szCs w:val="24"/>
                                    <w:lang w:val="en-US" w:eastAsia="lt-LT"/>
                                  </w:rPr>
                                </m:ctrlPr>
                              </m:dPr>
                              <m:e>
                                <m:sSub>
                                  <m:sSubPr>
                                    <m:ctrlPr>
                                      <w:rPr>
                                        <w:rFonts w:ascii="Cambria Math" w:hAnsi="Cambria Math"/>
                                        <w:i/>
                                        <w:szCs w:val="24"/>
                                        <w:lang w:val="en-US" w:eastAsia="lt-LT"/>
                                      </w:rPr>
                                    </m:ctrlPr>
                                  </m:sSubPr>
                                  <m:e>
                                    <m:r>
                                      <w:rPr>
                                        <w:rFonts w:ascii="Cambria Math" w:hAnsi="Cambria Math"/>
                                        <w:szCs w:val="24"/>
                                        <w:lang w:eastAsia="lt-LT"/>
                                      </w:rPr>
                                      <m:t>S</m:t>
                                    </m:r>
                                  </m:e>
                                  <m:sub>
                                    <m:r>
                                      <w:rPr>
                                        <w:rFonts w:ascii="Cambria Math" w:hAnsi="Cambria Math"/>
                                        <w:szCs w:val="24"/>
                                        <w:lang w:eastAsia="lt-LT"/>
                                      </w:rPr>
                                      <m:t>P</m:t>
                                    </m:r>
                                    <m:r>
                                      <w:rPr>
                                        <w:rFonts w:ascii="Cambria Math" w:hAnsi="Cambria Math"/>
                                        <w:szCs w:val="24"/>
                                        <w:lang w:eastAsia="lt-LT"/>
                                      </w:rPr>
                                      <m:t>,</m:t>
                                    </m:r>
                                    <m:r>
                                      <w:rPr>
                                        <w:rFonts w:ascii="Cambria Math" w:hAnsi="Cambria Math"/>
                                        <w:szCs w:val="24"/>
                                        <w:lang w:eastAsia="lt-LT"/>
                                      </w:rPr>
                                      <m:t>AAG</m:t>
                                    </m:r>
                                    <m:r>
                                      <w:rPr>
                                        <w:rFonts w:ascii="Cambria Math" w:hAnsi="Cambria Math"/>
                                        <w:szCs w:val="24"/>
                                        <w:lang w:eastAsia="lt-LT"/>
                                      </w:rPr>
                                      <m:t xml:space="preserve">, </m:t>
                                    </m:r>
                                    <m:r>
                                      <w:rPr>
                                        <w:rFonts w:ascii="Cambria Math" w:hAnsi="Cambria Math"/>
                                        <w:szCs w:val="24"/>
                                        <w:lang w:eastAsia="lt-LT"/>
                                      </w:rPr>
                                      <m:t>y</m:t>
                                    </m:r>
                                  </m:sub>
                                </m:sSub>
                                <m:r>
                                  <w:rPr>
                                    <w:rFonts w:ascii="Cambria Math" w:hAnsi="Cambria Math"/>
                                    <w:szCs w:val="24"/>
                                    <w:lang w:eastAsia="lt-LT"/>
                                  </w:rPr>
                                  <m:t>+</m:t>
                                </m:r>
                                <m:sSub>
                                  <m:sSubPr>
                                    <m:ctrlPr>
                                      <w:rPr>
                                        <w:rFonts w:ascii="Cambria Math" w:hAnsi="Cambria Math"/>
                                        <w:i/>
                                        <w:szCs w:val="24"/>
                                        <w:lang w:val="en-US" w:eastAsia="lt-LT"/>
                                      </w:rPr>
                                    </m:ctrlPr>
                                  </m:sSubPr>
                                  <m:e>
                                    <m:f>
                                      <m:fPr>
                                        <m:type m:val="lin"/>
                                        <m:ctrlPr>
                                          <w:rPr>
                                            <w:rFonts w:ascii="Cambria Math" w:hAnsi="Cambria Math"/>
                                            <w:i/>
                                            <w:szCs w:val="24"/>
                                            <w:lang w:val="en-US" w:eastAsia="lt-LT"/>
                                          </w:rPr>
                                        </m:ctrlPr>
                                      </m:fPr>
                                      <m:num>
                                        <m:r>
                                          <w:rPr>
                                            <w:rFonts w:ascii="Cambria Math" w:hAnsi="Cambria Math"/>
                                            <w:szCs w:val="24"/>
                                            <w:lang w:eastAsia="lt-LT"/>
                                          </w:rPr>
                                          <m:t>1</m:t>
                                        </m:r>
                                      </m:num>
                                      <m:den>
                                        <m:r>
                                          <w:rPr>
                                            <w:rFonts w:ascii="Cambria Math" w:hAnsi="Cambria Math"/>
                                            <w:szCs w:val="24"/>
                                            <w:lang w:eastAsia="lt-LT"/>
                                          </w:rPr>
                                          <m:t>2</m:t>
                                        </m:r>
                                      </m:den>
                                    </m:f>
                                    <m:r>
                                      <w:rPr>
                                        <w:rFonts w:ascii="Cambria Math" w:hAnsi="Cambria Math"/>
                                        <w:szCs w:val="24"/>
                                        <w:lang w:eastAsia="lt-LT"/>
                                      </w:rPr>
                                      <m:t>ROI</m:t>
                                    </m:r>
                                  </m:e>
                                  <m:sub>
                                    <m:r>
                                      <w:rPr>
                                        <w:rFonts w:ascii="Cambria Math" w:hAnsi="Cambria Math"/>
                                        <w:szCs w:val="24"/>
                                        <w:lang w:eastAsia="lt-LT"/>
                                      </w:rPr>
                                      <m:t>AAG</m:t>
                                    </m:r>
                                    <m:r>
                                      <w:rPr>
                                        <w:rFonts w:ascii="Cambria Math" w:hAnsi="Cambria Math"/>
                                        <w:szCs w:val="24"/>
                                        <w:lang w:eastAsia="lt-LT"/>
                                      </w:rPr>
                                      <m:t>,</m:t>
                                    </m:r>
                                    <m:r>
                                      <w:rPr>
                                        <w:rFonts w:ascii="Cambria Math" w:hAnsi="Cambria Math"/>
                                        <w:szCs w:val="24"/>
                                        <w:lang w:eastAsia="lt-LT"/>
                                      </w:rPr>
                                      <m:t>y</m:t>
                                    </m:r>
                                  </m:sub>
                                </m:sSub>
                                <m:sSub>
                                  <m:sSubPr>
                                    <m:ctrlPr>
                                      <w:rPr>
                                        <w:rFonts w:ascii="Cambria Math" w:hAnsi="Cambria Math"/>
                                        <w:i/>
                                        <w:szCs w:val="24"/>
                                        <w:lang w:val="en-US" w:eastAsia="lt-LT"/>
                                      </w:rPr>
                                    </m:ctrlPr>
                                  </m:sSubPr>
                                  <m:e>
                                    <m:r>
                                      <w:rPr>
                                        <w:rFonts w:ascii="Cambria Math" w:hAnsi="Cambria Math"/>
                                        <w:szCs w:val="24"/>
                                        <w:lang w:eastAsia="lt-LT"/>
                                      </w:rPr>
                                      <m:t>+ ∆</m:t>
                                    </m:r>
                                    <m:r>
                                      <w:rPr>
                                        <w:rFonts w:ascii="Cambria Math" w:hAnsi="Cambria Math"/>
                                        <w:szCs w:val="24"/>
                                        <w:lang w:eastAsia="lt-LT"/>
                                      </w:rPr>
                                      <m:t>ROI</m:t>
                                    </m:r>
                                  </m:e>
                                  <m:sub>
                                    <m:r>
                                      <w:rPr>
                                        <w:rFonts w:ascii="Cambria Math" w:hAnsi="Cambria Math"/>
                                        <w:szCs w:val="24"/>
                                        <w:lang w:eastAsia="lt-LT"/>
                                      </w:rPr>
                                      <m:t>AAG</m:t>
                                    </m:r>
                                    <m:r>
                                      <w:rPr>
                                        <w:rFonts w:ascii="Cambria Math" w:hAnsi="Cambria Math"/>
                                        <w:szCs w:val="24"/>
                                        <w:lang w:eastAsia="lt-LT"/>
                                      </w:rPr>
                                      <m:t>,</m:t>
                                    </m:r>
                                    <m:r>
                                      <w:rPr>
                                        <w:rFonts w:ascii="Cambria Math" w:hAnsi="Cambria Math"/>
                                        <w:szCs w:val="24"/>
                                        <w:lang w:eastAsia="lt-LT"/>
                                      </w:rPr>
                                      <m:t>y</m:t>
                                    </m:r>
                                    <m:r>
                                      <w:rPr>
                                        <w:rFonts w:ascii="Cambria Math" w:hAnsi="Cambria Math"/>
                                        <w:szCs w:val="24"/>
                                        <w:lang w:eastAsia="lt-LT"/>
                                      </w:rPr>
                                      <m:t xml:space="preserve">-2 </m:t>
                                    </m:r>
                                  </m:sub>
                                </m:sSub>
                                <m:r>
                                  <w:rPr>
                                    <w:rFonts w:ascii="Cambria Math" w:hAnsi="Cambria Math"/>
                                    <w:szCs w:val="24"/>
                                    <w:lang w:eastAsia="lt-LT"/>
                                  </w:rPr>
                                  <m:t xml:space="preserve"> </m:t>
                                </m:r>
                                <m:sSub>
                                  <m:sSubPr>
                                    <m:ctrlPr>
                                      <w:rPr>
                                        <w:rFonts w:ascii="Cambria Math" w:hAnsi="Cambria Math"/>
                                        <w:i/>
                                        <w:szCs w:val="24"/>
                                        <w:lang w:val="en-US" w:eastAsia="lt-LT"/>
                                      </w:rPr>
                                    </m:ctrlPr>
                                  </m:sSubPr>
                                  <m:e>
                                    <m:r>
                                      <w:rPr>
                                        <w:rFonts w:ascii="Cambria Math" w:hAnsi="Cambria Math"/>
                                        <w:szCs w:val="24"/>
                                        <w:lang w:eastAsia="lt-LT"/>
                                      </w:rPr>
                                      <m:t xml:space="preserve">+ </m:t>
                                    </m:r>
                                    <m:r>
                                      <w:rPr>
                                        <w:rFonts w:ascii="Cambria Math" w:hAnsi="Cambria Math"/>
                                        <w:szCs w:val="24"/>
                                        <w:lang w:eastAsia="lt-LT"/>
                                      </w:rPr>
                                      <m:t>N</m:t>
                                    </m:r>
                                  </m:e>
                                  <m:sub>
                                    <m:r>
                                      <w:rPr>
                                        <w:rFonts w:ascii="Cambria Math" w:hAnsi="Cambria Math"/>
                                        <w:szCs w:val="24"/>
                                        <w:lang w:eastAsia="lt-LT"/>
                                      </w:rPr>
                                      <m:t>INO</m:t>
                                    </m:r>
                                    <m:r>
                                      <w:rPr>
                                        <w:rFonts w:ascii="Cambria Math" w:hAnsi="Cambria Math"/>
                                        <w:szCs w:val="24"/>
                                        <w:lang w:eastAsia="lt-LT"/>
                                      </w:rPr>
                                      <m:t>,</m:t>
                                    </m:r>
                                    <m:r>
                                      <w:rPr>
                                        <w:rFonts w:ascii="Cambria Math" w:hAnsi="Cambria Math"/>
                                        <w:szCs w:val="24"/>
                                        <w:lang w:eastAsia="lt-LT"/>
                                      </w:rPr>
                                      <m:t>y</m:t>
                                    </m:r>
                                  </m:sub>
                                </m:sSub>
                              </m:e>
                            </m:d>
                          </m:num>
                          <m:den>
                            <m:sSub>
                              <m:sSubPr>
                                <m:ctrlPr>
                                  <w:rPr>
                                    <w:rFonts w:ascii="Cambria Math" w:hAnsi="Cambria Math"/>
                                    <w:i/>
                                    <w:szCs w:val="24"/>
                                    <w:lang w:val="en-US" w:eastAsia="lt-LT"/>
                                  </w:rPr>
                                </m:ctrlPr>
                              </m:sSubPr>
                              <m:e>
                                <m:r>
                                  <w:rPr>
                                    <w:rFonts w:ascii="Cambria Math" w:hAnsi="Cambria Math"/>
                                    <w:szCs w:val="24"/>
                                    <w:lang w:eastAsia="lt-LT"/>
                                  </w:rPr>
                                  <m:t>Q</m:t>
                                </m:r>
                              </m:e>
                              <m:sub>
                                <m:r>
                                  <w:rPr>
                                    <w:rFonts w:ascii="Cambria Math" w:hAnsi="Cambria Math"/>
                                    <w:szCs w:val="24"/>
                                    <w:lang w:eastAsia="lt-LT"/>
                                  </w:rPr>
                                  <m:t>AAG</m:t>
                                </m:r>
                                <m:r>
                                  <w:rPr>
                                    <w:rFonts w:ascii="Cambria Math" w:hAnsi="Cambria Math"/>
                                    <w:szCs w:val="24"/>
                                    <w:lang w:eastAsia="lt-LT"/>
                                  </w:rPr>
                                  <m:t>,</m:t>
                                </m:r>
                                <m:r>
                                  <w:rPr>
                                    <w:rFonts w:ascii="Cambria Math" w:hAnsi="Cambria Math"/>
                                    <w:szCs w:val="24"/>
                                    <w:lang w:eastAsia="lt-LT"/>
                                  </w:rPr>
                                  <m:t>y</m:t>
                                </m:r>
                              </m:sub>
                            </m:sSub>
                          </m:den>
                        </m:f>
                      </m:oMath>
                      <w:r>
                        <w:rPr>
                          <w:szCs w:val="24"/>
                          <w:lang w:eastAsia="lt-LT"/>
                        </w:rPr>
                        <w:t>(4)</w:t>
                      </w:r>
                    </w:p>
                    <w:p>
                      <w:pPr>
                        <w:ind w:firstLine="720"/>
                        <w:jc w:val="both"/>
                        <w:rPr>
                          <w:szCs w:val="24"/>
                          <w:lang w:eastAsia="lt-LT"/>
                        </w:rPr>
                      </w:pPr>
                    </w:p>
                    <w:p>
                      <w:pPr>
                        <w:ind w:firstLine="720"/>
                        <w:jc w:val="both"/>
                        <w:rPr>
                          <w:i/>
                          <w:iCs/>
                          <w:szCs w:val="24"/>
                          <w:lang w:eastAsia="lt-LT"/>
                        </w:rPr>
                      </w:pPr>
                      <w:r>
                        <w:rPr>
                          <w:i/>
                          <w:iCs/>
                          <w:szCs w:val="24"/>
                          <w:lang w:eastAsia="lt-LT"/>
                        </w:rPr>
                        <w:t>kur:</w:t>
                      </w:r>
                    </w:p>
                    <w:p>
                      <w:pPr>
                        <w:ind w:firstLine="720"/>
                        <w:jc w:val="both"/>
                        <w:rPr>
                          <w:szCs w:val="24"/>
                          <w:lang w:eastAsia="lt-LT"/>
                        </w:rPr>
                      </w:pPr>
                      <w:r>
                        <w:rPr>
                          <w:color w:val="000000"/>
                          <w:szCs w:val="24"/>
                          <w:lang w:eastAsia="lt-LT"/>
                        </w:rPr>
                        <w:t>T</w:t>
                      </w:r>
                      <w:r>
                        <w:rPr>
                          <w:color w:val="000000"/>
                          <w:szCs w:val="24"/>
                          <w:vertAlign w:val="subscript"/>
                          <w:lang w:eastAsia="lt-LT"/>
                        </w:rPr>
                        <w:t>AAG,y</w:t>
                      </w:r>
                      <w:r>
                        <w:rPr>
                          <w:color w:val="000000"/>
                          <w:szCs w:val="24"/>
                          <w:lang w:eastAsia="lt-LT"/>
                        </w:rPr>
                        <w:t> – antrinio avarinio aktyviosios galios rezervo užtikrinimo paslaugos kaina, nustatoma ataskaitiniam laikotarpiui y, Eur/vnt.;</w:t>
                      </w:r>
                    </w:p>
                    <w:p>
                      <w:pPr>
                        <w:ind w:firstLine="720"/>
                        <w:jc w:val="both"/>
                        <w:rPr>
                          <w:szCs w:val="24"/>
                          <w:lang w:eastAsia="lt-LT"/>
                        </w:rPr>
                      </w:pPr>
                      <w:r>
                        <w:rPr>
                          <w:color w:val="000000"/>
                          <w:szCs w:val="24"/>
                          <w:lang w:eastAsia="lt-LT"/>
                        </w:rPr>
                        <w:t>S</w:t>
                      </w:r>
                      <w:r>
                        <w:rPr>
                          <w:color w:val="000000"/>
                          <w:szCs w:val="24"/>
                          <w:vertAlign w:val="subscript"/>
                          <w:lang w:eastAsia="lt-LT"/>
                        </w:rPr>
                        <w:t>AAG,y</w:t>
                      </w:r>
                      <w:r>
                        <w:rPr>
                          <w:color w:val="000000"/>
                          <w:szCs w:val="24"/>
                          <w:lang w:eastAsia="lt-LT"/>
                        </w:rPr>
                        <w:t xml:space="preserve"> – antrinio avarinio aktyviosios galios rezervo užtikrinimo paslaugos sąnaudos, įskaitant investicijų grąžą, ataskaitinį laikotarpį y, Eur/vnt.;</w:t>
                      </w:r>
                    </w:p>
                    <w:p>
                      <w:pPr>
                        <w:ind w:firstLine="720"/>
                        <w:jc w:val="both"/>
                        <w:rPr>
                          <w:szCs w:val="24"/>
                          <w:lang w:eastAsia="lt-LT"/>
                        </w:rPr>
                      </w:pPr>
                      <w:r>
                        <w:rPr>
                          <w:color w:val="000000"/>
                          <w:szCs w:val="24"/>
                          <w:lang w:eastAsia="lt-LT"/>
                        </w:rPr>
                        <w:t>S</w:t>
                      </w:r>
                      <w:r>
                        <w:rPr>
                          <w:color w:val="000000"/>
                          <w:szCs w:val="24"/>
                          <w:vertAlign w:val="subscript"/>
                          <w:lang w:eastAsia="lt-LT"/>
                        </w:rPr>
                        <w:t>P,AAG,y</w:t>
                      </w:r>
                      <w:r>
                        <w:rPr>
                          <w:color w:val="000000"/>
                          <w:szCs w:val="24"/>
                          <w:lang w:eastAsia="lt-LT"/>
                        </w:rPr>
                        <w:t xml:space="preserve"> – antrinio avarinio aktyviosios galios rezervo užtikrinimo paslaugos pastoviosios sąnaudos per ataskaitinį laikotarpį y, įskaitant </w:t>
                      </w:r>
                      <w:r>
                        <w:rPr>
                          <w:color w:val="000000"/>
                        </w:rPr>
                        <w:t>su Taryba suderintų OPEX projektų sąnaudas,</w:t>
                      </w:r>
                      <w:r>
                        <w:rPr>
                          <w:color w:val="000000"/>
                          <w:szCs w:val="24"/>
                          <w:lang w:eastAsia="lt-LT"/>
                        </w:rPr>
                        <w:t xml:space="preserve"> Eur;</w:t>
                      </w:r>
                    </w:p>
                    <w:p>
                      <w:pPr>
                        <w:ind w:firstLine="720"/>
                        <w:jc w:val="both"/>
                        <w:rPr>
                          <w:szCs w:val="24"/>
                          <w:lang w:eastAsia="lt-LT"/>
                        </w:rPr>
                      </w:pPr>
                      <w:r>
                        <w:rPr>
                          <w:color w:val="000000"/>
                          <w:szCs w:val="24"/>
                          <w:lang w:eastAsia="lt-LT"/>
                        </w:rPr>
                        <w:t>ROI</w:t>
                      </w:r>
                      <w:r>
                        <w:rPr>
                          <w:color w:val="000000"/>
                          <w:szCs w:val="24"/>
                          <w:vertAlign w:val="subscript"/>
                          <w:lang w:eastAsia="lt-LT"/>
                        </w:rPr>
                        <w:t>AAG,y</w:t>
                      </w:r>
                      <w:r>
                        <w:rPr>
                          <w:color w:val="000000"/>
                          <w:szCs w:val="24"/>
                          <w:lang w:eastAsia="lt-LT"/>
                        </w:rPr>
                        <w:t> – antrinio avarinio aktyviosios galios rezervo užtikrinimo paslaugos priskirta investicijų grąža per ataskaitinį laikotarpį y, Eur;</w:t>
                      </w:r>
                    </w:p>
                    <w:p>
                      <w:pPr>
                        <w:ind w:firstLine="720"/>
                        <w:jc w:val="both"/>
                        <w:rPr>
                          <w:szCs w:val="24"/>
                          <w:lang w:eastAsia="lt-LT"/>
                        </w:rPr>
                      </w:pPr>
                      <w:r>
                        <w:rPr>
                          <w:color w:val="000000"/>
                          <w:szCs w:val="24"/>
                          <w:lang w:eastAsia="lt-LT"/>
                        </w:rPr>
                        <w:t>ΔROI</w:t>
                      </w:r>
                      <w:r>
                        <w:rPr>
                          <w:color w:val="000000"/>
                          <w:szCs w:val="24"/>
                          <w:vertAlign w:val="subscript"/>
                          <w:lang w:eastAsia="lt-LT"/>
                        </w:rPr>
                        <w:t>AAG,y-2</w:t>
                      </w:r>
                      <w:r>
                        <w:rPr>
                          <w:color w:val="000000"/>
                          <w:szCs w:val="24"/>
                          <w:lang w:eastAsia="lt-LT"/>
                        </w:rPr>
                        <w:t> – antrinio avarinio aktyviosios galios rezervo užtikrinimo paslaugai priskirtos protingumo kriterijų atitinkančios investicijų grąžos neatitikimo dydis, palyginti su nustatyta investicijų grąža, per ataskaitinį laikotarpį (y-2), Eur;</w:t>
                      </w:r>
                    </w:p>
                    <w:p>
                      <w:pPr>
                        <w:ind w:firstLine="720"/>
                        <w:jc w:val="both"/>
                      </w:pPr>
                      <w:r>
                        <w:rPr>
                          <w:color w:val="000000"/>
                        </w:rPr>
                        <w:t>N</w:t>
                      </w:r>
                      <w:r>
                        <w:rPr>
                          <w:color w:val="000000"/>
                          <w:vertAlign w:val="subscript"/>
                        </w:rPr>
                        <w:t>INO,y</w:t>
                      </w:r>
                      <w:r>
                        <w:rPr>
                          <w:color w:val="000000"/>
                        </w:rPr>
                        <w:t> – Asmens energetikos inovacijoms įgyvendinti skirta metinė sąnaudų, finansuojamų per reguliuojamų paslaugų (produktų) kainas, dalis, kuri negali sudaryti daugiau kaip 0,5 proc. Tarybos nustatyto metinio pajamų lygio (vertinamas Asmens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28</w:t>
                      </w:r>
                      <w:r>
                        <w:rPr>
                          <w:color w:val="000000"/>
                          <w:vertAlign w:val="superscript"/>
                        </w:rPr>
                        <w:t>2</w:t>
                      </w:r>
                      <w:r>
                        <w:rPr>
                          <w:color w:val="000000"/>
                        </w:rPr>
                        <w:t> punktą, per ataskaitinį laikotarpį y, Eur. Jeigu Asmens diegiamai energetikos inovacijai skiriama kitų institucijų ir (ar) fondų parama, paramos dydžiu lygiomis dalimis mažinama Tarybos energetikos inovacijai įgyvendinti skirta metinė sąnaudų, finansuojamų per elektros energijos kainas, dalis ir Asmens nuosavomis ir (ar) skolintomis lėšomis finansuota energetikos inovacijos sąnaudų dalis. Asmuo prie su energetikos inovacijų plėtojimu susijusių išlaidų ne mažesne dalimi, negu skyrė Taryba turi prisidėti iš nuosavų ir (ar) skolintų lėšų;</w:t>
                      </w:r>
                    </w:p>
                    <w:p>
                      <w:pPr>
                        <w:ind w:firstLine="720"/>
                        <w:jc w:val="both"/>
                      </w:pPr>
                      <w:r>
                        <w:rPr>
                          <w:color w:val="000000"/>
                          <w:szCs w:val="24"/>
                          <w:lang w:eastAsia="lt-LT"/>
                        </w:rPr>
                        <w:t>Q</w:t>
                      </w:r>
                      <w:r>
                        <w:rPr>
                          <w:color w:val="000000"/>
                          <w:szCs w:val="24"/>
                          <w:vertAlign w:val="subscript"/>
                          <w:lang w:eastAsia="lt-LT"/>
                        </w:rPr>
                        <w:t>AAG,y</w:t>
                      </w:r>
                      <w:r>
                        <w:rPr>
                          <w:color w:val="000000"/>
                          <w:szCs w:val="24"/>
                          <w:lang w:eastAsia="lt-LT"/>
                        </w:rPr>
                        <w:t> – perdavimo sistemos operatoriaus prognozuojamas antrinio avarinio aktyviosios galios rezervo užtikrinimo paslaugos kiekis, patiektinas per ataskaitinį laikotarpį y, vnt.</w:t>
                      </w:r>
                    </w:p>
                    <w:p>
                      <w:pPr>
                        <w:ind w:firstLine="720"/>
                        <w:jc w:val="both"/>
                      </w:pPr>
                    </w:p>
                    <w:p>
                      <w:pPr>
                        <w:jc w:val="both"/>
                        <w:rPr>
                          <w:bCs/>
                          <w:i/>
                          <w:sz w:val="20"/>
                          <w:lang w:eastAsia="lt-LT"/>
                        </w:rPr>
                      </w:pPr>
                      <w:r>
                        <w:rPr>
                          <w:b/>
                          <w:i/>
                          <w:sz w:val="20"/>
                        </w:rPr>
                        <w:t>TAR pastaba.</w:t>
                      </w:r>
                      <w:r>
                        <w:rPr>
                          <w:i/>
                          <w:sz w:val="20"/>
                        </w:rPr>
                        <w:t xml:space="preserve"> </w:t>
                      </w:r>
                      <w:r>
                        <w:rPr>
                          <w:bCs/>
                          <w:i/>
                          <w:sz w:val="20"/>
                          <w:lang w:eastAsia="lt-LT"/>
                        </w:rPr>
                        <w:t xml:space="preserve">Nuo 2022 m. liepos 1 d. įsigalioja tokia 2020 m. lapkričio 4 d. nutarimu Nr. </w:t>
                      </w:r>
                      <w:r>
                        <w:rPr>
                          <w:i/>
                          <w:sz w:val="20"/>
                          <w:lang w:eastAsia="lt-LT"/>
                        </w:rPr>
                        <w:t>O3E-</w:t>
                      </w:r>
                      <w:r>
                        <w:rPr>
                          <w:i/>
                          <w:sz w:val="20"/>
                        </w:rPr>
                        <w:t>1069</w:t>
                      </w:r>
                      <w:r>
                        <w:rPr>
                          <w:bCs/>
                          <w:i/>
                          <w:sz w:val="20"/>
                          <w:lang w:eastAsia="lt-LT"/>
                        </w:rPr>
                        <w:t xml:space="preserve"> papildyto Metodikos 26.1</w:t>
                      </w:r>
                      <w:r>
                        <w:rPr>
                          <w:bCs/>
                          <w:i/>
                          <w:sz w:val="20"/>
                          <w:vertAlign w:val="superscript"/>
                          <w:lang w:eastAsia="lt-LT"/>
                        </w:rPr>
                        <w:t>1</w:t>
                      </w:r>
                      <w:r>
                        <w:rPr>
                          <w:bCs/>
                          <w:i/>
                          <w:sz w:val="20"/>
                          <w:lang w:eastAsia="lt-LT"/>
                        </w:rPr>
                        <w:t xml:space="preserve"> punkto redakcija:</w:t>
                      </w:r>
                    </w:p>
                    <w:p>
                      <w:pPr>
                        <w:ind w:firstLine="720"/>
                        <w:jc w:val="both"/>
                        <w:rPr>
                          <w:szCs w:val="24"/>
                          <w:lang w:eastAsia="lt-LT"/>
                        </w:rPr>
                      </w:pPr>
                      <w:sdt>
                        <w:sdtPr>
                          <w:alias w:val="Numeris"/>
                          <w:tag w:val="nr_f43fd76f2f2c4f0aaf54b7823e10115c"/>
                          <w:lock w:val="sdtLocked"/>
                          <w:richText/>
                        </w:sdtPr>
                        <w:sdtContent>
                          <w:r>
                            <w:rPr>
                              <w:szCs w:val="24"/>
                              <w:lang w:eastAsia="lt-LT"/>
                            </w:rPr>
                            <w:t>26.1</w:t>
                          </w:r>
                          <w:r>
                            <w:rPr>
                              <w:szCs w:val="24"/>
                              <w:vertAlign w:val="superscript"/>
                              <w:lang w:eastAsia="lt-LT"/>
                            </w:rPr>
                            <w:t>1</w:t>
                          </w:r>
                        </w:sdtContent>
                      </w:sdt>
                      <w:r>
                        <w:rPr>
                          <w:szCs w:val="24"/>
                          <w:lang w:eastAsia="lt-LT"/>
                        </w:rPr>
                        <w:t>. Antrinio avarinio aktyviosios galios rezervo užtikrinimo paslaugos</w:t>
                      </w:r>
                      <w:r>
                        <w:rPr>
                          <w:szCs w:val="24"/>
                        </w:rPr>
                        <w:t xml:space="preserve"> </w:t>
                      </w:r>
                      <w:r>
                        <w:rPr>
                          <w:szCs w:val="24"/>
                          <w:lang w:eastAsia="lt-LT"/>
                        </w:rPr>
                        <w:t>kaina nustatoma vadovaujantis formule:</w:t>
                      </w:r>
                    </w:p>
                    <w:p>
                      <w:pPr>
                        <w:ind w:firstLine="720"/>
                        <w:jc w:val="both"/>
                        <w:rPr>
                          <w:szCs w:val="24"/>
                          <w:lang w:eastAsia="lt-LT"/>
                        </w:rPr>
                      </w:pPr>
                    </w:p>
                    <w:p>
                      <w:pPr>
                        <w:ind w:firstLine="720"/>
                        <w:jc w:val="both"/>
                        <w:rPr>
                          <w:szCs w:val="24"/>
                          <w:lang w:eastAsia="lt-LT"/>
                        </w:rPr>
                      </w:pPr>
                      <m:oMath>
                        <m:r>
                          <w:rPr>
                            <w:rFonts w:ascii="Cambria Math" w:hAnsi="Cambria Math"/>
                            <w:szCs w:val="24"/>
                            <w:lang w:eastAsia="lt-LT"/>
                          </w:rPr>
                          <m:t xml:space="preserve"> </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AAG</m:t>
                            </m:r>
                            <m:r>
                              <w:rPr>
                                <w:rFonts w:ascii="Cambria Math" w:hAnsi="Cambria Math"/>
                                <w:szCs w:val="24"/>
                                <w:lang w:eastAsia="lt-LT"/>
                              </w:rPr>
                              <m:t xml:space="preserve">, </m:t>
                            </m:r>
                            <m:r>
                              <w:rPr>
                                <w:rFonts w:ascii="Cambria Math" w:hAnsi="Cambria Math"/>
                                <w:szCs w:val="24"/>
                                <w:lang w:eastAsia="lt-LT"/>
                              </w:rPr>
                              <m:t>y</m:t>
                            </m:r>
                          </m:sub>
                        </m:sSub>
                        <m:r>
                          <w:rPr>
                            <w:rFonts w:ascii="Cambria Math" w:hAnsi="Cambria Math"/>
                            <w:szCs w:val="24"/>
                            <w:lang w:eastAsia="lt-LT"/>
                          </w:rPr>
                          <m:t>=</m:t>
                        </m:r>
                        <m:sSub>
                          <m:sSubPr>
                            <m:ctrlPr>
                              <w:rPr>
                                <w:rFonts w:ascii="Cambria Math" w:hAnsi="Cambria Math"/>
                                <w:i/>
                                <w:szCs w:val="24"/>
                                <w:lang w:val="en-US" w:eastAsia="lt-LT"/>
                              </w:rPr>
                            </m:ctrlPr>
                          </m:sSubPr>
                          <m:e>
                            <m:r>
                              <w:rPr>
                                <w:rFonts w:ascii="Cambria Math" w:hAnsi="Cambria Math"/>
                                <w:szCs w:val="24"/>
                                <w:lang w:eastAsia="lt-LT"/>
                              </w:rPr>
                              <m:t>S</m:t>
                            </m:r>
                          </m:e>
                          <m:sub>
                            <m:r>
                              <w:rPr>
                                <w:rFonts w:ascii="Cambria Math" w:hAnsi="Cambria Math"/>
                                <w:szCs w:val="24"/>
                                <w:lang w:eastAsia="lt-LT"/>
                              </w:rPr>
                              <m:t>AAG</m:t>
                            </m:r>
                            <m:r>
                              <w:rPr>
                                <w:rFonts w:ascii="Cambria Math" w:hAnsi="Cambria Math"/>
                                <w:szCs w:val="24"/>
                                <w:lang w:eastAsia="lt-LT"/>
                              </w:rPr>
                              <m:t>,</m:t>
                            </m:r>
                            <m:r>
                              <w:rPr>
                                <w:rFonts w:ascii="Cambria Math" w:hAnsi="Cambria Math"/>
                                <w:szCs w:val="24"/>
                                <w:lang w:eastAsia="lt-LT"/>
                              </w:rPr>
                              <m:t>y</m:t>
                            </m:r>
                          </m:sub>
                        </m:sSub>
                        <m:r>
                          <w:rPr>
                            <w:rFonts w:ascii="Cambria Math" w:hAnsi="Cambria Math"/>
                            <w:szCs w:val="24"/>
                            <w:lang w:eastAsia="lt-LT"/>
                          </w:rPr>
                          <m:t>=</m:t>
                        </m:r>
                        <m:f>
                          <m:fPr>
                            <m:ctrlPr>
                              <w:rPr>
                                <w:rFonts w:ascii="Cambria Math" w:hAnsi="Cambria Math"/>
                                <w:i/>
                                <w:szCs w:val="24"/>
                                <w:lang w:val="en-US" w:eastAsia="lt-LT"/>
                              </w:rPr>
                            </m:ctrlPr>
                          </m:fPr>
                          <m:num>
                            <m:d>
                              <m:dPr>
                                <m:ctrlPr>
                                  <w:rPr>
                                    <w:rFonts w:ascii="Cambria Math" w:hAnsi="Cambria Math"/>
                                    <w:i/>
                                    <w:szCs w:val="24"/>
                                    <w:lang w:val="en-US" w:eastAsia="lt-LT"/>
                                  </w:rPr>
                                </m:ctrlPr>
                              </m:dPr>
                              <m:e>
                                <m:sSub>
                                  <m:sSubPr>
                                    <m:ctrlPr>
                                      <w:rPr>
                                        <w:rFonts w:ascii="Cambria Math" w:hAnsi="Cambria Math"/>
                                        <w:i/>
                                        <w:szCs w:val="24"/>
                                        <w:lang w:val="en-US" w:eastAsia="lt-LT"/>
                                      </w:rPr>
                                    </m:ctrlPr>
                                  </m:sSubPr>
                                  <m:e>
                                    <m:r>
                                      <w:rPr>
                                        <w:rFonts w:ascii="Cambria Math" w:hAnsi="Cambria Math"/>
                                        <w:szCs w:val="24"/>
                                        <w:lang w:eastAsia="lt-LT"/>
                                      </w:rPr>
                                      <m:t>S</m:t>
                                    </m:r>
                                  </m:e>
                                  <m:sub>
                                    <m:r>
                                      <w:rPr>
                                        <w:rFonts w:ascii="Cambria Math" w:hAnsi="Cambria Math"/>
                                        <w:szCs w:val="24"/>
                                        <w:lang w:eastAsia="lt-LT"/>
                                      </w:rPr>
                                      <m:t>P</m:t>
                                    </m:r>
                                    <m:r>
                                      <w:rPr>
                                        <w:rFonts w:ascii="Cambria Math" w:hAnsi="Cambria Math"/>
                                        <w:szCs w:val="24"/>
                                        <w:lang w:eastAsia="lt-LT"/>
                                      </w:rPr>
                                      <m:t>,</m:t>
                                    </m:r>
                                    <m:r>
                                      <w:rPr>
                                        <w:rFonts w:ascii="Cambria Math" w:hAnsi="Cambria Math"/>
                                        <w:szCs w:val="24"/>
                                        <w:lang w:eastAsia="lt-LT"/>
                                      </w:rPr>
                                      <m:t>AAG</m:t>
                                    </m:r>
                                    <m:r>
                                      <w:rPr>
                                        <w:rFonts w:ascii="Cambria Math" w:hAnsi="Cambria Math"/>
                                        <w:szCs w:val="24"/>
                                        <w:lang w:eastAsia="lt-LT"/>
                                      </w:rPr>
                                      <m:t xml:space="preserve">, </m:t>
                                    </m:r>
                                    <m:r>
                                      <w:rPr>
                                        <w:rFonts w:ascii="Cambria Math" w:hAnsi="Cambria Math"/>
                                        <w:szCs w:val="24"/>
                                        <w:lang w:eastAsia="lt-LT"/>
                                      </w:rPr>
                                      <m:t>y</m:t>
                                    </m:r>
                                  </m:sub>
                                </m:sSub>
                                <m:r>
                                  <w:rPr>
                                    <w:rFonts w:ascii="Cambria Math" w:hAnsi="Cambria Math"/>
                                    <w:szCs w:val="24"/>
                                    <w:lang w:eastAsia="lt-LT"/>
                                  </w:rPr>
                                  <m:t>+</m:t>
                                </m:r>
                                <m:sSub>
                                  <m:sSubPr>
                                    <m:ctrlPr>
                                      <w:rPr>
                                        <w:rFonts w:ascii="Cambria Math" w:hAnsi="Cambria Math"/>
                                        <w:i/>
                                        <w:szCs w:val="24"/>
                                        <w:lang w:val="en-US" w:eastAsia="lt-LT"/>
                                      </w:rPr>
                                    </m:ctrlPr>
                                  </m:sSubPr>
                                  <m:e>
                                    <m:f>
                                      <m:fPr>
                                        <m:type m:val="lin"/>
                                        <m:ctrlPr>
                                          <w:rPr>
                                            <w:rFonts w:ascii="Cambria Math" w:hAnsi="Cambria Math"/>
                                            <w:i/>
                                            <w:szCs w:val="24"/>
                                            <w:lang w:val="en-US" w:eastAsia="lt-LT"/>
                                          </w:rPr>
                                        </m:ctrlPr>
                                      </m:fPr>
                                      <m:num>
                                        <m:r>
                                          <w:rPr>
                                            <w:rFonts w:ascii="Cambria Math" w:hAnsi="Cambria Math"/>
                                            <w:szCs w:val="24"/>
                                            <w:lang w:eastAsia="lt-LT"/>
                                          </w:rPr>
                                          <m:t>1</m:t>
                                        </m:r>
                                      </m:num>
                                      <m:den>
                                        <m:r>
                                          <w:rPr>
                                            <w:rFonts w:ascii="Cambria Math" w:hAnsi="Cambria Math"/>
                                            <w:szCs w:val="24"/>
                                            <w:lang w:eastAsia="lt-LT"/>
                                          </w:rPr>
                                          <m:t>2</m:t>
                                        </m:r>
                                      </m:den>
                                    </m:f>
                                    <m:r>
                                      <w:rPr>
                                        <w:rFonts w:ascii="Cambria Math" w:hAnsi="Cambria Math"/>
                                        <w:szCs w:val="24"/>
                                        <w:lang w:eastAsia="lt-LT"/>
                                      </w:rPr>
                                      <m:t>ROI</m:t>
                                    </m:r>
                                  </m:e>
                                  <m:sub>
                                    <m:r>
                                      <w:rPr>
                                        <w:rFonts w:ascii="Cambria Math" w:hAnsi="Cambria Math"/>
                                        <w:szCs w:val="24"/>
                                        <w:lang w:eastAsia="lt-LT"/>
                                      </w:rPr>
                                      <m:t>AAG</m:t>
                                    </m:r>
                                    <m:r>
                                      <w:rPr>
                                        <w:rFonts w:ascii="Cambria Math" w:hAnsi="Cambria Math"/>
                                        <w:szCs w:val="24"/>
                                        <w:lang w:eastAsia="lt-LT"/>
                                      </w:rPr>
                                      <m:t>,</m:t>
                                    </m:r>
                                    <m:r>
                                      <w:rPr>
                                        <w:rFonts w:ascii="Cambria Math" w:hAnsi="Cambria Math"/>
                                        <w:szCs w:val="24"/>
                                        <w:lang w:eastAsia="lt-LT"/>
                                      </w:rPr>
                                      <m:t>y</m:t>
                                    </m:r>
                                  </m:sub>
                                </m:sSub>
                                <m:r>
                                  <m:rPr>
                                    <m:sty m:val="bi"/>
                                  </m:rPr>
                                  <w:rPr>
                                    <w:rFonts w:ascii="Cambria Math" w:hAnsi="Cambria Math"/>
                                    <w:szCs w:val="24"/>
                                    <w:lang w:eastAsia="lt-LT"/>
                                  </w:rPr>
                                  <m:t xml:space="preserve">+ </m:t>
                                </m:r>
                                <m:sSub>
                                  <m:sSubPr>
                                    <m:ctrlPr>
                                      <w:rPr>
                                        <w:rFonts w:ascii="Cambria Math" w:hAnsi="Cambria Math"/>
                                        <w:i/>
                                        <w:szCs w:val="24"/>
                                        <w:lang w:val="en-US" w:eastAsia="lt-LT"/>
                                      </w:rPr>
                                    </m:ctrlPr>
                                  </m:sSubPr>
                                  <m:e>
                                    <m:r>
                                      <w:rPr>
                                        <w:rFonts w:ascii="Cambria Math" w:hAnsi="Cambria Math"/>
                                        <w:szCs w:val="24"/>
                                        <w:lang w:eastAsia="lt-LT"/>
                                      </w:rPr>
                                      <m:t>∆</m:t>
                                    </m:r>
                                    <m:r>
                                      <w:rPr>
                                        <w:rFonts w:ascii="Cambria Math" w:hAnsi="Cambria Math"/>
                                        <w:szCs w:val="24"/>
                                        <w:lang w:eastAsia="lt-LT"/>
                                      </w:rPr>
                                      <m:t>ROI</m:t>
                                    </m:r>
                                  </m:e>
                                  <m:sub>
                                    <m:r>
                                      <w:rPr>
                                        <w:rFonts w:ascii="Cambria Math" w:hAnsi="Cambria Math"/>
                                        <w:szCs w:val="24"/>
                                        <w:lang w:eastAsia="lt-LT"/>
                                      </w:rPr>
                                      <m:t>AAG</m:t>
                                    </m:r>
                                    <m:r>
                                      <w:rPr>
                                        <w:rFonts w:ascii="Cambria Math" w:hAnsi="Cambria Math"/>
                                        <w:szCs w:val="24"/>
                                        <w:lang w:eastAsia="lt-LT"/>
                                      </w:rPr>
                                      <m:t>,</m:t>
                                    </m:r>
                                    <m:r>
                                      <w:rPr>
                                        <w:rFonts w:ascii="Cambria Math" w:hAnsi="Cambria Math"/>
                                        <w:szCs w:val="24"/>
                                        <w:lang w:eastAsia="lt-LT"/>
                                      </w:rPr>
                                      <m:t>y</m:t>
                                    </m:r>
                                    <m:r>
                                      <w:rPr>
                                        <w:rFonts w:ascii="Cambria Math" w:hAnsi="Cambria Math"/>
                                        <w:szCs w:val="24"/>
                                        <w:lang w:eastAsia="lt-LT"/>
                                      </w:rPr>
                                      <m:t>-2</m:t>
                                    </m:r>
                                  </m:sub>
                                </m:sSub>
                                <m:r>
                                  <w:rPr>
                                    <w:rFonts w:ascii="Cambria Math" w:hAnsi="Cambria Math"/>
                                    <w:szCs w:val="24"/>
                                    <w:lang w:eastAsia="lt-LT"/>
                                  </w:rPr>
                                  <m:t xml:space="preserve"> + </m:t>
                                </m:r>
                                <m:sSub>
                                  <m:sSubPr>
                                    <m:ctrlPr>
                                      <w:rPr>
                                        <w:rFonts w:ascii="Cambria Math" w:hAnsi="Cambria Math"/>
                                        <w:i/>
                                        <w:szCs w:val="24"/>
                                        <w:lang w:val="en-US" w:eastAsia="lt-LT"/>
                                      </w:rPr>
                                    </m:ctrlPr>
                                  </m:sSubPr>
                                  <m:e>
                                    <m:r>
                                      <w:rPr>
                                        <w:rFonts w:ascii="Cambria Math" w:hAnsi="Cambria Math"/>
                                        <w:szCs w:val="24"/>
                                        <w:lang w:eastAsia="lt-LT"/>
                                      </w:rPr>
                                      <m:t>N</m:t>
                                    </m:r>
                                  </m:e>
                                  <m:sub>
                                    <m:r>
                                      <w:rPr>
                                        <w:rFonts w:ascii="Cambria Math" w:hAnsi="Cambria Math"/>
                                        <w:szCs w:val="24"/>
                                        <w:lang w:eastAsia="lt-LT"/>
                                      </w:rPr>
                                      <m:t>INO</m:t>
                                    </m:r>
                                    <m:r>
                                      <w:rPr>
                                        <w:rFonts w:ascii="Cambria Math" w:hAnsi="Cambria Math"/>
                                        <w:szCs w:val="24"/>
                                        <w:lang w:eastAsia="lt-LT"/>
                                      </w:rPr>
                                      <m:t xml:space="preserve">, </m:t>
                                    </m:r>
                                    <m:r>
                                      <w:rPr>
                                        <w:rFonts w:ascii="Cambria Math" w:hAnsi="Cambria Math"/>
                                        <w:szCs w:val="24"/>
                                        <w:lang w:eastAsia="lt-LT"/>
                                      </w:rPr>
                                      <m:t>y</m:t>
                                    </m:r>
                                  </m:sub>
                                </m:sSub>
                                <m:r>
                                  <w:rPr>
                                    <w:rFonts w:ascii="Cambria Math" w:hAnsi="Cambria Math"/>
                                    <w:szCs w:val="24"/>
                                    <w:lang w:eastAsia="lt-LT"/>
                                  </w:rPr>
                                  <m:t>-</m:t>
                                </m:r>
                                <m:f>
                                  <m:fPr>
                                    <m:type m:val="lin"/>
                                    <m:ctrlPr>
                                      <w:rPr>
                                        <w:rFonts w:ascii="Cambria Math" w:hAnsi="Cambria Math"/>
                                        <w:i/>
                                        <w:szCs w:val="24"/>
                                        <w:lang w:val="en-US" w:eastAsia="lt-LT"/>
                                      </w:rPr>
                                    </m:ctrlPr>
                                  </m:fPr>
                                  <m:num>
                                    <m:r>
                                      <w:rPr>
                                        <w:rFonts w:ascii="Cambria Math" w:hAnsi="Cambria Math"/>
                                        <w:szCs w:val="24"/>
                                        <w:lang w:eastAsia="lt-LT"/>
                                      </w:rPr>
                                      <m:t>1</m:t>
                                    </m:r>
                                  </m:num>
                                  <m:den>
                                    <m:r>
                                      <w:rPr>
                                        <w:rFonts w:ascii="Cambria Math" w:hAnsi="Cambria Math"/>
                                        <w:szCs w:val="24"/>
                                        <w:lang w:eastAsia="lt-LT"/>
                                      </w:rPr>
                                      <m:t>2</m:t>
                                    </m:r>
                                  </m:den>
                                </m:f>
                                <m:sSub>
                                  <m:sSubPr>
                                    <m:ctrlPr>
                                      <w:rPr>
                                        <w:rFonts w:ascii="Cambria Math" w:hAnsi="Cambria Math"/>
                                        <w:i/>
                                        <w:szCs w:val="24"/>
                                        <w:lang w:val="en-US" w:eastAsia="lt-LT"/>
                                      </w:rPr>
                                    </m:ctrlPr>
                                  </m:sSubPr>
                                  <m:e>
                                    <m:r>
                                      <w:rPr>
                                        <w:rFonts w:ascii="Cambria Math" w:hAnsi="Cambria Math"/>
                                        <w:szCs w:val="24"/>
                                        <w:lang w:eastAsia="lt-LT"/>
                                      </w:rPr>
                                      <m:t>P</m:t>
                                    </m:r>
                                  </m:e>
                                  <m:sub>
                                    <m:r>
                                      <w:rPr>
                                        <w:rFonts w:ascii="Cambria Math" w:hAnsi="Cambria Math"/>
                                        <w:szCs w:val="24"/>
                                        <w:lang w:eastAsia="lt-LT"/>
                                      </w:rPr>
                                      <m:t>EE</m:t>
                                    </m:r>
                                    <m:r>
                                      <w:rPr>
                                        <w:rFonts w:ascii="Cambria Math" w:hAnsi="Cambria Math"/>
                                        <w:szCs w:val="24"/>
                                        <w:lang w:eastAsia="lt-LT"/>
                                      </w:rPr>
                                      <m:t>,</m:t>
                                    </m:r>
                                    <m:r>
                                      <w:rPr>
                                        <w:rFonts w:ascii="Cambria Math" w:hAnsi="Cambria Math"/>
                                        <w:szCs w:val="24"/>
                                        <w:lang w:eastAsia="lt-LT"/>
                                      </w:rPr>
                                      <m:t>y</m:t>
                                    </m:r>
                                    <m:r>
                                      <w:rPr>
                                        <w:rFonts w:ascii="Cambria Math" w:hAnsi="Cambria Math"/>
                                        <w:szCs w:val="24"/>
                                        <w:lang w:eastAsia="lt-LT"/>
                                      </w:rPr>
                                      <m:t>-2</m:t>
                                    </m:r>
                                  </m:sub>
                                </m:sSub>
                              </m:e>
                            </m:d>
                          </m:num>
                          <m:den>
                            <m:sSub>
                              <m:sSubPr>
                                <m:ctrlPr>
                                  <w:rPr>
                                    <w:rFonts w:ascii="Cambria Math" w:hAnsi="Cambria Math"/>
                                    <w:i/>
                                    <w:szCs w:val="24"/>
                                    <w:lang w:val="en-US" w:eastAsia="lt-LT"/>
                                  </w:rPr>
                                </m:ctrlPr>
                              </m:sSubPr>
                              <m:e>
                                <m:r>
                                  <w:rPr>
                                    <w:rFonts w:ascii="Cambria Math" w:hAnsi="Cambria Math"/>
                                    <w:szCs w:val="24"/>
                                    <w:lang w:eastAsia="lt-LT"/>
                                  </w:rPr>
                                  <m:t>Q</m:t>
                                </m:r>
                              </m:e>
                              <m:sub>
                                <m:r>
                                  <w:rPr>
                                    <w:rFonts w:ascii="Cambria Math" w:hAnsi="Cambria Math"/>
                                    <w:szCs w:val="24"/>
                                    <w:lang w:eastAsia="lt-LT"/>
                                  </w:rPr>
                                  <m:t>AAG</m:t>
                                </m:r>
                                <m:r>
                                  <w:rPr>
                                    <w:rFonts w:ascii="Cambria Math" w:hAnsi="Cambria Math"/>
                                    <w:szCs w:val="24"/>
                                    <w:lang w:eastAsia="lt-LT"/>
                                  </w:rPr>
                                  <m:t>,</m:t>
                                </m:r>
                                <m:r>
                                  <w:rPr>
                                    <w:rFonts w:ascii="Cambria Math" w:hAnsi="Cambria Math"/>
                                    <w:szCs w:val="24"/>
                                    <w:lang w:eastAsia="lt-LT"/>
                                  </w:rPr>
                                  <m:t>y</m:t>
                                </m:r>
                              </m:sub>
                            </m:sSub>
                          </m:den>
                        </m:f>
                      </m:oMath>
                      <w:r>
                        <w:rPr>
                          <w:szCs w:val="24"/>
                          <w:lang w:eastAsia="lt-LT"/>
                        </w:rPr>
                        <w:t>(4)</w:t>
                      </w:r>
                    </w:p>
                    <w:p>
                      <w:pPr>
                        <w:ind w:firstLine="720"/>
                        <w:jc w:val="both"/>
                        <w:rPr>
                          <w:szCs w:val="24"/>
                          <w:lang w:eastAsia="lt-LT"/>
                        </w:rPr>
                      </w:pPr>
                    </w:p>
                    <w:p>
                      <w:pPr>
                        <w:ind w:firstLine="720"/>
                        <w:jc w:val="both"/>
                        <w:rPr>
                          <w:szCs w:val="24"/>
                        </w:rPr>
                      </w:pPr>
                      <w:r>
                        <w:rPr>
                          <w:i/>
                          <w:iCs/>
                          <w:szCs w:val="24"/>
                          <w:lang w:eastAsia="lt-LT"/>
                        </w:rPr>
                        <w:t>kur:</w:t>
                      </w:r>
                    </w:p>
                    <w:p>
                      <w:pPr>
                        <w:ind w:firstLine="720"/>
                        <w:jc w:val="both"/>
                        <w:rPr>
                          <w:szCs w:val="24"/>
                          <w:lang w:eastAsia="lt-LT"/>
                        </w:rPr>
                      </w:pPr>
                      <w:r>
                        <w:rPr>
                          <w:szCs w:val="24"/>
                          <w:lang w:eastAsia="lt-LT"/>
                        </w:rPr>
                        <w:t>T</w:t>
                      </w:r>
                      <w:r>
                        <w:rPr>
                          <w:szCs w:val="24"/>
                          <w:vertAlign w:val="subscript"/>
                          <w:lang w:eastAsia="lt-LT"/>
                        </w:rPr>
                        <w:t>AAG,y</w:t>
                      </w:r>
                      <w:r>
                        <w:rPr>
                          <w:szCs w:val="24"/>
                          <w:lang w:eastAsia="lt-LT"/>
                        </w:rPr>
                        <w:t> – antrinio avarinio aktyviosios galios rezervo užtikrinimo paslaugos kaina, nustatoma ataskaitiniam laikotarpiui y, Eur/vnt.;</w:t>
                      </w:r>
                    </w:p>
                    <w:p>
                      <w:pPr>
                        <w:ind w:firstLine="720"/>
                        <w:jc w:val="both"/>
                        <w:rPr>
                          <w:szCs w:val="24"/>
                        </w:rPr>
                      </w:pPr>
                      <w:r>
                        <w:rPr>
                          <w:szCs w:val="24"/>
                          <w:lang w:eastAsia="lt-LT"/>
                        </w:rPr>
                        <w:t>S</w:t>
                      </w:r>
                      <w:r>
                        <w:rPr>
                          <w:szCs w:val="24"/>
                          <w:vertAlign w:val="subscript"/>
                          <w:lang w:eastAsia="lt-LT"/>
                        </w:rPr>
                        <w:t>AAG,y</w:t>
                      </w:r>
                      <w:r>
                        <w:rPr>
                          <w:szCs w:val="24"/>
                          <w:lang w:eastAsia="lt-LT"/>
                        </w:rPr>
                        <w:t> – antrinio avarinio aktyviosios galios rezervo užtikrinimo paslaugos sąnaudos, įskaitant investicijų grąžą, ataskaitinį laikotarpį y, Eur/vnt.;</w:t>
                      </w:r>
                    </w:p>
                    <w:p>
                      <w:pPr>
                        <w:ind w:firstLine="720"/>
                        <w:jc w:val="both"/>
                        <w:rPr>
                          <w:szCs w:val="24"/>
                          <w:lang w:eastAsia="lt-LT"/>
                        </w:rPr>
                      </w:pPr>
                      <w:r>
                        <w:rPr>
                          <w:szCs w:val="24"/>
                          <w:lang w:eastAsia="lt-LT"/>
                        </w:rPr>
                        <w:t>S</w:t>
                      </w:r>
                      <w:r>
                        <w:rPr>
                          <w:szCs w:val="24"/>
                          <w:vertAlign w:val="subscript"/>
                          <w:lang w:eastAsia="lt-LT"/>
                        </w:rPr>
                        <w:t>P,AAG,y</w:t>
                      </w:r>
                      <w:r>
                        <w:rPr>
                          <w:szCs w:val="24"/>
                          <w:lang w:eastAsia="lt-LT"/>
                        </w:rPr>
                        <w:t> – antrinio avarinio aktyviosios galios rezervo užtikrinimo paslaugos pastoviosios sąnaudos per ataskaitinį laikotarpį y, įskaitant su Taryba suderintų OPEX projektų sąnaudas, Eur;</w:t>
                      </w:r>
                    </w:p>
                    <w:p>
                      <w:pPr>
                        <w:ind w:firstLine="720"/>
                        <w:jc w:val="both"/>
                        <w:rPr>
                          <w:szCs w:val="24"/>
                          <w:lang w:eastAsia="lt-LT"/>
                        </w:rPr>
                      </w:pPr>
                      <w:r>
                        <w:rPr>
                          <w:szCs w:val="24"/>
                          <w:lang w:eastAsia="lt-LT"/>
                        </w:rPr>
                        <w:t>ROI</w:t>
                      </w:r>
                      <w:r>
                        <w:rPr>
                          <w:szCs w:val="24"/>
                          <w:vertAlign w:val="subscript"/>
                          <w:lang w:eastAsia="lt-LT"/>
                        </w:rPr>
                        <w:t>AAG,y</w:t>
                      </w:r>
                      <w:r>
                        <w:rPr>
                          <w:szCs w:val="24"/>
                          <w:lang w:eastAsia="lt-LT"/>
                        </w:rPr>
                        <w:t> – antrinio avarinio aktyviosios galios rezervo užtikrinimo paslaugos priskirta investicijų grąža per ataskaitinį laikotarpį y, Eur;</w:t>
                      </w:r>
                    </w:p>
                    <w:p>
                      <w:pPr>
                        <w:ind w:firstLine="720"/>
                        <w:jc w:val="both"/>
                        <w:rPr>
                          <w:szCs w:val="24"/>
                          <w:lang w:eastAsia="lt-LT"/>
                        </w:rPr>
                      </w:pPr>
                      <w:r>
                        <w:rPr>
                          <w:szCs w:val="24"/>
                          <w:lang w:eastAsia="lt-LT"/>
                        </w:rPr>
                        <w:t>ΔROI</w:t>
                      </w:r>
                      <w:r>
                        <w:rPr>
                          <w:szCs w:val="24"/>
                          <w:vertAlign w:val="subscript"/>
                          <w:lang w:eastAsia="lt-LT"/>
                        </w:rPr>
                        <w:t>AAG,y-2</w:t>
                      </w:r>
                      <w:r>
                        <w:rPr>
                          <w:szCs w:val="24"/>
                          <w:lang w:eastAsia="lt-LT"/>
                        </w:rPr>
                        <w:t> </w:t>
                      </w:r>
                      <w:r>
                        <w:rPr>
                          <w:b/>
                          <w:bCs/>
                          <w:szCs w:val="24"/>
                          <w:lang w:eastAsia="lt-LT"/>
                        </w:rPr>
                        <w:t>–</w:t>
                      </w:r>
                      <w:r>
                        <w:rPr>
                          <w:szCs w:val="24"/>
                          <w:lang w:eastAsia="lt-LT"/>
                        </w:rPr>
                        <w:t xml:space="preserve"> antrinio avarinio aktyviosios galios rezervo užtikrinimo paslaugai priskirtos protingumo kriterijų atitinkančios investicijų grąžos neatitikimo dydis, palyginti su nustatyta investicijų grąža, per ataskaitinį laikotarpį (y-2), Eur;</w:t>
                      </w:r>
                    </w:p>
                    <w:p>
                      <w:pPr>
                        <w:ind w:firstLine="720"/>
                        <w:jc w:val="both"/>
                        <w:rPr>
                          <w:color w:val="000000"/>
                          <w:szCs w:val="24"/>
                        </w:rPr>
                      </w:pPr>
                      <w:r>
                        <w:rPr>
                          <w:color w:val="000000"/>
                          <w:szCs w:val="24"/>
                        </w:rPr>
                        <w:t>N</w:t>
                      </w:r>
                      <w:r>
                        <w:rPr>
                          <w:color w:val="000000"/>
                          <w:szCs w:val="24"/>
                          <w:vertAlign w:val="subscript"/>
                        </w:rPr>
                        <w:t>INO,y</w:t>
                      </w:r>
                      <w:r>
                        <w:rPr>
                          <w:color w:val="000000"/>
                          <w:szCs w:val="24"/>
                        </w:rPr>
                        <w:t> – Asmens energetikos inovacijoms įgyvendinti skirta metinė sąnaudų, finansuojamų per reguliuojamų paslaugų (produktų) kainas, dalis, kuri negali sudaryti daugiau kaip 0,5 proc. Tarybos nustatyto metinio pajamų lygio (vertinamas Asmens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28</w:t>
                      </w:r>
                      <w:r>
                        <w:rPr>
                          <w:color w:val="000000"/>
                          <w:szCs w:val="24"/>
                          <w:vertAlign w:val="superscript"/>
                        </w:rPr>
                        <w:t>2</w:t>
                      </w:r>
                      <w:r>
                        <w:rPr>
                          <w:color w:val="000000"/>
                          <w:szCs w:val="24"/>
                        </w:rPr>
                        <w:t> punktą, per ataskaitinį laikotarpį y, Eur. Jeigu Asmens diegiamai energetikos inovacijai skiriama kitų institucijų ir (ar) fondų parama, paramos dydžiu lygiomis dalimis mažinama Tarybos energetikos inovacijai įgyvendinti skirta metinė sąnaudų, finansuojamų per elektros energijos kainas, dalis ir Asmens nuosavomis ir (ar) skolintomis lėšomis finansuota energetikos inovacijos sąnaudų dalis. Asmuo prie su energetikos inovacijų plėtojimu susijusių išlaidų ne mažesne dalimi, negu skyrė Taryba turi prisidėti iš nuosavų ir (ar) skolintų lėšų;</w:t>
                      </w:r>
                    </w:p>
                    <w:p>
                      <w:pPr>
                        <w:ind w:firstLine="720"/>
                        <w:jc w:val="both"/>
                        <w:rPr>
                          <w:szCs w:val="24"/>
                        </w:rPr>
                      </w:pPr>
                      <w:r>
                        <w:rPr>
                          <w:szCs w:val="24"/>
                          <w:lang w:eastAsia="lt-LT"/>
                        </w:rPr>
                        <w:t>P</w:t>
                      </w:r>
                      <w:r>
                        <w:rPr>
                          <w:szCs w:val="24"/>
                          <w:vertAlign w:val="subscript"/>
                          <w:lang w:eastAsia="lt-LT"/>
                        </w:rPr>
                        <w:t>EE,y-2</w:t>
                      </w:r>
                      <w:r>
                        <w:rPr>
                          <w:szCs w:val="24"/>
                          <w:lang w:eastAsia="lt-LT"/>
                        </w:rPr>
                        <w:t> – pelnas, gautas Asmeniui pardavus elektros energiją, pagamintą perdavimo sistemos operatoriui aktyvavus antrinį avarinį aktyviosios galios rezervą, per ataskaitinį laikotarpį (y-2) (pagal Metodikos 26.7 papunktį), Eur;</w:t>
                      </w:r>
                    </w:p>
                    <w:p>
                      <w:pPr>
                        <w:ind w:firstLine="720"/>
                        <w:jc w:val="both"/>
                        <w:rPr>
                          <w:szCs w:val="24"/>
                        </w:rPr>
                      </w:pPr>
                      <w:r>
                        <w:rPr>
                          <w:szCs w:val="24"/>
                          <w:lang w:eastAsia="lt-LT"/>
                        </w:rPr>
                        <w:t>Q</w:t>
                      </w:r>
                      <w:r>
                        <w:rPr>
                          <w:szCs w:val="24"/>
                          <w:vertAlign w:val="subscript"/>
                          <w:lang w:eastAsia="lt-LT"/>
                        </w:rPr>
                        <w:t>AAG,y</w:t>
                      </w:r>
                      <w:r>
                        <w:rPr>
                          <w:szCs w:val="24"/>
                          <w:lang w:eastAsia="lt-LT"/>
                        </w:rPr>
                        <w:t> – perdavimo sistemos operatoriaus prognozuojamas antrinio avarinio aktyviosios galios rezervo užtikrinimo paslaugos kiekis, patiektinas per ataskaitinį laikotarpį y, vnt.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65ad701e6911ebb0038a8cd8ff585f">
                        <w:r w:rsidRPr="00532B9F">
                          <w:rPr>
                            <w:rFonts w:ascii="Times New Roman" w:eastAsia="MS Mincho" w:hAnsi="Times New Roman"/>
                            <w:sz w:val="20"/>
                            <w:i/>
                            <w:iCs/>
                            <w:color w:val="0000FF" w:themeColor="hyperlink"/>
                            <w:u w:val="single"/>
                          </w:rPr>
                          <w:t>O3E-1069</w:t>
                        </w:r>
                      </w:fldSimple>
                      <w:r>
                        <w:rPr>
                          <w:rFonts w:ascii="Times New Roman" w:eastAsia="MS Mincho" w:hAnsi="Times New Roman"/>
                          <w:sz w:val="20"/>
                          <w:i/>
                          <w:iCs/>
                        </w:rPr>
                        <w:t>,
2020-11-04,
paskelbta TAR 2020-11-04, i. k. 2020-22976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65ad701e6911ebb0038a8cd8ff585f">
                        <w:r w:rsidRPr="00532B9F">
                          <w:rPr>
                            <w:rFonts w:ascii="Times New Roman" w:eastAsia="MS Mincho" w:hAnsi="Times New Roman"/>
                            <w:sz w:val="20"/>
                            <w:i/>
                            <w:iCs/>
                            <w:color w:val="0000FF" w:themeColor="hyperlink"/>
                            <w:u w:val="single"/>
                          </w:rPr>
                          <w:t>O3E-1069</w:t>
                        </w:r>
                      </w:fldSimple>
                      <w:r>
                        <w:rPr>
                          <w:rFonts w:ascii="Times New Roman" w:eastAsia="MS Mincho" w:hAnsi="Times New Roman"/>
                          <w:sz w:val="20"/>
                          <w:i/>
                          <w:iCs/>
                        </w:rPr>
                        <w:t>,
2020-11-04,
paskelbta TAR 2020-11-04, i. k. 2020-22976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074d800a6311ec9f09e7df20500045">
                        <w:r w:rsidRPr="00532B9F">
                          <w:rPr>
                            <w:rFonts w:ascii="Times New Roman" w:eastAsia="MS Mincho" w:hAnsi="Times New Roman"/>
                            <w:sz w:val="20"/>
                            <w:i/>
                            <w:iCs/>
                            <w:color w:val="0000FF" w:themeColor="hyperlink"/>
                            <w:u w:val="single"/>
                          </w:rPr>
                          <w:t>O3E-1065</w:t>
                        </w:r>
                      </w:fldSimple>
                      <w:r>
                        <w:rPr>
                          <w:rFonts w:ascii="Times New Roman" w:eastAsia="MS Mincho" w:hAnsi="Times New Roman"/>
                          <w:sz w:val="20"/>
                          <w:i/>
                          <w:iCs/>
                        </w:rPr>
                        <w:t>,
2021-08-31,
paskelbta TAR 2021-08-31, i. k. 2021-18503            </w:t>
                      </w:r>
                    </w:p>
                    <w:p/>
                  </w:sdtContent>
                </w:sdt>
                <w:sdt>
                  <w:sdtPr>
                    <w:alias w:val="26.2 pp."/>
                    <w:tag w:val="part_5f815c8c7cf34b9b99ffd4c9468c37e6"/>
                    <w:lock w:val="sdtLocked"/>
                    <w:richText/>
                  </w:sdtPr>
                  <w:sdtContent>
                    <w:p>
                      <w:pPr>
                        <w:tabs>
                          <w:tab w:val="left" w:pos="0"/>
                          <w:tab w:val="left" w:pos="426"/>
                        </w:tabs>
                        <w:spacing w:line="22" w:lineRule="atLeast"/>
                        <w:ind w:firstLine="709"/>
                        <w:jc w:val="both"/>
                        <w:rPr>
                          <w:szCs w:val="24"/>
                        </w:rPr>
                      </w:pPr>
                      <w:sdt>
                        <w:sdtPr>
                          <w:alias w:val="Numeris"/>
                          <w:tag w:val="nr_5f815c8c7cf34b9b99ffd4c9468c37e6"/>
                          <w:lock w:val="sdtLocked"/>
                          <w:richText/>
                        </w:sdtPr>
                        <w:sdtContent>
                          <w:r>
                            <w:rPr>
                              <w:szCs w:val="24"/>
                            </w:rPr>
                            <w:t>26.2</w:t>
                          </w:r>
                        </w:sdtContent>
                      </w:sdt>
                      <w:r>
                        <w:rPr>
                          <w:szCs w:val="24"/>
                        </w:rPr>
                        <w:t>. laikant, kad i-tosios reguliuojamos paslaugos (produkto) kiekis Q</w:t>
                      </w:r>
                      <w:r>
                        <w:rPr>
                          <w:szCs w:val="24"/>
                          <w:vertAlign w:val="subscript"/>
                        </w:rPr>
                        <w:t>i,y</w:t>
                      </w:r>
                      <w:r>
                        <w:rPr>
                          <w:szCs w:val="24"/>
                        </w:rPr>
                        <w:t>, patiektinas per ataskaitinį laikotarpį y, yra nustatomas, vadovaujantis šiais nurodymais:</w:t>
                      </w:r>
                    </w:p>
                    <w:sdt>
                      <w:sdtPr>
                        <w:alias w:val="26.2.1 pp."/>
                        <w:tag w:val="part_c5d6e6bf4b734e52a547077e30c83a51"/>
                        <w:lock w:val="sdtLocked"/>
                        <w:richText/>
                      </w:sdtPr>
                      <w:sdtContent>
                        <w:p>
                          <w:pPr>
                            <w:tabs>
                              <w:tab w:val="left" w:pos="0"/>
                              <w:tab w:val="left" w:pos="426"/>
                            </w:tabs>
                            <w:spacing w:line="22" w:lineRule="atLeast"/>
                            <w:ind w:firstLine="709"/>
                            <w:jc w:val="both"/>
                            <w:rPr>
                              <w:szCs w:val="24"/>
                            </w:rPr>
                          </w:pPr>
                          <w:sdt>
                            <w:sdtPr>
                              <w:alias w:val="Numeris"/>
                              <w:tag w:val="nr_c5d6e6bf4b734e52a547077e30c83a51"/>
                              <w:lock w:val="sdtLocked"/>
                              <w:richText/>
                            </w:sdtPr>
                            <w:sdtContent>
                              <w:r>
                                <w:rPr>
                                  <w:szCs w:val="24"/>
                                </w:rPr>
                                <w:t>26.2.1</w:t>
                              </w:r>
                            </w:sdtContent>
                          </w:sdt>
                          <w:r>
                            <w:rPr>
                              <w:szCs w:val="24"/>
                            </w:rPr>
                            <w:t>. elektros energijos (reguliuojamo produkto) atveju kiekis Q nustatomas kaip pagamintinos (kai Asmuo yra gamintojas, Q</w:t>
                          </w:r>
                          <w:r>
                            <w:rPr>
                              <w:szCs w:val="24"/>
                              <w:vertAlign w:val="subscript"/>
                            </w:rPr>
                            <w:t>EG,y</w:t>
                          </w:r>
                          <w:r>
                            <w:rPr>
                              <w:szCs w:val="24"/>
                            </w:rPr>
                            <w:t>) arba patiektinos (kai Asmuo yra nepriklausomas tiekėjas, Q</w:t>
                          </w:r>
                          <w:r>
                            <w:rPr>
                              <w:szCs w:val="24"/>
                              <w:vertAlign w:val="subscript"/>
                            </w:rPr>
                            <w:t>ET,y</w:t>
                          </w:r>
                          <w:r>
                            <w:rPr>
                              <w:szCs w:val="24"/>
                            </w:rPr>
                            <w:t>) elektros energijos kiekis per ataskaitinį laikotarpį (kalendorinius metus), matuojamas kWh;</w:t>
                          </w:r>
                        </w:p>
                      </w:sdtContent>
                    </w:sdt>
                    <w:sdt>
                      <w:sdtPr>
                        <w:alias w:val="26.2.2 pp."/>
                        <w:tag w:val="part_7c611265100f454e8175984ed374c676"/>
                        <w:lock w:val="sdtLocked"/>
                        <w:richText/>
                      </w:sdtPr>
                      <w:sdtContent>
                        <w:p>
                          <w:pPr>
                            <w:tabs>
                              <w:tab w:val="left" w:pos="0"/>
                              <w:tab w:val="left" w:pos="1204"/>
                              <w:tab w:val="left" w:pos="1276"/>
                            </w:tabs>
                            <w:spacing w:line="22" w:lineRule="atLeast"/>
                            <w:ind w:firstLine="709"/>
                            <w:jc w:val="both"/>
                            <w:rPr>
                              <w:szCs w:val="24"/>
                            </w:rPr>
                          </w:pPr>
                          <w:sdt>
                            <w:sdtPr>
                              <w:alias w:val="Numeris"/>
                              <w:tag w:val="nr_7c611265100f454e8175984ed374c676"/>
                              <w:lock w:val="sdtLocked"/>
                              <w:richText/>
                            </w:sdtPr>
                            <w:sdtContent>
                              <w:r>
                                <w:rPr>
                                  <w:color w:val="000000"/>
                                  <w:szCs w:val="24"/>
                                  <w:lang w:eastAsia="lt-LT"/>
                                </w:rPr>
                                <w:t>26.2.2</w:t>
                              </w:r>
                            </w:sdtContent>
                          </w:sdt>
                          <w:r>
                            <w:rPr>
                              <w:color w:val="000000"/>
                              <w:szCs w:val="24"/>
                              <w:lang w:eastAsia="lt-LT"/>
                            </w:rPr>
                            <w:t>. Pirminio aktyviosios galios rezervo užtikrinimo (QPAG,y), Antrinio avarinio aktyviosios galios rezervo užtikrinimo (QAAG,y), Antrinio aktyviosios galios rezervo nuokrypiams reguliuoti užtikrinimo (QANG,y), Tretinio aktyviosios galios rezervo užtikrinimo paslaugų (QTAG,y) (reguliuojamų paslaugų) atvejais kiekis Q nustatomas kaip užtikrinamos valandinės galios apimtis per ataskaitinį laikotarpį (kalendorinius metus), matuojamas MW/h. Jeigu reguliuojama paslauga užsakoma ištisus metus ir nustatoma kainos viršutinė riba, naudojama Qi,y (MW/h)=qi,y (MW) *8760 (h) arba kaip</w:t>
                          </w:r>
                          <w:r>
                            <w:rPr>
                              <w:szCs w:val="24"/>
                            </w:rPr>
                            <w:t xml:space="preserve"> Q</w:t>
                          </w:r>
                          <w:r>
                            <w:rPr>
                              <w:szCs w:val="24"/>
                              <w:vertAlign w:val="subscript"/>
                            </w:rPr>
                            <w:t>i„y</w:t>
                          </w:r>
                          <w:r>
                            <w:rPr>
                              <w:szCs w:val="24"/>
                            </w:rPr>
                            <w:t xml:space="preserve"> = 1 (vnt.), kai nustatoma viršutinė reguliuojamų paslaugų pajamų riba</w:t>
                          </w:r>
                          <w:r>
                            <w:rPr>
                              <w:color w:val="000000"/>
                              <w:szCs w:val="24"/>
                              <w:lang w:eastAsia="lt-LT"/>
                            </w:rPr>
                            <w:t>;</w:t>
                          </w:r>
                        </w:p>
                      </w:sdtContent>
                    </w:sdt>
                    <w:sdt>
                      <w:sdtPr>
                        <w:alias w:val="26.2.3 pp."/>
                        <w:tag w:val="part_076c13e023634a1e958fc45a0276841f"/>
                        <w:lock w:val="sdtLocked"/>
                        <w:richText/>
                      </w:sdtPr>
                      <w:sdtContent>
                        <w:p>
                          <w:pPr>
                            <w:tabs>
                              <w:tab w:val="left" w:pos="0"/>
                              <w:tab w:val="left" w:pos="426"/>
                            </w:tabs>
                            <w:spacing w:line="22" w:lineRule="atLeast"/>
                            <w:ind w:firstLine="709"/>
                            <w:jc w:val="both"/>
                            <w:rPr>
                              <w:szCs w:val="24"/>
                            </w:rPr>
                          </w:pPr>
                          <w:sdt>
                            <w:sdtPr>
                              <w:alias w:val="Numeris"/>
                              <w:tag w:val="nr_076c13e023634a1e958fc45a0276841f"/>
                              <w:lock w:val="sdtLocked"/>
                              <w:richText/>
                            </w:sdtPr>
                            <w:sdtContent>
                              <w:r>
                                <w:rPr>
                                  <w:szCs w:val="24"/>
                                </w:rPr>
                                <w:t>26.2.3</w:t>
                              </w:r>
                            </w:sdtContent>
                          </w:sdt>
                          <w:r>
                            <w:rPr>
                              <w:szCs w:val="24"/>
                            </w:rPr>
                            <w:t>. reaktyviosios galios ir įtampos valdymo paslaugos (reguliuojamos paslaugos) atveju kiekis Q nustatomas kaip valandų skaičius per ataskaitinį laikotarpį (metus), kuriam yra teikiama ši reguliuojama paslauga, ir matuojama valandomis h. Jei šią reguliuojamą paslaugą Asmuo teikia ištisus metus, naudojama Q</w:t>
                          </w:r>
                          <w:r>
                            <w:rPr>
                              <w:szCs w:val="24"/>
                              <w:vertAlign w:val="subscript"/>
                            </w:rPr>
                            <w:t>RGIV,y</w:t>
                          </w:r>
                          <w:r>
                            <w:rPr>
                              <w:szCs w:val="24"/>
                            </w:rPr>
                            <w:t xml:space="preserve"> = 8760 (h);</w:t>
                          </w:r>
                        </w:p>
                      </w:sdtContent>
                    </w:sdt>
                    <w:sdt>
                      <w:sdtPr>
                        <w:alias w:val="26.2.4 pp."/>
                        <w:tag w:val="part_61e6baddc2d049cd9f42cdba39778fa1"/>
                        <w:lock w:val="sdtLocked"/>
                        <w:richText/>
                      </w:sdtPr>
                      <w:sdtContent>
                        <w:p>
                          <w:pPr>
                            <w:tabs>
                              <w:tab w:val="left" w:pos="0"/>
                              <w:tab w:val="left" w:pos="426"/>
                            </w:tabs>
                            <w:spacing w:line="22" w:lineRule="atLeast"/>
                            <w:ind w:firstLine="709"/>
                            <w:jc w:val="both"/>
                            <w:rPr>
                              <w:szCs w:val="24"/>
                            </w:rPr>
                          </w:pPr>
                          <w:sdt>
                            <w:sdtPr>
                              <w:alias w:val="Numeris"/>
                              <w:tag w:val="nr_61e6baddc2d049cd9f42cdba39778fa1"/>
                              <w:lock w:val="sdtLocked"/>
                              <w:richText/>
                            </w:sdtPr>
                            <w:sdtContent>
                              <w:r>
                                <w:rPr>
                                  <w:szCs w:val="24"/>
                                </w:rPr>
                                <w:t>26.2.4</w:t>
                              </w:r>
                            </w:sdtContent>
                          </w:sdt>
                          <w:r>
                            <w:rPr>
                              <w:szCs w:val="24"/>
                            </w:rPr>
                            <w:t>. totalios elektros energetikos sistemos avarijos prevencijos ar likvidavimo atveju kiekis Q nustatomas kaip Q</w:t>
                          </w:r>
                          <w:r>
                            <w:rPr>
                              <w:szCs w:val="24"/>
                              <w:vertAlign w:val="subscript"/>
                            </w:rPr>
                            <w:t>SA,y</w:t>
                          </w:r>
                          <w:r>
                            <w:rPr>
                              <w:szCs w:val="24"/>
                            </w:rPr>
                            <w:t xml:space="preserve"> = 1 (vnt.);</w:t>
                          </w:r>
                        </w:p>
                      </w:sdtContent>
                    </w:sdt>
                  </w:sdtContent>
                </w:sdt>
                <w:sdt>
                  <w:sdtPr>
                    <w:alias w:val="26.3 pp."/>
                    <w:tag w:val="part_277aeb1fa75d44d28622c9c5ec404877"/>
                    <w:lock w:val="sdtLocked"/>
                    <w:richText/>
                  </w:sdtPr>
                  <w:sdtContent>
                    <w:p>
                      <w:pPr>
                        <w:tabs>
                          <w:tab w:val="left" w:pos="0"/>
                          <w:tab w:val="left" w:pos="426"/>
                        </w:tabs>
                        <w:spacing w:line="22" w:lineRule="atLeast"/>
                        <w:ind w:firstLine="709"/>
                        <w:jc w:val="both"/>
                        <w:rPr>
                          <w:szCs w:val="24"/>
                        </w:rPr>
                      </w:pPr>
                      <w:sdt>
                        <w:sdtPr>
                          <w:alias w:val="Numeris"/>
                          <w:tag w:val="nr_277aeb1fa75d44d28622c9c5ec404877"/>
                          <w:lock w:val="sdtLocked"/>
                          <w:richText/>
                        </w:sdtPr>
                        <w:sdtContent>
                          <w:r>
                            <w:rPr>
                              <w:szCs w:val="24"/>
                            </w:rPr>
                            <w:t>26.3</w:t>
                          </w:r>
                        </w:sdtContent>
                      </w:sdt>
                      <w:r>
                        <w:rPr>
                          <w:szCs w:val="24"/>
                        </w:rPr>
                        <w:t>. įvertinus protingumo kriterijų atitinkančios investicijų grąžos neatitikimo dydį, palyginti su nustatyta investicijų grąža per praėjusį ataskaitinį laikotarpį, kuriuo koreguojamas reguliuojamos veiklos leistinas pajamų lygis ateinantiems metams ir kurį apskaičiuojant įvertinama:</w:t>
                      </w:r>
                    </w:p>
                    <w:sdt>
                      <w:sdtPr>
                        <w:alias w:val="26.3.1 pp."/>
                        <w:tag w:val="part_dfdc1da487104a37b9c47b3f3388ed91"/>
                        <w:lock w:val="sdtLocked"/>
                        <w:richText/>
                      </w:sdtPr>
                      <w:sdtContent>
                        <w:p>
                          <w:pPr>
                            <w:widowControl w:val="0"/>
                            <w:tabs>
                              <w:tab w:val="left" w:pos="0"/>
                              <w:tab w:val="left" w:pos="1204"/>
                              <w:tab w:val="left" w:pos="1276"/>
                            </w:tabs>
                            <w:spacing w:line="22" w:lineRule="atLeast"/>
                            <w:ind w:firstLine="709"/>
                            <w:jc w:val="both"/>
                            <w:rPr>
                              <w:szCs w:val="24"/>
                              <w:lang w:eastAsia="lt-LT"/>
                            </w:rPr>
                          </w:pPr>
                          <w:sdt>
                            <w:sdtPr>
                              <w:alias w:val="Numeris"/>
                              <w:tag w:val="nr_dfdc1da487104a37b9c47b3f3388ed91"/>
                              <w:lock w:val="sdtLocked"/>
                              <w:richText/>
                            </w:sdtPr>
                            <w:sdtContent>
                              <w:r>
                                <w:rPr>
                                  <w:szCs w:val="24"/>
                                  <w:lang w:eastAsia="lt-LT"/>
                                </w:rPr>
                                <w:t>26.3.1</w:t>
                              </w:r>
                            </w:sdtContent>
                          </w:sdt>
                          <w:r>
                            <w:rPr>
                              <w:szCs w:val="24"/>
                              <w:lang w:eastAsia="lt-LT"/>
                            </w:rPr>
                            <w:t>. Asmens uždirbta faktinė investicijų grąža iš reguliuojamos paslaugos (produkto) per praėjusį ataskaitinį laikotarpį, priskirta faktiškai užsakytam reguliuojamos paslaugos (produkto) kiekiui;</w:t>
                          </w:r>
                        </w:p>
                      </w:sdtContent>
                    </w:sdt>
                    <w:sdt>
                      <w:sdtPr>
                        <w:alias w:val="26.3.2 pp."/>
                        <w:tag w:val="part_7a59af8e23b84055992552f3fb490a3b"/>
                        <w:lock w:val="sdtLocked"/>
                        <w:richText/>
                      </w:sdtPr>
                      <w:sdtContent>
                        <w:p>
                          <w:pPr>
                            <w:widowControl w:val="0"/>
                            <w:tabs>
                              <w:tab w:val="left" w:pos="0"/>
                              <w:tab w:val="left" w:pos="1204"/>
                              <w:tab w:val="left" w:pos="1276"/>
                            </w:tabs>
                            <w:spacing w:line="22" w:lineRule="atLeast"/>
                            <w:ind w:firstLine="709"/>
                            <w:jc w:val="both"/>
                            <w:rPr>
                              <w:szCs w:val="24"/>
                              <w:lang w:eastAsia="lt-LT"/>
                            </w:rPr>
                          </w:pPr>
                          <w:sdt>
                            <w:sdtPr>
                              <w:alias w:val="Numeris"/>
                              <w:tag w:val="nr_7a59af8e23b84055992552f3fb490a3b"/>
                              <w:lock w:val="sdtLocked"/>
                              <w:richText/>
                            </w:sdtPr>
                            <w:sdtContent>
                              <w:r>
                                <w:rPr>
                                  <w:szCs w:val="24"/>
                                  <w:lang w:eastAsia="lt-LT"/>
                                </w:rPr>
                                <w:t>26.3.2</w:t>
                              </w:r>
                            </w:sdtContent>
                          </w:sdt>
                          <w:r>
                            <w:rPr>
                              <w:szCs w:val="24"/>
                              <w:lang w:eastAsia="lt-LT"/>
                            </w:rPr>
                            <w:t>. Asmens gautos papildomos pajamos, susijusios su reguliuojamų paslaugų ir (ar) produktų teikimu, kuriems teikti naudojami ar nenaudojami reguliuojamos veiklos ištekliai;</w:t>
                          </w:r>
                        </w:p>
                      </w:sdtContent>
                    </w:sdt>
                    <w:sdt>
                      <w:sdtPr>
                        <w:alias w:val="26.3.3 pp."/>
                        <w:tag w:val="part_a6bc4e89984e401aa846f1aca71df0aa"/>
                        <w:lock w:val="sdtLocked"/>
                        <w:richText/>
                      </w:sdtPr>
                      <w:sdtContent>
                        <w:p>
                          <w:pPr>
                            <w:widowControl w:val="0"/>
                            <w:tabs>
                              <w:tab w:val="left" w:pos="0"/>
                              <w:tab w:val="left" w:pos="1204"/>
                              <w:tab w:val="left" w:pos="1276"/>
                            </w:tabs>
                            <w:spacing w:line="22" w:lineRule="atLeast"/>
                            <w:ind w:firstLine="709"/>
                            <w:jc w:val="both"/>
                            <w:rPr>
                              <w:szCs w:val="24"/>
                              <w:lang w:eastAsia="lt-LT"/>
                            </w:rPr>
                          </w:pPr>
                          <w:sdt>
                            <w:sdtPr>
                              <w:alias w:val="Numeris"/>
                              <w:tag w:val="nr_a6bc4e89984e401aa846f1aca71df0aa"/>
                              <w:lock w:val="sdtLocked"/>
                              <w:richText/>
                            </w:sdtPr>
                            <w:sdtContent>
                              <w:r>
                                <w:rPr>
                                  <w:szCs w:val="24"/>
                                  <w:lang w:eastAsia="lt-LT"/>
                                </w:rPr>
                                <w:t>26.3.3</w:t>
                              </w:r>
                            </w:sdtContent>
                          </w:sdt>
                          <w:r>
                            <w:rPr>
                              <w:szCs w:val="24"/>
                              <w:lang w:eastAsia="lt-LT"/>
                            </w:rPr>
                            <w:t>. investicijų grąžos neatitikimas dėl faktinės reguliuojamos paslaugos teikimui naudojamo turto vertės pokyčio, įvertinus naujai pradėtus eksploatuoti turto vienetus;</w:t>
                          </w:r>
                        </w:p>
                      </w:sdtContent>
                    </w:sdt>
                    <w:sdt>
                      <w:sdtPr>
                        <w:alias w:val="26.3.4 pp."/>
                        <w:tag w:val="part_4415a7172aff4f5d81fc5f85400cdade"/>
                        <w:lock w:val="sdtLocked"/>
                        <w:richText/>
                      </w:sdtPr>
                      <w:sdtContent>
                        <w:p>
                          <w:pPr>
                            <w:widowControl w:val="0"/>
                            <w:tabs>
                              <w:tab w:val="left" w:pos="0"/>
                              <w:tab w:val="left" w:pos="1204"/>
                              <w:tab w:val="left" w:pos="1276"/>
                            </w:tabs>
                            <w:spacing w:line="22" w:lineRule="atLeast"/>
                            <w:ind w:left="709"/>
                            <w:jc w:val="both"/>
                          </w:pPr>
                          <w:sdt>
                            <w:sdtPr>
                              <w:alias w:val="Numeris"/>
                              <w:tag w:val="nr_4415a7172aff4f5d81fc5f85400cdade"/>
                              <w:lock w:val="sdtLocked"/>
                              <w:richText/>
                            </w:sdtPr>
                            <w:sdtContent>
                              <w:r>
                                <w:rPr>
                                  <w:szCs w:val="24"/>
                                  <w:lang w:eastAsia="lt-LT"/>
                                </w:rPr>
                                <w:t>26.3.4</w:t>
                              </w:r>
                            </w:sdtContent>
                          </w:sdt>
                          <w:r>
                            <w:rPr>
                              <w:szCs w:val="24"/>
                              <w:lang w:eastAsia="lt-LT"/>
                            </w:rPr>
                            <w:t>. praėjusių laikotarpių investicijų grąžos korekcijos, nustatytos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26.3.5 pp."/>
                        <w:tag w:val="part_bba98301840746419e9767d5fb6b5e79"/>
                        <w:lock w:val="sdtLocked"/>
                        <w:richText/>
                      </w:sdtPr>
                      <w:sdtContent>
                        <w:p>
                          <w:pPr>
                            <w:widowControl w:val="0"/>
                            <w:tabs>
                              <w:tab w:val="left" w:pos="0"/>
                              <w:tab w:val="left" w:pos="1204"/>
                              <w:tab w:val="left" w:pos="1276"/>
                            </w:tabs>
                            <w:spacing w:line="22" w:lineRule="atLeast"/>
                            <w:ind w:firstLine="709"/>
                            <w:jc w:val="both"/>
                          </w:pPr>
                          <w:sdt>
                            <w:sdtPr>
                              <w:alias w:val="Numeris"/>
                              <w:tag w:val="nr_bba98301840746419e9767d5fb6b5e79"/>
                              <w:lock w:val="sdtLocked"/>
                              <w:richText/>
                            </w:sdtPr>
                            <w:sdtContent>
                              <w:r>
                                <w:rPr>
                                  <w:szCs w:val="24"/>
                                </w:rPr>
                                <w:t>26.3.5</w:t>
                              </w:r>
                            </w:sdtContent>
                          </w:sdt>
                          <w:r>
                            <w:rPr>
                              <w:szCs w:val="24"/>
                            </w:rPr>
                            <w:t xml:space="preserve">. nuokrypis nuo </w:t>
                          </w:r>
                          <w:r>
                            <w:rPr>
                              <w:szCs w:val="24"/>
                              <w:lang w:eastAsia="lt-LT" w:bidi="bn-IN"/>
                            </w:rPr>
                            <w:t>su Taryba suderintų OPEX projektų sąnaudų apimties, numatytos derinant atitinkamą OPEX projektą;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26.3.6 pp."/>
                        <w:tag w:val="part_c35a64d595c64e23aaf66f0916546dc3"/>
                        <w:lock w:val="sdtLocked"/>
                        <w:richText/>
                      </w:sdtPr>
                      <w:sdtContent>
                        <w:p>
                          <w:pPr>
                            <w:ind w:firstLine="709"/>
                            <w:jc w:val="both"/>
                            <w:rPr>
                              <w:szCs w:val="24"/>
                            </w:rPr>
                          </w:pPr>
                          <w:sdt>
                            <w:sdtPr>
                              <w:alias w:val="Numeris"/>
                              <w:tag w:val="nr_c35a64d595c64e23aaf66f0916546dc3"/>
                              <w:lock w:val="sdtLocked"/>
                              <w:richText/>
                            </w:sdtPr>
                            <w:sdtContent>
                              <w:r>
                                <w:rPr>
                                  <w:color w:val="000000"/>
                                  <w:szCs w:val="24"/>
                                  <w:lang w:eastAsia="lt-LT"/>
                                </w:rPr>
                                <w:t>26.3.6</w:t>
                              </w:r>
                            </w:sdtContent>
                          </w:sdt>
                          <w:r>
                            <w:rPr>
                              <w:color w:val="000000"/>
                              <w:szCs w:val="24"/>
                              <w:lang w:eastAsia="lt-LT"/>
                            </w:rPr>
                            <w:t xml:space="preserve">. antrinio avarinio aktyviosios galios rezervo užtikrinimo paslaugos atveju didesniam nei faktiškai užsakytam reguliuojamos paslaugos (produkto) kiekiui patirtų pagrįstų sąnaudų apimtį, Asmeniui pateikus techninį-ekonominį pagrindimą ir įrodymus, leidžiančius Tarybai įsitikinti, kad minėtą reguliuojamą paslaugą (produktą) teikusio įrenginio (agregato) likusios galios nebuvo galima panaudoti kitoms paslaugoms (produktams) teikti. Pagrindžiančią informaciją Asmuo privalo pateikti Metodikos 36 punkte nustatytu terminu.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77f40300611edb4cae1b158f98ea5">
                            <w:r w:rsidRPr="00532B9F">
                              <w:rPr>
                                <w:rFonts w:ascii="Times New Roman" w:eastAsia="MS Mincho" w:hAnsi="Times New Roman"/>
                                <w:sz w:val="20"/>
                                <w:i/>
                                <w:iCs/>
                                <w:color w:val="0000FF" w:themeColor="hyperlink"/>
                                <w:u w:val="single"/>
                              </w:rPr>
                              <w:t>O3E-1207</w:t>
                            </w:r>
                          </w:fldSimple>
                          <w:r>
                            <w:rPr>
                              <w:rFonts w:ascii="Times New Roman" w:eastAsia="MS Mincho" w:hAnsi="Times New Roman"/>
                              <w:sz w:val="20"/>
                              <w:i/>
                              <w:iCs/>
                            </w:rPr>
                            <w:t>,
2022-09-09,
paskelbta TAR 2022-09-09, i. k. 2022-18577        </w:t>
                          </w:r>
                        </w:p>
                        <w:p/>
                      </w:sdtContent>
                    </w:sdt>
                  </w:sdtContent>
                </w:sdt>
                <w:sdt>
                  <w:sdtPr>
                    <w:alias w:val="26.4 pp."/>
                    <w:tag w:val="part_adf6e5e2b5824f66812f339035386baf"/>
                    <w:lock w:val="sdtLocked"/>
                    <w:richText/>
                  </w:sdtPr>
                  <w:sdtContent>
                    <w:p>
                      <w:pPr>
                        <w:tabs>
                          <w:tab w:val="left" w:pos="0"/>
                          <w:tab w:val="left" w:pos="426"/>
                        </w:tabs>
                        <w:spacing w:line="22" w:lineRule="atLeast"/>
                        <w:ind w:firstLine="709"/>
                        <w:jc w:val="both"/>
                        <w:rPr>
                          <w:szCs w:val="24"/>
                        </w:rPr>
                      </w:pPr>
                      <w:sdt>
                        <w:sdtPr>
                          <w:alias w:val="Numeris"/>
                          <w:tag w:val="nr_adf6e5e2b5824f66812f339035386baf"/>
                          <w:lock w:val="sdtLocked"/>
                          <w:richText/>
                        </w:sdtPr>
                        <w:sdtContent>
                          <w:r>
                            <w:rPr>
                              <w:szCs w:val="24"/>
                            </w:rPr>
                            <w:t>26.4</w:t>
                          </w:r>
                        </w:sdtContent>
                      </w:sdt>
                      <w:r>
                        <w:rPr>
                          <w:szCs w:val="24"/>
                        </w:rPr>
                        <w:t>. atsižvelgiant (pakoreguojant leistiną pajamų lygį) į Tarybos atliktų reguliuojamų paslaugų sąnaudų pagrįstumo (būtinumo) patikrinimo rezultatus bei sąnaudų audito, atlikto pagal reguliacinius sąnaudų apskaitos reikalavimus, išvadas.</w:t>
                      </w:r>
                    </w:p>
                  </w:sdtContent>
                </w:sdt>
                <w:sdt>
                  <w:sdtPr>
                    <w:alias w:val="26.5 pp."/>
                    <w:tag w:val="part_e126414d501341e7813207a9003363d3"/>
                    <w:lock w:val="sdtLocked"/>
                    <w:richText/>
                  </w:sdtPr>
                  <w:sdtContent>
                    <w:p>
                      <w:pPr>
                        <w:tabs>
                          <w:tab w:val="left" w:pos="993"/>
                        </w:tabs>
                        <w:ind w:firstLine="709"/>
                        <w:jc w:val="both"/>
                        <w:rPr>
                          <w:szCs w:val="24"/>
                        </w:rPr>
                      </w:pPr>
                      <w:sdt>
                        <w:sdtPr>
                          <w:alias w:val="Numeris"/>
                          <w:tag w:val="nr_e126414d501341e7813207a9003363d3"/>
                          <w:lock w:val="sdtLocked"/>
                          <w:richText/>
                        </w:sdtPr>
                        <w:sdtContent>
                          <w:r>
                            <w:t>26.5</w:t>
                          </w:r>
                        </w:sdtContent>
                      </w:sdt>
                      <w:r>
                        <w:t xml:space="preserve">. atsižvelgiant (pakoreguojant leistiną pajamų lygį) į </w:t>
                      </w:r>
                      <w:r>
                        <w:rPr>
                          <w:szCs w:val="24"/>
                        </w:rPr>
                        <w:t>energetikos inovacijoms įgyvendinti skirtą metinę sąnaudų dalį, neviršijančią daugiau kaip 0,5 proc. Tarybos nustatyto metinio pajamų lygio (vertinamas Asmens kreipimosi dėl energetikos inovacijos metu galiojantis Tarybos nustatytas pajamų lygis, iš jo eliminuojant praeitame laikotarpyje skirtą finansavimą energetikos inovacijoms);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sdtContent>
                </w:sdt>
                <w:sdt>
                  <w:sdtPr>
                    <w:alias w:val="26.6 pp."/>
                    <w:tag w:val="part_67b0e8516ed04ae586e0ae20062adfef"/>
                    <w:lock w:val="sdtLocked"/>
                    <w:richText/>
                  </w:sdtPr>
                  <w:sdtContent>
                    <w:p>
                      <w:pPr>
                        <w:ind w:firstLine="709"/>
                        <w:jc w:val="both"/>
                      </w:pPr>
                      <w:sdt>
                        <w:sdtPr>
                          <w:alias w:val="Numeris"/>
                          <w:tag w:val="nr_67b0e8516ed04ae586e0ae20062adfef"/>
                          <w:lock w:val="sdtLocked"/>
                          <w:richText/>
                        </w:sdtPr>
                        <w:sdtContent>
                          <w:r>
                            <w:rPr>
                              <w:szCs w:val="24"/>
                              <w:lang w:eastAsia="lt-LT"/>
                            </w:rPr>
                            <w:t>26.6</w:t>
                          </w:r>
                        </w:sdtContent>
                      </w:sdt>
                      <w:r>
                        <w:rPr>
                          <w:szCs w:val="24"/>
                          <w:lang w:eastAsia="lt-LT"/>
                        </w:rPr>
                        <w:t>. įvertinus skirtumą tarp ataskaitinio laikotarpio (y-2) reguliuojamos paslaugos (produkto) kainų viršutinėje riboje įskaičiuoto investicijų grąžos neatitikimo dydžio ir faktiškai per ataskaitinio laikotarpio (y-2) reguliuojamos paslaugos (produkto) kainą perdavimo sistemos operatoriui grąžinto ar perdavimo sistemos operatoriaus Asmeniui išmokėto investicijų grąžos neatitikimo dydžio dalies, susidariusį dėl prognozuoto ir faktinio reguliuojamos paslaugos (produkto) kiekio neatitikimo.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65ad701e6911ebb0038a8cd8ff585f">
                        <w:r w:rsidRPr="00532B9F">
                          <w:rPr>
                            <w:rFonts w:ascii="Times New Roman" w:eastAsia="MS Mincho" w:hAnsi="Times New Roman"/>
                            <w:sz w:val="20"/>
                            <w:i/>
                            <w:iCs/>
                            <w:color w:val="0000FF" w:themeColor="hyperlink"/>
                            <w:u w:val="single"/>
                          </w:rPr>
                          <w:t>O3E-1069</w:t>
                        </w:r>
                      </w:fldSimple>
                      <w:r>
                        <w:rPr>
                          <w:rFonts w:ascii="Times New Roman" w:eastAsia="MS Mincho" w:hAnsi="Times New Roman"/>
                          <w:sz w:val="20"/>
                          <w:i/>
                          <w:iCs/>
                        </w:rPr>
                        <w:t>,
2020-11-04,
paskelbta TAR 2020-11-04, i. k. 2020-22976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sdtContent>
                </w:sdt>
                <w:sdt>
                  <w:sdtPr>
                    <w:alias w:val="26.7 pp."/>
                    <w:tag w:val="part_390485c6798749dba5e391948045df15"/>
                    <w:lock w:val="sdtLocked"/>
                    <w:richText/>
                  </w:sdtPr>
                  <w:sdtContent>
                    <w:p>
                      <w:pPr>
                        <w:ind w:firstLine="709"/>
                        <w:jc w:val="both"/>
                      </w:pPr>
                      <w:sdt>
                        <w:sdtPr>
                          <w:alias w:val="Numeris"/>
                          <w:tag w:val="nr_390485c6798749dba5e391948045df15"/>
                          <w:lock w:val="sdtLocked"/>
                          <w:richText/>
                        </w:sdtPr>
                        <w:sdtContent>
                          <w:r>
                            <w:rPr>
                              <w:szCs w:val="24"/>
                              <w:lang w:eastAsia="lt-LT"/>
                            </w:rPr>
                            <w:t>26.7</w:t>
                          </w:r>
                        </w:sdtContent>
                      </w:sdt>
                      <w:r>
                        <w:rPr>
                          <w:szCs w:val="24"/>
                          <w:lang w:eastAsia="lt-LT"/>
                        </w:rPr>
                        <w:t xml:space="preserve">. reguliuojamų paslaugų (produktų), dėl kurių vyksta aukcionai, atveju, nevertinant ataskaitinio laikotarpio (y-2) reguliuojamos paslaugai (produktui) priskirtos protingumo kriterijų atitinkančios investicijų grąžos neatitikimo dydžio, palyginti su nustatyta investicijų grąža, jei Asmuo, teikiantis reguliuojamą paslaugą (produktą), ataskaitiniu laikotarpiu (y-2) pateikė kainos pasiūlymą aukcione mažesne kaina nei Tarybos nustatyta reguliuojamos paslaugos (produkto) kainos viršutinė riba, išskyrus atvejus, kai ataskaitinio laikotarpio (y-2) reguliuojamai paslaugai (produktui) priskirta faktinė protingumo kriterijų atitinkanti investicijų grąža viršijo Tarybos ataskaitiniu laikotarpiu (y-2) nustatytą leistiną protingumo kriterijų atitinkančią investicijų grąžą, įvertinus Metodikos 26.3 papunktyje </w:t>
                      </w:r>
                      <w:r>
                        <w:rPr>
                          <w:color w:val="000000"/>
                        </w:rPr>
                        <w:t>nurodytus investicijų grąžos neatitikimo dydžiui įtakos turinčius veiksnius</w:t>
                      </w:r>
                      <w:r>
                        <w:rPr>
                          <w:szCs w:val="24"/>
                          <w:lang w:eastAsia="lt-LT"/>
                        </w:rPr>
                        <w:t>. Jeigu reguliuojama paslauga (produktas) užsakoma trumpesniam laikotarpiui nei ataskaitinis laikotarpis (y-2), atsižvelgiama į kiekvieną reguliuojamos paslaugos (produkto) užsakymo laikotarpį.</w:t>
                      </w:r>
                      <w:r>
                        <w:t xml:space="preserve"> </w:t>
                      </w:r>
                    </w:p>
                    <w:p>
                      <w:pPr>
                        <w:jc w:val="both"/>
                        <w:rPr>
                          <w:i/>
                          <w:sz w:val="20"/>
                        </w:rPr>
                      </w:pPr>
                      <w:r>
                        <w:rPr>
                          <w:b/>
                          <w:i/>
                          <w:sz w:val="20"/>
                        </w:rPr>
                        <w:t>TAR pastaba.</w:t>
                      </w:r>
                      <w:r>
                        <w:rPr>
                          <w:i/>
                          <w:sz w:val="20"/>
                        </w:rPr>
                        <w:t xml:space="preserve"> 26.7 papunktis taikomas </w:t>
                      </w:r>
                      <w:r>
                        <w:rPr>
                          <w:bCs/>
                          <w:i/>
                          <w:sz w:val="20"/>
                          <w:lang w:eastAsia="lt-LT"/>
                        </w:rPr>
                        <w:t xml:space="preserve">nustatant 2022 metų ir vėlesnių laikotarpių antrinio avarinio aktyviosios galios rezervo užtikrinimo ir tretinio aktyviosios galios rezervo užtikrinimo </w:t>
                      </w:r>
                      <w:r>
                        <w:rPr>
                          <w:i/>
                          <w:sz w:val="20"/>
                          <w:lang w:eastAsia="lt-LT"/>
                        </w:rPr>
                        <w:t>paslaugų</w:t>
                      </w:r>
                      <w:r>
                        <w:rPr>
                          <w:bCs/>
                          <w:i/>
                          <w:sz w:val="20"/>
                          <w:lang w:eastAsia="lt-LT"/>
                        </w:rPr>
                        <w:t xml:space="preserve"> kainos viršutines ribas.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65ad701e6911ebb0038a8cd8ff585f">
                        <w:r w:rsidRPr="00532B9F">
                          <w:rPr>
                            <w:rFonts w:ascii="Times New Roman" w:eastAsia="MS Mincho" w:hAnsi="Times New Roman"/>
                            <w:sz w:val="20"/>
                            <w:i/>
                            <w:iCs/>
                            <w:color w:val="0000FF" w:themeColor="hyperlink"/>
                            <w:u w:val="single"/>
                          </w:rPr>
                          <w:t>O3E-1069</w:t>
                        </w:r>
                      </w:fldSimple>
                      <w:r>
                        <w:rPr>
                          <w:rFonts w:ascii="Times New Roman" w:eastAsia="MS Mincho" w:hAnsi="Times New Roman"/>
                          <w:sz w:val="20"/>
                          <w:i/>
                          <w:iCs/>
                        </w:rPr>
                        <w:t>,
2020-11-04,
paskelbta TAR 2020-11-04, i. k. 2020-22976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7e5c50461811ec992fe4cdfceb5666">
                        <w:r w:rsidRPr="00532B9F">
                          <w:rPr>
                            <w:rFonts w:ascii="Times New Roman" w:eastAsia="MS Mincho" w:hAnsi="Times New Roman"/>
                            <w:sz w:val="20"/>
                            <w:i/>
                            <w:iCs/>
                            <w:color w:val="0000FF" w:themeColor="hyperlink"/>
                            <w:u w:val="single"/>
                          </w:rPr>
                          <w:t>O3E-1490</w:t>
                        </w:r>
                      </w:fldSimple>
                      <w:r>
                        <w:rPr>
                          <w:rFonts w:ascii="Times New Roman" w:eastAsia="MS Mincho" w:hAnsi="Times New Roman"/>
                          <w:sz w:val="20"/>
                          <w:i/>
                          <w:iCs/>
                        </w:rPr>
                        <w:t>,
2021-11-15,
paskelbta TAR 2021-11-15, i. k. 2021-23602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sdtContent>
                </w:sdt>
                <w:sdt>
                  <w:sdtPr>
                    <w:alias w:val="26.8 pp."/>
                    <w:tag w:val="part_190ccd46ecc54187a6f3237e592eb47e"/>
                    <w:lock w:val="sdtLocked"/>
                    <w:richText/>
                  </w:sdtPr>
                  <w:sdtContent>
                    <w:p>
                      <w:pPr>
                        <w:ind w:firstLine="709"/>
                        <w:jc w:val="both"/>
                        <w:rPr>
                          <w:szCs w:val="24"/>
                        </w:rPr>
                      </w:pPr>
                      <w:sdt>
                        <w:sdtPr>
                          <w:alias w:val="Numeris"/>
                          <w:tag w:val="nr_190ccd46ecc54187a6f3237e592eb47e"/>
                          <w:lock w:val="sdtLocked"/>
                          <w:richText/>
                        </w:sdtPr>
                        <w:sdtContent>
                          <w:r>
                            <w:rPr>
                              <w:szCs w:val="24"/>
                            </w:rPr>
                            <w:t>26.8</w:t>
                          </w:r>
                        </w:sdtContent>
                      </w:sdt>
                      <w:r>
                        <w:rPr>
                          <w:szCs w:val="24"/>
                        </w:rPr>
                        <w:t>. antrinio avarinio aktyviosios galios rezervo užtikrinimo paslaugos atveju, įvertinus pusę per ataskaitinį laikotarpį (y-2) Asmens gauto pelno pardavus elektros energiją, pagamintą perdavimo sistemos operatoriui aktyvavus antrinį avarinį aktyviosios galios rezervą. Asmens gautas pelnas pardavus elektros energiją, pagamintą perdavimo sistemos operatoriui aktyvavus antrinį avarinį aktyviosios galios rezervą, nustatomas remiantis auditoriaus patikrinta Asmens reguliuojamosios veiklos ataskaita.</w:t>
                      </w:r>
                    </w:p>
                    <w:p>
                      <w:pPr>
                        <w:jc w:val="both"/>
                        <w:rPr>
                          <w:szCs w:val="24"/>
                        </w:rPr>
                      </w:pPr>
                      <w:r>
                        <w:rPr>
                          <w:b/>
                          <w:i/>
                          <w:sz w:val="20"/>
                        </w:rPr>
                        <w:t>TAR pastaba.</w:t>
                      </w:r>
                      <w:r>
                        <w:rPr>
                          <w:i/>
                          <w:sz w:val="20"/>
                        </w:rPr>
                        <w:t xml:space="preserve"> 26.8</w:t>
                      </w:r>
                      <w:r>
                        <w:rPr>
                          <w:i/>
                          <w:sz w:val="20"/>
                          <w:vertAlign w:val="superscript"/>
                        </w:rPr>
                        <w:t xml:space="preserve"> </w:t>
                      </w:r>
                      <w:r>
                        <w:rPr>
                          <w:i/>
                          <w:sz w:val="20"/>
                        </w:rPr>
                        <w:t>punktas</w:t>
                      </w:r>
                      <w:r>
                        <w:rPr>
                          <w:bCs/>
                          <w:i/>
                          <w:color w:val="000000"/>
                          <w:sz w:val="20"/>
                          <w:lang w:eastAsia="lt-LT"/>
                        </w:rPr>
                        <w:t xml:space="preserve"> taikomas nustatant 2023 metų ir vėlesnių laikotarpių antrinio avarinio aktyviosios galios rezervo užtikrinimo paslaugos kainos viršutinę ribą.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65ad701e6911ebb0038a8cd8ff585f">
                        <w:r w:rsidRPr="00532B9F">
                          <w:rPr>
                            <w:rFonts w:ascii="Times New Roman" w:eastAsia="MS Mincho" w:hAnsi="Times New Roman"/>
                            <w:sz w:val="20"/>
                            <w:i/>
                            <w:iCs/>
                            <w:color w:val="0000FF" w:themeColor="hyperlink"/>
                            <w:u w:val="single"/>
                          </w:rPr>
                          <w:t>O3E-1069</w:t>
                        </w:r>
                      </w:fldSimple>
                      <w:r>
                        <w:rPr>
                          <w:rFonts w:ascii="Times New Roman" w:eastAsia="MS Mincho" w:hAnsi="Times New Roman"/>
                          <w:sz w:val="20"/>
                          <w:i/>
                          <w:iCs/>
                        </w:rPr>
                        <w:t>,
2020-11-04,
paskelbta TAR 2020-11-04, i. k. 2020-22976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sdtContent>
                </w:sdt>
              </w:sdtContent>
            </w:sdt>
            <w:sdt>
              <w:sdtPr>
                <w:alias w:val="27 p."/>
                <w:tag w:val="part_69c4e134d03b46238f4d8bcfef4f1fe1"/>
                <w:lock w:val="sdtLocked"/>
                <w:richText/>
              </w:sdtPr>
              <w:sdtContent>
                <w:p>
                  <w:pPr>
                    <w:tabs>
                      <w:tab w:val="left" w:pos="0"/>
                    </w:tabs>
                    <w:spacing w:line="22" w:lineRule="atLeast"/>
                    <w:ind w:firstLine="709"/>
                    <w:jc w:val="both"/>
                    <w:rPr>
                      <w:szCs w:val="24"/>
                      <w:lang w:eastAsia="lt-LT"/>
                    </w:rPr>
                  </w:pPr>
                  <w:sdt>
                    <w:sdtPr>
                      <w:alias w:val="Numeris"/>
                      <w:tag w:val="nr_69c4e134d03b46238f4d8bcfef4f1fe1"/>
                      <w:lock w:val="sdtLocked"/>
                      <w:richText/>
                    </w:sdtPr>
                    <w:sdtContent>
                      <w:r>
                        <w:rPr>
                          <w:szCs w:val="24"/>
                          <w:lang w:eastAsia="lt-LT"/>
                        </w:rPr>
                        <w:t>27</w:t>
                      </w:r>
                    </w:sdtContent>
                  </w:sdt>
                  <w:r>
                    <w:rPr>
                      <w:szCs w:val="24"/>
                      <w:lang w:eastAsia="lt-LT"/>
                    </w:rPr>
                    <w:t>. Asmuo, sudarydamas sutartis dėl reguliuojamos paslaugos (produkto) teikimo ar teikdamas pasiūlymus dėl tokių sutarčių sudarymo, negali sutartyse (pasiūlymuose) nurodyti aukštesnės reguliuojamos paslaugos (produkto) kainos, nei kaina, nustatyta pagal šią Metodiką.</w:t>
                  </w:r>
                </w:p>
              </w:sdtContent>
            </w:sdt>
            <w:sdt>
              <w:sdtPr>
                <w:alias w:val="28 p."/>
                <w:tag w:val="part_1aa9fe9fca2e449988a6ec0e880650bb"/>
                <w:lock w:val="sdtLocked"/>
                <w:richText/>
              </w:sdtPr>
              <w:sdtContent>
                <w:p>
                  <w:pPr>
                    <w:tabs>
                      <w:tab w:val="left" w:pos="0"/>
                    </w:tabs>
                    <w:spacing w:line="22" w:lineRule="atLeast"/>
                    <w:ind w:firstLine="709"/>
                    <w:jc w:val="both"/>
                  </w:pPr>
                  <w:sdt>
                    <w:sdtPr>
                      <w:alias w:val="Numeris"/>
                      <w:tag w:val="nr_1aa9fe9fca2e449988a6ec0e880650bb"/>
                      <w:lock w:val="sdtLocked"/>
                      <w:richText/>
                    </w:sdtPr>
                    <w:sdtContent>
                      <w:r>
                        <w:rPr>
                          <w:szCs w:val="24"/>
                          <w:lang w:eastAsia="lt-LT"/>
                        </w:rPr>
                        <w:t>28</w:t>
                      </w:r>
                    </w:sdtContent>
                  </w:sdt>
                  <w:r>
                    <w:rPr>
                      <w:szCs w:val="24"/>
                      <w:lang w:eastAsia="lt-LT"/>
                    </w:rPr>
                    <w:t xml:space="preserve">. Tuo atveju, kai Asmuo, kuriam </w:t>
                  </w:r>
                  <w:r>
                    <w:rPr>
                      <w:szCs w:val="24"/>
                    </w:rPr>
                    <w:t xml:space="preserve">tretinio aktyviosios galios rezervo užtikrinimo paslaugos kainos viršutinė riba nustatyta pagal Metodikos 21 punkto reikalavimus, </w:t>
                  </w:r>
                  <w:r>
                    <w:rPr>
                      <w:szCs w:val="24"/>
                      <w:lang w:eastAsia="lt-LT"/>
                    </w:rPr>
                    <w:t>nebeteikia</w:t>
                  </w:r>
                  <w:r>
                    <w:rPr>
                      <w:szCs w:val="24"/>
                    </w:rPr>
                    <w:t xml:space="preserve"> </w:t>
                  </w:r>
                  <w:r>
                    <w:rPr>
                      <w:szCs w:val="24"/>
                      <w:lang w:eastAsia="lt-LT"/>
                    </w:rPr>
                    <w:t>rezervinės galios paslaugų, per ataskaitinį laikotarpį (y-2) susidarę neatitikimai tarp Asmeniui prognozuotų ir faktiškai patirtų sąnaudų</w:t>
                  </w:r>
                  <w:r>
                    <w:rPr>
                      <w:color w:val="000000"/>
                      <w:szCs w:val="24"/>
                      <w:lang w:eastAsia="lt-LT"/>
                    </w:rPr>
                    <w:t xml:space="preserve">, </w:t>
                  </w:r>
                  <w:r>
                    <w:rPr>
                      <w:szCs w:val="24"/>
                      <w:lang w:eastAsia="lt-LT"/>
                    </w:rPr>
                    <w:t>teikiant šias paslaugas Tarybos sprendimu įvertinami, įpareigojant Asmenį grąžinti susidariusį neatitikimą perdavimo sistemos operatoriui, jeigu Asmens faktiškai patirtos sąnaudos buvo mažesnės nei gautos pajamos iš perdavimo sistemos operatoriaus, arba išmokant susidariusį neatitikimą Asmeniui, jeigu Asmens faktiškai patirtos sąnaudos buvo didesnės nei gautos pajamos iš perdavimo sistemos operatoriaus. Per a</w:t>
                  </w:r>
                  <w:r>
                    <w:rPr>
                      <w:rFonts w:eastAsia="Calibri"/>
                      <w:szCs w:val="24"/>
                      <w:lang w:eastAsia="lt-LT"/>
                    </w:rPr>
                    <w:t xml:space="preserve">taskaitinį laikotarpį (y-2) susidariusiems neatitikimams tarp Asmeniui </w:t>
                  </w:r>
                  <w:r>
                    <w:rPr>
                      <w:szCs w:val="24"/>
                      <w:lang w:eastAsia="lt-LT"/>
                    </w:rPr>
                    <w:t>tr</w:t>
                  </w:r>
                  <w:r>
                    <w:rPr>
                      <w:szCs w:val="24"/>
                    </w:rPr>
                    <w:t>etinio aktyviosios galios rezervo užtikrinimo paslaugos</w:t>
                  </w:r>
                  <w:r>
                    <w:rPr>
                      <w:rFonts w:eastAsia="Calibri"/>
                      <w:szCs w:val="24"/>
                      <w:lang w:eastAsia="lt-LT"/>
                    </w:rPr>
                    <w:t xml:space="preserve"> prognozuotų ir faktiškai patirtų sąnaudų nustatyti naudojamos auditoriaus patikrintos Asmens reguliuojamosios veiklos ataskaitos.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65ad701e6911ebb0038a8cd8ff585f">
                    <w:r w:rsidRPr="00532B9F">
                      <w:rPr>
                        <w:rFonts w:ascii="Times New Roman" w:eastAsia="MS Mincho" w:hAnsi="Times New Roman"/>
                        <w:sz w:val="20"/>
                        <w:i/>
                        <w:iCs/>
                        <w:color w:val="0000FF" w:themeColor="hyperlink"/>
                        <w:u w:val="single"/>
                      </w:rPr>
                      <w:t>O3E-1069</w:t>
                    </w:r>
                  </w:fldSimple>
                  <w:r>
                    <w:rPr>
                      <w:rFonts w:ascii="Times New Roman" w:eastAsia="MS Mincho" w:hAnsi="Times New Roman"/>
                      <w:sz w:val="20"/>
                      <w:i/>
                      <w:iCs/>
                    </w:rPr>
                    <w:t>,
2020-11-04,
paskelbta TAR 2020-11-04, i. k. 2020-22976            </w:t>
                  </w:r>
                </w:p>
                <w:p/>
              </w:sdtContent>
            </w:sdt>
            <w:sdt>
              <w:sdtPr>
                <w:alias w:val="28-1 p."/>
                <w:tag w:val="part_e5a4ff25b38644dcb1201023f177d7d1"/>
                <w:lock w:val="sdtLocked"/>
                <w:richText/>
              </w:sdtPr>
              <w:sdtContent>
                <w:p>
                  <w:pPr>
                    <w:tabs>
                      <w:tab w:val="left" w:pos="0"/>
                    </w:tabs>
                    <w:spacing w:line="22" w:lineRule="atLeast"/>
                    <w:ind w:firstLine="709"/>
                    <w:jc w:val="both"/>
                    <w:rPr>
                      <w:szCs w:val="24"/>
                      <w:lang w:eastAsia="lt-LT"/>
                    </w:rPr>
                  </w:pPr>
                  <w:sdt>
                    <w:sdtPr>
                      <w:alias w:val="Numeris"/>
                      <w:tag w:val="nr_e5a4ff25b38644dcb1201023f177d7d1"/>
                      <w:lock w:val="sdtLocked"/>
                      <w:richText/>
                    </w:sdtPr>
                    <w:sdtContent>
                      <w:r>
                        <w:rPr>
                          <w:szCs w:val="24"/>
                          <w:lang w:eastAsia="lt-LT"/>
                        </w:rPr>
                        <w:t>28</w:t>
                      </w:r>
                      <w:r>
                        <w:rPr>
                          <w:szCs w:val="24"/>
                          <w:vertAlign w:val="superscript"/>
                          <w:lang w:eastAsia="lt-LT"/>
                        </w:rPr>
                        <w:t>1</w:t>
                      </w:r>
                    </w:sdtContent>
                  </w:sdt>
                  <w:r>
                    <w:rPr>
                      <w:szCs w:val="24"/>
                      <w:lang w:eastAsia="lt-LT"/>
                    </w:rPr>
                    <w:t>. Tuo atveju, kai Taryba yra gavusi informaciją, kad Asmuo</w:t>
                  </w:r>
                  <w:r>
                    <w:rPr>
                      <w:szCs w:val="24"/>
                    </w:rPr>
                    <w:t xml:space="preserve"> </w:t>
                  </w:r>
                  <w:r>
                    <w:rPr>
                      <w:szCs w:val="24"/>
                      <w:lang w:eastAsia="lt-LT"/>
                    </w:rPr>
                    <w:t>nebeteiks</w:t>
                  </w:r>
                  <w:r>
                    <w:rPr>
                      <w:szCs w:val="24"/>
                    </w:rPr>
                    <w:t xml:space="preserve"> </w:t>
                  </w:r>
                  <w:r>
                    <w:rPr>
                      <w:szCs w:val="24"/>
                      <w:lang w:eastAsia="lt-LT"/>
                    </w:rPr>
                    <w:t>antrinio avarinio aktyviosios galios rezervo užtikrinimo paslaugos, per ataskaitinį laikotarpį (y-2) susidarę neatitikimai tarp Asmeniui prognozuotų ir faktiškai patirtų sąnaudų, teikiant šias paslaugas Tarybos sprendimu įvertinami, įpareigojant Asmenį grąžinti susidariusį neatitikimą perdavimo sistemos operatoriui, jeigu Asmens faktiškai patirtos sąnaudos buvo mažesnės nei gautos pajamos iš perdavimo sistemos operatoriaus, arba išmokant susidariusį neatitikimą Asmeniui, jeigu Asmens faktiškai patirtos sąnaudos buvo didesnės nei gautos pajamos iš perdavimo sistemos operatoriaus. Per a</w:t>
                  </w:r>
                  <w:r>
                    <w:rPr>
                      <w:rFonts w:eastAsia="Calibri"/>
                      <w:szCs w:val="24"/>
                      <w:lang w:eastAsia="lt-LT"/>
                    </w:rPr>
                    <w:t xml:space="preserve">taskaitinį laikotarpį (y-2) susidariusiems neatitikimams tarp Asmeniui </w:t>
                  </w:r>
                  <w:r>
                    <w:rPr>
                      <w:szCs w:val="24"/>
                      <w:lang w:eastAsia="lt-LT"/>
                    </w:rPr>
                    <w:t xml:space="preserve">antrinio avarinio </w:t>
                  </w:r>
                  <w:r>
                    <w:rPr>
                      <w:szCs w:val="24"/>
                    </w:rPr>
                    <w:t>galios rezervo užtikrinimo paslaugos</w:t>
                  </w:r>
                  <w:r>
                    <w:rPr>
                      <w:rFonts w:eastAsia="Calibri"/>
                      <w:szCs w:val="24"/>
                      <w:lang w:eastAsia="lt-LT"/>
                    </w:rPr>
                    <w:t xml:space="preserve"> prognozuotų ir faktiškai patirtų sąnaudų nustatyti naudojamos auditoriaus patikrintos Asmens reguliuojamosios veiklos ataskaitos.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65ad701e6911ebb0038a8cd8ff585f">
                    <w:r w:rsidRPr="00532B9F">
                      <w:rPr>
                        <w:rFonts w:ascii="Times New Roman" w:eastAsia="MS Mincho" w:hAnsi="Times New Roman"/>
                        <w:sz w:val="20"/>
                        <w:i/>
                        <w:iCs/>
                        <w:color w:val="0000FF" w:themeColor="hyperlink"/>
                        <w:u w:val="single"/>
                      </w:rPr>
                      <w:t>O3E-1069</w:t>
                    </w:r>
                  </w:fldSimple>
                  <w:r>
                    <w:rPr>
                      <w:rFonts w:ascii="Times New Roman" w:eastAsia="MS Mincho" w:hAnsi="Times New Roman"/>
                      <w:sz w:val="20"/>
                      <w:i/>
                      <w:iCs/>
                    </w:rPr>
                    <w:t>,
2020-11-04,
paskelbta TAR 2020-11-04, i. k. 2020-22976        </w:t>
                  </w:r>
                </w:p>
                <w:p/>
              </w:sdtContent>
            </w:sdt>
            <w:sdt>
              <w:sdtPr>
                <w:alias w:val="28-2 p."/>
                <w:tag w:val="part_18cc7f8768454a0687f17813f7a6fb0b"/>
                <w:lock w:val="sdtLocked"/>
                <w:richText/>
              </w:sdtPr>
              <w:sdtContent>
                <w:p>
                  <w:pPr>
                    <w:ind w:firstLine="709"/>
                    <w:jc w:val="both"/>
                    <w:rPr>
                      <w:szCs w:val="24"/>
                    </w:rPr>
                  </w:pPr>
                  <w:sdt>
                    <w:sdtPr>
                      <w:alias w:val="Numeris"/>
                      <w:tag w:val="nr_18cc7f8768454a0687f17813f7a6fb0b"/>
                      <w:lock w:val="sdtLocked"/>
                      <w:richText/>
                    </w:sdtPr>
                    <w:sdtContent>
                      <w:r>
                        <w:rPr>
                          <w:szCs w:val="24"/>
                          <w:lang w:eastAsia="lt-LT"/>
                        </w:rPr>
                        <w:t>28</w:t>
                      </w:r>
                      <w:r>
                        <w:rPr>
                          <w:szCs w:val="24"/>
                          <w:vertAlign w:val="superscript"/>
                        </w:rPr>
                        <w:t>2</w:t>
                      </w:r>
                    </w:sdtContent>
                  </w:sdt>
                  <w:r>
                    <w:rPr>
                      <w:szCs w:val="24"/>
                    </w:rPr>
                    <w:t>. Energetikos inovacijoms įgyvendinti skiriamas finansavimas:</w:t>
                  </w:r>
                </w:p>
                <w:sdt>
                  <w:sdtPr>
                    <w:alias w:val="28-2.1 pp."/>
                    <w:tag w:val="part_7940b45570334b6692481896261365cc"/>
                    <w:lock w:val="sdtLocked"/>
                    <w:richText/>
                  </w:sdtPr>
                  <w:sdtContent>
                    <w:p>
                      <w:pPr>
                        <w:ind w:firstLine="709"/>
                        <w:jc w:val="both"/>
                        <w:rPr>
                          <w:szCs w:val="24"/>
                        </w:rPr>
                      </w:pPr>
                      <w:sdt>
                        <w:sdtPr>
                          <w:alias w:val="Numeris"/>
                          <w:tag w:val="nr_7940b45570334b6692481896261365cc"/>
                          <w:lock w:val="sdtLocked"/>
                          <w:richText/>
                        </w:sdtPr>
                        <w:sdtContent>
                          <w:r>
                            <w:rPr>
                              <w:szCs w:val="24"/>
                              <w:lang w:val="en-US" w:eastAsia="lt-LT"/>
                            </w:rPr>
                            <w:t>28</w:t>
                          </w:r>
                          <w:r>
                            <w:rPr>
                              <w:szCs w:val="24"/>
                              <w:vertAlign w:val="superscript"/>
                              <w:lang w:val="en-US" w:eastAsia="lt-LT"/>
                            </w:rPr>
                            <w:t>2</w:t>
                          </w:r>
                          <w:r>
                            <w:rPr>
                              <w:szCs w:val="24"/>
                            </w:rPr>
                            <w:t>.1</w:t>
                          </w:r>
                        </w:sdtContent>
                      </w:sdt>
                      <w:r>
                        <w:rPr>
                          <w:szCs w:val="24"/>
                        </w:rPr>
                        <w:t xml:space="preserve">. asmeniui, bandomojoje energetikos inovacijų aplinkoje teikiančiam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26.1 ir (ar) Metodikos 26.1</w:t>
                      </w:r>
                      <w:r>
                        <w:rPr>
                          <w:szCs w:val="24"/>
                          <w:vertAlign w:val="superscript"/>
                          <w:lang w:eastAsia="lt-LT"/>
                        </w:rPr>
                        <w:t>1</w:t>
                      </w:r>
                      <w:r>
                        <w:rPr>
                          <w:szCs w:val="24"/>
                          <w:lang w:eastAsia="lt-LT"/>
                        </w:rPr>
                        <w:t xml:space="preserve"> papunkčių nuostatas </w:t>
                      </w:r>
                      <w:r>
                        <w:rPr>
                          <w:szCs w:val="24"/>
                        </w:rPr>
                        <w:t>pratęsiamas iki energetikos inovacijos bandymo termino pabaigos;</w:t>
                      </w:r>
                    </w:p>
                  </w:sdtContent>
                </w:sdt>
                <w:sdt>
                  <w:sdtPr>
                    <w:alias w:val="28-2.2 pp."/>
                    <w:tag w:val="part_fd0841b72767410dbec38a2e89039578"/>
                    <w:lock w:val="sdtLocked"/>
                    <w:richText/>
                  </w:sdtPr>
                  <w:sdtContent>
                    <w:p>
                      <w:pPr>
                        <w:ind w:firstLine="709"/>
                        <w:jc w:val="both"/>
                        <w:rPr>
                          <w:szCs w:val="24"/>
                        </w:rPr>
                      </w:pPr>
                      <w:sdt>
                        <w:sdtPr>
                          <w:alias w:val="Numeris"/>
                          <w:tag w:val="nr_fd0841b72767410dbec38a2e89039578"/>
                          <w:lock w:val="sdtLocked"/>
                          <w:richText/>
                        </w:sdtPr>
                        <w:sdtContent>
                          <w:r>
                            <w:rPr>
                              <w:szCs w:val="24"/>
                              <w:lang w:val="en-US" w:eastAsia="lt-LT"/>
                            </w:rPr>
                            <w:t>28</w:t>
                          </w:r>
                          <w:r>
                            <w:rPr>
                              <w:szCs w:val="24"/>
                              <w:vertAlign w:val="superscript"/>
                              <w:lang w:val="en-US" w:eastAsia="lt-LT"/>
                            </w:rPr>
                            <w:t>2</w:t>
                          </w:r>
                          <w:r>
                            <w:rPr>
                              <w:szCs w:val="24"/>
                            </w:rPr>
                            <w:t>.2</w:t>
                          </w:r>
                        </w:sdtContent>
                      </w:sdt>
                      <w:r>
                        <w:rPr>
                          <w:szCs w:val="24"/>
                        </w:rPr>
                        <w:t xml:space="preserve">. asmeniui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26.1 ir (ar) Metodikos 26.1</w:t>
                      </w:r>
                      <w:r>
                        <w:rPr>
                          <w:szCs w:val="24"/>
                          <w:vertAlign w:val="superscript"/>
                          <w:lang w:eastAsia="lt-LT"/>
                        </w:rPr>
                        <w:t>1</w:t>
                      </w:r>
                      <w:r>
                        <w:rPr>
                          <w:szCs w:val="24"/>
                          <w:lang w:eastAsia="lt-LT"/>
                        </w:rPr>
                        <w:t xml:space="preserve"> papunkčių nuostatas skiriamas energetikos inovacijos įsigijimo vertei padengti bei eksploatacinėms sąnaudoms, antrais ir trečiais metais </w:t>
                      </w:r>
                      <w:r>
                        <w:rPr>
                          <w:szCs w:val="24"/>
                        </w:rPr>
                        <w:t xml:space="preserve">finansavimas pagal Metodikos </w:t>
                      </w:r>
                      <w:r>
                        <w:rPr>
                          <w:szCs w:val="24"/>
                          <w:lang w:eastAsia="lt-LT"/>
                        </w:rPr>
                        <w:t>26.1 ir (ar) Metodikos 26.1</w:t>
                      </w:r>
                      <w:r>
                        <w:rPr>
                          <w:szCs w:val="24"/>
                          <w:vertAlign w:val="superscript"/>
                          <w:lang w:eastAsia="lt-LT"/>
                        </w:rPr>
                        <w:t>1</w:t>
                      </w:r>
                      <w:r>
                        <w:rPr>
                          <w:szCs w:val="24"/>
                          <w:lang w:eastAsia="lt-LT"/>
                        </w:rPr>
                        <w:t xml:space="preserve"> papunkčių nuostatas skiriamas tik eksploatacinėms sąnaudoms;</w:t>
                      </w:r>
                    </w:p>
                  </w:sdtContent>
                </w:sdt>
                <w:sdt>
                  <w:sdtPr>
                    <w:alias w:val="28-2.3 pp."/>
                    <w:tag w:val="part_1d5710b526d9461383d7b78015464d01"/>
                    <w:lock w:val="sdtLocked"/>
                    <w:richText/>
                  </w:sdtPr>
                  <w:sdtContent>
                    <w:p>
                      <w:pPr>
                        <w:tabs>
                          <w:tab w:val="left" w:pos="993"/>
                        </w:tabs>
                        <w:ind w:firstLine="709"/>
                        <w:jc w:val="both"/>
                        <w:rPr>
                          <w:szCs w:val="24"/>
                          <w:lang w:eastAsia="lt-LT"/>
                        </w:rPr>
                      </w:pPr>
                      <w:sdt>
                        <w:sdtPr>
                          <w:alias w:val="Numeris"/>
                          <w:tag w:val="nr_1d5710b526d9461383d7b78015464d01"/>
                          <w:lock w:val="sdtLocked"/>
                          <w:richText/>
                        </w:sdtPr>
                        <w:sdtContent>
                          <w:r>
                            <w:rPr>
                              <w:szCs w:val="24"/>
                              <w:lang w:val="en-US" w:eastAsia="lt-LT"/>
                            </w:rPr>
                            <w:t>28</w:t>
                          </w:r>
                          <w:r>
                            <w:rPr>
                              <w:szCs w:val="24"/>
                              <w:vertAlign w:val="superscript"/>
                              <w:lang w:val="en-US" w:eastAsia="lt-LT"/>
                            </w:rPr>
                            <w:t>2</w:t>
                          </w:r>
                          <w:r>
                            <w:rPr>
                              <w:szCs w:val="24"/>
                            </w:rPr>
                            <w:t>.3</w:t>
                          </w:r>
                        </w:sdtContent>
                      </w:sdt>
                      <w:r>
                        <w:rPr>
                          <w:szCs w:val="24"/>
                        </w:rPr>
                        <w:t xml:space="preserve">. asmeniui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26.1 ir (ar) Metodikos 26.1</w:t>
                      </w:r>
                      <w:r>
                        <w:rPr>
                          <w:szCs w:val="24"/>
                          <w:vertAlign w:val="superscript"/>
                          <w:lang w:eastAsia="lt-LT"/>
                        </w:rPr>
                        <w:t>1</w:t>
                      </w:r>
                      <w:r>
                        <w:rPr>
                          <w:szCs w:val="24"/>
                          <w:lang w:eastAsia="lt-LT"/>
                        </w:rPr>
                        <w:t xml:space="preserve"> papunkčių nuostatas</w:t>
                      </w:r>
                      <w:r>
                        <w:rPr>
                          <w:szCs w:val="24"/>
                        </w:rPr>
                        <w:t xml:space="preserve"> energetikos inovacijos eksploatacinėms sąnaudoms pratęsiamas iki energetikos inovacijos bandymo termino pabaigos;</w:t>
                      </w:r>
                    </w:p>
                  </w:sdtContent>
                </w:sdt>
                <w:sdt>
                  <w:sdtPr>
                    <w:alias w:val="28-2.4 pp."/>
                    <w:tag w:val="part_709730aa979d4407a2e77166e4812c1c"/>
                    <w:lock w:val="sdtLocked"/>
                    <w:richText/>
                  </w:sdtPr>
                  <w:sdtContent>
                    <w:p>
                      <w:pPr>
                        <w:tabs>
                          <w:tab w:val="left" w:pos="993"/>
                        </w:tabs>
                        <w:ind w:firstLine="709"/>
                        <w:jc w:val="both"/>
                      </w:pPr>
                      <w:sdt>
                        <w:sdtPr>
                          <w:alias w:val="Numeris"/>
                          <w:tag w:val="nr_709730aa979d4407a2e77166e4812c1c"/>
                          <w:lock w:val="sdtLocked"/>
                          <w:richText/>
                        </w:sdtPr>
                        <w:sdtContent>
                          <w:r>
                            <w:rPr>
                              <w:szCs w:val="24"/>
                              <w:lang w:eastAsia="lt-LT"/>
                            </w:rPr>
                            <w:t>28</w:t>
                          </w:r>
                          <w:r>
                            <w:rPr>
                              <w:szCs w:val="24"/>
                              <w:vertAlign w:val="superscript"/>
                              <w:lang w:eastAsia="lt-LT"/>
                            </w:rPr>
                            <w:t>2</w:t>
                          </w:r>
                          <w:r>
                            <w:rPr>
                              <w:szCs w:val="24"/>
                              <w:lang w:eastAsia="lt-LT"/>
                            </w:rPr>
                            <w:t>.4</w:t>
                          </w:r>
                        </w:sdtContent>
                      </w:sdt>
                      <w:r>
                        <w:rPr>
                          <w:szCs w:val="24"/>
                          <w:lang w:eastAsia="lt-LT"/>
                        </w:rPr>
                        <w:t xml:space="preserve">. </w:t>
                      </w:r>
                      <w:r>
                        <w:t xml:space="preserve">asmeniui, diegiančiam energetikos inovacijas bandomojoje energetikos inovacijų aplinkoje, Tarybai panaikinus teisę veikti bandomojoje energetikos inovacijų aplinkoje ir (arba) per dvejus metus nuo finansavimo energetikos inovacijoms ne bandomojoje aplinkoje taikymo pradžios Asmeniui nepradėjus vykdytis energetikos inovacijų, vartotojams grąžinamos visos Asmeniui skirtos ir per reguliuojamų paslaugų (produktų) kainas įsisavintos lėšos, susijusios su energetikos inovacijos diegimu, mažinant ateinančių metų pajamų lygį. </w:t>
                      </w:r>
                    </w:p>
                    <w:p>
                      <w:pPr>
                        <w:tabs>
                          <w:tab w:val="left" w:pos="993"/>
                        </w:tabs>
                        <w:ind w:firstLine="709"/>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sdtContent>
            </w:sdt>
          </w:sdtContent>
        </w:sdt>
        <w:sdt>
          <w:sdtPr>
            <w:alias w:val="skyrius"/>
            <w:tag w:val="part_38fa74259c1548a08bb6788029cfb0f9"/>
            <w:lock w:val="sdtLocked"/>
            <w:richText/>
          </w:sdtPr>
          <w:sdtContent>
            <w:p>
              <w:pPr>
                <w:tabs>
                  <w:tab w:val="left" w:pos="0"/>
                  <w:tab w:val="left" w:pos="1134"/>
                </w:tabs>
                <w:spacing w:line="22" w:lineRule="atLeast"/>
                <w:ind w:firstLine="709"/>
                <w:jc w:val="center"/>
                <w:rPr>
                  <w:b/>
                  <w:szCs w:val="24"/>
                </w:rPr>
              </w:pPr>
              <w:sdt>
                <w:sdtPr>
                  <w:alias w:val="Numeris"/>
                  <w:tag w:val="nr_38fa74259c1548a08bb6788029cfb0f9"/>
                  <w:lock w:val="sdtLocked"/>
                  <w:richText/>
                </w:sdtPr>
                <w:sdtContent>
                  <w:r>
                    <w:rPr>
                      <w:b/>
                      <w:szCs w:val="24"/>
                    </w:rPr>
                    <w:t>V</w:t>
                  </w:r>
                </w:sdtContent>
              </w:sdt>
              <w:r>
                <w:rPr>
                  <w:b/>
                  <w:szCs w:val="24"/>
                </w:rPr>
                <w:t xml:space="preserve"> SKYRIUS</w:t>
              </w:r>
            </w:p>
            <w:p>
              <w:pPr>
                <w:tabs>
                  <w:tab w:val="left" w:pos="0"/>
                  <w:tab w:val="left" w:pos="1134"/>
                </w:tabs>
                <w:spacing w:line="22" w:lineRule="atLeast"/>
                <w:ind w:firstLine="709"/>
                <w:jc w:val="center"/>
                <w:rPr>
                  <w:b/>
                  <w:szCs w:val="24"/>
                </w:rPr>
              </w:pPr>
              <w:sdt>
                <w:sdtPr>
                  <w:alias w:val="Pavadinimas"/>
                  <w:tag w:val="title_38fa74259c1548a08bb6788029cfb0f9"/>
                  <w:lock w:val="sdtLocked"/>
                  <w:richText/>
                </w:sdtPr>
                <w:sdtContent>
                  <w:r>
                    <w:rPr>
                      <w:b/>
                      <w:szCs w:val="24"/>
                      <w:lang w:eastAsia="lt-LT"/>
                    </w:rPr>
                    <w:t xml:space="preserve">IZOLIUOTO ELEKTROS ENERGETIKOS SISTEMOS DARBO </w:t>
                  </w:r>
                  <w:r>
                    <w:rPr>
                      <w:b/>
                      <w:szCs w:val="24"/>
                    </w:rPr>
                    <w:t>LEISTINŲ PAJAMŲ NUSTATYMO TAISYKLĖS</w:t>
                  </w:r>
                </w:sdtContent>
              </w:sdt>
            </w:p>
            <w:p>
              <w:pPr>
                <w:tabs>
                  <w:tab w:val="left" w:pos="0"/>
                </w:tabs>
                <w:spacing w:line="22" w:lineRule="atLeast"/>
                <w:ind w:firstLine="709"/>
                <w:jc w:val="center"/>
                <w:rPr>
                  <w:b/>
                  <w:szCs w:val="24"/>
                </w:rPr>
              </w:pPr>
            </w:p>
            <w:sdt>
              <w:sdtPr>
                <w:alias w:val="29 p."/>
                <w:tag w:val="part_81d340058be6411ea68465211de2298b"/>
                <w:lock w:val="sdtLocked"/>
                <w:richText/>
              </w:sdtPr>
              <w:sdtContent>
                <w:p>
                  <w:pPr>
                    <w:widowControl w:val="0"/>
                    <w:ind w:firstLine="709"/>
                    <w:jc w:val="both"/>
                    <w:rPr>
                      <w:szCs w:val="24"/>
                      <w:lang w:eastAsia="lt-LT"/>
                    </w:rPr>
                  </w:pPr>
                  <w:sdt>
                    <w:sdtPr>
                      <w:alias w:val="Numeris"/>
                      <w:tag w:val="nr_81d340058be6411ea68465211de2298b"/>
                      <w:lock w:val="sdtLocked"/>
                      <w:richText/>
                    </w:sdtPr>
                    <w:sdtContent>
                      <w:r>
                        <w:rPr>
                          <w:szCs w:val="24"/>
                        </w:rPr>
                        <w:t>29</w:t>
                      </w:r>
                    </w:sdtContent>
                  </w:sdt>
                  <w:r>
                    <w:rPr>
                      <w:szCs w:val="24"/>
                    </w:rPr>
                    <w:t>. Asmuo, kuris teikia izoliuoto elektros energetikos sistemos darbo paslaugą, turi teisę investicijų grąžą gauti pagamintą elektros energiją parduodant Prekybos elektros energija taisyklėse nustatyta tvarka ir sąlygomis. Asmens gautos investicijų grąžos parduodant pagamintą elektros energiją, korekcijos nėra atliekamos</w:t>
                  </w:r>
                  <w:r>
                    <w:rPr>
                      <w:b/>
                      <w:bCs/>
                      <w:szCs w:val="24"/>
                    </w:rPr>
                    <w:t xml:space="preserve">, </w:t>
                  </w:r>
                  <w:r>
                    <w:rPr>
                      <w:szCs w:val="24"/>
                    </w:rPr>
                    <w:t>išskyrus Metodikos 30.8 ir 30.9 papunkčiuose nustatytais atvejais. Kintamos sąnaudos ir gautos pajamos iš elektros energijos gamybos nepriskiriamos reguliuojamai izoliuoto elektros energetikos sistemos darbo paslaugai.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112366259b11f08fdabd4950271e2c">
                    <w:r w:rsidRPr="00532B9F">
                      <w:rPr>
                        <w:rFonts w:ascii="Times New Roman" w:eastAsia="MS Mincho" w:hAnsi="Times New Roman"/>
                        <w:sz w:val="20"/>
                        <w:i/>
                        <w:iCs/>
                        <w:color w:val="0000FF" w:themeColor="hyperlink"/>
                        <w:u w:val="single"/>
                      </w:rPr>
                      <w:t>O3E-604</w:t>
                    </w:r>
                  </w:fldSimple>
                  <w:r>
                    <w:rPr>
                      <w:rFonts w:ascii="Times New Roman" w:eastAsia="MS Mincho" w:hAnsi="Times New Roman"/>
                      <w:sz w:val="20"/>
                      <w:i/>
                      <w:iCs/>
                    </w:rPr>
                    <w:t>,
2025-04-30,
paskelbta TAR 2025-04-30, i. k. 2025-07745            </w:t>
                  </w:r>
                </w:p>
                <w:p/>
              </w:sdtContent>
            </w:sdt>
            <w:sdt>
              <w:sdtPr>
                <w:alias w:val="30 p."/>
                <w:tag w:val="part_3d9f34e6bbde46748ef035d455c9196f"/>
                <w:lock w:val="sdtLocked"/>
                <w:richText/>
              </w:sdtPr>
              <w:sdtContent>
                <w:p>
                  <w:pPr>
                    <w:ind w:firstLine="720"/>
                    <w:jc w:val="both"/>
                    <w:rPr>
                      <w:color w:val="000000"/>
                      <w:szCs w:val="24"/>
                      <w:lang w:eastAsia="lt-LT"/>
                    </w:rPr>
                  </w:pPr>
                  <w:sdt>
                    <w:sdtPr>
                      <w:alias w:val="Numeris"/>
                      <w:tag w:val="nr_3d9f34e6bbde46748ef035d455c9196f"/>
                      <w:lock w:val="sdtLocked"/>
                      <w:richText/>
                    </w:sdtPr>
                    <w:sdtContent>
                      <w:r>
                        <w:rPr>
                          <w:color w:val="000000"/>
                          <w:szCs w:val="24"/>
                          <w:lang w:eastAsia="lt-LT"/>
                        </w:rPr>
                        <w:t>30</w:t>
                      </w:r>
                    </w:sdtContent>
                  </w:sdt>
                  <w:r>
                    <w:rPr>
                      <w:color w:val="000000"/>
                      <w:szCs w:val="24"/>
                      <w:lang w:eastAsia="lt-LT"/>
                    </w:rPr>
                    <w:t xml:space="preserve">. </w:t>
                  </w:r>
                  <w:r>
                    <w:rPr>
                      <w:color w:val="000000"/>
                      <w:szCs w:val="24"/>
                    </w:rPr>
                    <w:t>Asmeniui, kuriam pagal šios Metodikos reikalavimus privaloma rengti reguliavimo apskaitos sistemą arba kuris apskaitos sistemą yra parengęs Metodikos 34 punkte nurodytu atveju, izoliuoto elektros energetikos sistemos darbo paslaugos kainos viršutinė riba nustatoma įvertinus šios paslaugos pateikimo sąnaudas (nevertinant investicijų grąžos ir kintamų sąnaudų ir gautinų pajamų iš elektros energijos gamybos) ir per ataskaitinį laikotarpį (y-2) priskirtų sąnaudų neatitikimo dydį, palyginti su ataskaitiniu laikotarpiu (y-2) gautų pajamų iš perdavimo sistemos operatoriaus dydžiu.</w:t>
                  </w:r>
                  <w:r>
                    <w:rPr>
                      <w:color w:val="000000"/>
                      <w:szCs w:val="24"/>
                      <w:lang w:eastAsia="lt-LT"/>
                    </w:rPr>
                    <w:t xml:space="preserve"> </w:t>
                  </w:r>
                  <w:r>
                    <w:rPr>
                      <w:szCs w:val="24"/>
                      <w:lang w:eastAsia="lt-LT"/>
                    </w:rPr>
                    <w:t xml:space="preserve">Izoliuoto elektros energetikos sistemos darbo </w:t>
                  </w:r>
                  <w:r>
                    <w:rPr>
                      <w:szCs w:val="24"/>
                    </w:rPr>
                    <w:t>paslaugos kaina</w:t>
                  </w:r>
                  <w:r>
                    <w:rPr>
                      <w:color w:val="000000"/>
                      <w:szCs w:val="24"/>
                      <w:lang w:eastAsia="lt-LT"/>
                    </w:rPr>
                    <w:t xml:space="preserve"> nustatoma:</w:t>
                  </w:r>
                </w:p>
                <w:sdt>
                  <w:sdtPr>
                    <w:alias w:val="30.1 pp."/>
                    <w:tag w:val="part_1e042b683a9346a192e252185648c9d5"/>
                    <w:lock w:val="sdtLocked"/>
                    <w:richText/>
                  </w:sdtPr>
                  <w:sdtContent>
                    <w:p>
                      <w:pPr>
                        <w:ind w:firstLine="709"/>
                        <w:jc w:val="both"/>
                        <w:rPr>
                          <w:color w:val="000000"/>
                          <w:szCs w:val="24"/>
                          <w:lang w:eastAsia="lt-LT"/>
                        </w:rPr>
                      </w:pPr>
                      <w:sdt>
                        <w:sdtPr>
                          <w:alias w:val="Numeris"/>
                          <w:tag w:val="nr_1e042b683a9346a192e252185648c9d5"/>
                          <w:lock w:val="sdtLocked"/>
                          <w:richText/>
                        </w:sdtPr>
                        <w:sdtContent>
                          <w:r>
                            <w:rPr>
                              <w:color w:val="000000"/>
                              <w:szCs w:val="24"/>
                              <w:lang w:eastAsia="lt-LT"/>
                            </w:rPr>
                            <w:t>30.1</w:t>
                          </w:r>
                        </w:sdtContent>
                      </w:sdt>
                      <w:r>
                        <w:rPr>
                          <w:color w:val="000000"/>
                          <w:szCs w:val="24"/>
                          <w:lang w:eastAsia="lt-LT"/>
                        </w:rPr>
                        <w:t>. vadovaujantis formule:</w:t>
                      </w:r>
                    </w:p>
                    <w:p>
                      <w:pPr>
                        <w:ind w:firstLine="709"/>
                        <w:jc w:val="both"/>
                        <w:rPr>
                          <w:color w:val="000000"/>
                          <w:szCs w:val="24"/>
                          <w:lang w:eastAsia="lt-LT"/>
                        </w:rPr>
                      </w:pPr>
                    </w:p>
                    <w:p>
                      <w:pPr>
                        <w:ind w:firstLine="709"/>
                        <w:rPr>
                          <w:color w:val="000000"/>
                          <w:szCs w:val="24"/>
                          <w:lang w:eastAsia="lt-LT"/>
                        </w:rPr>
                      </w:pPr>
                      <m:oMath>
                        <m:sSub>
                          <m:sSubPr>
                            <m:ctrlPr>
                              <w:rPr>
                                <w:rFonts w:ascii="Cambria Math" w:hAnsi="Cambria Math"/>
                                <w:i/>
                                <w:color w:val="000000"/>
                                <w:szCs w:val="24"/>
                                <w:lang w:eastAsia="lt-LT"/>
                              </w:rPr>
                            </m:ctrlPr>
                          </m:sSubPr>
                          <m:e>
                            <m:r>
                              <w:rPr>
                                <w:rFonts w:ascii="Cambria Math" w:hAnsi="Cambria Math"/>
                                <w:color w:val="000000"/>
                                <w:szCs w:val="24"/>
                                <w:lang w:eastAsia="lt-LT"/>
                              </w:rPr>
                              <m:t>T</m:t>
                            </m:r>
                          </m:e>
                          <m:sub>
                            <m:r>
                              <w:rPr>
                                <w:rFonts w:ascii="Cambria Math" w:hAnsi="Cambria Math"/>
                                <w:color w:val="000000"/>
                                <w:szCs w:val="24"/>
                                <w:lang w:eastAsia="lt-LT"/>
                              </w:rPr>
                              <m:t>ISD</m:t>
                            </m:r>
                            <m:r>
                              <w:rPr>
                                <w:rFonts w:ascii="Cambria Math" w:hAnsi="Cambria Math"/>
                                <w:color w:val="000000"/>
                                <w:szCs w:val="24"/>
                                <w:lang w:eastAsia="lt-LT"/>
                              </w:rPr>
                              <m:t xml:space="preserve">, </m:t>
                            </m:r>
                            <m:r>
                              <w:rPr>
                                <w:rFonts w:ascii="Cambria Math" w:hAnsi="Cambria Math"/>
                                <w:color w:val="000000"/>
                                <w:szCs w:val="24"/>
                                <w:lang w:eastAsia="lt-LT"/>
                              </w:rPr>
                              <m:t>y</m:t>
                            </m:r>
                          </m:sub>
                        </m:sSub>
                        <m:r>
                          <w:rPr>
                            <w:rFonts w:ascii="Cambria Math" w:hAnsi="Cambria Math"/>
                            <w:color w:val="000000"/>
                            <w:szCs w:val="24"/>
                            <w:lang w:eastAsia="lt-LT"/>
                          </w:rPr>
                          <m:t>=</m:t>
                        </m:r>
                        <m:sSub>
                          <m:sSubPr>
                            <m:ctrlPr>
                              <w:rPr>
                                <w:rFonts w:ascii="Cambria Math" w:hAnsi="Cambria Math"/>
                                <w:i/>
                                <w:color w:val="000000"/>
                                <w:szCs w:val="24"/>
                                <w:lang w:eastAsia="lt-LT"/>
                              </w:rPr>
                            </m:ctrlPr>
                          </m:sSubPr>
                          <m:e>
                            <m:r>
                              <w:rPr>
                                <w:rFonts w:ascii="Cambria Math" w:hAnsi="Cambria Math"/>
                                <w:color w:val="000000"/>
                                <w:szCs w:val="24"/>
                                <w:lang w:eastAsia="lt-LT"/>
                              </w:rPr>
                              <m:t>S</m:t>
                            </m:r>
                          </m:e>
                          <m:sub>
                            <m:r>
                              <w:rPr>
                                <w:rFonts w:ascii="Cambria Math" w:hAnsi="Cambria Math"/>
                                <w:color w:val="000000"/>
                                <w:szCs w:val="24"/>
                                <w:lang w:eastAsia="lt-LT"/>
                              </w:rPr>
                              <m:t>ISD</m:t>
                            </m:r>
                            <m:r>
                              <w:rPr>
                                <w:rFonts w:ascii="Cambria Math" w:hAnsi="Cambria Math"/>
                                <w:color w:val="000000"/>
                                <w:szCs w:val="24"/>
                                <w:lang w:eastAsia="lt-LT"/>
                              </w:rPr>
                              <m:t>,</m:t>
                            </m:r>
                            <m:r>
                              <w:rPr>
                                <w:rFonts w:ascii="Cambria Math" w:hAnsi="Cambria Math"/>
                                <w:color w:val="000000"/>
                                <w:szCs w:val="24"/>
                                <w:lang w:eastAsia="lt-LT"/>
                              </w:rPr>
                              <m:t>y</m:t>
                            </m:r>
                          </m:sub>
                        </m:sSub>
                        <m:r>
                          <w:rPr>
                            <w:rFonts w:ascii="Cambria Math" w:hAnsi="Cambria Math"/>
                            <w:color w:val="000000"/>
                            <w:szCs w:val="24"/>
                            <w:lang w:eastAsia="lt-LT"/>
                          </w:rPr>
                          <m:t>=</m:t>
                        </m:r>
                        <m:f>
                          <m:fPr>
                            <m:ctrlPr>
                              <w:rPr>
                                <w:rFonts w:ascii="Cambria Math" w:hAnsi="Cambria Math"/>
                                <w:i/>
                                <w:color w:val="000000"/>
                                <w:szCs w:val="24"/>
                                <w:lang w:eastAsia="lt-LT"/>
                              </w:rPr>
                            </m:ctrlPr>
                          </m:fPr>
                          <m:num>
                            <m:d>
                              <m:dPr>
                                <m:ctrlPr>
                                  <w:rPr>
                                    <w:rFonts w:ascii="Cambria Math" w:hAnsi="Cambria Math"/>
                                    <w:i/>
                                    <w:color w:val="000000"/>
                                    <w:szCs w:val="24"/>
                                    <w:lang w:eastAsia="lt-LT"/>
                                  </w:rPr>
                                </m:ctrlPr>
                              </m:dPr>
                              <m:e>
                                <m:sSub>
                                  <m:sSubPr>
                                    <m:ctrlPr>
                                      <w:rPr>
                                        <w:rFonts w:ascii="Cambria Math" w:hAnsi="Cambria Math"/>
                                        <w:i/>
                                        <w:color w:val="000000"/>
                                        <w:szCs w:val="24"/>
                                        <w:lang w:eastAsia="lt-LT"/>
                                      </w:rPr>
                                    </m:ctrlPr>
                                  </m:sSubPr>
                                  <m:e>
                                    <m:r>
                                      <w:rPr>
                                        <w:rFonts w:ascii="Cambria Math" w:hAnsi="Cambria Math"/>
                                        <w:color w:val="000000"/>
                                        <w:szCs w:val="24"/>
                                        <w:lang w:eastAsia="lt-LT"/>
                                      </w:rPr>
                                      <m:t>S</m:t>
                                    </m:r>
                                  </m:e>
                                  <m:sub>
                                    <m:r>
                                      <w:rPr>
                                        <w:rFonts w:ascii="Cambria Math" w:hAnsi="Cambria Math"/>
                                        <w:color w:val="000000"/>
                                        <w:szCs w:val="24"/>
                                        <w:lang w:eastAsia="lt-LT"/>
                                      </w:rPr>
                                      <m:t>P</m:t>
                                    </m:r>
                                    <m:r>
                                      <w:rPr>
                                        <w:rFonts w:ascii="Cambria Math" w:hAnsi="Cambria Math"/>
                                        <w:color w:val="000000"/>
                                        <w:szCs w:val="24"/>
                                        <w:lang w:eastAsia="lt-LT"/>
                                      </w:rPr>
                                      <m:t>,</m:t>
                                    </m:r>
                                    <m:r>
                                      <w:rPr>
                                        <w:rFonts w:ascii="Cambria Math" w:hAnsi="Cambria Math"/>
                                        <w:color w:val="000000"/>
                                        <w:szCs w:val="24"/>
                                        <w:lang w:eastAsia="lt-LT"/>
                                      </w:rPr>
                                      <m:t>ISD</m:t>
                                    </m:r>
                                    <m:r>
                                      <w:rPr>
                                        <w:rFonts w:ascii="Cambria Math" w:hAnsi="Cambria Math"/>
                                        <w:color w:val="000000"/>
                                        <w:szCs w:val="24"/>
                                        <w:lang w:eastAsia="lt-LT"/>
                                      </w:rPr>
                                      <m:t xml:space="preserve">, </m:t>
                                    </m:r>
                                    <m:r>
                                      <w:rPr>
                                        <w:rFonts w:ascii="Cambria Math" w:hAnsi="Cambria Math"/>
                                        <w:color w:val="000000"/>
                                        <w:szCs w:val="24"/>
                                        <w:lang w:eastAsia="lt-LT"/>
                                      </w:rPr>
                                      <m:t>y</m:t>
                                    </m:r>
                                  </m:sub>
                                </m:sSub>
                                <m:r>
                                  <w:rPr>
                                    <w:rFonts w:ascii="Cambria Math" w:hAnsi="Cambria Math"/>
                                    <w:color w:val="000000"/>
                                    <w:szCs w:val="24"/>
                                    <w:lang w:eastAsia="lt-LT"/>
                                  </w:rPr>
                                  <m:t>+</m:t>
                                </m:r>
                                <m:sSub>
                                  <m:sSubPr>
                                    <m:ctrlPr>
                                      <w:rPr>
                                        <w:rFonts w:ascii="Cambria Math" w:hAnsi="Cambria Math"/>
                                        <w:i/>
                                        <w:color w:val="000000"/>
                                        <w:szCs w:val="24"/>
                                        <w:lang w:eastAsia="lt-LT"/>
                                      </w:rPr>
                                    </m:ctrlPr>
                                  </m:sSubPr>
                                  <m:e>
                                    <m:r>
                                      <w:rPr>
                                        <w:rFonts w:ascii="Cambria Math" w:hAnsi="Cambria Math"/>
                                        <w:color w:val="000000"/>
                                        <w:szCs w:val="24"/>
                                        <w:lang w:eastAsia="lt-LT"/>
                                      </w:rPr>
                                      <m:t>S</m:t>
                                    </m:r>
                                  </m:e>
                                  <m:sub>
                                    <m:r>
                                      <w:rPr>
                                        <w:rFonts w:ascii="Cambria Math" w:hAnsi="Cambria Math"/>
                                        <w:color w:val="000000"/>
                                        <w:szCs w:val="24"/>
                                        <w:lang w:eastAsia="lt-LT"/>
                                      </w:rPr>
                                      <m:t>K</m:t>
                                    </m:r>
                                    <m:r>
                                      <w:rPr>
                                        <w:rFonts w:ascii="Cambria Math" w:hAnsi="Cambria Math"/>
                                        <w:color w:val="000000"/>
                                        <w:szCs w:val="24"/>
                                        <w:lang w:eastAsia="lt-LT"/>
                                      </w:rPr>
                                      <m:t>,</m:t>
                                    </m:r>
                                    <m:r>
                                      <w:rPr>
                                        <w:rFonts w:ascii="Cambria Math" w:hAnsi="Cambria Math"/>
                                        <w:color w:val="000000"/>
                                        <w:szCs w:val="24"/>
                                        <w:lang w:eastAsia="lt-LT"/>
                                      </w:rPr>
                                      <m:t>ISD</m:t>
                                    </m:r>
                                    <m:r>
                                      <w:rPr>
                                        <w:rFonts w:ascii="Cambria Math" w:hAnsi="Cambria Math"/>
                                        <w:color w:val="000000"/>
                                        <w:szCs w:val="24"/>
                                        <w:lang w:eastAsia="lt-LT"/>
                                      </w:rPr>
                                      <m:t>,</m:t>
                                    </m:r>
                                    <m:r>
                                      <w:rPr>
                                        <w:rFonts w:ascii="Cambria Math" w:hAnsi="Cambria Math"/>
                                        <w:color w:val="000000"/>
                                        <w:szCs w:val="24"/>
                                        <w:lang w:eastAsia="lt-LT"/>
                                      </w:rPr>
                                      <m:t>y</m:t>
                                    </m:r>
                                  </m:sub>
                                </m:sSub>
                                <m:r>
                                  <w:rPr>
                                    <w:rFonts w:ascii="Cambria Math" w:hAnsi="Cambria Math"/>
                                    <w:color w:val="000000"/>
                                    <w:szCs w:val="24"/>
                                    <w:lang w:eastAsia="lt-LT"/>
                                  </w:rPr>
                                  <m:t>+</m:t>
                                </m:r>
                                <m:sSub>
                                  <m:sSubPr>
                                    <m:ctrlPr>
                                      <w:rPr>
                                        <w:rFonts w:ascii="Cambria Math" w:hAnsi="Cambria Math"/>
                                        <w:i/>
                                        <w:color w:val="000000"/>
                                        <w:szCs w:val="24"/>
                                        <w:lang w:eastAsia="lt-LT"/>
                                      </w:rPr>
                                    </m:ctrlPr>
                                  </m:sSubPr>
                                  <m:e>
                                    <m:r>
                                      <w:rPr>
                                        <w:rFonts w:ascii="Cambria Math" w:hAnsi="Cambria Math"/>
                                        <w:color w:val="000000"/>
                                        <w:szCs w:val="24"/>
                                        <w:lang w:eastAsia="lt-LT"/>
                                      </w:rPr>
                                      <m:t>P</m:t>
                                    </m:r>
                                    <m:r>
                                      <w:rPr>
                                        <w:rFonts w:ascii="Cambria Math" w:hAnsi="Cambria Math"/>
                                        <w:color w:val="000000"/>
                                        <w:szCs w:val="24"/>
                                        <w:lang w:eastAsia="lt-LT"/>
                                      </w:rPr>
                                      <m:t>(</m:t>
                                    </m:r>
                                    <m:r>
                                      <w:rPr>
                                        <w:rFonts w:ascii="Cambria Math" w:hAnsi="Cambria Math"/>
                                        <w:color w:val="000000"/>
                                        <w:szCs w:val="24"/>
                                        <w:lang w:eastAsia="lt-LT"/>
                                      </w:rPr>
                                      <m:t>N</m:t>
                                    </m:r>
                                    <m:r>
                                      <w:rPr>
                                        <w:rFonts w:ascii="Cambria Math" w:hAnsi="Cambria Math"/>
                                        <w:color w:val="000000"/>
                                        <w:szCs w:val="24"/>
                                        <w:lang w:eastAsia="lt-LT"/>
                                      </w:rPr>
                                      <m:t>)</m:t>
                                    </m:r>
                                  </m:e>
                                  <m:sub>
                                    <m:r>
                                      <w:rPr>
                                        <w:rFonts w:ascii="Cambria Math" w:hAnsi="Cambria Math"/>
                                        <w:color w:val="000000"/>
                                        <w:szCs w:val="24"/>
                                        <w:lang w:eastAsia="lt-LT"/>
                                      </w:rPr>
                                      <m:t>ISD</m:t>
                                    </m:r>
                                    <m:r>
                                      <w:rPr>
                                        <w:rFonts w:ascii="Cambria Math" w:hAnsi="Cambria Math"/>
                                        <w:color w:val="000000"/>
                                        <w:szCs w:val="24"/>
                                        <w:lang w:eastAsia="lt-LT"/>
                                      </w:rPr>
                                      <m:t>,</m:t>
                                    </m:r>
                                    <m:r>
                                      <w:rPr>
                                        <w:rFonts w:ascii="Cambria Math" w:hAnsi="Cambria Math"/>
                                        <w:color w:val="000000"/>
                                        <w:szCs w:val="24"/>
                                        <w:lang w:eastAsia="lt-LT"/>
                                      </w:rPr>
                                      <m:t>y</m:t>
                                    </m:r>
                                    <m:r>
                                      <w:rPr>
                                        <w:rFonts w:ascii="Cambria Math" w:hAnsi="Cambria Math"/>
                                        <w:color w:val="000000"/>
                                        <w:szCs w:val="24"/>
                                        <w:lang w:eastAsia="lt-LT"/>
                                      </w:rPr>
                                      <m:t>-2</m:t>
                                    </m:r>
                                  </m:sub>
                                </m:sSub>
                              </m:e>
                            </m:d>
                          </m:num>
                          <m:den>
                            <m:sSub>
                              <m:sSubPr>
                                <m:ctrlPr>
                                  <w:rPr>
                                    <w:rFonts w:ascii="Cambria Math" w:hAnsi="Cambria Math"/>
                                    <w:i/>
                                    <w:color w:val="000000"/>
                                    <w:szCs w:val="24"/>
                                    <w:lang w:eastAsia="lt-LT"/>
                                  </w:rPr>
                                </m:ctrlPr>
                              </m:sSubPr>
                              <m:e>
                                <m:r>
                                  <w:rPr>
                                    <w:rFonts w:ascii="Cambria Math" w:hAnsi="Cambria Math"/>
                                    <w:color w:val="000000"/>
                                    <w:szCs w:val="24"/>
                                    <w:lang w:eastAsia="lt-LT"/>
                                  </w:rPr>
                                  <m:t>Q</m:t>
                                </m:r>
                              </m:e>
                              <m:sub>
                                <m:r>
                                  <w:rPr>
                                    <w:rFonts w:ascii="Cambria Math" w:hAnsi="Cambria Math"/>
                                    <w:color w:val="000000"/>
                                    <w:szCs w:val="24"/>
                                    <w:lang w:eastAsia="lt-LT"/>
                                  </w:rPr>
                                  <m:t>ISD</m:t>
                                </m:r>
                                <m:r>
                                  <w:rPr>
                                    <w:rFonts w:ascii="Cambria Math" w:hAnsi="Cambria Math"/>
                                    <w:color w:val="000000"/>
                                    <w:szCs w:val="24"/>
                                    <w:lang w:eastAsia="lt-LT"/>
                                  </w:rPr>
                                  <m:t>,</m:t>
                                </m:r>
                                <m:r>
                                  <w:rPr>
                                    <w:rFonts w:ascii="Cambria Math" w:hAnsi="Cambria Math"/>
                                    <w:color w:val="000000"/>
                                    <w:szCs w:val="24"/>
                                    <w:lang w:eastAsia="lt-LT"/>
                                  </w:rPr>
                                  <m:t>y</m:t>
                                </m:r>
                              </m:sub>
                            </m:sSub>
                          </m:den>
                        </m:f>
                        <m:r>
                          <w:rPr>
                            <w:rFonts w:ascii="Cambria Math" w:hAnsi="Cambria Math"/>
                            <w:color w:val="000000"/>
                            <w:szCs w:val="24"/>
                            <w:lang w:eastAsia="lt-LT"/>
                          </w:rPr>
                          <m:t xml:space="preserve">                      </m:t>
                        </m:r>
                      </m:oMath>
                      <w:r>
                        <w:rPr>
                          <w:color w:val="000000"/>
                          <w:szCs w:val="24"/>
                          <w:lang w:eastAsia="lt-LT"/>
                        </w:rPr>
                        <w:t>(5)</w:t>
                      </w:r>
                    </w:p>
                    <w:p>
                      <w:pPr>
                        <w:ind w:firstLine="709"/>
                        <w:jc w:val="both"/>
                        <w:rPr>
                          <w:i/>
                          <w:iCs/>
                          <w:color w:val="000000"/>
                          <w:szCs w:val="24"/>
                          <w:lang w:eastAsia="lt-LT"/>
                        </w:rPr>
                      </w:pPr>
                    </w:p>
                    <w:p>
                      <w:pPr>
                        <w:ind w:firstLine="709"/>
                        <w:jc w:val="both"/>
                        <w:rPr>
                          <w:i/>
                          <w:iCs/>
                          <w:color w:val="000000"/>
                          <w:szCs w:val="24"/>
                          <w:lang w:eastAsia="lt-LT"/>
                        </w:rPr>
                      </w:pPr>
                      <w:r>
                        <w:rPr>
                          <w:i/>
                          <w:iCs/>
                          <w:color w:val="000000"/>
                          <w:szCs w:val="24"/>
                          <w:lang w:eastAsia="lt-LT"/>
                        </w:rPr>
                        <w:t>kur:</w:t>
                      </w:r>
                    </w:p>
                    <w:p>
                      <w:pPr>
                        <w:ind w:firstLine="709"/>
                        <w:jc w:val="both"/>
                        <w:rPr>
                          <w:color w:val="000000"/>
                          <w:szCs w:val="24"/>
                          <w:lang w:eastAsia="lt-LT"/>
                        </w:rPr>
                      </w:pPr>
                      <w:r>
                        <w:rPr>
                          <w:color w:val="000000"/>
                          <w:szCs w:val="24"/>
                          <w:lang w:eastAsia="lt-LT"/>
                        </w:rPr>
                        <w:t>T</w:t>
                      </w:r>
                      <w:r>
                        <w:rPr>
                          <w:color w:val="000000"/>
                          <w:szCs w:val="24"/>
                          <w:vertAlign w:val="subscript"/>
                          <w:lang w:eastAsia="lt-LT"/>
                        </w:rPr>
                        <w:t>ISD,y</w:t>
                      </w:r>
                      <w:r>
                        <w:rPr>
                          <w:color w:val="000000"/>
                          <w:szCs w:val="24"/>
                          <w:lang w:eastAsia="lt-LT"/>
                        </w:rPr>
                        <w:t> –</w:t>
                      </w:r>
                      <w:r>
                        <w:rPr>
                          <w:szCs w:val="24"/>
                          <w:lang w:eastAsia="lt-LT"/>
                        </w:rPr>
                        <w:t xml:space="preserve"> izoliuoto elektros energetikos sistemos darbo </w:t>
                      </w:r>
                      <w:r>
                        <w:rPr>
                          <w:szCs w:val="24"/>
                        </w:rPr>
                        <w:t xml:space="preserve">paslaugos </w:t>
                      </w:r>
                      <w:r>
                        <w:rPr>
                          <w:color w:val="000000"/>
                          <w:szCs w:val="24"/>
                          <w:lang w:eastAsia="lt-LT"/>
                        </w:rPr>
                        <w:t>kaina, nustatoma ataskaitiniam laikotarpiui y, Eur/vnt.;</w:t>
                      </w:r>
                    </w:p>
                    <w:p>
                      <w:pPr>
                        <w:ind w:firstLine="709"/>
                        <w:jc w:val="both"/>
                        <w:rPr>
                          <w:color w:val="000000"/>
                          <w:szCs w:val="24"/>
                          <w:lang w:eastAsia="lt-LT"/>
                        </w:rPr>
                      </w:pPr>
                      <w:r>
                        <w:rPr>
                          <w:color w:val="000000"/>
                          <w:szCs w:val="24"/>
                          <w:lang w:eastAsia="lt-LT"/>
                        </w:rPr>
                        <w:t>S</w:t>
                      </w:r>
                      <w:r>
                        <w:rPr>
                          <w:color w:val="000000"/>
                          <w:szCs w:val="24"/>
                          <w:vertAlign w:val="subscript"/>
                          <w:lang w:eastAsia="lt-LT"/>
                        </w:rPr>
                        <w:t>ISD,y</w:t>
                      </w:r>
                      <w:r>
                        <w:rPr>
                          <w:color w:val="000000"/>
                          <w:szCs w:val="24"/>
                          <w:lang w:eastAsia="lt-LT"/>
                        </w:rPr>
                        <w:t> –</w:t>
                      </w:r>
                      <w:r>
                        <w:rPr>
                          <w:szCs w:val="24"/>
                          <w:lang w:eastAsia="lt-LT"/>
                        </w:rPr>
                        <w:t xml:space="preserve"> izoliuoto elektros energetikos sistemos darbo </w:t>
                      </w:r>
                      <w:r>
                        <w:rPr>
                          <w:szCs w:val="24"/>
                        </w:rPr>
                        <w:t>paslaugos sąnaudos ataskaitinį laikotarpį y, Eur/vnt.;</w:t>
                      </w:r>
                    </w:p>
                    <w:p>
                      <w:pPr>
                        <w:ind w:firstLine="709"/>
                        <w:jc w:val="both"/>
                        <w:rPr>
                          <w:color w:val="000000"/>
                          <w:szCs w:val="24"/>
                          <w:lang w:eastAsia="lt-LT"/>
                        </w:rPr>
                      </w:pPr>
                      <w:r>
                        <w:rPr>
                          <w:color w:val="000000"/>
                          <w:szCs w:val="24"/>
                          <w:lang w:eastAsia="lt-LT"/>
                        </w:rPr>
                        <w:t>S</w:t>
                      </w:r>
                      <w:r>
                        <w:rPr>
                          <w:color w:val="000000"/>
                          <w:szCs w:val="24"/>
                          <w:vertAlign w:val="subscript"/>
                          <w:lang w:eastAsia="lt-LT"/>
                        </w:rPr>
                        <w:t>P,ISD,y</w:t>
                      </w:r>
                      <w:r>
                        <w:rPr>
                          <w:color w:val="000000"/>
                          <w:szCs w:val="24"/>
                          <w:lang w:eastAsia="lt-LT"/>
                        </w:rPr>
                        <w:t xml:space="preserve"> – </w:t>
                      </w:r>
                      <w:r>
                        <w:rPr>
                          <w:szCs w:val="24"/>
                          <w:lang w:eastAsia="lt-LT"/>
                        </w:rPr>
                        <w:t xml:space="preserve">izoliuoto elektros energetikos sistemos darbo </w:t>
                      </w:r>
                      <w:r>
                        <w:rPr>
                          <w:szCs w:val="24"/>
                        </w:rPr>
                        <w:t xml:space="preserve">paslaugos </w:t>
                      </w:r>
                      <w:r>
                        <w:rPr>
                          <w:color w:val="000000"/>
                          <w:szCs w:val="24"/>
                          <w:lang w:eastAsia="lt-LT"/>
                        </w:rPr>
                        <w:t xml:space="preserve">pastoviosios sąnaudos per ataskaitinį laikotarpį y, įskaitant </w:t>
                      </w:r>
                      <w:r>
                        <w:rPr>
                          <w:color w:val="000000"/>
                        </w:rPr>
                        <w:t xml:space="preserve">su Taryba suderintų OPEX projektų sąnaudas, </w:t>
                      </w:r>
                      <w:r>
                        <w:rPr>
                          <w:color w:val="000000"/>
                          <w:szCs w:val="24"/>
                          <w:lang w:eastAsia="lt-LT"/>
                        </w:rPr>
                        <w:t>Eur;</w:t>
                      </w:r>
                    </w:p>
                    <w:p>
                      <w:pPr>
                        <w:ind w:firstLine="709"/>
                        <w:jc w:val="both"/>
                        <w:rPr>
                          <w:color w:val="000000"/>
                          <w:szCs w:val="24"/>
                          <w:lang w:eastAsia="lt-LT"/>
                        </w:rPr>
                      </w:pPr>
                      <w:r>
                        <w:rPr>
                          <w:color w:val="000000"/>
                          <w:szCs w:val="24"/>
                          <w:lang w:eastAsia="lt-LT"/>
                        </w:rPr>
                        <w:t>S</w:t>
                      </w:r>
                      <w:r>
                        <w:rPr>
                          <w:color w:val="000000"/>
                          <w:szCs w:val="24"/>
                          <w:vertAlign w:val="subscript"/>
                          <w:lang w:eastAsia="lt-LT"/>
                        </w:rPr>
                        <w:t>K,ISD,y</w:t>
                      </w:r>
                      <w:r>
                        <w:rPr>
                          <w:color w:val="000000"/>
                          <w:szCs w:val="24"/>
                          <w:lang w:eastAsia="lt-LT"/>
                        </w:rPr>
                        <w:t xml:space="preserve"> – </w:t>
                      </w:r>
                      <w:r>
                        <w:rPr>
                          <w:szCs w:val="24"/>
                          <w:lang w:eastAsia="lt-LT"/>
                        </w:rPr>
                        <w:t xml:space="preserve">izoliuoto elektros energetikos sistemos darbo </w:t>
                      </w:r>
                      <w:r>
                        <w:rPr>
                          <w:szCs w:val="24"/>
                        </w:rPr>
                        <w:t xml:space="preserve">paslaugos </w:t>
                      </w:r>
                      <w:r>
                        <w:rPr>
                          <w:color w:val="000000"/>
                          <w:szCs w:val="24"/>
                          <w:lang w:eastAsia="lt-LT"/>
                        </w:rPr>
                        <w:t>kintamosios sąnaudos per ataskaitinį laikotarpį y, Eur;</w:t>
                      </w:r>
                    </w:p>
                    <w:p>
                      <w:pPr>
                        <w:ind w:firstLine="709"/>
                        <w:jc w:val="both"/>
                        <w:rPr>
                          <w:szCs w:val="24"/>
                          <w:lang w:eastAsia="lt-LT"/>
                        </w:rPr>
                      </w:pPr>
                      <w:r>
                        <w:rPr>
                          <w:color w:val="000000"/>
                        </w:rPr>
                        <w:t>N</w:t>
                      </w:r>
                      <w:r>
                        <w:rPr>
                          <w:color w:val="000000"/>
                          <w:vertAlign w:val="subscript"/>
                        </w:rPr>
                        <w:t>INO,y</w:t>
                      </w:r>
                      <w:r>
                        <w:rPr>
                          <w:color w:val="000000"/>
                        </w:rPr>
                        <w:t> – Asmens energetikos inovacijoms įgyvendinti skirta metinė sąnaudų, finansuojamų per izoliuoto elektros energetikos sistemos darbo paslaugos kainą, dalis, kuri negali sudaryti daugiau kaip 0,5 proc. Tarybos nustatyto metinio pajamų lygio (vertinamas Asmens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35</w:t>
                      </w:r>
                      <w:r>
                        <w:rPr>
                          <w:color w:val="000000"/>
                          <w:vertAlign w:val="superscript"/>
                        </w:rPr>
                        <w:t>1</w:t>
                      </w:r>
                      <w:r>
                        <w:rPr>
                          <w:color w:val="000000"/>
                        </w:rPr>
                        <w:t> punktą, per ataskaitinį laikotarpį </w:t>
                      </w:r>
                      <w:r>
                        <w:rPr>
                          <w:i/>
                          <w:iCs/>
                          <w:color w:val="000000"/>
                        </w:rPr>
                        <w:t>y</w:t>
                      </w:r>
                      <w:r>
                        <w:rPr>
                          <w:color w:val="000000"/>
                        </w:rPr>
                        <w:t>, Eur. Jeigu Asmens diegiamai energetikos inovacijai skiriama kitų institucijų ir (ar) fondų parama, paramos dydžiu lygiomis dalimis mažinama Tarybos energetikos inovacijai įgyvendinti skirta metinė sąnaudų, finansuojamų per elektros energijos kainas, dalis ir Asmens nuosavomis ir (ar) skolintomis lėšomis finansuota energetikos inovacijos sąnaudų dalis. Asmuo prie su energetikos inovacijų plėtojimu susijusių išlaidų ne mažesne dalimi, negu skyrė Taryba turi prisidėti iš nuosavų ir (ar) skolintų lėšų;</w:t>
                      </w:r>
                    </w:p>
                    <w:p>
                      <w:pPr>
                        <w:ind w:firstLine="709"/>
                        <w:jc w:val="both"/>
                        <w:rPr>
                          <w:szCs w:val="24"/>
                          <w:lang w:eastAsia="lt-LT"/>
                        </w:rPr>
                      </w:pPr>
                      <w:r>
                        <w:rPr>
                          <w:szCs w:val="24"/>
                          <w:lang w:eastAsia="lt-LT"/>
                        </w:rPr>
                        <w:t>P(N)</w:t>
                      </w:r>
                      <w:r>
                        <w:rPr>
                          <w:szCs w:val="24"/>
                          <w:vertAlign w:val="subscript"/>
                          <w:lang w:eastAsia="lt-LT"/>
                        </w:rPr>
                        <w:t>ISD,y-2</w:t>
                      </w:r>
                      <w:r>
                        <w:rPr>
                          <w:szCs w:val="24"/>
                          <w:lang w:eastAsia="lt-LT"/>
                        </w:rPr>
                        <w:t xml:space="preserve"> – izoliuoto elektros energetikos sistemos darbo </w:t>
                      </w:r>
                      <w:r>
                        <w:rPr>
                          <w:szCs w:val="24"/>
                        </w:rPr>
                        <w:t xml:space="preserve">paslaugos ataskaitiniu laikotarpiu (y-2) priskirtų sąnaudų neatitikimo dydis, palyginti su ataskaitiniu laikotarpiu (y-2) gautų pajamų iš perdavimo sistemos operatoriaus dydžiu, Eur. </w:t>
                      </w:r>
                      <w:r>
                        <w:rPr>
                          <w:szCs w:val="24"/>
                          <w:lang w:eastAsia="lt-LT"/>
                        </w:rPr>
                        <w:t xml:space="preserve">Ataskaitinio laikotarpio (y-2) izoliuoto elektros energetikos sistemos darbo </w:t>
                      </w:r>
                      <w:r>
                        <w:rPr>
                          <w:szCs w:val="24"/>
                        </w:rPr>
                        <w:t>paslaugos</w:t>
                      </w:r>
                      <w:r>
                        <w:rPr>
                          <w:szCs w:val="24"/>
                          <w:lang w:eastAsia="lt-LT"/>
                        </w:rPr>
                        <w:t xml:space="preserve"> pajamoms ir sąnaudoms nustatyti naudojamos patikrintos auditoriaus Asmens reguliuojamosios veiklos ataskaitos</w:t>
                      </w:r>
                      <w:r>
                        <w:rPr>
                          <w:szCs w:val="24"/>
                        </w:rPr>
                        <w:t>;</w:t>
                      </w:r>
                    </w:p>
                    <w:p>
                      <w:pPr>
                        <w:ind w:firstLine="709"/>
                        <w:jc w:val="both"/>
                        <w:rPr>
                          <w:color w:val="000000"/>
                          <w:szCs w:val="24"/>
                          <w:lang w:eastAsia="lt-LT"/>
                        </w:rPr>
                      </w:pPr>
                      <w:r>
                        <w:rPr>
                          <w:color w:val="000000"/>
                          <w:szCs w:val="24"/>
                          <w:lang w:eastAsia="lt-LT"/>
                        </w:rPr>
                        <w:t>Q</w:t>
                      </w:r>
                      <w:r>
                        <w:rPr>
                          <w:color w:val="000000"/>
                          <w:szCs w:val="24"/>
                          <w:vertAlign w:val="subscript"/>
                          <w:lang w:eastAsia="lt-LT"/>
                        </w:rPr>
                        <w:t>ISD,y</w:t>
                      </w:r>
                      <w:r>
                        <w:rPr>
                          <w:color w:val="000000"/>
                          <w:szCs w:val="24"/>
                          <w:lang w:eastAsia="lt-LT"/>
                        </w:rPr>
                        <w:t xml:space="preserve"> – </w:t>
                      </w:r>
                      <w:r>
                        <w:rPr>
                          <w:szCs w:val="24"/>
                          <w:lang w:eastAsia="lt-LT"/>
                        </w:rPr>
                        <w:t xml:space="preserve">izoliuoto elektros energetikos sistemos darbo </w:t>
                      </w:r>
                      <w:r>
                        <w:rPr>
                          <w:szCs w:val="24"/>
                        </w:rPr>
                        <w:t xml:space="preserve">paslaugos </w:t>
                      </w:r>
                      <w:r>
                        <w:rPr>
                          <w:color w:val="000000"/>
                          <w:szCs w:val="24"/>
                          <w:lang w:eastAsia="lt-LT"/>
                        </w:rPr>
                        <w:t>kiekis, patiektinas per ataskaitinį laikotarpį y, vnt.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30.2 pp."/>
                    <w:tag w:val="part_a72d3e63b77e46809938df3dd85e4453"/>
                    <w:lock w:val="sdtLocked"/>
                    <w:richText/>
                  </w:sdtPr>
                  <w:sdtContent>
                    <w:p>
                      <w:pPr>
                        <w:ind w:firstLine="720"/>
                        <w:jc w:val="both"/>
                        <w:rPr>
                          <w:color w:val="000000"/>
                          <w:szCs w:val="24"/>
                        </w:rPr>
                      </w:pPr>
                      <w:sdt>
                        <w:sdtPr>
                          <w:alias w:val="Numeris"/>
                          <w:tag w:val="nr_a72d3e63b77e46809938df3dd85e4453"/>
                          <w:lock w:val="sdtLocked"/>
                          <w:richText/>
                        </w:sdtPr>
                        <w:sdtContent>
                          <w:r>
                            <w:rPr>
                              <w:color w:val="000000"/>
                              <w:szCs w:val="24"/>
                            </w:rPr>
                            <w:t>30.2</w:t>
                          </w:r>
                        </w:sdtContent>
                      </w:sdt>
                      <w:r>
                        <w:rPr>
                          <w:color w:val="000000"/>
                          <w:szCs w:val="24"/>
                        </w:rPr>
                        <w:t>. laikant, kad izo</w:t>
                      </w:r>
                      <w:r>
                        <w:rPr>
                          <w:color w:val="000000"/>
                          <w:szCs w:val="24"/>
                          <w:lang w:eastAsia="lt-LT"/>
                        </w:rPr>
                        <w:t xml:space="preserve">liuoto elektros energetikos sistemos darbo </w:t>
                      </w:r>
                      <w:r>
                        <w:rPr>
                          <w:color w:val="000000"/>
                          <w:szCs w:val="24"/>
                        </w:rPr>
                        <w:t>(reguliuojamos paslaugos) kiekis Q</w:t>
                      </w:r>
                      <w:r>
                        <w:rPr>
                          <w:color w:val="000000"/>
                          <w:szCs w:val="24"/>
                          <w:vertAlign w:val="subscript"/>
                        </w:rPr>
                        <w:t>ISD,y</w:t>
                      </w:r>
                      <w:r>
                        <w:rPr>
                          <w:color w:val="000000"/>
                          <w:szCs w:val="24"/>
                        </w:rPr>
                        <w:t xml:space="preserve"> nustatomas kaip užtikrinamos valandinės galios apimtis per ataskaitinį laikotarpį (kalendorinius metus), matuojamas MW/h. Jeigu nustatoma kainos viršutinė riba, naudojama Q</w:t>
                      </w:r>
                      <w:r>
                        <w:rPr>
                          <w:color w:val="000000"/>
                          <w:szCs w:val="24"/>
                          <w:vertAlign w:val="subscript"/>
                        </w:rPr>
                        <w:t>ISD,y</w:t>
                      </w:r>
                      <w:r>
                        <w:rPr>
                          <w:color w:val="000000"/>
                          <w:szCs w:val="24"/>
                        </w:rPr>
                        <w:t> (MW/h)=q</w:t>
                      </w:r>
                      <w:r>
                        <w:rPr>
                          <w:color w:val="000000"/>
                          <w:szCs w:val="24"/>
                          <w:vertAlign w:val="subscript"/>
                        </w:rPr>
                        <w:t>ISD,y</w:t>
                      </w:r>
                      <w:r>
                        <w:rPr>
                          <w:color w:val="000000"/>
                          <w:szCs w:val="24"/>
                        </w:rPr>
                        <w:t> (MW) * 8760 (h) arba kaip Q</w:t>
                      </w:r>
                      <w:r>
                        <w:rPr>
                          <w:color w:val="000000"/>
                          <w:szCs w:val="24"/>
                          <w:vertAlign w:val="subscript"/>
                        </w:rPr>
                        <w:t>ISD,y</w:t>
                      </w:r>
                      <w:r>
                        <w:rPr>
                          <w:color w:val="000000"/>
                          <w:szCs w:val="24"/>
                        </w:rPr>
                        <w:t> = 1 (vnt.), kai nustatoma viršutinė reguliuojamų paslaugų pajamų riba.</w:t>
                      </w:r>
                    </w:p>
                  </w:sdtContent>
                </w:sdt>
                <w:sdt>
                  <w:sdtPr>
                    <w:alias w:val="30.3 pp."/>
                    <w:tag w:val="part_286de874f96a41bdaf4a37f5f3caaa66"/>
                    <w:lock w:val="sdtLocked"/>
                    <w:richText/>
                  </w:sdtPr>
                  <w:sdtContent>
                    <w:p>
                      <w:pPr>
                        <w:ind w:firstLine="709"/>
                        <w:jc w:val="both"/>
                        <w:rPr>
                          <w:rFonts w:eastAsia="Calibri"/>
                          <w:szCs w:val="24"/>
                          <w:lang w:eastAsia="lt-LT"/>
                        </w:rPr>
                      </w:pPr>
                      <w:sdt>
                        <w:sdtPr>
                          <w:alias w:val="Numeris"/>
                          <w:tag w:val="nr_286de874f96a41bdaf4a37f5f3caaa66"/>
                          <w:lock w:val="sdtLocked"/>
                          <w:richText/>
                        </w:sdtPr>
                        <w:sdtContent>
                          <w:r>
                            <w:rPr>
                              <w:szCs w:val="24"/>
                              <w:lang w:eastAsia="lt-LT"/>
                            </w:rPr>
                            <w:t>30.3</w:t>
                          </w:r>
                        </w:sdtContent>
                      </w:sdt>
                      <w:r>
                        <w:rPr>
                          <w:szCs w:val="24"/>
                          <w:lang w:eastAsia="lt-LT"/>
                        </w:rPr>
                        <w:t xml:space="preserve">. įvertinus skirtumą tarp ataskaitinio laikotarpio (y-2) izoliuoto elektros energetikos sistemos darbo paslaugos kainos viršutinėje riboje įskaičiuoto faktiškai gautų pajamų ir patirtų sąnaudų neatitikimo dydžio ir faktiškai per ataskaitinio laikotarpio (y-2) izoliuoto elektros energetikos sistemos darbo paslaugos kainą perdavimo sistemos operatoriui grąžintos ar perdavimo sistemos operatoriaus Asmeniui išmokėtos neatitikimo dydžio dalies, susidariusį dėl prognozuoto ir faktinio izoliuoto elektros energetikos sistemos darbo paslaugos kiekio neatitikimo. </w:t>
                      </w:r>
                    </w:p>
                  </w:sdtContent>
                </w:sdt>
                <w:sdt>
                  <w:sdtPr>
                    <w:alias w:val="30.4 pp."/>
                    <w:tag w:val="part_837f170880d94838ad8ffe93e3a8aa58"/>
                    <w:lock w:val="sdtLocked"/>
                    <w:richText/>
                  </w:sdtPr>
                  <w:sdtContent>
                    <w:p>
                      <w:pPr>
                        <w:tabs>
                          <w:tab w:val="left" w:pos="993"/>
                        </w:tabs>
                        <w:ind w:firstLine="709"/>
                        <w:jc w:val="both"/>
                      </w:pPr>
                      <w:sdt>
                        <w:sdtPr>
                          <w:alias w:val="Numeris"/>
                          <w:tag w:val="nr_837f170880d94838ad8ffe93e3a8aa58"/>
                          <w:lock w:val="sdtLocked"/>
                          <w:richText/>
                        </w:sdtPr>
                        <w:sdtContent>
                          <w:r>
                            <w:rPr>
                              <w:szCs w:val="24"/>
                              <w:lang w:eastAsia="lt-LT"/>
                            </w:rPr>
                            <w:t>30.4</w:t>
                          </w:r>
                        </w:sdtContent>
                      </w:sdt>
                      <w:r>
                        <w:rPr>
                          <w:szCs w:val="24"/>
                          <w:lang w:eastAsia="lt-LT"/>
                        </w:rPr>
                        <w:t xml:space="preserve">. įvertinus </w:t>
                      </w:r>
                      <w:r>
                        <w:rPr>
                          <w:szCs w:val="24"/>
                        </w:rPr>
                        <w:t xml:space="preserve">nuokrypį nuo </w:t>
                      </w:r>
                      <w:r>
                        <w:rPr>
                          <w:szCs w:val="24"/>
                          <w:lang w:eastAsia="lt-LT" w:bidi="bn-IN"/>
                        </w:rPr>
                        <w:t>su Taryba suderintų OPEX projektų sąnaudų apimties, numatytos derinant atitinkamą OPEX projektą;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30.5 pp."/>
                    <w:tag w:val="part_c3e5be85831f4e2fbfbd3d9cc670826d"/>
                    <w:lock w:val="sdtLocked"/>
                    <w:richText/>
                  </w:sdtPr>
                  <w:sdtContent>
                    <w:p>
                      <w:pPr>
                        <w:ind w:firstLine="709"/>
                        <w:jc w:val="both"/>
                      </w:pPr>
                      <w:sdt>
                        <w:sdtPr>
                          <w:alias w:val="Numeris"/>
                          <w:tag w:val="nr_c3e5be85831f4e2fbfbd3d9cc670826d"/>
                          <w:lock w:val="sdtLocked"/>
                          <w:richText/>
                        </w:sdtPr>
                        <w:sdtContent>
                          <w:r>
                            <w:rPr>
                              <w:color w:val="000000"/>
                              <w:lang w:eastAsia="lt-LT"/>
                            </w:rPr>
                            <w:t>30.5</w:t>
                          </w:r>
                        </w:sdtContent>
                      </w:sdt>
                      <w:r>
                        <w:rPr>
                          <w:color w:val="000000"/>
                          <w:lang w:eastAsia="lt-LT"/>
                        </w:rPr>
                        <w:t xml:space="preserve">. </w:t>
                      </w:r>
                      <w:r>
                        <w:rPr>
                          <w:color w:val="000000"/>
                        </w:rPr>
                        <w:t xml:space="preserve">Elektros energetikos įstatyme nustatytu atveju, </w:t>
                      </w:r>
                      <w:r>
                        <w:rPr>
                          <w:color w:val="000000"/>
                          <w:lang w:eastAsia="lt-LT"/>
                        </w:rPr>
                        <w:t xml:space="preserve"> </w:t>
                      </w:r>
                      <w:r>
                        <w:rPr>
                          <w:color w:val="000000"/>
                        </w:rPr>
                        <w:t xml:space="preserve">kai yra su elektros energetikos sistemos atsparumu, darbo saugumo, patikimumo užtikrinimu  susijusių vieno ar kelių veiksnių, kuriais vadovaujantis buvo nustatytos izoliuoto elektros energetikos sistemos darbo paslaugos kaina, pokyčių, </w:t>
                      </w:r>
                      <w:r>
                        <w:rPr>
                          <w:color w:val="000000"/>
                          <w:lang w:eastAsia="lt-LT"/>
                        </w:rPr>
                        <w:t xml:space="preserve">įvertinus kuro, įsigyto Asmeniui siekiant tinkamai įvykdyti perdavimo sistemos operatoriaus užsakymą užtikrinti parengtį izoliuotam elektros energetikos sistemos darbui ir tam būtiną pagaminti elektros energijos kiekį, laikymo, saugojimo, transportavimo, realizavimo rinkoje, kai kuro gamtinių dujų pardavimo kaina yra mažesnė už įsigijimo kainą, ir kitas su tuo susijusias sąnaudas (įskaitant </w:t>
                      </w:r>
                      <w:r>
                        <w:rPr>
                          <w:bCs/>
                          <w:color w:val="000000"/>
                          <w:lang w:eastAsia="lt-LT"/>
                        </w:rPr>
                        <w:t>Metodikos 30.6 papunktyje nustatytas palūkanas</w:t>
                      </w:r>
                      <w:r>
                        <w:rPr>
                          <w:color w:val="000000"/>
                          <w:lang w:eastAsia="lt-LT"/>
                        </w:rPr>
                        <w:t>, baudas, jeigu jos suteikia galimybę įvykdyti perdavimo sistemos operatoriaus užsakymą, ir netesybas, jeigu perdavimo sistemos operatorius nutraukia užsakymą ir dėl to baudos ir netesybos turi būti sumokėtos trečiosioms šalims) per ataskaitinį laikotarpį y;</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d7fb30d80511ec8d9390588bf2de65">
                        <w:r w:rsidRPr="00532B9F">
                          <w:rPr>
                            <w:rFonts w:ascii="Times New Roman" w:eastAsia="MS Mincho" w:hAnsi="Times New Roman"/>
                            <w:sz w:val="20"/>
                            <w:i/>
                            <w:iCs/>
                            <w:color w:val="0000FF" w:themeColor="hyperlink"/>
                            <w:u w:val="single"/>
                          </w:rPr>
                          <w:t>O3E-735</w:t>
                        </w:r>
                      </w:fldSimple>
                      <w:r>
                        <w:rPr>
                          <w:rFonts w:ascii="Times New Roman" w:eastAsia="MS Mincho" w:hAnsi="Times New Roman"/>
                          <w:sz w:val="20"/>
                          <w:i/>
                          <w:iCs/>
                        </w:rPr>
                        <w:t>,
2022-05-20,
paskelbta TAR 2022-05-20, i. k. 2022-10651        </w:t>
                      </w:r>
                    </w:p>
                    <w:p/>
                  </w:sdtContent>
                </w:sdt>
                <w:sdt>
                  <w:sdtPr>
                    <w:alias w:val="30.6 pp."/>
                    <w:tag w:val="part_c3005eff02794f899d7daad295985c62"/>
                    <w:lock w:val="sdtLocked"/>
                    <w:richText/>
                  </w:sdtPr>
                  <w:sdtContent>
                    <w:p>
                      <w:pPr>
                        <w:ind w:firstLine="709"/>
                        <w:jc w:val="both"/>
                      </w:pPr>
                      <w:sdt>
                        <w:sdtPr>
                          <w:alias w:val="Numeris"/>
                          <w:tag w:val="nr_c3005eff02794f899d7daad295985c62"/>
                          <w:lock w:val="sdtLocked"/>
                          <w:richText/>
                        </w:sdtPr>
                        <w:sdtContent>
                          <w:r>
                            <w:rPr>
                              <w:color w:val="000000"/>
                              <w:lang w:eastAsia="lt-LT"/>
                            </w:rPr>
                            <w:t>30.6</w:t>
                          </w:r>
                        </w:sdtContent>
                      </w:sdt>
                      <w:r>
                        <w:rPr>
                          <w:color w:val="000000"/>
                          <w:lang w:eastAsia="lt-LT"/>
                        </w:rPr>
                        <w:t>. Įvertinus izoliuoto elektros energetikos sistemos darbo paslaugos faktines, bet ne didesnių nei 2 proc. palūkanų sąnaudas, patirtas dėl kuro atsargų pirkimo perdavimo sistemos operatoriaus užsakyme nustatytam laikotarpiui, kai kuro atsargos būtinos pasirengiant perdavimo sistemos operatoriaus užsakymui vykdyti;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d7fb30d80511ec8d9390588bf2de65">
                        <w:r w:rsidRPr="00532B9F">
                          <w:rPr>
                            <w:rFonts w:ascii="Times New Roman" w:eastAsia="MS Mincho" w:hAnsi="Times New Roman"/>
                            <w:sz w:val="20"/>
                            <w:i/>
                            <w:iCs/>
                            <w:color w:val="0000FF" w:themeColor="hyperlink"/>
                            <w:u w:val="single"/>
                          </w:rPr>
                          <w:t>O3E-735</w:t>
                        </w:r>
                      </w:fldSimple>
                      <w:r>
                        <w:rPr>
                          <w:rFonts w:ascii="Times New Roman" w:eastAsia="MS Mincho" w:hAnsi="Times New Roman"/>
                          <w:sz w:val="20"/>
                          <w:i/>
                          <w:iCs/>
                        </w:rPr>
                        <w:t>,
2022-05-20,
paskelbta TAR 2022-05-20, i. k. 2022-10651        </w:t>
                      </w:r>
                    </w:p>
                    <w:p/>
                  </w:sdtContent>
                </w:sdt>
                <w:sdt>
                  <w:sdtPr>
                    <w:alias w:val="30.7 pp."/>
                    <w:tag w:val="part_83cc21b687154f10a53a2c58534c40b6"/>
                    <w:lock w:val="sdtLocked"/>
                    <w:richText/>
                  </w:sdtPr>
                  <w:sdtContent>
                    <w:p>
                      <w:pPr>
                        <w:tabs>
                          <w:tab w:val="left" w:pos="0"/>
                        </w:tabs>
                        <w:ind w:firstLine="709"/>
                        <w:jc w:val="both"/>
                      </w:pPr>
                      <w:sdt>
                        <w:sdtPr>
                          <w:alias w:val="Numeris"/>
                          <w:tag w:val="nr_83cc21b687154f10a53a2c58534c40b6"/>
                          <w:lock w:val="sdtLocked"/>
                          <w:richText/>
                        </w:sdtPr>
                        <w:sdtContent>
                          <w:r>
                            <w:rPr>
                              <w:color w:val="000000"/>
                              <w:szCs w:val="24"/>
                            </w:rPr>
                            <w:t>30.7</w:t>
                          </w:r>
                        </w:sdtContent>
                      </w:sdt>
                      <w:r>
                        <w:rPr>
                          <w:color w:val="000000"/>
                          <w:szCs w:val="24"/>
                        </w:rPr>
                        <w:t xml:space="preserve">. </w:t>
                      </w:r>
                      <w:r>
                        <w:rPr>
                          <w:szCs w:val="24"/>
                        </w:rPr>
                        <w:t>Įvertinus izoliuoto elektros energetikos sistemos darbo paslaugos prognozuojamas sąnaudas dėl kuro atsargų, kurios įsigytos Metodikos 30.5 papunktyje nurodytu pagrindu perdavimo sistemos operatoriaus užsakyme nustatytam laikotarpiui, prognozuojamą realizavimo rezultatą (skirtumą tarp patirtų kuro įsigijimo sąnaudų ir planuojamų pardavimo pajamų), darant prielaidą, jog kuro realizavimas būtų vykdomas laikotarpio, kuriam nustatoma kainos viršutinė riba, pabaigoje. Vertinant kainos viršutinėje riboje įskaičiuotiną kuro realizavimo rezultatą atsižvelgiama į ankstesniųjų laikotarpių paslaugos kainos viršutinėse ribose įvertintą prognozuojamą realizavimo rezultato apimtį;</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77f40300611edb4cae1b158f98ea5">
                        <w:r w:rsidRPr="00532B9F">
                          <w:rPr>
                            <w:rFonts w:ascii="Times New Roman" w:eastAsia="MS Mincho" w:hAnsi="Times New Roman"/>
                            <w:sz w:val="20"/>
                            <w:i/>
                            <w:iCs/>
                            <w:color w:val="0000FF" w:themeColor="hyperlink"/>
                            <w:u w:val="single"/>
                          </w:rPr>
                          <w:t>O3E-1207</w:t>
                        </w:r>
                      </w:fldSimple>
                      <w:r>
                        <w:rPr>
                          <w:rFonts w:ascii="Times New Roman" w:eastAsia="MS Mincho" w:hAnsi="Times New Roman"/>
                          <w:sz w:val="20"/>
                          <w:i/>
                          <w:iCs/>
                        </w:rPr>
                        <w:t>,
2022-09-09,
paskelbta TAR 2022-09-09, i. k. 2022-18577        </w:t>
                      </w:r>
                    </w:p>
                    <w:p/>
                  </w:sdtContent>
                </w:sdt>
                <w:sdt>
                  <w:sdtPr>
                    <w:alias w:val="30.8 pp."/>
                    <w:tag w:val="part_17b09ef7cfff49c7a418f69d4538c530"/>
                    <w:lock w:val="sdtLocked"/>
                    <w:richText/>
                  </w:sdtPr>
                  <w:sdtContent>
                    <w:p>
                      <w:pPr>
                        <w:tabs>
                          <w:tab w:val="left" w:pos="709"/>
                        </w:tabs>
                        <w:ind w:firstLine="709"/>
                        <w:jc w:val="both"/>
                        <w:rPr>
                          <w:szCs w:val="24"/>
                          <w:lang w:eastAsia="lt-LT"/>
                        </w:rPr>
                      </w:pPr>
                      <w:sdt>
                        <w:sdtPr>
                          <w:alias w:val="Numeris"/>
                          <w:tag w:val="nr_17b09ef7cfff49c7a418f69d4538c530"/>
                          <w:lock w:val="sdtLocked"/>
                          <w:richText/>
                        </w:sdtPr>
                        <w:sdtContent>
                          <w:r>
                            <w:rPr>
                              <w:szCs w:val="24"/>
                              <w:lang w:eastAsia="lt-LT"/>
                            </w:rPr>
                            <w:t>30.8</w:t>
                          </w:r>
                        </w:sdtContent>
                      </w:sdt>
                      <w:r>
                        <w:rPr>
                          <w:szCs w:val="24"/>
                          <w:lang w:eastAsia="lt-LT"/>
                        </w:rPr>
                        <w:t xml:space="preserve">. Ūkio subjektų, kurių įrenginiai teikia Totalios elektros energetikos sistemos avarijos prevencijos ar likvidavimo paslaugą, izoliuoto darbo paslaugos leistinos pajamos gali būti koreguojamos </w:t>
                      </w:r>
                      <w:r>
                        <w:rPr>
                          <w:color w:val="000000"/>
                          <w:szCs w:val="24"/>
                          <w:lang w:eastAsia="lt-LT"/>
                        </w:rPr>
                        <w:t xml:space="preserve">70 </w:t>
                      </w:r>
                      <w:r>
                        <w:rPr>
                          <w:szCs w:val="24"/>
                          <w:lang w:eastAsia="lt-LT"/>
                        </w:rPr>
                        <w:t xml:space="preserve">proc. įrenginių, teikiančių totalios elektros energetikos sistemos avarijos prevencijos ar likvidavimo paslaugą, praėjusio laikotarpio (ketvirčio, pusmečio ar metų) arba planuojamo laikotarpio rankinio dažnio atkūrimo rezervo (toliau ‒ mFRR) pajėgumų paslaugos teigiamo finansinio rezultato, susidarančio dėl skirtumo tarp ribinės aukciono kainos </w:t>
                        <w:br/>
                        <w:t>(angl. pay-as-cleared) ir aukcionui siūlytos kainos (angl. pay-as-bid). Skirtumas, kai vertinama praėjusio laikotarpio faktinė informacija ar skaičiuojamas neatitikimas tarp planuoto ir faktinio skirtumo, apskaičiuojamas vertinant faktiškai parduotus kiekius kiekvienam aukcionui siūlytos kainos lygiui. Vertinant pajamas, gali būti daroma papildoma leistinų pajamų korekcija, jeigu ūkio subjektų vertinamųjų metų (y-1) koreguota EBITDA</w:t>
                      </w:r>
                      <w:r>
                        <w:t xml:space="preserve"> </w:t>
                      </w:r>
                      <w:r>
                        <w:rPr>
                          <w:szCs w:val="24"/>
                          <w:lang w:eastAsia="lt-LT"/>
                        </w:rPr>
                        <w:t>yra didesnė nei praeitų metų (y-2) koreguota EBITDA, indeksuota praėjusių metų EBITDA pokyčio koeficientu. Jeigu ši sąlyga tenkinama, atliekant izoliuoto darbo paslaugos leistinų pajamų korekciją, papildomai įvertinamas skirtumas tarp vertinamųjų metų (y-1) koreguotos EBITDA ir indeksuotos praeitų metų koreguotos EBITDA. Neatitikimas tarp planuoto ir faktinio pajamų skirtumo įvertinamas nustatant vėlesnių laikotarpių izoliuoto darbo paslaugos kainos viršutines ribas. Leistinų pajamų korekcija dėl faktiškai parduoto kiekio kiekvienai aukcionui siūlytai kainai apskaičiuojama pagal formulę:</w:t>
                      </w:r>
                    </w:p>
                    <w:p>
                      <w:pPr>
                        <w:tabs>
                          <w:tab w:val="left" w:pos="709"/>
                        </w:tabs>
                        <w:ind w:firstLine="709"/>
                        <w:jc w:val="both"/>
                        <w:rPr>
                          <w:szCs w:val="24"/>
                          <w:lang w:eastAsia="lt-LT"/>
                        </w:rPr>
                      </w:pPr>
                    </w:p>
                    <w:p>
                      <w:pPr>
                        <w:tabs>
                          <w:tab w:val="left" w:pos="709"/>
                        </w:tabs>
                        <w:ind w:firstLine="709"/>
                        <w:jc w:val="both"/>
                        <w:rPr>
                          <w:szCs w:val="24"/>
                          <w:lang w:eastAsia="lt-LT"/>
                        </w:rPr>
                      </w:pPr>
                      <w:r>
                        <w:rPr>
                          <w:i/>
                          <w:iCs/>
                          <w:szCs w:val="24"/>
                          <w:lang w:eastAsia="lt-LT"/>
                        </w:rPr>
                        <w:t>R</w:t>
                      </w:r>
                      <w:r>
                        <w:rPr>
                          <w:i/>
                          <w:iCs/>
                          <w:szCs w:val="24"/>
                          <w:vertAlign w:val="subscript"/>
                          <w:lang w:eastAsia="lt-LT"/>
                        </w:rPr>
                        <w:t>i</w:t>
                      </w:r>
                      <w:r>
                        <w:rPr>
                          <w:i/>
                          <w:iCs/>
                          <w:szCs w:val="24"/>
                          <w:lang w:eastAsia="lt-LT"/>
                        </w:rPr>
                        <w:t>=(K</w:t>
                      </w:r>
                      <w:r>
                        <w:rPr>
                          <w:i/>
                          <w:iCs/>
                          <w:szCs w:val="24"/>
                          <w:vertAlign w:val="subscript"/>
                          <w:lang w:eastAsia="lt-LT"/>
                        </w:rPr>
                        <w:t xml:space="preserve">rib-i </w:t>
                      </w:r>
                      <w:r>
                        <w:rPr>
                          <w:szCs w:val="24"/>
                          <w:lang w:eastAsia="lt-LT"/>
                        </w:rPr>
                        <w:t xml:space="preserve">– </w:t>
                      </w:r>
                      <w:r>
                        <w:rPr>
                          <w:i/>
                          <w:iCs/>
                          <w:szCs w:val="24"/>
                          <w:lang w:eastAsia="lt-LT"/>
                        </w:rPr>
                        <w:t>K</w:t>
                      </w:r>
                      <w:r>
                        <w:rPr>
                          <w:i/>
                          <w:iCs/>
                          <w:szCs w:val="24"/>
                          <w:vertAlign w:val="subscript"/>
                          <w:lang w:eastAsia="lt-LT"/>
                        </w:rPr>
                        <w:t>auk-i</w:t>
                      </w:r>
                      <w:r>
                        <w:rPr>
                          <w:i/>
                          <w:iCs/>
                          <w:szCs w:val="24"/>
                          <w:lang w:eastAsia="lt-LT"/>
                        </w:rPr>
                        <w:t>) x Q</w:t>
                      </w:r>
                      <w:r>
                        <w:rPr>
                          <w:i/>
                          <w:iCs/>
                          <w:szCs w:val="24"/>
                          <w:vertAlign w:val="subscript"/>
                          <w:lang w:eastAsia="lt-LT"/>
                        </w:rPr>
                        <w:t xml:space="preserve">i </w:t>
                      </w:r>
                      <w:r>
                        <w:rPr>
                          <w:i/>
                          <w:iCs/>
                          <w:szCs w:val="24"/>
                          <w:lang w:eastAsia="lt-LT"/>
                        </w:rPr>
                        <w:t xml:space="preserve">x </w:t>
                      </w:r>
                      <w:r>
                        <w:rPr>
                          <w:i/>
                          <w:iCs/>
                          <w:color w:val="000000"/>
                          <w:szCs w:val="24"/>
                          <w:lang w:eastAsia="lt-LT"/>
                        </w:rPr>
                        <w:t>0,</w:t>
                      </w:r>
                      <w:r>
                        <w:rPr>
                          <w:color w:val="000000"/>
                          <w:szCs w:val="24"/>
                          <w:lang w:eastAsia="lt-LT"/>
                        </w:rPr>
                        <w:t xml:space="preserve">7 </w:t>
                        <w:tab/>
                      </w:r>
                      <w:r>
                        <w:rPr>
                          <w:szCs w:val="24"/>
                          <w:lang w:eastAsia="lt-LT"/>
                        </w:rPr>
                        <w:tab/>
                        <w:tab/>
                        <w:t>(5</w:t>
                      </w:r>
                      <w:r>
                        <w:rPr>
                          <w:szCs w:val="24"/>
                          <w:vertAlign w:val="superscript"/>
                          <w:lang w:eastAsia="lt-LT"/>
                        </w:rPr>
                        <w:t>1</w:t>
                      </w:r>
                      <w:r>
                        <w:rPr>
                          <w:szCs w:val="24"/>
                          <w:lang w:eastAsia="lt-LT"/>
                        </w:rPr>
                        <w:t>)</w:t>
                      </w:r>
                    </w:p>
                    <w:p>
                      <w:pPr>
                        <w:tabs>
                          <w:tab w:val="left" w:pos="709"/>
                        </w:tabs>
                        <w:ind w:firstLine="720"/>
                        <w:jc w:val="both"/>
                        <w:rPr>
                          <w:szCs w:val="24"/>
                          <w:lang w:eastAsia="lt-LT"/>
                        </w:rPr>
                      </w:pPr>
                    </w:p>
                    <w:p>
                      <w:pPr>
                        <w:tabs>
                          <w:tab w:val="left" w:pos="709"/>
                        </w:tabs>
                        <w:ind w:firstLine="709"/>
                        <w:jc w:val="both"/>
                        <w:rPr>
                          <w:szCs w:val="24"/>
                          <w:lang w:eastAsia="lt-LT"/>
                        </w:rPr>
                      </w:pPr>
                      <w:r>
                        <w:rPr>
                          <w:szCs w:val="24"/>
                          <w:lang w:eastAsia="lt-LT"/>
                        </w:rPr>
                        <w:t>Kur:</w:t>
                      </w:r>
                    </w:p>
                    <w:p>
                      <w:pPr>
                        <w:tabs>
                          <w:tab w:val="left" w:pos="709"/>
                        </w:tabs>
                        <w:ind w:firstLine="709"/>
                        <w:jc w:val="both"/>
                        <w:rPr>
                          <w:szCs w:val="24"/>
                          <w:lang w:eastAsia="lt-LT"/>
                        </w:rPr>
                      </w:pPr>
                      <w:r>
                        <w:rPr>
                          <w:i/>
                          <w:iCs/>
                          <w:szCs w:val="24"/>
                          <w:lang w:eastAsia="lt-LT"/>
                        </w:rPr>
                        <w:t>R</w:t>
                      </w:r>
                      <w:r>
                        <w:rPr>
                          <w:i/>
                          <w:iCs/>
                          <w:szCs w:val="24"/>
                          <w:vertAlign w:val="subscript"/>
                          <w:lang w:eastAsia="lt-LT"/>
                        </w:rPr>
                        <w:t>i</w:t>
                      </w:r>
                      <w:r>
                        <w:rPr>
                          <w:i/>
                          <w:iCs/>
                          <w:szCs w:val="24"/>
                          <w:lang w:eastAsia="lt-LT"/>
                        </w:rPr>
                        <w:t xml:space="preserve"> </w:t>
                      </w:r>
                      <w:r>
                        <w:rPr>
                          <w:szCs w:val="24"/>
                          <w:lang w:eastAsia="lt-LT"/>
                        </w:rPr>
                        <w:t xml:space="preserve">– leistinų pajamų korekcija dėl faktiškai parduoto kiekio kiekvienai </w:t>
                      </w:r>
                      <w:r>
                        <w:rPr>
                          <w:i/>
                          <w:iCs/>
                          <w:szCs w:val="24"/>
                          <w:lang w:eastAsia="lt-LT"/>
                        </w:rPr>
                        <w:t>i</w:t>
                      </w:r>
                      <w:r>
                        <w:rPr>
                          <w:szCs w:val="24"/>
                          <w:lang w:eastAsia="lt-LT"/>
                        </w:rPr>
                        <w:t xml:space="preserve"> aukcionui siūlytai kaina (Eur);</w:t>
                      </w:r>
                    </w:p>
                    <w:p>
                      <w:pPr>
                        <w:tabs>
                          <w:tab w:val="left" w:pos="709"/>
                        </w:tabs>
                        <w:ind w:firstLine="709"/>
                        <w:jc w:val="both"/>
                        <w:rPr>
                          <w:szCs w:val="24"/>
                          <w:lang w:eastAsia="lt-LT"/>
                        </w:rPr>
                      </w:pPr>
                      <w:r>
                        <w:rPr>
                          <w:i/>
                          <w:iCs/>
                          <w:szCs w:val="24"/>
                          <w:lang w:eastAsia="lt-LT"/>
                        </w:rPr>
                        <w:t>Q</w:t>
                      </w:r>
                      <w:r>
                        <w:rPr>
                          <w:i/>
                          <w:iCs/>
                          <w:szCs w:val="24"/>
                          <w:vertAlign w:val="subscript"/>
                          <w:lang w:eastAsia="lt-LT"/>
                        </w:rPr>
                        <w:t>i</w:t>
                      </w:r>
                      <w:r>
                        <w:rPr>
                          <w:i/>
                          <w:iCs/>
                          <w:szCs w:val="24"/>
                          <w:lang w:eastAsia="lt-LT"/>
                        </w:rPr>
                        <w:t xml:space="preserve"> </w:t>
                      </w:r>
                      <w:r>
                        <w:rPr>
                          <w:szCs w:val="24"/>
                          <w:lang w:eastAsia="lt-LT"/>
                        </w:rPr>
                        <w:t>– mFRR i aukcione parduotas pajėgumų paslaugos kiekis (MW);</w:t>
                      </w:r>
                    </w:p>
                    <w:p>
                      <w:pPr>
                        <w:tabs>
                          <w:tab w:val="left" w:pos="709"/>
                        </w:tabs>
                        <w:ind w:firstLine="709"/>
                        <w:jc w:val="both"/>
                        <w:rPr>
                          <w:szCs w:val="24"/>
                          <w:lang w:eastAsia="lt-LT"/>
                        </w:rPr>
                      </w:pPr>
                      <w:r>
                        <w:rPr>
                          <w:i/>
                          <w:iCs/>
                          <w:szCs w:val="24"/>
                          <w:lang w:eastAsia="lt-LT"/>
                        </w:rPr>
                        <w:t>K</w:t>
                      </w:r>
                      <w:r>
                        <w:rPr>
                          <w:i/>
                          <w:iCs/>
                          <w:szCs w:val="24"/>
                          <w:vertAlign w:val="subscript"/>
                          <w:lang w:eastAsia="lt-LT"/>
                        </w:rPr>
                        <w:t>rib-i</w:t>
                      </w:r>
                      <w:r>
                        <w:rPr>
                          <w:szCs w:val="24"/>
                          <w:lang w:eastAsia="lt-LT"/>
                        </w:rPr>
                        <w:t xml:space="preserve"> – ribinė </w:t>
                      </w:r>
                      <w:r>
                        <w:rPr>
                          <w:i/>
                          <w:iCs/>
                          <w:szCs w:val="24"/>
                          <w:lang w:eastAsia="lt-LT"/>
                        </w:rPr>
                        <w:t>i</w:t>
                      </w:r>
                      <w:r>
                        <w:rPr>
                          <w:szCs w:val="24"/>
                          <w:lang w:eastAsia="lt-LT"/>
                        </w:rPr>
                        <w:t xml:space="preserve"> aukciono kaina (angl. pay-as-cleared), (Eur/MW);</w:t>
                      </w:r>
                    </w:p>
                    <w:p>
                      <w:pPr>
                        <w:tabs>
                          <w:tab w:val="left" w:pos="709"/>
                        </w:tabs>
                        <w:ind w:firstLine="709"/>
                        <w:jc w:val="both"/>
                        <w:rPr>
                          <w:szCs w:val="24"/>
                          <w:lang w:eastAsia="lt-LT"/>
                        </w:rPr>
                      </w:pPr>
                      <w:r>
                        <w:rPr>
                          <w:i/>
                          <w:iCs/>
                          <w:szCs w:val="24"/>
                          <w:lang w:eastAsia="lt-LT"/>
                        </w:rPr>
                        <w:t>K</w:t>
                      </w:r>
                      <w:r>
                        <w:rPr>
                          <w:i/>
                          <w:iCs/>
                          <w:szCs w:val="24"/>
                          <w:vertAlign w:val="subscript"/>
                          <w:lang w:eastAsia="lt-LT"/>
                        </w:rPr>
                        <w:t>auk-i</w:t>
                      </w:r>
                      <w:r>
                        <w:rPr>
                          <w:i/>
                          <w:iCs/>
                          <w:szCs w:val="24"/>
                          <w:lang w:eastAsia="lt-LT"/>
                        </w:rPr>
                        <w:t xml:space="preserve"> </w:t>
                      </w:r>
                      <w:r>
                        <w:rPr>
                          <w:szCs w:val="24"/>
                          <w:lang w:eastAsia="lt-LT"/>
                        </w:rPr>
                        <w:t xml:space="preserve">– </w:t>
                      </w:r>
                      <w:r>
                        <w:rPr>
                          <w:i/>
                          <w:iCs/>
                          <w:szCs w:val="24"/>
                          <w:lang w:eastAsia="lt-LT"/>
                        </w:rPr>
                        <w:t>i</w:t>
                      </w:r>
                      <w:r>
                        <w:rPr>
                          <w:szCs w:val="24"/>
                          <w:lang w:eastAsia="lt-LT"/>
                        </w:rPr>
                        <w:t xml:space="preserve"> aukcionui siūlyta kaina (angl. pay-as-bid), (Eur/MW).</w:t>
                      </w:r>
                    </w:p>
                    <w:p>
                      <w:pPr>
                        <w:tabs>
                          <w:tab w:val="left" w:pos="709"/>
                        </w:tabs>
                        <w:ind w:firstLine="709"/>
                        <w:jc w:val="both"/>
                        <w:rPr>
                          <w:szCs w:val="24"/>
                          <w:lang w:eastAsia="lt-LT"/>
                        </w:rPr>
                      </w:pPr>
                    </w:p>
                    <w:p>
                      <w:pPr>
                        <w:tabs>
                          <w:tab w:val="left" w:pos="709"/>
                        </w:tabs>
                        <w:ind w:firstLine="709"/>
                        <w:jc w:val="both"/>
                        <w:rPr>
                          <w:szCs w:val="24"/>
                          <w:lang w:eastAsia="lt-LT"/>
                        </w:rPr>
                      </w:pPr>
                      <w:r>
                        <w:rPr>
                          <w:szCs w:val="24"/>
                          <w:lang w:eastAsia="lt-LT"/>
                        </w:rPr>
                        <w:t>Leistinų pajamų korekcija dėl skirtumo tarp ribinės aukciono kainos (angl. pay-as-cleared) ir aukcionui siūlytos kainos (angl. pay-as-bid) apskaičiuojama pagal formulę:</w:t>
                      </w:r>
                    </w:p>
                    <w:p>
                      <w:pPr>
                        <w:tabs>
                          <w:tab w:val="left" w:pos="709"/>
                        </w:tabs>
                        <w:ind w:firstLine="709"/>
                        <w:jc w:val="both"/>
                        <w:rPr>
                          <w:szCs w:val="24"/>
                          <w:lang w:eastAsia="lt-LT"/>
                        </w:rPr>
                      </w:pPr>
                    </w:p>
                    <w:p>
                      <w:pPr>
                        <w:tabs>
                          <w:tab w:val="left" w:pos="709"/>
                        </w:tabs>
                        <w:ind w:firstLine="2880"/>
                        <w:jc w:val="both"/>
                        <w:rPr>
                          <w:i/>
                          <w:szCs w:val="24"/>
                          <w:lang w:eastAsia="lt-LT"/>
                        </w:rPr>
                      </w:pPr>
                      <m:oMath>
                        <m:sSub>
                          <m:sSubPr>
                            <m:ctrlPr>
                              <w:rPr>
                                <w:rFonts w:ascii="Cambria Math" w:hAnsi="Cambria Math"/>
                                <w:i/>
                                <w:color w:val="000000" w:themeColor="text1"/>
                                <w:szCs w:val="24"/>
                                <w:lang w:eastAsia="lt-LT"/>
                              </w:rPr>
                            </m:ctrlPr>
                          </m:sSubPr>
                          <m:e>
                            <m:r>
                              <w:rPr>
                                <w:rFonts w:ascii="Cambria Math" w:hAnsi="Cambria Math"/>
                                <w:color w:val="000000" w:themeColor="text1"/>
                                <w:szCs w:val="24"/>
                                <w:lang w:eastAsia="lt-LT"/>
                              </w:rPr>
                              <m:t>R</m:t>
                            </m:r>
                          </m:e>
                          <m:sub>
                            <m:r>
                              <m:rPr>
                                <m:sty m:val="p"/>
                              </m:rPr>
                              <w:rPr>
                                <w:rFonts w:ascii="Cambria Math" w:hAnsi="Cambria Math"/>
                                <w:color w:val="000000" w:themeColor="text1"/>
                                <w:szCs w:val="24"/>
                                <w:lang w:eastAsia="lt-LT"/>
                              </w:rPr>
                              <m:t>0,7</m:t>
                            </m:r>
                          </m:sub>
                        </m:sSub>
                        <m:r>
                          <w:rPr>
                            <w:rFonts w:ascii="Cambria Math" w:hAnsi="Cambria Math"/>
                            <w:color w:val="000000" w:themeColor="text1"/>
                            <w:szCs w:val="24"/>
                            <w:lang w:eastAsia="lt-LT"/>
                          </w:rPr>
                          <m:t>=</m:t>
                        </m:r>
                        <m:nary>
                          <m:naryPr>
                            <m:chr m:val="∑"/>
                            <m:limLoc m:val="undOvr"/>
                            <m:grow m:val="1"/>
                            <m:ctrlPr>
                              <w:rPr>
                                <w:rFonts w:ascii="Cambria Math" w:hAnsi="Cambria Math"/>
                                <w:i/>
                                <w:color w:val="000000" w:themeColor="text1"/>
                                <w:szCs w:val="24"/>
                                <w:lang w:eastAsia="lt-LT"/>
                              </w:rPr>
                            </m:ctrlPr>
                          </m:naryPr>
                          <m:sub>
                            <m:r>
                              <w:rPr>
                                <w:rFonts w:ascii="Cambria Math" w:hAnsi="Cambria Math"/>
                                <w:color w:val="000000" w:themeColor="text1"/>
                                <w:szCs w:val="24"/>
                                <w:lang w:eastAsia="lt-LT"/>
                              </w:rPr>
                              <m:t>i=1-n</m:t>
                            </m:r>
                          </m:sub>
                          <m:sup>
                            <m:r>
                              <w:rPr>
                                <w:rFonts w:ascii="Cambria Math" w:hAnsi="Cambria Math"/>
                                <w:color w:val="000000" w:themeColor="text1"/>
                                <w:szCs w:val="24"/>
                                <w:lang w:eastAsia="lt-LT"/>
                              </w:rPr>
                              <m:t xml:space="preserve"> </m:t>
                            </m:r>
                          </m:sup>
                          <m:e>
                            <m:sSub>
                              <m:sSubPr>
                                <m:ctrlPr>
                                  <w:rPr>
                                    <w:rFonts w:ascii="Cambria Math" w:hAnsi="Cambria Math"/>
                                    <w:i/>
                                    <w:color w:val="000000" w:themeColor="text1"/>
                                    <w:szCs w:val="24"/>
                                    <w:lang w:eastAsia="lt-LT"/>
                                  </w:rPr>
                                </m:ctrlPr>
                              </m:sSubPr>
                              <m:e>
                                <m:r>
                                  <w:rPr>
                                    <w:rFonts w:ascii="Cambria Math" w:hAnsi="Cambria Math"/>
                                    <w:color w:val="000000" w:themeColor="text1"/>
                                    <w:szCs w:val="24"/>
                                    <w:lang w:eastAsia="lt-LT"/>
                                  </w:rPr>
                                  <m:t>R</m:t>
                                </m:r>
                              </m:e>
                              <m:sub>
                                <m:r>
                                  <w:rPr>
                                    <w:rFonts w:ascii="Cambria Math" w:hAnsi="Cambria Math"/>
                                    <w:color w:val="000000" w:themeColor="text1"/>
                                    <w:szCs w:val="24"/>
                                    <w:lang w:eastAsia="lt-LT"/>
                                  </w:rPr>
                                  <m:t>i</m:t>
                                </m:r>
                              </m:sub>
                            </m:sSub>
                          </m:e>
                        </m:nary>
                      </m:oMath>
                      <w:r>
                        <w:rPr>
                          <w:iCs/>
                          <w:szCs w:val="24"/>
                          <w:lang w:eastAsia="lt-LT"/>
                        </w:rPr>
                        <w:t>(5</w:t>
                      </w:r>
                      <w:r>
                        <w:rPr>
                          <w:iCs/>
                          <w:szCs w:val="24"/>
                          <w:vertAlign w:val="superscript"/>
                          <w:lang w:eastAsia="lt-LT"/>
                        </w:rPr>
                        <w:t>2</w:t>
                      </w:r>
                      <w:r>
                        <w:rPr>
                          <w:iCs/>
                          <w:szCs w:val="24"/>
                          <w:lang w:eastAsia="lt-LT"/>
                        </w:rPr>
                        <w:t>)</w:t>
                      </w:r>
                    </w:p>
                    <w:p>
                      <w:pPr>
                        <w:tabs>
                          <w:tab w:val="left" w:pos="709"/>
                        </w:tabs>
                        <w:ind w:firstLine="709"/>
                        <w:jc w:val="both"/>
                        <w:rPr>
                          <w:szCs w:val="24"/>
                          <w:lang w:eastAsia="lt-LT"/>
                        </w:rPr>
                      </w:pPr>
                    </w:p>
                    <w:p>
                      <w:pPr>
                        <w:tabs>
                          <w:tab w:val="left" w:pos="709"/>
                        </w:tabs>
                        <w:ind w:firstLine="709"/>
                        <w:jc w:val="both"/>
                        <w:rPr>
                          <w:szCs w:val="24"/>
                          <w:lang w:eastAsia="lt-LT"/>
                        </w:rPr>
                      </w:pPr>
                      <w:r>
                        <w:rPr>
                          <w:szCs w:val="24"/>
                          <w:lang w:eastAsia="lt-LT"/>
                        </w:rPr>
                        <w:t>Kur:</w:t>
                      </w:r>
                    </w:p>
                    <w:p>
                      <w:pPr>
                        <w:tabs>
                          <w:tab w:val="left" w:pos="709"/>
                        </w:tabs>
                        <w:ind w:firstLine="709"/>
                        <w:jc w:val="both"/>
                        <w:rPr>
                          <w:szCs w:val="24"/>
                          <w:lang w:eastAsia="lt-LT"/>
                        </w:rPr>
                      </w:pPr>
                      <w:r>
                        <w:rPr>
                          <w:i/>
                          <w:iCs/>
                          <w:color w:val="000000"/>
                          <w:szCs w:val="24"/>
                          <w:lang w:eastAsia="lt-LT"/>
                        </w:rPr>
                        <w:t>R</w:t>
                      </w:r>
                      <w:r>
                        <w:rPr>
                          <w:color w:val="000000"/>
                          <w:szCs w:val="24"/>
                          <w:vertAlign w:val="subscript"/>
                          <w:lang w:eastAsia="lt-LT"/>
                        </w:rPr>
                        <w:t>0,7</w:t>
                      </w:r>
                      <w:r>
                        <w:rPr>
                          <w:color w:val="000000"/>
                          <w:szCs w:val="24"/>
                          <w:lang w:eastAsia="lt-LT"/>
                        </w:rPr>
                        <w:t xml:space="preserve"> ‒ leistinų </w:t>
                      </w:r>
                      <w:r>
                        <w:rPr>
                          <w:szCs w:val="24"/>
                          <w:lang w:eastAsia="lt-LT"/>
                        </w:rPr>
                        <w:t>pajamų korekcija, atitinkanti 70 proc. (Eur);</w:t>
                      </w:r>
                    </w:p>
                    <w:p>
                      <w:pPr>
                        <w:tabs>
                          <w:tab w:val="left" w:pos="709"/>
                        </w:tabs>
                        <w:ind w:firstLine="709"/>
                        <w:jc w:val="both"/>
                        <w:rPr>
                          <w:szCs w:val="24"/>
                          <w:lang w:eastAsia="lt-LT"/>
                        </w:rPr>
                      </w:pPr>
                      <w:r>
                        <w:rPr>
                          <w:i/>
                          <w:iCs/>
                          <w:szCs w:val="24"/>
                          <w:lang w:eastAsia="lt-LT"/>
                        </w:rPr>
                        <w:t>R</w:t>
                      </w:r>
                      <w:r>
                        <w:rPr>
                          <w:i/>
                          <w:iCs/>
                          <w:szCs w:val="24"/>
                          <w:vertAlign w:val="subscript"/>
                          <w:lang w:eastAsia="lt-LT"/>
                        </w:rPr>
                        <w:t>i</w:t>
                      </w:r>
                      <w:r>
                        <w:rPr>
                          <w:i/>
                          <w:iCs/>
                          <w:szCs w:val="24"/>
                          <w:lang w:eastAsia="lt-LT"/>
                        </w:rPr>
                        <w:t xml:space="preserve"> </w:t>
                      </w:r>
                      <w:r>
                        <w:rPr>
                          <w:szCs w:val="24"/>
                          <w:lang w:eastAsia="lt-LT"/>
                        </w:rPr>
                        <w:t xml:space="preserve">‒ leistinų pajamų korekcija dėl faktiškai parduoto kiekio kiekvienai </w:t>
                      </w:r>
                      <w:r>
                        <w:rPr>
                          <w:i/>
                          <w:iCs/>
                          <w:szCs w:val="24"/>
                          <w:lang w:eastAsia="lt-LT"/>
                        </w:rPr>
                        <w:t>i</w:t>
                      </w:r>
                      <w:r>
                        <w:rPr>
                          <w:szCs w:val="24"/>
                          <w:lang w:eastAsia="lt-LT"/>
                        </w:rPr>
                        <w:t xml:space="preserve"> aukcionui siūlytai kaina (Eur).</w:t>
                      </w:r>
                    </w:p>
                    <w:p>
                      <w:pPr>
                        <w:tabs>
                          <w:tab w:val="left" w:pos="709"/>
                        </w:tabs>
                        <w:ind w:firstLine="709"/>
                        <w:jc w:val="both"/>
                        <w:rPr>
                          <w:szCs w:val="24"/>
                          <w:lang w:eastAsia="lt-LT"/>
                        </w:rPr>
                      </w:pPr>
                    </w:p>
                    <w:p>
                      <w:pPr>
                        <w:tabs>
                          <w:tab w:val="left" w:pos="709"/>
                        </w:tabs>
                        <w:ind w:firstLine="709"/>
                        <w:jc w:val="both"/>
                        <w:rPr>
                          <w:szCs w:val="24"/>
                          <w:lang w:eastAsia="lt-LT"/>
                        </w:rPr>
                      </w:pPr>
                      <w:r>
                        <w:rPr>
                          <w:szCs w:val="24"/>
                          <w:lang w:eastAsia="lt-LT"/>
                        </w:rPr>
                        <w:t>Įvertinama, ar vertinamųjų metų (y-1) koreguota EBITDA viršija praeitų metų (y-2) koreguotą EBITDA, indeksuotą praėjusių metų EBITDA pokyčio koeficientu:</w:t>
                      </w:r>
                    </w:p>
                    <w:p>
                      <w:pPr>
                        <w:ind w:firstLine="806"/>
                        <w:rPr>
                          <w:szCs w:val="24"/>
                          <w:lang w:eastAsia="lt-LT"/>
                        </w:rPr>
                      </w:pPr>
                    </w:p>
                    <w:p>
                      <w:pPr>
                        <w:ind w:firstLine="2232"/>
                      </w:pPr>
                      <m:oMath>
                        <m:sSub>
                          <m:sSubPr>
                            <m:ctrlPr>
                              <w:rPr>
                                <w:rFonts w:ascii="Cambria Math" w:hAnsi="Cambria Math"/>
                                <w:szCs w:val="24"/>
                                <w:lang w:eastAsia="lt-LT"/>
                              </w:rPr>
                            </m:ctrlPr>
                          </m:sSubPr>
                          <m:e>
                            <m:r>
                              <w:rPr>
                                <w:rFonts w:ascii="Cambria Math" w:hAnsi="Cambria Math"/>
                                <w:szCs w:val="24"/>
                                <w:lang w:eastAsia="lt-LT"/>
                              </w:rPr>
                              <m:t>EBITDA</m:t>
                            </m:r>
                          </m:e>
                          <m:sub>
                            <m:r>
                              <w:rPr>
                                <w:rFonts w:ascii="Cambria Math" w:hAnsi="Cambria Math"/>
                                <w:szCs w:val="24"/>
                                <w:lang w:eastAsia="lt-LT"/>
                              </w:rPr>
                              <m:t>y-1</m:t>
                            </m:r>
                          </m:sub>
                        </m:sSub>
                        <m:r>
                          <m:rPr>
                            <m:sty m:val="p"/>
                          </m:rPr>
                          <w:rPr>
                            <w:rFonts w:ascii="Cambria Math" w:hAnsi="Cambria Math"/>
                            <w:szCs w:val="24"/>
                            <w:lang w:eastAsia="lt-LT"/>
                          </w:rPr>
                          <m:t>&gt;</m:t>
                        </m:r>
                        <m:sSub>
                          <m:sSubPr>
                            <m:ctrlPr>
                              <w:rPr>
                                <w:rFonts w:ascii="Cambria Math" w:hAnsi="Cambria Math"/>
                                <w:szCs w:val="24"/>
                                <w:lang w:eastAsia="lt-LT"/>
                              </w:rPr>
                            </m:ctrlPr>
                          </m:sSubPr>
                          <m:e>
                            <m:r>
                              <w:rPr>
                                <w:rFonts w:ascii="Cambria Math" w:hAnsi="Cambria Math"/>
                                <w:szCs w:val="24"/>
                                <w:lang w:eastAsia="lt-LT"/>
                              </w:rPr>
                              <m:t>EBITDA</m:t>
                            </m:r>
                          </m:e>
                          <m:sub>
                            <m:r>
                              <w:rPr>
                                <w:rFonts w:ascii="Cambria Math" w:hAnsi="Cambria Math"/>
                                <w:szCs w:val="24"/>
                                <w:lang w:eastAsia="lt-LT"/>
                              </w:rPr>
                              <m:t>y-2</m:t>
                            </m:r>
                          </m:sub>
                        </m:sSub>
                        <m:r>
                          <w:rPr>
                            <w:rFonts w:ascii="Cambria Math" w:hAnsi="Cambria Math"/>
                            <w:szCs w:val="24"/>
                            <w:lang w:eastAsia="lt-LT"/>
                          </w:rPr>
                          <m:t>×</m:t>
                        </m:r>
                        <m:d>
                          <m:dPr>
                            <m:ctrlPr>
                              <w:rPr>
                                <w:rFonts w:ascii="Cambria Math" w:hAnsi="Cambria Math"/>
                                <w:i/>
                                <w:iCs/>
                                <w:szCs w:val="24"/>
                                <w:lang w:eastAsia="lt-LT"/>
                              </w:rPr>
                            </m:ctrlPr>
                          </m:dPr>
                          <m:e>
                            <m:f>
                              <m:fPr>
                                <m:ctrlPr>
                                  <w:rPr>
                                    <w:rFonts w:ascii="Cambria Math" w:hAnsi="Cambria Math"/>
                                    <w:i/>
                                    <w:iCs/>
                                    <w:szCs w:val="24"/>
                                    <w:lang w:eastAsia="lt-LT"/>
                                  </w:rPr>
                                </m:ctrlPr>
                              </m:fPr>
                              <m:num>
                                <m:sSub>
                                  <m:sSubPr>
                                    <m:ctrlPr>
                                      <w:rPr>
                                        <w:rFonts w:ascii="Cambria Math" w:hAnsi="Cambria Math"/>
                                        <w:i/>
                                        <w:iCs/>
                                        <w:szCs w:val="24"/>
                                        <w:lang w:eastAsia="lt-LT"/>
                                      </w:rPr>
                                    </m:ctrlPr>
                                  </m:sSubPr>
                                  <m:e>
                                    <m:r>
                                      <w:rPr>
                                        <w:rFonts w:ascii="Cambria Math" w:hAnsi="Cambria Math"/>
                                        <w:szCs w:val="24"/>
                                        <w:lang w:eastAsia="lt-LT"/>
                                      </w:rPr>
                                      <m:t>EBITDA</m:t>
                                    </m:r>
                                  </m:e>
                                  <m:sub>
                                    <m:r>
                                      <w:rPr>
                                        <w:rFonts w:ascii="Cambria Math" w:hAnsi="Cambria Math"/>
                                        <w:szCs w:val="24"/>
                                        <w:lang w:eastAsia="lt-LT"/>
                                      </w:rPr>
                                      <m:t>y-2</m:t>
                                    </m:r>
                                  </m:sub>
                                </m:sSub>
                              </m:num>
                              <m:den>
                                <m:sSub>
                                  <m:sSubPr>
                                    <m:ctrlPr>
                                      <w:rPr>
                                        <w:rFonts w:ascii="Cambria Math" w:hAnsi="Cambria Math"/>
                                        <w:i/>
                                        <w:iCs/>
                                        <w:szCs w:val="24"/>
                                        <w:lang w:eastAsia="lt-LT"/>
                                      </w:rPr>
                                    </m:ctrlPr>
                                  </m:sSubPr>
                                  <m:e>
                                    <m:r>
                                      <w:rPr>
                                        <w:rFonts w:ascii="Cambria Math" w:hAnsi="Cambria Math"/>
                                        <w:szCs w:val="24"/>
                                        <w:lang w:eastAsia="lt-LT"/>
                                      </w:rPr>
                                      <m:t>EBITDA</m:t>
                                    </m:r>
                                  </m:e>
                                  <m:sub>
                                    <m:r>
                                      <w:rPr>
                                        <w:rFonts w:ascii="Cambria Math" w:hAnsi="Cambria Math"/>
                                        <w:szCs w:val="24"/>
                                        <w:lang w:eastAsia="lt-LT"/>
                                      </w:rPr>
                                      <m:t>y-3</m:t>
                                    </m:r>
                                  </m:sub>
                                </m:sSub>
                              </m:den>
                            </m:f>
                          </m:e>
                        </m:d>
                        <m:r>
                          <m:rPr>
                            <m:sty m:val="p"/>
                          </m:rPr>
                          <w:rPr>
                            <w:rFonts w:ascii="Cambria Math" w:hAnsi="Cambria Math"/>
                            <w:szCs w:val="24"/>
                            <w:lang w:eastAsia="lt-LT"/>
                          </w:rPr>
                          <m:t xml:space="preserve"> </m:t>
                        </m:r>
                      </m:oMath>
                      <w:r>
                        <w:rPr>
                          <w:iCs/>
                          <w:szCs w:val="24"/>
                          <w:lang w:eastAsia="lt-LT"/>
                        </w:rPr>
                        <w:t>(5</w:t>
                      </w:r>
                      <w:r>
                        <w:rPr>
                          <w:iCs/>
                          <w:szCs w:val="24"/>
                          <w:vertAlign w:val="superscript"/>
                          <w:lang w:eastAsia="lt-LT"/>
                        </w:rPr>
                        <w:t>3</w:t>
                      </w:r>
                      <w:r>
                        <w:rPr>
                          <w:iCs/>
                          <w:szCs w:val="24"/>
                          <w:lang w:eastAsia="lt-LT"/>
                        </w:rPr>
                        <w:t>)</w:t>
                      </w:r>
                    </w:p>
                    <w:p>
                      <w:pPr>
                        <w:tabs>
                          <w:tab w:val="left" w:pos="709"/>
                        </w:tabs>
                        <w:ind w:firstLine="709"/>
                        <w:jc w:val="both"/>
                        <w:rPr>
                          <w:szCs w:val="24"/>
                          <w:lang w:eastAsia="lt-LT"/>
                        </w:rPr>
                      </w:pPr>
                    </w:p>
                    <w:p>
                      <w:pPr>
                        <w:tabs>
                          <w:tab w:val="left" w:pos="709"/>
                        </w:tabs>
                        <w:ind w:firstLine="709"/>
                        <w:jc w:val="both"/>
                        <w:rPr>
                          <w:szCs w:val="24"/>
                          <w:lang w:eastAsia="lt-LT"/>
                        </w:rPr>
                      </w:pPr>
                      <w:r>
                        <w:rPr>
                          <w:szCs w:val="24"/>
                          <w:lang w:eastAsia="lt-LT"/>
                        </w:rPr>
                        <w:t xml:space="preserve">Kur: </w:t>
                      </w:r>
                    </w:p>
                    <w:p>
                      <w:pPr>
                        <w:tabs>
                          <w:tab w:val="left" w:pos="709"/>
                        </w:tabs>
                        <w:ind w:firstLine="709"/>
                        <w:jc w:val="both"/>
                        <w:rPr>
                          <w:szCs w:val="24"/>
                          <w:lang w:eastAsia="lt-LT"/>
                        </w:rPr>
                      </w:pPr>
                      <w:r>
                        <w:rPr>
                          <w:i/>
                          <w:iCs/>
                          <w:szCs w:val="24"/>
                          <w:lang w:eastAsia="lt-LT"/>
                        </w:rPr>
                        <w:t>EBITDA</w:t>
                      </w:r>
                      <w:r>
                        <w:rPr>
                          <w:i/>
                          <w:iCs/>
                          <w:szCs w:val="24"/>
                          <w:vertAlign w:val="subscript"/>
                          <w:lang w:eastAsia="lt-LT"/>
                        </w:rPr>
                        <w:t>y-1</w:t>
                      </w:r>
                      <w:r>
                        <w:rPr>
                          <w:szCs w:val="24"/>
                          <w:lang w:eastAsia="lt-LT"/>
                        </w:rPr>
                        <w:t xml:space="preserve"> – koreguota vertinamųjų metų EBITDA (pelnas prieš palūkanas, mokesčius, nusidėvėjimą bei amortizaciją);</w:t>
                      </w:r>
                    </w:p>
                    <w:p>
                      <w:pPr>
                        <w:tabs>
                          <w:tab w:val="left" w:pos="709"/>
                        </w:tabs>
                        <w:ind w:firstLine="709"/>
                        <w:jc w:val="both"/>
                        <w:rPr>
                          <w:szCs w:val="24"/>
                          <w:lang w:eastAsia="lt-LT"/>
                        </w:rPr>
                      </w:pPr>
                      <w:r>
                        <w:rPr>
                          <w:i/>
                          <w:iCs/>
                          <w:szCs w:val="24"/>
                          <w:lang w:eastAsia="lt-LT"/>
                        </w:rPr>
                        <w:t>EBITDA</w:t>
                      </w:r>
                      <w:r>
                        <w:rPr>
                          <w:i/>
                          <w:iCs/>
                          <w:szCs w:val="24"/>
                          <w:vertAlign w:val="subscript"/>
                          <w:lang w:eastAsia="lt-LT"/>
                        </w:rPr>
                        <w:t>y-2</w:t>
                      </w:r>
                      <w:r>
                        <w:rPr>
                          <w:i/>
                          <w:iCs/>
                          <w:szCs w:val="24"/>
                          <w:lang w:eastAsia="lt-LT"/>
                        </w:rPr>
                        <w:t xml:space="preserve"> – </w:t>
                      </w:r>
                      <w:r>
                        <w:rPr>
                          <w:szCs w:val="24"/>
                          <w:lang w:eastAsia="lt-LT"/>
                        </w:rPr>
                        <w:t>koreguota praėjusių ataskaitinių metų EBITDA (pelnas prieš palūkanas, mokesčius, nusidėvėjimą bei amortizaciją);</w:t>
                      </w:r>
                    </w:p>
                    <w:p>
                      <w:pPr>
                        <w:tabs>
                          <w:tab w:val="left" w:pos="709"/>
                        </w:tabs>
                        <w:ind w:firstLine="709"/>
                        <w:jc w:val="both"/>
                        <w:rPr>
                          <w:szCs w:val="24"/>
                          <w:lang w:eastAsia="lt-LT"/>
                        </w:rPr>
                      </w:pPr>
                      <w:r>
                        <w:rPr>
                          <w:i/>
                          <w:iCs/>
                          <w:szCs w:val="24"/>
                          <w:lang w:eastAsia="lt-LT"/>
                        </w:rPr>
                        <w:t>EBITDA</w:t>
                      </w:r>
                      <w:r>
                        <w:rPr>
                          <w:i/>
                          <w:iCs/>
                          <w:szCs w:val="24"/>
                          <w:vertAlign w:val="subscript"/>
                          <w:lang w:eastAsia="lt-LT"/>
                        </w:rPr>
                        <w:t>y-3</w:t>
                      </w:r>
                      <w:r>
                        <w:rPr>
                          <w:i/>
                          <w:iCs/>
                          <w:szCs w:val="24"/>
                          <w:lang w:eastAsia="lt-LT"/>
                        </w:rPr>
                        <w:t xml:space="preserve"> – </w:t>
                      </w:r>
                      <w:r>
                        <w:rPr>
                          <w:szCs w:val="24"/>
                          <w:lang w:eastAsia="lt-LT"/>
                        </w:rPr>
                        <w:t>koreguota užpraėjusių ataskaitinių metų EBITDA (pelnas prieš palūkanas, mokesčius, nusidėvėjimą bei amortizaciją).</w:t>
                      </w:r>
                    </w:p>
                    <w:p>
                      <w:pPr>
                        <w:tabs>
                          <w:tab w:val="left" w:pos="709"/>
                        </w:tabs>
                        <w:ind w:firstLine="709"/>
                        <w:jc w:val="both"/>
                        <w:rPr>
                          <w:i/>
                          <w:iCs/>
                          <w:szCs w:val="24"/>
                          <w:lang w:eastAsia="lt-LT"/>
                        </w:rPr>
                      </w:pPr>
                    </w:p>
                    <w:p>
                      <w:pPr>
                        <w:tabs>
                          <w:tab w:val="left" w:pos="709"/>
                        </w:tabs>
                        <w:ind w:firstLine="709"/>
                        <w:jc w:val="both"/>
                        <w:rPr>
                          <w:szCs w:val="24"/>
                          <w:lang w:eastAsia="lt-LT"/>
                        </w:rPr>
                      </w:pPr>
                      <w:r>
                        <w:rPr>
                          <w:szCs w:val="24"/>
                          <w:lang w:eastAsia="lt-LT"/>
                        </w:rPr>
                        <w:t>Jeigu sąlyga tenkinama, apskaičiuojama papildoma leistinų pajamų korekcija pagal formulę:</w:t>
                      </w:r>
                    </w:p>
                    <w:p>
                      <w:pPr>
                        <w:tabs>
                          <w:tab w:val="left" w:pos="709"/>
                        </w:tabs>
                        <w:ind w:firstLine="709"/>
                        <w:jc w:val="both"/>
                        <w:rPr>
                          <w:szCs w:val="24"/>
                          <w:lang w:eastAsia="lt-LT"/>
                        </w:rPr>
                      </w:pPr>
                    </w:p>
                    <w:p>
                      <w:pPr>
                        <w:tabs>
                          <w:tab w:val="left" w:pos="709"/>
                        </w:tabs>
                        <w:ind w:firstLine="1453"/>
                        <w:rPr>
                          <w:iCs/>
                          <w:szCs w:val="24"/>
                          <w:lang w:eastAsia="lt-LT"/>
                        </w:rPr>
                      </w:pPr>
                      <m:oMath>
                        <m:sSub>
                          <m:sSubPr>
                            <m:ctrlPr>
                              <w:rPr>
                                <w:rFonts w:ascii="Cambria Math" w:hAnsi="Cambria Math"/>
                                <w:i/>
                                <w:szCs w:val="24"/>
                                <w:lang w:eastAsia="lt-LT"/>
                              </w:rPr>
                            </m:ctrlPr>
                          </m:sSubPr>
                          <m:e>
                            <m:sSub>
                              <m:sSubPr>
                                <m:ctrlPr>
                                  <w:rPr>
                                    <w:rFonts w:ascii="Cambria Math" w:hAnsi="Cambria Math"/>
                                    <w:i/>
                                    <w:szCs w:val="24"/>
                                    <w:lang w:eastAsia="lt-LT"/>
                                  </w:rPr>
                                </m:ctrlPr>
                              </m:sSubPr>
                              <m:e>
                                <m:r>
                                  <w:rPr>
                                    <w:rFonts w:ascii="Cambria Math" w:hAnsi="Cambria Math"/>
                                    <w:szCs w:val="24"/>
                                    <w:lang w:eastAsia="lt-LT"/>
                                  </w:rPr>
                                  <m:t>R</m:t>
                                </m:r>
                              </m:e>
                              <m:sub>
                                <m:r>
                                  <w:rPr>
                                    <w:rFonts w:ascii="Cambria Math" w:hAnsi="Cambria Math"/>
                                    <w:szCs w:val="24"/>
                                    <w:lang w:eastAsia="lt-LT"/>
                                  </w:rPr>
                                  <m:t>p</m:t>
                                </m:r>
                              </m:sub>
                            </m:sSub>
                            <m:r>
                              <w:rPr>
                                <w:rFonts w:ascii="Cambria Math" w:hAnsi="Cambria Math"/>
                                <w:szCs w:val="24"/>
                                <w:lang w:eastAsia="lt-LT"/>
                              </w:rPr>
                              <m:t>=EBITDA</m:t>
                            </m:r>
                          </m:e>
                          <m:sub>
                            <m:r>
                              <w:rPr>
                                <w:rFonts w:ascii="Cambria Math" w:hAnsi="Cambria Math"/>
                                <w:szCs w:val="24"/>
                                <w:lang w:eastAsia="lt-LT"/>
                              </w:rPr>
                              <m:t>y-1</m:t>
                            </m:r>
                          </m:sub>
                        </m:sSub>
                        <m:r>
                          <w:rPr>
                            <w:rFonts w:ascii="Cambria Math" w:hAnsi="Cambria Math"/>
                            <w:szCs w:val="24"/>
                            <w:lang w:eastAsia="lt-LT"/>
                          </w:rPr>
                          <m:t xml:space="preserve">- </m:t>
                        </m:r>
                        <m:sSub>
                          <m:sSubPr>
                            <m:ctrlPr>
                              <w:rPr>
                                <w:rFonts w:ascii="Cambria Math" w:hAnsi="Cambria Math"/>
                                <w:szCs w:val="24"/>
                                <w:lang w:eastAsia="lt-LT"/>
                              </w:rPr>
                            </m:ctrlPr>
                          </m:sSubPr>
                          <m:e>
                            <m:r>
                              <w:rPr>
                                <w:rFonts w:ascii="Cambria Math" w:hAnsi="Cambria Math"/>
                                <w:szCs w:val="24"/>
                                <w:lang w:eastAsia="lt-LT"/>
                              </w:rPr>
                              <m:t>EBITDA</m:t>
                            </m:r>
                          </m:e>
                          <m:sub>
                            <m:r>
                              <w:rPr>
                                <w:rFonts w:ascii="Cambria Math" w:hAnsi="Cambria Math"/>
                                <w:szCs w:val="24"/>
                                <w:lang w:eastAsia="lt-LT"/>
                              </w:rPr>
                              <m:t>y-2</m:t>
                            </m:r>
                          </m:sub>
                        </m:sSub>
                        <m:r>
                          <w:rPr>
                            <w:rFonts w:ascii="Cambria Math" w:hAnsi="Cambria Math"/>
                            <w:szCs w:val="24"/>
                            <w:lang w:eastAsia="lt-LT"/>
                          </w:rPr>
                          <m:t>×</m:t>
                        </m:r>
                        <m:d>
                          <m:dPr>
                            <m:ctrlPr>
                              <w:rPr>
                                <w:rFonts w:ascii="Cambria Math" w:hAnsi="Cambria Math"/>
                                <w:i/>
                                <w:iCs/>
                                <w:szCs w:val="24"/>
                                <w:lang w:eastAsia="lt-LT"/>
                              </w:rPr>
                            </m:ctrlPr>
                          </m:dPr>
                          <m:e>
                            <m:f>
                              <m:fPr>
                                <m:ctrlPr>
                                  <w:rPr>
                                    <w:rFonts w:ascii="Cambria Math" w:hAnsi="Cambria Math"/>
                                    <w:i/>
                                    <w:iCs/>
                                    <w:szCs w:val="24"/>
                                    <w:lang w:eastAsia="lt-LT"/>
                                  </w:rPr>
                                </m:ctrlPr>
                              </m:fPr>
                              <m:num>
                                <m:sSub>
                                  <m:sSubPr>
                                    <m:ctrlPr>
                                      <w:rPr>
                                        <w:rFonts w:ascii="Cambria Math" w:hAnsi="Cambria Math"/>
                                        <w:i/>
                                        <w:iCs/>
                                        <w:szCs w:val="24"/>
                                        <w:lang w:eastAsia="lt-LT"/>
                                      </w:rPr>
                                    </m:ctrlPr>
                                  </m:sSubPr>
                                  <m:e>
                                    <m:r>
                                      <w:rPr>
                                        <w:rFonts w:ascii="Cambria Math" w:hAnsi="Cambria Math"/>
                                        <w:szCs w:val="24"/>
                                        <w:lang w:eastAsia="lt-LT"/>
                                      </w:rPr>
                                      <m:t>EBITDA</m:t>
                                    </m:r>
                                  </m:e>
                                  <m:sub>
                                    <m:r>
                                      <w:rPr>
                                        <w:rFonts w:ascii="Cambria Math" w:hAnsi="Cambria Math"/>
                                        <w:szCs w:val="24"/>
                                        <w:lang w:eastAsia="lt-LT"/>
                                      </w:rPr>
                                      <m:t>y-2</m:t>
                                    </m:r>
                                  </m:sub>
                                </m:sSub>
                              </m:num>
                              <m:den>
                                <m:sSub>
                                  <m:sSubPr>
                                    <m:ctrlPr>
                                      <w:rPr>
                                        <w:rFonts w:ascii="Cambria Math" w:hAnsi="Cambria Math"/>
                                        <w:i/>
                                        <w:iCs/>
                                        <w:szCs w:val="24"/>
                                        <w:lang w:eastAsia="lt-LT"/>
                                      </w:rPr>
                                    </m:ctrlPr>
                                  </m:sSubPr>
                                  <m:e>
                                    <m:r>
                                      <w:rPr>
                                        <w:rFonts w:ascii="Cambria Math" w:hAnsi="Cambria Math"/>
                                        <w:szCs w:val="24"/>
                                        <w:lang w:eastAsia="lt-LT"/>
                                      </w:rPr>
                                      <m:t>EBITDA</m:t>
                                    </m:r>
                                  </m:e>
                                  <m:sub>
                                    <m:r>
                                      <w:rPr>
                                        <w:rFonts w:ascii="Cambria Math" w:hAnsi="Cambria Math"/>
                                        <w:szCs w:val="24"/>
                                        <w:lang w:eastAsia="lt-LT"/>
                                      </w:rPr>
                                      <m:t>y-3</m:t>
                                    </m:r>
                                  </m:sub>
                                </m:sSub>
                              </m:den>
                            </m:f>
                          </m:e>
                        </m:d>
                      </m:oMath>
                      <w:r>
                        <w:rPr>
                          <w:iCs/>
                          <w:szCs w:val="24"/>
                          <w:lang w:eastAsia="lt-LT"/>
                        </w:rPr>
                        <w:t>(5</w:t>
                      </w:r>
                      <w:r>
                        <w:rPr>
                          <w:iCs/>
                          <w:szCs w:val="24"/>
                          <w:vertAlign w:val="superscript"/>
                          <w:lang w:eastAsia="lt-LT"/>
                        </w:rPr>
                        <w:t>4</w:t>
                      </w:r>
                      <w:r>
                        <w:rPr>
                          <w:iCs/>
                          <w:szCs w:val="24"/>
                          <w:lang w:eastAsia="lt-LT"/>
                        </w:rPr>
                        <w:t>)</w:t>
                      </w:r>
                    </w:p>
                    <w:p>
                      <w:pPr>
                        <w:tabs>
                          <w:tab w:val="left" w:pos="709"/>
                        </w:tabs>
                        <w:jc w:val="both"/>
                        <w:rPr>
                          <w:szCs w:val="24"/>
                          <w:lang w:eastAsia="lt-LT"/>
                        </w:rPr>
                      </w:pPr>
                    </w:p>
                    <w:p>
                      <w:pPr>
                        <w:tabs>
                          <w:tab w:val="left" w:pos="709"/>
                        </w:tabs>
                        <w:ind w:firstLine="709"/>
                        <w:jc w:val="both"/>
                        <w:rPr>
                          <w:szCs w:val="24"/>
                          <w:lang w:eastAsia="lt-LT"/>
                        </w:rPr>
                      </w:pPr>
                      <w:r>
                        <w:rPr>
                          <w:szCs w:val="24"/>
                          <w:lang w:eastAsia="lt-LT"/>
                        </w:rPr>
                        <w:t xml:space="preserve">Kur: </w:t>
                      </w:r>
                    </w:p>
                    <w:p>
                      <w:pPr>
                        <w:tabs>
                          <w:tab w:val="left" w:pos="709"/>
                        </w:tabs>
                        <w:ind w:firstLine="709"/>
                        <w:jc w:val="both"/>
                        <w:rPr>
                          <w:szCs w:val="24"/>
                          <w:lang w:eastAsia="lt-LT"/>
                        </w:rPr>
                      </w:pPr>
                      <w:r>
                        <w:rPr>
                          <w:i/>
                          <w:iCs/>
                          <w:szCs w:val="24"/>
                          <w:lang w:eastAsia="lt-LT"/>
                        </w:rPr>
                        <w:t>R</w:t>
                      </w:r>
                      <w:r>
                        <w:rPr>
                          <w:i/>
                          <w:iCs/>
                          <w:szCs w:val="24"/>
                          <w:vertAlign w:val="subscript"/>
                          <w:lang w:eastAsia="lt-LT"/>
                        </w:rPr>
                        <w:t>p</w:t>
                      </w:r>
                      <w:r>
                        <w:rPr>
                          <w:i/>
                          <w:iCs/>
                          <w:szCs w:val="24"/>
                          <w:lang w:eastAsia="lt-LT"/>
                        </w:rPr>
                        <w:t xml:space="preserve"> </w:t>
                      </w:r>
                      <w:r>
                        <w:rPr>
                          <w:szCs w:val="24"/>
                          <w:lang w:eastAsia="lt-LT"/>
                        </w:rPr>
                        <w:t>– papildoma leistinų pajamų korekcija, vertinamųjų metų koreguotam EBITDA viršijus praeitų metų koreguotą EBITDA, indeksuotą praėjusių metų EBITDA pokyčio koeficientu (Eur);</w:t>
                      </w:r>
                    </w:p>
                    <w:p>
                      <w:pPr>
                        <w:tabs>
                          <w:tab w:val="left" w:pos="709"/>
                        </w:tabs>
                        <w:ind w:firstLine="709"/>
                        <w:jc w:val="both"/>
                        <w:rPr>
                          <w:szCs w:val="24"/>
                          <w:lang w:eastAsia="lt-LT"/>
                        </w:rPr>
                      </w:pPr>
                    </w:p>
                    <w:p>
                      <w:pPr>
                        <w:tabs>
                          <w:tab w:val="left" w:pos="709"/>
                        </w:tabs>
                        <w:ind w:firstLine="709"/>
                        <w:jc w:val="both"/>
                        <w:rPr>
                          <w:szCs w:val="24"/>
                          <w:lang w:eastAsia="lt-LT"/>
                        </w:rPr>
                      </w:pPr>
                      <w:r>
                        <w:rPr>
                          <w:szCs w:val="24"/>
                          <w:lang w:eastAsia="lt-LT"/>
                        </w:rPr>
                        <w:t>Suminė leistinų pajamų korekcija apskaičiuojama pagal formulę:</w:t>
                      </w:r>
                    </w:p>
                    <w:p>
                      <w:pPr>
                        <w:tabs>
                          <w:tab w:val="left" w:pos="709"/>
                        </w:tabs>
                        <w:ind w:firstLine="709"/>
                        <w:jc w:val="both"/>
                        <w:rPr>
                          <w:szCs w:val="24"/>
                          <w:lang w:eastAsia="lt-LT"/>
                        </w:rPr>
                      </w:pPr>
                    </w:p>
                    <w:p>
                      <w:pPr>
                        <w:tabs>
                          <w:tab w:val="left" w:pos="709"/>
                          <w:tab w:val="left" w:pos="6228"/>
                        </w:tabs>
                        <w:ind w:firstLine="6228"/>
                        <w:jc w:val="both"/>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R</m:t>
                            </m:r>
                          </m:e>
                          <m:sub>
                            <m:r>
                              <w:rPr>
                                <w:rFonts w:ascii="Cambria Math" w:hAnsi="Cambria Math"/>
                                <w:szCs w:val="24"/>
                                <w:lang w:eastAsia="lt-LT"/>
                              </w:rPr>
                              <m:t>sum</m:t>
                            </m:r>
                          </m:sub>
                        </m:sSub>
                        <m:r>
                          <w:rPr>
                            <w:rFonts w:ascii="Cambria Math" w:hAnsi="Cambria Math"/>
                            <w:szCs w:val="24"/>
                            <w:lang w:eastAsia="lt-LT"/>
                          </w:rPr>
                          <m:t xml:space="preserve">=  </m:t>
                        </m:r>
                        <m:sSub>
                          <m:sSubPr>
                            <m:ctrlPr>
                              <w:rPr>
                                <w:rFonts w:ascii="Cambria Math" w:hAnsi="Cambria Math"/>
                                <w:i/>
                                <w:szCs w:val="24"/>
                                <w:lang w:eastAsia="lt-LT"/>
                              </w:rPr>
                            </m:ctrlPr>
                          </m:sSubPr>
                          <m:e>
                            <m:r>
                              <w:rPr>
                                <w:rFonts w:ascii="Cambria Math" w:hAnsi="Cambria Math"/>
                                <w:szCs w:val="24"/>
                                <w:lang w:eastAsia="lt-LT"/>
                              </w:rPr>
                              <m:t>R</m:t>
                            </m:r>
                          </m:e>
                          <m:sub>
                            <m:r>
                              <w:rPr>
                                <w:rFonts w:ascii="Cambria Math" w:hAnsi="Cambria Math"/>
                                <w:szCs w:val="24"/>
                                <w:lang w:eastAsia="lt-LT"/>
                              </w:rPr>
                              <m:t>0,7</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R</m:t>
                            </m:r>
                          </m:e>
                          <m:sub>
                            <m:r>
                              <w:rPr>
                                <w:rFonts w:ascii="Cambria Math" w:hAnsi="Cambria Math"/>
                                <w:szCs w:val="24"/>
                                <w:lang w:eastAsia="lt-LT"/>
                              </w:rPr>
                              <m:t>p</m:t>
                            </m:r>
                          </m:sub>
                        </m:sSub>
                      </m:oMath>
                      <w:r>
                        <w:rPr>
                          <w:iCs/>
                          <w:szCs w:val="24"/>
                          <w:lang w:eastAsia="lt-LT"/>
                        </w:rPr>
                        <w:t>(5</w:t>
                      </w:r>
                      <w:r>
                        <w:rPr>
                          <w:iCs/>
                          <w:szCs w:val="24"/>
                          <w:vertAlign w:val="superscript"/>
                          <w:lang w:eastAsia="lt-LT"/>
                        </w:rPr>
                        <w:t>5</w:t>
                      </w:r>
                      <w:r>
                        <w:rPr>
                          <w:iCs/>
                          <w:szCs w:val="24"/>
                          <w:lang w:eastAsia="lt-LT"/>
                        </w:rPr>
                        <w:t>)</w:t>
                      </w:r>
                    </w:p>
                    <w:p>
                      <w:pPr>
                        <w:rPr>
                          <w:szCs w:val="24"/>
                          <w:lang w:eastAsia="lt-LT"/>
                        </w:rPr>
                      </w:pPr>
                    </w:p>
                    <w:p>
                      <w:pPr>
                        <w:tabs>
                          <w:tab w:val="left" w:pos="709"/>
                        </w:tabs>
                        <w:ind w:firstLine="709"/>
                        <w:jc w:val="both"/>
                        <w:rPr>
                          <w:szCs w:val="24"/>
                          <w:lang w:eastAsia="lt-LT"/>
                        </w:rPr>
                      </w:pPr>
                      <w:r>
                        <w:rPr>
                          <w:szCs w:val="24"/>
                          <w:lang w:eastAsia="lt-LT"/>
                        </w:rPr>
                        <w:t xml:space="preserve">Kur: </w:t>
                      </w:r>
                    </w:p>
                    <w:p>
                      <w:pPr>
                        <w:tabs>
                          <w:tab w:val="left" w:pos="709"/>
                        </w:tabs>
                        <w:ind w:firstLine="709"/>
                        <w:jc w:val="both"/>
                      </w:pPr>
                      <w:r>
                        <w:rPr>
                          <w:i/>
                          <w:iCs/>
                          <w:szCs w:val="24"/>
                          <w:lang w:eastAsia="lt-LT"/>
                        </w:rPr>
                        <w:t>R</w:t>
                      </w:r>
                      <w:r>
                        <w:rPr>
                          <w:i/>
                          <w:iCs/>
                          <w:szCs w:val="24"/>
                          <w:vertAlign w:val="subscript"/>
                          <w:lang w:eastAsia="lt-LT"/>
                        </w:rPr>
                        <w:t>sum</w:t>
                      </w:r>
                      <w:r>
                        <w:rPr>
                          <w:i/>
                          <w:iCs/>
                          <w:szCs w:val="24"/>
                          <w:lang w:eastAsia="lt-LT"/>
                        </w:rPr>
                        <w:t xml:space="preserve"> – </w:t>
                      </w:r>
                      <w:r>
                        <w:rPr>
                          <w:szCs w:val="24"/>
                          <w:lang w:eastAsia="lt-LT"/>
                        </w:rPr>
                        <w:t>leistinų pajamų korekcijos, atitinkančios 70 proc., ir papildomos pajamų korekcijos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112366259b11f08fdabd4950271e2c">
                        <w:r w:rsidRPr="00532B9F">
                          <w:rPr>
                            <w:rFonts w:ascii="Times New Roman" w:eastAsia="MS Mincho" w:hAnsi="Times New Roman"/>
                            <w:sz w:val="20"/>
                            <w:i/>
                            <w:iCs/>
                            <w:color w:val="0000FF" w:themeColor="hyperlink"/>
                            <w:u w:val="single"/>
                          </w:rPr>
                          <w:t>O3E-604</w:t>
                        </w:r>
                      </w:fldSimple>
                      <w:r>
                        <w:rPr>
                          <w:rFonts w:ascii="Times New Roman" w:eastAsia="MS Mincho" w:hAnsi="Times New Roman"/>
                          <w:sz w:val="20"/>
                          <w:i/>
                          <w:iCs/>
                        </w:rPr>
                        <w:t>,
2025-04-30,
paskelbta TAR 2025-04-30, i. k. 2025-07745        </w:t>
                      </w:r>
                    </w:p>
                    <w:p/>
                  </w:sdtContent>
                </w:sdt>
                <w:sdt>
                  <w:sdtPr>
                    <w:alias w:val="30.9 pp."/>
                    <w:tag w:val="part_9601a85cbbf841578be0f06d755ecc07"/>
                    <w:lock w:val="sdtLocked"/>
                    <w:richText/>
                  </w:sdtPr>
                  <w:sdtContent>
                    <w:p>
                      <w:pPr>
                        <w:ind w:firstLine="709"/>
                        <w:jc w:val="both"/>
                        <w:rPr>
                          <w:rFonts w:eastAsia="Calibri"/>
                          <w:szCs w:val="24"/>
                          <w:lang w:eastAsia="lt-LT"/>
                        </w:rPr>
                      </w:pPr>
                      <w:sdt>
                        <w:sdtPr>
                          <w:alias w:val="Numeris"/>
                          <w:tag w:val="nr_9601a85cbbf841578be0f06d755ecc07"/>
                          <w:lock w:val="sdtLocked"/>
                          <w:richText/>
                        </w:sdtPr>
                        <w:sdtContent>
                          <w:r>
                            <w:rPr>
                              <w:szCs w:val="24"/>
                              <w:lang w:eastAsia="lt-LT"/>
                            </w:rPr>
                            <w:t>30.9</w:t>
                          </w:r>
                        </w:sdtContent>
                      </w:sdt>
                      <w:r>
                        <w:rPr>
                          <w:szCs w:val="24"/>
                          <w:lang w:eastAsia="lt-LT"/>
                        </w:rPr>
                        <w:t xml:space="preserve">. Asmeniui, kurio įrenginiai teikia Totalios elektros energetikos sistemos avarijos prevencijos ar likvidavimo paslaugą, izoliuoto darbo paslaugos leistinos pajamos gali būti koreguojamos 50 proc. praėjusio ataskaitinio laikotarpio pelno, gauto izoliuoto darbo paslaugą teikiančiais įrenginiais pagamintą elektros energiją bei balansavimo pajėgumų paslaugas parduodant Prekybos elektros energija taisyklėse nustatyta tvarka ir sąlygomis. Asmeniui, kuriam taikoma šio punkto nuostata, izoliuoto darbo paslaugos leistinų pajamų apimtyje įvertinama pusė investicijų grąžos per ataskaitinį laikotarpį, kuri apskaičiuojama, kaip pusė protingumo kriterijų atitinkančios investicijų grąžos normos r (proc.) ir reguliuojamoje veikloje naudojamo ilgalaikio materialaus ir </w:t>
                      </w:r>
                      <w:r>
                        <w:rPr>
                          <w:color w:val="000000"/>
                          <w:szCs w:val="24"/>
                          <w:lang w:eastAsia="lt-LT"/>
                        </w:rPr>
                        <w:t>nematerialaus turto vertės, priskirtinos reguliuojamai paslaugai, sandaugos.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112366259b11f08fdabd4950271e2c">
                        <w:r w:rsidRPr="00532B9F">
                          <w:rPr>
                            <w:rFonts w:ascii="Times New Roman" w:eastAsia="MS Mincho" w:hAnsi="Times New Roman"/>
                            <w:sz w:val="20"/>
                            <w:i/>
                            <w:iCs/>
                            <w:color w:val="0000FF" w:themeColor="hyperlink"/>
                            <w:u w:val="single"/>
                          </w:rPr>
                          <w:t>O3E-604</w:t>
                        </w:r>
                      </w:fldSimple>
                      <w:r>
                        <w:rPr>
                          <w:rFonts w:ascii="Times New Roman" w:eastAsia="MS Mincho" w:hAnsi="Times New Roman"/>
                          <w:sz w:val="20"/>
                          <w:i/>
                          <w:iCs/>
                        </w:rPr>
                        <w:t>,
2025-04-30,
paskelbta TAR 2025-04-30, i. k. 2025-07745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65ad701e6911ebb0038a8cd8ff585f">
                    <w:r w:rsidRPr="00532B9F">
                      <w:rPr>
                        <w:rFonts w:ascii="Times New Roman" w:eastAsia="MS Mincho" w:hAnsi="Times New Roman"/>
                        <w:sz w:val="20"/>
                        <w:i/>
                        <w:iCs/>
                        <w:color w:val="0000FF" w:themeColor="hyperlink"/>
                        <w:u w:val="single"/>
                      </w:rPr>
                      <w:t>O3E-1069</w:t>
                    </w:r>
                  </w:fldSimple>
                  <w:r>
                    <w:rPr>
                      <w:rFonts w:ascii="Times New Roman" w:eastAsia="MS Mincho" w:hAnsi="Times New Roman"/>
                      <w:sz w:val="20"/>
                      <w:i/>
                      <w:iCs/>
                    </w:rPr>
                    <w:t>,
2020-11-04,
paskelbta TAR 2020-11-04, i. k. 2020-22976            </w:t>
                  </w:r>
                </w:p>
                <w:p/>
              </w:sdtContent>
            </w:sdt>
            <w:sdt>
              <w:sdtPr>
                <w:alias w:val="31 p."/>
                <w:tag w:val="part_09a94eba27ae45989b6dfa15a1290850"/>
                <w:lock w:val="sdtLocked"/>
                <w:richText/>
              </w:sdtPr>
              <w:sdtContent>
                <w:p>
                  <w:pPr>
                    <w:tabs>
                      <w:tab w:val="left" w:pos="0"/>
                    </w:tabs>
                    <w:spacing w:line="22" w:lineRule="atLeast"/>
                    <w:ind w:firstLine="709"/>
                    <w:jc w:val="both"/>
                    <w:rPr>
                      <w:color w:val="000000"/>
                      <w:szCs w:val="24"/>
                    </w:rPr>
                  </w:pPr>
                  <w:sdt>
                    <w:sdtPr>
                      <w:alias w:val="Numeris"/>
                      <w:tag w:val="nr_09a94eba27ae45989b6dfa15a1290850"/>
                      <w:lock w:val="sdtLocked"/>
                      <w:richText/>
                    </w:sdtPr>
                    <w:sdtContent>
                      <w:r>
                        <w:rPr>
                          <w:color w:val="000000"/>
                          <w:szCs w:val="24"/>
                        </w:rPr>
                        <w:t>31</w:t>
                      </w:r>
                    </w:sdtContent>
                  </w:sdt>
                  <w:r>
                    <w:rPr>
                      <w:color w:val="000000"/>
                      <w:szCs w:val="24"/>
                    </w:rPr>
                    <w:t xml:space="preserve">. </w:t>
                  </w:r>
                  <w:r>
                    <w:rPr>
                      <w:szCs w:val="24"/>
                      <w:lang w:eastAsia="lt-LT"/>
                    </w:rPr>
                    <w:t xml:space="preserve">Asmeniui, kuriam pagal šios Metodikos reikalavimus neprivaloma rengti reguliavimo apskaitos sistemos, izoliuoto elektros energetikos sistemos darbo </w:t>
                  </w:r>
                  <w:r>
                    <w:rPr>
                      <w:szCs w:val="24"/>
                    </w:rPr>
                    <w:t xml:space="preserve">kainos viršutinė riba pirmaisiais metais nustatoma atsižvelgiant į Asmens teikiamos tretinio aktyviosios galios rezervo paslaugos kainą pagal paskutinio iki kainų nustatymo įvykusio perdavimo sistemos operatoriaus organizuoto tretinio aktyviosios galios rezervo užtikrinimo paslaugos aukciono rezultatus </w:t>
                  </w:r>
                  <w:r>
                    <w:rPr>
                      <w:szCs w:val="24"/>
                      <w:lang w:eastAsia="lt-LT"/>
                    </w:rPr>
                    <w:t xml:space="preserve">ir </w:t>
                  </w:r>
                  <w:r>
                    <w:rPr>
                      <w:color w:val="000000"/>
                      <w:szCs w:val="24"/>
                    </w:rPr>
                    <w:t>koreguojant 5 proc. verte</w:t>
                  </w:r>
                  <w:r>
                    <w:rPr>
                      <w:szCs w:val="24"/>
                    </w:rPr>
                    <w:t xml:space="preserve">. Jei Asmuo nėra dalyvavęs arba Asmens kainos pasiūlymai nėra laimėję perdavimo sistemos operatoriaus organizuoto tretinio aktyviosios galios rezervo užtikrinimo paslaugos aukciono, tokiam Asmeniui </w:t>
                  </w:r>
                  <w:r>
                    <w:rPr>
                      <w:szCs w:val="24"/>
                      <w:lang w:eastAsia="lt-LT"/>
                    </w:rPr>
                    <w:t xml:space="preserve">izoliuoto elektros energetikos sistemos darbo </w:t>
                  </w:r>
                  <w:r>
                    <w:rPr>
                      <w:szCs w:val="24"/>
                    </w:rPr>
                    <w:t>kainos viršutinė riba pirmą kartą nustatoma pagal Asmenų, kuriems pagal šios Metodikos reikalavimus neprivaloma rengti reguliavimo apskaitos sistemos, teikiamų tretinio aktyviosios galios rezervo užtikrinimo paslaugos kainų svertinį vidurkį, apskaičiuotą atsižvelgiant į paskutinio iki kainų nustatymo įvykusio perdavimo sistemos operatoriaus organizuoto aukciono rezultatus, ir šį vidurkį koreguojant 5 proc. verte.</w:t>
                  </w:r>
                </w:p>
              </w:sdtContent>
            </w:sdt>
            <w:sdt>
              <w:sdtPr>
                <w:alias w:val="32 p."/>
                <w:tag w:val="part_edaa25f4934b4d3798c5b17501ede3e2"/>
                <w:lock w:val="sdtLocked"/>
                <w:richText/>
              </w:sdtPr>
              <w:sdtContent>
                <w:p>
                  <w:pPr>
                    <w:tabs>
                      <w:tab w:val="left" w:pos="709"/>
                    </w:tabs>
                    <w:suppressAutoHyphens/>
                    <w:ind w:firstLine="709"/>
                    <w:jc w:val="both"/>
                    <w:rPr>
                      <w:szCs w:val="24"/>
                      <w:lang w:eastAsia="lt-LT"/>
                    </w:rPr>
                  </w:pPr>
                  <w:sdt>
                    <w:sdtPr>
                      <w:alias w:val="Numeris"/>
                      <w:tag w:val="nr_edaa25f4934b4d3798c5b17501ede3e2"/>
                      <w:lock w:val="sdtLocked"/>
                      <w:richText/>
                    </w:sdtPr>
                    <w:sdtContent>
                      <w:r>
                        <w:rPr>
                          <w:szCs w:val="24"/>
                          <w:lang w:eastAsia="lt-LT"/>
                        </w:rPr>
                        <w:t>32</w:t>
                      </w:r>
                    </w:sdtContent>
                  </w:sdt>
                  <w:r>
                    <w:rPr>
                      <w:szCs w:val="24"/>
                      <w:lang w:eastAsia="lt-LT"/>
                    </w:rPr>
                    <w:t>. Visais kitais metais, einančiais po pirmųjų metų, kuriems izoliuoto elektros energetikos sistemos darbo kainos viršutinė riba buvo nustatyta pagal Metodikos 31 punktą, izoliuoto elektros energetikos sistemos darbo kainos viršutinė riba nustatoma – Tarybos praėjusiais metais nustatytą kainos viršutinę ribą pakoreguojant Finansų ministerijos prognozuojamos metinės infliacijos -dydžiu ir efektyvumo rodikliu, kuris yra lygus 1 proc., bei skirtumu, susidariusiu dėl praėjusių metų prognozuotos metinės infliacijos ir faktinės praėjusių metų metinės infliacijos neatitikimo.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6d0505cf311ee81b8b446907f594f">
                    <w:r w:rsidRPr="00532B9F">
                      <w:rPr>
                        <w:rFonts w:ascii="Times New Roman" w:eastAsia="MS Mincho" w:hAnsi="Times New Roman"/>
                        <w:sz w:val="20"/>
                        <w:i/>
                        <w:iCs/>
                        <w:color w:val="0000FF" w:themeColor="hyperlink"/>
                        <w:u w:val="single"/>
                      </w:rPr>
                      <w:t>O3E-1390</w:t>
                    </w:r>
                  </w:fldSimple>
                  <w:r>
                    <w:rPr>
                      <w:rFonts w:ascii="Times New Roman" w:eastAsia="MS Mincho" w:hAnsi="Times New Roman"/>
                      <w:sz w:val="20"/>
                      <w:i/>
                      <w:iCs/>
                    </w:rPr>
                    <w:t>,
2023-09-27,
paskelbta TAR 2023-09-27, i. k. 2023-18760            </w:t>
                  </w:r>
                </w:p>
                <w:p/>
              </w:sdtContent>
            </w:sdt>
            <w:sdt>
              <w:sdtPr>
                <w:alias w:val="33 p."/>
                <w:tag w:val="part_35f49d3990e24d0697783322a4b8a62b"/>
                <w:lock w:val="sdtLocked"/>
                <w:richText/>
              </w:sdtPr>
              <w:sdtContent>
                <w:p>
                  <w:pPr>
                    <w:tabs>
                      <w:tab w:val="left" w:pos="0"/>
                    </w:tabs>
                    <w:spacing w:line="22" w:lineRule="atLeast"/>
                    <w:ind w:firstLine="709"/>
                    <w:jc w:val="both"/>
                    <w:rPr>
                      <w:szCs w:val="24"/>
                      <w:lang w:eastAsia="lt-LT"/>
                    </w:rPr>
                  </w:pPr>
                  <w:sdt>
                    <w:sdtPr>
                      <w:alias w:val="Numeris"/>
                      <w:tag w:val="nr_35f49d3990e24d0697783322a4b8a62b"/>
                      <w:lock w:val="sdtLocked"/>
                      <w:richText/>
                    </w:sdtPr>
                    <w:sdtContent>
                      <w:r>
                        <w:rPr>
                          <w:szCs w:val="24"/>
                          <w:lang w:eastAsia="lt-LT"/>
                        </w:rPr>
                        <w:t>33</w:t>
                      </w:r>
                    </w:sdtContent>
                  </w:sdt>
                  <w:r>
                    <w:rPr>
                      <w:szCs w:val="24"/>
                      <w:lang w:eastAsia="lt-LT"/>
                    </w:rPr>
                    <w:t xml:space="preserve">. Asmeniui, kuriam pagal šios Metodikos 31 ir 32 punktų reikalavimus yra nustatytos izoliuoto elektros energetikos sistemos darbo </w:t>
                  </w:r>
                  <w:r>
                    <w:rPr>
                      <w:szCs w:val="24"/>
                    </w:rPr>
                    <w:t>kainų viršutinės ribos, neprivaloma rengti reguliavimo apskaitos sistemos.</w:t>
                  </w:r>
                </w:p>
              </w:sdtContent>
            </w:sdt>
            <w:sdt>
              <w:sdtPr>
                <w:alias w:val="34 p."/>
                <w:tag w:val="part_66a4d2e363e24acdacd558646c89151b"/>
                <w:lock w:val="sdtLocked"/>
                <w:richText/>
              </w:sdtPr>
              <w:sdtContent>
                <w:p>
                  <w:pPr>
                    <w:tabs>
                      <w:tab w:val="left" w:pos="0"/>
                    </w:tabs>
                    <w:spacing w:line="22" w:lineRule="atLeast"/>
                    <w:ind w:firstLine="709"/>
                    <w:jc w:val="both"/>
                    <w:rPr>
                      <w:szCs w:val="24"/>
                      <w:lang w:eastAsia="lt-LT"/>
                    </w:rPr>
                  </w:pPr>
                  <w:sdt>
                    <w:sdtPr>
                      <w:alias w:val="Numeris"/>
                      <w:tag w:val="nr_66a4d2e363e24acdacd558646c89151b"/>
                      <w:lock w:val="sdtLocked"/>
                      <w:richText/>
                    </w:sdtPr>
                    <w:sdtContent>
                      <w:r>
                        <w:rPr>
                          <w:szCs w:val="24"/>
                          <w:lang w:eastAsia="lt-LT"/>
                        </w:rPr>
                        <w:t>34</w:t>
                      </w:r>
                    </w:sdtContent>
                  </w:sdt>
                  <w:r>
                    <w:rPr>
                      <w:szCs w:val="24"/>
                      <w:lang w:eastAsia="lt-LT"/>
                    </w:rPr>
                    <w:t xml:space="preserve">. Jeigu Asmuo, kuriam pagal šios Metodikos 31 ir 32 punktų reikalavimus yra nustatyta izoliuoto elektros energetikos sistemos darbo </w:t>
                  </w:r>
                  <w:r>
                    <w:rPr>
                      <w:szCs w:val="24"/>
                    </w:rPr>
                    <w:t>paslaugos kainos viršutinė riba,</w:t>
                  </w:r>
                  <w:r>
                    <w:rPr>
                      <w:szCs w:val="24"/>
                      <w:lang w:eastAsia="lt-LT"/>
                    </w:rPr>
                    <w:t xml:space="preserve"> pagal šios Metodikos 6 punktą parengia ir pateikia patikrintą auditoriaus reguliuojamosios veiklos ataskaitą sąnaudų pagrįstumui įvertinti, per ataskaitinį laikotarpį (y-2) susidarę neatitikimai tarp faktiškai patirtų sąnaudų ir gautų pajamų iš perdavimo sistemos operatoriaus kompensuojami už laikotarpį, kuriam Asmeniui kaina buvo nustatyta pagal šios Metodikos 31 ir 32 punktų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65ad701e6911ebb0038a8cd8ff585f">
                    <w:r w:rsidRPr="00532B9F">
                      <w:rPr>
                        <w:rFonts w:ascii="Times New Roman" w:eastAsia="MS Mincho" w:hAnsi="Times New Roman"/>
                        <w:sz w:val="20"/>
                        <w:i/>
                        <w:iCs/>
                        <w:color w:val="0000FF" w:themeColor="hyperlink"/>
                        <w:u w:val="single"/>
                      </w:rPr>
                      <w:t>O3E-1069</w:t>
                    </w:r>
                  </w:fldSimple>
                  <w:r>
                    <w:rPr>
                      <w:rFonts w:ascii="Times New Roman" w:eastAsia="MS Mincho" w:hAnsi="Times New Roman"/>
                      <w:sz w:val="20"/>
                      <w:i/>
                      <w:iCs/>
                    </w:rPr>
                    <w:t>,
2020-11-04,
paskelbta TAR 2020-11-04, i. k. 2020-22976            </w:t>
                  </w:r>
                </w:p>
                <w:p/>
              </w:sdtContent>
            </w:sdt>
            <w:sdt>
              <w:sdtPr>
                <w:alias w:val="35 p."/>
                <w:tag w:val="part_7a2f9f76de75440793c95fe6b1c32dad"/>
                <w:lock w:val="sdtLocked"/>
                <w:richText/>
              </w:sdtPr>
              <w:sdtContent>
                <w:p>
                  <w:pPr>
                    <w:tabs>
                      <w:tab w:val="left" w:pos="0"/>
                    </w:tabs>
                    <w:spacing w:line="22" w:lineRule="atLeast"/>
                    <w:ind w:firstLine="709"/>
                    <w:jc w:val="both"/>
                    <w:rPr>
                      <w:szCs w:val="24"/>
                    </w:rPr>
                  </w:pPr>
                  <w:sdt>
                    <w:sdtPr>
                      <w:alias w:val="Numeris"/>
                      <w:tag w:val="nr_7a2f9f76de75440793c95fe6b1c32dad"/>
                      <w:lock w:val="sdtLocked"/>
                      <w:richText/>
                    </w:sdtPr>
                    <w:sdtContent>
                      <w:r>
                        <w:rPr>
                          <w:rFonts w:eastAsia="Calibri"/>
                          <w:szCs w:val="24"/>
                          <w:lang w:eastAsia="lt-LT"/>
                        </w:rPr>
                        <w:t>35</w:t>
                      </w:r>
                    </w:sdtContent>
                  </w:sdt>
                  <w:r>
                    <w:rPr>
                      <w:rFonts w:eastAsia="Calibri"/>
                      <w:szCs w:val="24"/>
                      <w:lang w:eastAsia="lt-LT"/>
                    </w:rPr>
                    <w:t xml:space="preserve">. </w:t>
                  </w:r>
                  <w:r>
                    <w:rPr>
                      <w:szCs w:val="24"/>
                      <w:lang w:eastAsia="lt-LT"/>
                    </w:rPr>
                    <w:t xml:space="preserve">Tuo atveju, kai Asmuo, kuriam izoliuoto elektros energetikos sistemos darbo </w:t>
                  </w:r>
                  <w:r>
                    <w:rPr>
                      <w:szCs w:val="24"/>
                    </w:rPr>
                    <w:t xml:space="preserve">paslaugos kainos viršutinė riba nustatyta pagal Metodikos 30 punkto reikalavimus, </w:t>
                  </w:r>
                  <w:r>
                    <w:rPr>
                      <w:szCs w:val="24"/>
                      <w:lang w:eastAsia="lt-LT"/>
                    </w:rPr>
                    <w:t>nebeteikia</w:t>
                  </w:r>
                  <w:r>
                    <w:rPr>
                      <w:szCs w:val="24"/>
                    </w:rPr>
                    <w:t xml:space="preserve"> </w:t>
                  </w:r>
                  <w:r>
                    <w:rPr>
                      <w:szCs w:val="24"/>
                      <w:lang w:eastAsia="lt-LT"/>
                    </w:rPr>
                    <w:t>izoliuoto elektros energetikos sistemos darbo paslaugos, per ataskaitinį laikotarpį (y-2) susidarę neatitikimai tarp Asmens faktiškai patirtų sąnaudų (nevertinant investicijų grąžos ir kintamų sąnaudų ir gautinų pajamų iš elektros energijos gamybos)</w:t>
                  </w:r>
                  <w:r>
                    <w:rPr>
                      <w:szCs w:val="24"/>
                    </w:rPr>
                    <w:t xml:space="preserve"> </w:t>
                  </w:r>
                  <w:r>
                    <w:rPr>
                      <w:szCs w:val="24"/>
                      <w:lang w:eastAsia="lt-LT"/>
                    </w:rPr>
                    <w:t>teikiant šias paslaugas Tarybos sprendimu įvertinami, įpareigojant Asmenį grąžinti susidariusį neatitikimą perdavimo sistemos operatoriui, jeigu Asmens faktiškai patirtos sąnaudos buvo mažesnės nei gautos pajamos iš perdavimo sistemos operatoriaus, arba išmokant susidariusį neatitikimą Asmeniui, jeigu Asmens faktiškai patirtos sąnaudos buvo didesnės nei gautos pajamos iš perdavimo sistemos operatoriaus.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65ad701e6911ebb0038a8cd8ff585f">
                    <w:r w:rsidRPr="00532B9F">
                      <w:rPr>
                        <w:rFonts w:ascii="Times New Roman" w:eastAsia="MS Mincho" w:hAnsi="Times New Roman"/>
                        <w:sz w:val="20"/>
                        <w:i/>
                        <w:iCs/>
                        <w:color w:val="0000FF" w:themeColor="hyperlink"/>
                        <w:u w:val="single"/>
                      </w:rPr>
                      <w:t>O3E-1069</w:t>
                    </w:r>
                  </w:fldSimple>
                  <w:r>
                    <w:rPr>
                      <w:rFonts w:ascii="Times New Roman" w:eastAsia="MS Mincho" w:hAnsi="Times New Roman"/>
                      <w:sz w:val="20"/>
                      <w:i/>
                      <w:iCs/>
                    </w:rPr>
                    <w:t>,
2020-11-04,
paskelbta TAR 2020-11-04, i. k. 2020-22976            </w:t>
                  </w:r>
                </w:p>
                <w:p/>
              </w:sdtContent>
            </w:sdt>
            <w:sdt>
              <w:sdtPr>
                <w:alias w:val="35-1 p."/>
                <w:tag w:val="part_ef3678e123ef4177bd22bda63ed66224"/>
                <w:lock w:val="sdtLocked"/>
                <w:richText/>
              </w:sdtPr>
              <w:sdtContent>
                <w:p>
                  <w:pPr>
                    <w:ind w:firstLine="709"/>
                    <w:jc w:val="both"/>
                    <w:rPr>
                      <w:szCs w:val="24"/>
                    </w:rPr>
                  </w:pPr>
                  <w:sdt>
                    <w:sdtPr>
                      <w:alias w:val="Numeris"/>
                      <w:tag w:val="nr_ef3678e123ef4177bd22bda63ed66224"/>
                      <w:lock w:val="sdtLocked"/>
                      <w:richText/>
                    </w:sdtPr>
                    <w:sdtContent>
                      <w:r>
                        <w:rPr>
                          <w:szCs w:val="24"/>
                          <w:lang w:eastAsia="lt-LT"/>
                        </w:rPr>
                        <w:t>35</w:t>
                      </w:r>
                      <w:r>
                        <w:rPr>
                          <w:szCs w:val="24"/>
                          <w:vertAlign w:val="superscript"/>
                        </w:rPr>
                        <w:t>1</w:t>
                      </w:r>
                    </w:sdtContent>
                  </w:sdt>
                  <w:r>
                    <w:rPr>
                      <w:szCs w:val="24"/>
                    </w:rPr>
                    <w:t>. Energetikos inovacijoms įgyvendinti skiriamas finansavimas:</w:t>
                  </w:r>
                </w:p>
                <w:sdt>
                  <w:sdtPr>
                    <w:alias w:val="35-1.1 pp."/>
                    <w:tag w:val="part_c9f7a019ae6c40f1ae23bf0b565f3784"/>
                    <w:lock w:val="sdtLocked"/>
                    <w:richText/>
                  </w:sdtPr>
                  <w:sdtContent>
                    <w:p>
                      <w:pPr>
                        <w:ind w:firstLine="709"/>
                        <w:jc w:val="both"/>
                        <w:rPr>
                          <w:szCs w:val="24"/>
                        </w:rPr>
                      </w:pPr>
                      <w:sdt>
                        <w:sdtPr>
                          <w:alias w:val="Numeris"/>
                          <w:tag w:val="nr_c9f7a019ae6c40f1ae23bf0b565f3784"/>
                          <w:lock w:val="sdtLocked"/>
                          <w:richText/>
                        </w:sdtPr>
                        <w:sdtContent>
                          <w:r>
                            <w:t>35</w:t>
                          </w:r>
                          <w:r>
                            <w:rPr>
                              <w:vertAlign w:val="superscript"/>
                            </w:rPr>
                            <w:t>1</w:t>
                          </w:r>
                          <w:r>
                            <w:rPr>
                              <w:szCs w:val="24"/>
                            </w:rPr>
                            <w:t>.1</w:t>
                          </w:r>
                        </w:sdtContent>
                      </w:sdt>
                      <w:r>
                        <w:rPr>
                          <w:szCs w:val="24"/>
                        </w:rPr>
                        <w:t xml:space="preserve">. asmeniui, bandomojoje energetikos inovacijų aplinkoje teikiančiam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 xml:space="preserve">30.1 papunkčio nuostatas </w:t>
                      </w:r>
                      <w:r>
                        <w:rPr>
                          <w:szCs w:val="24"/>
                        </w:rPr>
                        <w:t>pratęsiamas iki energetikos inovacijos bandymo termino pabaigos;</w:t>
                      </w:r>
                    </w:p>
                  </w:sdtContent>
                </w:sdt>
                <w:sdt>
                  <w:sdtPr>
                    <w:alias w:val="35-1.2 pp."/>
                    <w:tag w:val="part_ba5ff2a5dd75400d8d72361ef83857b6"/>
                    <w:lock w:val="sdtLocked"/>
                    <w:richText/>
                  </w:sdtPr>
                  <w:sdtContent>
                    <w:p>
                      <w:pPr>
                        <w:ind w:firstLine="709"/>
                        <w:jc w:val="both"/>
                        <w:rPr>
                          <w:szCs w:val="24"/>
                        </w:rPr>
                      </w:pPr>
                      <w:sdt>
                        <w:sdtPr>
                          <w:alias w:val="Numeris"/>
                          <w:tag w:val="nr_ba5ff2a5dd75400d8d72361ef83857b6"/>
                          <w:lock w:val="sdtLocked"/>
                          <w:richText/>
                        </w:sdtPr>
                        <w:sdtContent>
                          <w:r>
                            <w:t>35</w:t>
                          </w:r>
                          <w:r>
                            <w:rPr>
                              <w:vertAlign w:val="superscript"/>
                            </w:rPr>
                            <w:t>1</w:t>
                          </w:r>
                          <w:r>
                            <w:rPr>
                              <w:szCs w:val="24"/>
                            </w:rPr>
                            <w:t>.2</w:t>
                          </w:r>
                        </w:sdtContent>
                      </w:sdt>
                      <w:r>
                        <w:rPr>
                          <w:szCs w:val="24"/>
                        </w:rPr>
                        <w:t xml:space="preserve">. asmeniui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 xml:space="preserve">30.1 papunkčio nuostatas skiriamas energetikos inovacijos įsigijimo vertei padengti bei eksploatacinėms sąnaudoms, antrais ir trečiais metais </w:t>
                      </w:r>
                      <w:r>
                        <w:rPr>
                          <w:szCs w:val="24"/>
                        </w:rPr>
                        <w:t xml:space="preserve">finansavimas pagal Metodikos </w:t>
                      </w:r>
                      <w:r>
                        <w:rPr>
                          <w:szCs w:val="24"/>
                          <w:lang w:eastAsia="lt-LT"/>
                        </w:rPr>
                        <w:t>30.1 papunkčio nuostatas skiriamas tik eksploatacinėms sąnaudoms;</w:t>
                      </w:r>
                    </w:p>
                  </w:sdtContent>
                </w:sdt>
                <w:sdt>
                  <w:sdtPr>
                    <w:alias w:val="35-1.3 pp."/>
                    <w:tag w:val="part_3375c8596b7d40d5b8f1983d87c7d282"/>
                    <w:lock w:val="sdtLocked"/>
                    <w:richText/>
                  </w:sdtPr>
                  <w:sdtContent>
                    <w:p>
                      <w:pPr>
                        <w:tabs>
                          <w:tab w:val="left" w:pos="993"/>
                        </w:tabs>
                        <w:ind w:firstLine="709"/>
                        <w:jc w:val="both"/>
                        <w:rPr>
                          <w:szCs w:val="24"/>
                          <w:lang w:eastAsia="lt-LT"/>
                        </w:rPr>
                      </w:pPr>
                      <w:sdt>
                        <w:sdtPr>
                          <w:alias w:val="Numeris"/>
                          <w:tag w:val="nr_3375c8596b7d40d5b8f1983d87c7d282"/>
                          <w:lock w:val="sdtLocked"/>
                          <w:richText/>
                        </w:sdtPr>
                        <w:sdtContent>
                          <w:r>
                            <w:t>35</w:t>
                          </w:r>
                          <w:r>
                            <w:rPr>
                              <w:vertAlign w:val="superscript"/>
                            </w:rPr>
                            <w:t>1</w:t>
                          </w:r>
                          <w:r>
                            <w:rPr>
                              <w:szCs w:val="24"/>
                            </w:rPr>
                            <w:t>.3</w:t>
                          </w:r>
                        </w:sdtContent>
                      </w:sdt>
                      <w:r>
                        <w:rPr>
                          <w:szCs w:val="24"/>
                        </w:rPr>
                        <w:t xml:space="preserve">. asmeniui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30.1 papunkčio nuostatas</w:t>
                      </w:r>
                      <w:r>
                        <w:rPr>
                          <w:szCs w:val="24"/>
                        </w:rPr>
                        <w:t xml:space="preserve"> energetikos inovacijos eksploatacinėms sąnaudoms pratęsiamas iki energetikos inovacijos bandymo termino pabaigos;</w:t>
                      </w:r>
                    </w:p>
                  </w:sdtContent>
                </w:sdt>
                <w:sdt>
                  <w:sdtPr>
                    <w:alias w:val="35-1.4 pp."/>
                    <w:tag w:val="part_158137cfaf4e495d93cd467ccaf62e9b"/>
                    <w:lock w:val="sdtLocked"/>
                    <w:richText/>
                  </w:sdtPr>
                  <w:sdtContent>
                    <w:p>
                      <w:pPr>
                        <w:tabs>
                          <w:tab w:val="left" w:pos="993"/>
                        </w:tabs>
                        <w:ind w:firstLine="709"/>
                        <w:jc w:val="both"/>
                        <w:rPr>
                          <w:szCs w:val="24"/>
                        </w:rPr>
                      </w:pPr>
                      <w:sdt>
                        <w:sdtPr>
                          <w:alias w:val="Numeris"/>
                          <w:tag w:val="nr_158137cfaf4e495d93cd467ccaf62e9b"/>
                          <w:lock w:val="sdtLocked"/>
                          <w:richText/>
                        </w:sdtPr>
                        <w:sdtContent>
                          <w:r>
                            <w:t>35</w:t>
                          </w:r>
                          <w:r>
                            <w:rPr>
                              <w:vertAlign w:val="superscript"/>
                            </w:rPr>
                            <w:t>1</w:t>
                          </w:r>
                          <w:r>
                            <w:t>.4</w:t>
                          </w:r>
                        </w:sdtContent>
                      </w:sdt>
                      <w:r>
                        <w:t xml:space="preserve">. asmeniui, diegiančiam energetikos inovacijas bandomojoje energetikos inovacijų aplinkoje, Tarybai panaikinus teisę veikti bandomojoje energetikos inovacijų aplinkoje ir (arba) per dvejus metus nuo finansavimo energetikos inovacijoms ne bandomojoje aplinkoje taikymo pradžios Asmeniui nepradėjus vykdytis energetikos inovacijų, vartotojams grąžinamos visos Asmeniui skirtos ir per izoliuoto elektros energetikos sistemos darbo paslaugos kainą įsisavintos lėšos, susijusios su energetikos inovacijos diegimu, mažinant ateinančių metų pajamų lygį.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sdtContent>
            </w:sdt>
          </w:sdtContent>
        </w:sdt>
        <w:sdt>
          <w:sdtPr>
            <w:alias w:val="skyrius"/>
            <w:tag w:val="part_6937936014a443088099a768aa274917"/>
            <w:lock w:val="sdtLocked"/>
            <w:richText/>
          </w:sdtPr>
          <w:sdtContent>
            <w:p>
              <w:pPr>
                <w:tabs>
                  <w:tab w:val="left" w:pos="0"/>
                  <w:tab w:val="left" w:pos="1134"/>
                </w:tabs>
                <w:spacing w:line="22" w:lineRule="atLeast"/>
                <w:ind w:left="-142"/>
                <w:jc w:val="center"/>
                <w:rPr>
                  <w:bCs/>
                  <w:szCs w:val="24"/>
                </w:rPr>
              </w:pPr>
              <w:sdt>
                <w:sdtPr>
                  <w:alias w:val="Numeris"/>
                  <w:tag w:val="nr_6937936014a443088099a768aa274917"/>
                  <w:lock w:val="sdtLocked"/>
                  <w:richText/>
                </w:sdtPr>
                <w:sdtContent>
                  <w:r>
                    <w:rPr>
                      <w:bCs/>
                      <w:szCs w:val="24"/>
                    </w:rPr>
                    <w:t>V</w:t>
                  </w:r>
                  <w:r>
                    <w:rPr>
                      <w:bCs/>
                      <w:szCs w:val="24"/>
                      <w:vertAlign w:val="superscript"/>
                    </w:rPr>
                    <w:t>1</w:t>
                  </w:r>
                </w:sdtContent>
              </w:sdt>
              <w:r>
                <w:rPr>
                  <w:bCs/>
                  <w:szCs w:val="24"/>
                </w:rPr>
                <w:t xml:space="preserve"> SKYRIUS</w:t>
              </w:r>
            </w:p>
            <w:sdt>
              <w:sdtPr>
                <w:alias w:val="Pavadinimas"/>
                <w:tag w:val="title_6937936014a443088099a768aa274917"/>
                <w:lock w:val="sdtLocked"/>
                <w:richText/>
              </w:sdtPr>
              <w:sdtContent>
                <w:p>
                  <w:pPr>
                    <w:tabs>
                      <w:tab w:val="left" w:pos="0"/>
                      <w:tab w:val="left" w:pos="1134"/>
                    </w:tabs>
                    <w:spacing w:line="22" w:lineRule="atLeast"/>
                    <w:jc w:val="center"/>
                    <w:rPr>
                      <w:bCs/>
                      <w:szCs w:val="24"/>
                      <w:lang w:eastAsia="lt-LT"/>
                    </w:rPr>
                  </w:pPr>
                  <w:r>
                    <w:rPr>
                      <w:bCs/>
                      <w:szCs w:val="24"/>
                      <w:lang w:eastAsia="lt-LT"/>
                    </w:rPr>
                    <w:t xml:space="preserve">IZOLIUOTO DARBO REZERVO PASLAUGOS </w:t>
                  </w:r>
                </w:p>
                <w:p>
                  <w:pPr>
                    <w:tabs>
                      <w:tab w:val="left" w:pos="0"/>
                      <w:tab w:val="left" w:pos="1134"/>
                    </w:tabs>
                    <w:spacing w:line="22" w:lineRule="atLeast"/>
                    <w:jc w:val="center"/>
                    <w:rPr>
                      <w:bCs/>
                      <w:szCs w:val="24"/>
                      <w:lang w:eastAsia="lt-LT"/>
                    </w:rPr>
                  </w:pPr>
                  <w:r>
                    <w:rPr>
                      <w:bCs/>
                      <w:szCs w:val="24"/>
                    </w:rPr>
                    <w:t>LEISTINŲ PAJAMŲ NUSTATYMO TAISYKLĖS</w:t>
                  </w:r>
                </w:p>
              </w:sdtContent>
            </w:sdt>
            <w:p>
              <w:pPr>
                <w:tabs>
                  <w:tab w:val="left" w:pos="0"/>
                  <w:tab w:val="left" w:pos="1134"/>
                </w:tabs>
                <w:spacing w:line="22" w:lineRule="atLeast"/>
                <w:ind w:left="709"/>
                <w:jc w:val="center"/>
                <w:rPr>
                  <w:bCs/>
                  <w:szCs w:val="24"/>
                  <w:lang w:eastAsia="lt-LT"/>
                </w:rPr>
              </w:pPr>
            </w:p>
            <w:sdt>
              <w:sdtPr>
                <w:alias w:val="35-2 p."/>
                <w:tag w:val="part_b1a7d7d4c7c94829b6b29e5ddc84885f"/>
                <w:lock w:val="sdtLocked"/>
                <w:richText/>
              </w:sdtPr>
              <w:sdtContent>
                <w:p>
                  <w:pPr>
                    <w:tabs>
                      <w:tab w:val="left" w:pos="0"/>
                    </w:tabs>
                    <w:spacing w:line="22" w:lineRule="atLeast"/>
                    <w:ind w:firstLine="720"/>
                    <w:jc w:val="both"/>
                    <w:rPr>
                      <w:bCs/>
                      <w:szCs w:val="24"/>
                    </w:rPr>
                  </w:pPr>
                  <w:sdt>
                    <w:sdtPr>
                      <w:alias w:val="Numeris"/>
                      <w:tag w:val="nr_b1a7d7d4c7c94829b6b29e5ddc84885f"/>
                      <w:lock w:val="sdtLocked"/>
                      <w:richText/>
                    </w:sdtPr>
                    <w:sdtContent>
                      <w:r>
                        <w:rPr>
                          <w:bCs/>
                          <w:szCs w:val="24"/>
                        </w:rPr>
                        <w:t>35</w:t>
                      </w:r>
                      <w:r>
                        <w:rPr>
                          <w:bCs/>
                          <w:szCs w:val="24"/>
                          <w:vertAlign w:val="superscript"/>
                          <w:lang w:val="en-US"/>
                        </w:rPr>
                        <w:t>2</w:t>
                      </w:r>
                    </w:sdtContent>
                  </w:sdt>
                  <w:r>
                    <w:rPr>
                      <w:bCs/>
                      <w:szCs w:val="24"/>
                    </w:rPr>
                    <w:t xml:space="preserve">. Asmuo, teikiantis izoliuoto darbo rezervo paslaugą, privalo rengti reguliavimo apskaitos sistemą vadovaujantis Sąnaudų aprašo reikalavimais. </w:t>
                  </w:r>
                  <w:r>
                    <w:rPr>
                      <w:bCs/>
                      <w:color w:val="000000"/>
                      <w:szCs w:val="24"/>
                      <w:lang w:eastAsia="lt-LT"/>
                    </w:rPr>
                    <w:t>Asmeniui nustatoma kainos viršutinė riba</w:t>
                  </w:r>
                  <w:r>
                    <w:rPr>
                      <w:bCs/>
                      <w:szCs w:val="24"/>
                    </w:rPr>
                    <w:t>. Reguliuojamos i</w:t>
                  </w:r>
                  <w:r>
                    <w:rPr>
                      <w:bCs/>
                      <w:szCs w:val="24"/>
                      <w:lang w:eastAsia="lt-LT"/>
                    </w:rPr>
                    <w:t xml:space="preserve">zoliuoto darbo rezervo </w:t>
                  </w:r>
                  <w:r>
                    <w:rPr>
                      <w:bCs/>
                      <w:szCs w:val="24"/>
                    </w:rPr>
                    <w:t>paslaugos kainos viršutinė riba nustatoma vadovaujantis šiais principais:</w:t>
                  </w:r>
                </w:p>
                <w:sdt>
                  <w:sdtPr>
                    <w:alias w:val="35-2.1 pp."/>
                    <w:tag w:val="part_13a71195779f42d2ad9ebab74b3156c4"/>
                    <w:lock w:val="sdtLocked"/>
                    <w:richText/>
                  </w:sdtPr>
                  <w:sdtContent>
                    <w:p>
                      <w:pPr>
                        <w:tabs>
                          <w:tab w:val="left" w:pos="0"/>
                        </w:tabs>
                        <w:spacing w:line="22" w:lineRule="atLeast"/>
                        <w:ind w:firstLine="720"/>
                        <w:jc w:val="both"/>
                        <w:rPr>
                          <w:bCs/>
                          <w:szCs w:val="24"/>
                        </w:rPr>
                      </w:pPr>
                      <w:sdt>
                        <w:sdtPr>
                          <w:alias w:val="Numeris"/>
                          <w:tag w:val="nr_13a71195779f42d2ad9ebab74b3156c4"/>
                          <w:lock w:val="sdtLocked"/>
                          <w:richText/>
                        </w:sdtPr>
                        <w:sdtContent>
                          <w:r>
                            <w:rPr>
                              <w:bCs/>
                              <w:szCs w:val="24"/>
                            </w:rPr>
                            <w:t>35</w:t>
                          </w:r>
                          <w:r>
                            <w:rPr>
                              <w:bCs/>
                              <w:szCs w:val="24"/>
                              <w:vertAlign w:val="superscript"/>
                            </w:rPr>
                            <w:t>2</w:t>
                          </w:r>
                          <w:r>
                            <w:rPr>
                              <w:bCs/>
                              <w:szCs w:val="24"/>
                            </w:rPr>
                            <w:t>.1</w:t>
                          </w:r>
                        </w:sdtContent>
                      </w:sdt>
                      <w:r>
                        <w:rPr>
                          <w:bCs/>
                          <w:szCs w:val="24"/>
                        </w:rPr>
                        <w:t xml:space="preserve"> reguliuojamos </w:t>
                      </w:r>
                      <w:r>
                        <w:rPr>
                          <w:bCs/>
                          <w:szCs w:val="24"/>
                          <w:lang w:eastAsia="lt-LT"/>
                        </w:rPr>
                        <w:t xml:space="preserve">izoliuoto darbo rezervo </w:t>
                      </w:r>
                      <w:r>
                        <w:rPr>
                          <w:bCs/>
                          <w:szCs w:val="24"/>
                        </w:rPr>
                        <w:t>paslaugos kainos viršutinė riba yra lygi šios paslaugos teikimo metinių prognozuojamų sąnaudų ir investicijų grąžos (įvertinant galimus investicijų grąžos nuokrypius už praėjusius ataskaitinius laikotarpius) sumai padalintai iš prognozuojamo paslaugos kiekio. I</w:t>
                      </w:r>
                      <w:r>
                        <w:rPr>
                          <w:bCs/>
                          <w:szCs w:val="24"/>
                          <w:lang w:eastAsia="lt-LT"/>
                        </w:rPr>
                        <w:t xml:space="preserve">zoliuoto darbo rezervo </w:t>
                      </w:r>
                      <w:r>
                        <w:rPr>
                          <w:bCs/>
                          <w:szCs w:val="24"/>
                        </w:rPr>
                        <w:t>paslaugos kainos viršutinė riba</w:t>
                      </w:r>
                      <w:r>
                        <w:rPr>
                          <w:bCs/>
                          <w:color w:val="000000"/>
                          <w:szCs w:val="24"/>
                          <w:lang w:eastAsia="lt-LT"/>
                        </w:rPr>
                        <w:t xml:space="preserve"> nustatoma</w:t>
                      </w:r>
                      <w:r>
                        <w:rPr>
                          <w:bCs/>
                          <w:szCs w:val="24"/>
                        </w:rPr>
                        <w:t>:</w:t>
                      </w:r>
                    </w:p>
                    <w:sdt>
                      <w:sdtPr>
                        <w:alias w:val="35-2.1.1 pp."/>
                        <w:tag w:val="part_23ff251bf5b542c6bb9098ec27b159cd"/>
                        <w:lock w:val="sdtLocked"/>
                        <w:richText/>
                      </w:sdtPr>
                      <w:sdtContent>
                        <w:p>
                          <w:pPr>
                            <w:ind w:firstLine="709"/>
                            <w:jc w:val="both"/>
                            <w:rPr>
                              <w:bCs/>
                              <w:color w:val="000000"/>
                              <w:szCs w:val="24"/>
                              <w:lang w:eastAsia="lt-LT"/>
                            </w:rPr>
                          </w:pPr>
                          <w:sdt>
                            <w:sdtPr>
                              <w:alias w:val="Numeris"/>
                              <w:tag w:val="nr_23ff251bf5b542c6bb9098ec27b159cd"/>
                              <w:lock w:val="sdtLocked"/>
                              <w:richText/>
                            </w:sdtPr>
                            <w:sdtContent>
                              <w:r>
                                <w:rPr>
                                  <w:bCs/>
                                  <w:color w:val="000000"/>
                                  <w:szCs w:val="24"/>
                                  <w:lang w:eastAsia="lt-LT"/>
                                </w:rPr>
                                <w:t>35</w:t>
                              </w:r>
                              <w:r>
                                <w:rPr>
                                  <w:bCs/>
                                  <w:color w:val="000000"/>
                                  <w:szCs w:val="24"/>
                                  <w:vertAlign w:val="superscript"/>
                                  <w:lang w:eastAsia="lt-LT"/>
                                </w:rPr>
                                <w:t>2</w:t>
                              </w:r>
                              <w:r>
                                <w:rPr>
                                  <w:bCs/>
                                  <w:color w:val="000000"/>
                                  <w:szCs w:val="24"/>
                                  <w:lang w:eastAsia="lt-LT"/>
                                </w:rPr>
                                <w:t>.1.1</w:t>
                              </w:r>
                            </w:sdtContent>
                          </w:sdt>
                          <w:r>
                            <w:rPr>
                              <w:bCs/>
                              <w:color w:val="000000"/>
                              <w:szCs w:val="24"/>
                              <w:lang w:eastAsia="lt-LT"/>
                            </w:rPr>
                            <w:t>. vadovaujantis formule:</w:t>
                          </w:r>
                        </w:p>
                        <w:p>
                          <w:pPr>
                            <w:ind w:firstLine="709"/>
                            <w:jc w:val="both"/>
                            <w:rPr>
                              <w:bCs/>
                              <w:color w:val="000000"/>
                              <w:szCs w:val="24"/>
                              <w:lang w:eastAsia="lt-LT"/>
                            </w:rPr>
                          </w:pPr>
                        </w:p>
                        <w:p>
                          <w:pPr>
                            <w:ind w:firstLine="709"/>
                            <w:jc w:val="both"/>
                            <w:rPr>
                              <w:bCs/>
                              <w:color w:val="000000"/>
                              <w:szCs w:val="24"/>
                              <w:lang w:eastAsia="lt-LT"/>
                            </w:rPr>
                          </w:pPr>
                          <m:oMath>
                            <m:r>
                              <w:rPr>
                                <w:rFonts w:ascii="Cambria Math" w:hAnsi="Cambria Math"/>
                                <w:color w:val="000000"/>
                                <w:szCs w:val="24"/>
                                <w:lang w:eastAsia="lt-LT"/>
                              </w:rPr>
                              <m:t xml:space="preserve"> </m:t>
                            </m:r>
                            <m:sSub>
                              <m:sSubPr>
                                <m:ctrlPr>
                                  <w:rPr>
                                    <w:rFonts w:ascii="Cambria Math" w:hAnsi="Cambria Math"/>
                                    <w:bCs/>
                                    <w:i/>
                                    <w:color w:val="000000"/>
                                    <w:szCs w:val="24"/>
                                    <w:lang w:eastAsia="lt-LT"/>
                                  </w:rPr>
                                </m:ctrlPr>
                              </m:sSubPr>
                              <m:e>
                                <m:r>
                                  <w:rPr>
                                    <w:rFonts w:ascii="Cambria Math" w:hAnsi="Cambria Math"/>
                                    <w:color w:val="000000"/>
                                    <w:szCs w:val="24"/>
                                    <w:lang w:eastAsia="lt-LT"/>
                                  </w:rPr>
                                  <m:t>T</m:t>
                                </m:r>
                              </m:e>
                              <m:sub>
                                <m:r>
                                  <w:rPr>
                                    <w:rFonts w:ascii="Cambria Math" w:hAnsi="Cambria Math"/>
                                    <w:color w:val="000000"/>
                                    <w:szCs w:val="24"/>
                                    <w:lang w:eastAsia="lt-LT"/>
                                  </w:rPr>
                                  <m:t>ISDR</m:t>
                                </m:r>
                                <m:r>
                                  <w:rPr>
                                    <w:rFonts w:ascii="Cambria Math" w:hAnsi="Cambria Math"/>
                                    <w:color w:val="000000"/>
                                    <w:szCs w:val="24"/>
                                    <w:lang w:eastAsia="lt-LT"/>
                                  </w:rPr>
                                  <m:t>,</m:t>
                                </m:r>
                                <m:r>
                                  <w:rPr>
                                    <w:rFonts w:ascii="Cambria Math" w:hAnsi="Cambria Math"/>
                                    <w:color w:val="000000"/>
                                    <w:szCs w:val="24"/>
                                    <w:lang w:eastAsia="lt-LT"/>
                                  </w:rPr>
                                  <m:t>y</m:t>
                                </m:r>
                              </m:sub>
                            </m:sSub>
                            <m:r>
                              <w:rPr>
                                <w:rFonts w:ascii="Cambria Math" w:hAnsi="Cambria Math"/>
                                <w:color w:val="000000"/>
                                <w:szCs w:val="24"/>
                                <w:lang w:eastAsia="lt-LT"/>
                              </w:rPr>
                              <m:t>=</m:t>
                            </m:r>
                            <m:sSub>
                              <m:sSubPr>
                                <m:ctrlPr>
                                  <w:rPr>
                                    <w:rFonts w:ascii="Cambria Math" w:hAnsi="Cambria Math"/>
                                    <w:bCs/>
                                    <w:i/>
                                    <w:color w:val="000000"/>
                                    <w:szCs w:val="24"/>
                                    <w:lang w:eastAsia="lt-LT"/>
                                  </w:rPr>
                                </m:ctrlPr>
                              </m:sSubPr>
                              <m:e>
                                <m:r>
                                  <w:rPr>
                                    <w:rFonts w:ascii="Cambria Math" w:hAnsi="Cambria Math"/>
                                    <w:color w:val="000000"/>
                                    <w:szCs w:val="24"/>
                                    <w:lang w:eastAsia="lt-LT"/>
                                  </w:rPr>
                                  <m:t>S</m:t>
                                </m:r>
                              </m:e>
                              <m:sub>
                                <m:r>
                                  <w:rPr>
                                    <w:rFonts w:ascii="Cambria Math" w:hAnsi="Cambria Math"/>
                                    <w:color w:val="000000"/>
                                    <w:szCs w:val="24"/>
                                    <w:lang w:eastAsia="lt-LT"/>
                                  </w:rPr>
                                  <m:t>ISDR</m:t>
                                </m:r>
                                <m:r>
                                  <w:rPr>
                                    <w:rFonts w:ascii="Cambria Math" w:hAnsi="Cambria Math"/>
                                    <w:color w:val="000000"/>
                                    <w:szCs w:val="24"/>
                                    <w:lang w:eastAsia="lt-LT"/>
                                  </w:rPr>
                                  <m:t>,</m:t>
                                </m:r>
                                <m:r>
                                  <w:rPr>
                                    <w:rFonts w:ascii="Cambria Math" w:hAnsi="Cambria Math"/>
                                    <w:color w:val="000000"/>
                                    <w:szCs w:val="24"/>
                                    <w:lang w:eastAsia="lt-LT"/>
                                  </w:rPr>
                                  <m:t>y</m:t>
                                </m:r>
                              </m:sub>
                            </m:sSub>
                            <m:r>
                              <w:rPr>
                                <w:rFonts w:ascii="Cambria Math" w:hAnsi="Cambria Math"/>
                                <w:color w:val="000000"/>
                                <w:szCs w:val="24"/>
                                <w:lang w:eastAsia="lt-LT"/>
                              </w:rPr>
                              <m:t>=</m:t>
                            </m:r>
                            <m:f>
                              <m:fPr>
                                <m:ctrlPr>
                                  <w:rPr>
                                    <w:rFonts w:ascii="Cambria Math" w:hAnsi="Cambria Math"/>
                                    <w:bCs/>
                                    <w:i/>
                                    <w:color w:val="000000"/>
                                    <w:szCs w:val="24"/>
                                    <w:lang w:eastAsia="lt-LT"/>
                                  </w:rPr>
                                </m:ctrlPr>
                              </m:fPr>
                              <m:num>
                                <m:d>
                                  <m:dPr>
                                    <m:ctrlPr>
                                      <w:rPr>
                                        <w:rFonts w:ascii="Cambria Math" w:hAnsi="Cambria Math"/>
                                        <w:bCs/>
                                        <w:i/>
                                        <w:color w:val="000000"/>
                                        <w:szCs w:val="24"/>
                                        <w:lang w:eastAsia="lt-LT"/>
                                      </w:rPr>
                                    </m:ctrlPr>
                                  </m:dPr>
                                  <m:e>
                                    <m:sSub>
                                      <m:sSubPr>
                                        <m:ctrlPr>
                                          <w:rPr>
                                            <w:rFonts w:ascii="Cambria Math" w:hAnsi="Cambria Math"/>
                                            <w:bCs/>
                                            <w:i/>
                                            <w:color w:val="000000"/>
                                            <w:szCs w:val="24"/>
                                            <w:lang w:eastAsia="lt-LT"/>
                                          </w:rPr>
                                        </m:ctrlPr>
                                      </m:sSubPr>
                                      <m:e>
                                        <m:r>
                                          <w:rPr>
                                            <w:rFonts w:ascii="Cambria Math" w:hAnsi="Cambria Math"/>
                                            <w:color w:val="000000"/>
                                            <w:szCs w:val="24"/>
                                            <w:lang w:eastAsia="lt-LT"/>
                                          </w:rPr>
                                          <m:t>S</m:t>
                                        </m:r>
                                      </m:e>
                                      <m:sub>
                                        <m:r>
                                          <w:rPr>
                                            <w:rFonts w:ascii="Cambria Math" w:hAnsi="Cambria Math"/>
                                            <w:color w:val="000000"/>
                                            <w:szCs w:val="24"/>
                                            <w:lang w:eastAsia="lt-LT"/>
                                          </w:rPr>
                                          <m:t>P</m:t>
                                        </m:r>
                                        <m:r>
                                          <w:rPr>
                                            <w:rFonts w:ascii="Cambria Math" w:hAnsi="Cambria Math"/>
                                            <w:color w:val="000000"/>
                                            <w:szCs w:val="24"/>
                                            <w:lang w:eastAsia="lt-LT"/>
                                          </w:rPr>
                                          <m:t>,</m:t>
                                        </m:r>
                                        <m:r>
                                          <w:rPr>
                                            <w:rFonts w:ascii="Cambria Math" w:hAnsi="Cambria Math"/>
                                            <w:color w:val="000000"/>
                                            <w:szCs w:val="24"/>
                                            <w:lang w:eastAsia="lt-LT"/>
                                          </w:rPr>
                                          <m:t>ISDR</m:t>
                                        </m:r>
                                        <m:r>
                                          <w:rPr>
                                            <w:rFonts w:ascii="Cambria Math" w:hAnsi="Cambria Math"/>
                                            <w:color w:val="000000"/>
                                            <w:szCs w:val="24"/>
                                            <w:lang w:eastAsia="lt-LT"/>
                                          </w:rPr>
                                          <m:t>,</m:t>
                                        </m:r>
                                        <m:r>
                                          <w:rPr>
                                            <w:rFonts w:ascii="Cambria Math" w:hAnsi="Cambria Math"/>
                                            <w:color w:val="000000"/>
                                            <w:szCs w:val="24"/>
                                            <w:lang w:eastAsia="lt-LT"/>
                                          </w:rPr>
                                          <m:t>y</m:t>
                                        </m:r>
                                      </m:sub>
                                    </m:sSub>
                                    <m:r>
                                      <w:rPr>
                                        <w:rFonts w:ascii="Cambria Math" w:hAnsi="Cambria Math"/>
                                        <w:color w:val="000000"/>
                                        <w:szCs w:val="24"/>
                                        <w:lang w:eastAsia="lt-LT"/>
                                      </w:rPr>
                                      <m:t>+</m:t>
                                    </m:r>
                                    <m:sSub>
                                      <m:sSubPr>
                                        <m:ctrlPr>
                                          <w:rPr>
                                            <w:rFonts w:ascii="Cambria Math" w:hAnsi="Cambria Math"/>
                                            <w:bCs/>
                                            <w:i/>
                                            <w:color w:val="000000"/>
                                            <w:szCs w:val="24"/>
                                            <w:lang w:eastAsia="lt-LT"/>
                                          </w:rPr>
                                        </m:ctrlPr>
                                      </m:sSubPr>
                                      <m:e>
                                        <m:r>
                                          <w:rPr>
                                            <w:rFonts w:ascii="Cambria Math" w:hAnsi="Cambria Math"/>
                                            <w:color w:val="000000"/>
                                            <w:szCs w:val="24"/>
                                            <w:lang w:eastAsia="lt-LT"/>
                                          </w:rPr>
                                          <m:t>S</m:t>
                                        </m:r>
                                      </m:e>
                                      <m:sub>
                                        <m:r>
                                          <w:rPr>
                                            <w:rFonts w:ascii="Cambria Math" w:hAnsi="Cambria Math"/>
                                            <w:color w:val="000000"/>
                                            <w:szCs w:val="24"/>
                                            <w:lang w:eastAsia="lt-LT"/>
                                          </w:rPr>
                                          <m:t>K</m:t>
                                        </m:r>
                                        <m:r>
                                          <w:rPr>
                                            <w:rFonts w:ascii="Cambria Math" w:hAnsi="Cambria Math"/>
                                            <w:color w:val="000000"/>
                                            <w:szCs w:val="24"/>
                                            <w:lang w:eastAsia="lt-LT"/>
                                          </w:rPr>
                                          <m:t>,</m:t>
                                        </m:r>
                                        <m:r>
                                          <w:rPr>
                                            <w:rFonts w:ascii="Cambria Math" w:hAnsi="Cambria Math"/>
                                            <w:color w:val="000000"/>
                                            <w:szCs w:val="24"/>
                                            <w:lang w:eastAsia="lt-LT"/>
                                          </w:rPr>
                                          <m:t>ISDR</m:t>
                                        </m:r>
                                        <m:r>
                                          <w:rPr>
                                            <w:rFonts w:ascii="Cambria Math" w:hAnsi="Cambria Math"/>
                                            <w:color w:val="000000"/>
                                            <w:szCs w:val="24"/>
                                            <w:lang w:eastAsia="lt-LT"/>
                                          </w:rPr>
                                          <m:t>,</m:t>
                                        </m:r>
                                        <m:r>
                                          <w:rPr>
                                            <w:rFonts w:ascii="Cambria Math" w:hAnsi="Cambria Math"/>
                                            <w:color w:val="000000"/>
                                            <w:szCs w:val="24"/>
                                            <w:lang w:eastAsia="lt-LT"/>
                                          </w:rPr>
                                          <m:t>y</m:t>
                                        </m:r>
                                      </m:sub>
                                    </m:sSub>
                                    <m:r>
                                      <w:rPr>
                                        <w:rFonts w:ascii="Cambria Math" w:hAnsi="Cambria Math"/>
                                        <w:color w:val="000000"/>
                                        <w:szCs w:val="24"/>
                                        <w:lang w:eastAsia="lt-LT"/>
                                      </w:rPr>
                                      <m:t>+</m:t>
                                    </m:r>
                                    <m:sSub>
                                      <m:sSubPr>
                                        <m:ctrlPr>
                                          <w:rPr>
                                            <w:rFonts w:ascii="Cambria Math" w:hAnsi="Cambria Math"/>
                                            <w:bCs/>
                                            <w:i/>
                                            <w:color w:val="000000"/>
                                            <w:szCs w:val="24"/>
                                            <w:lang w:eastAsia="lt-LT"/>
                                          </w:rPr>
                                        </m:ctrlPr>
                                      </m:sSubPr>
                                      <m:e>
                                        <m:r>
                                          <w:rPr>
                                            <w:rFonts w:ascii="Cambria Math" w:hAnsi="Cambria Math"/>
                                            <w:color w:val="000000"/>
                                            <w:szCs w:val="24"/>
                                            <w:lang w:eastAsia="lt-LT"/>
                                          </w:rPr>
                                          <m:t>ROI</m:t>
                                        </m:r>
                                      </m:e>
                                      <m:sub>
                                        <m:r>
                                          <w:rPr>
                                            <w:rFonts w:ascii="Cambria Math" w:hAnsi="Cambria Math"/>
                                            <w:color w:val="000000"/>
                                            <w:szCs w:val="24"/>
                                            <w:lang w:eastAsia="lt-LT"/>
                                          </w:rPr>
                                          <m:t>ISDR</m:t>
                                        </m:r>
                                        <m:r>
                                          <w:rPr>
                                            <w:rFonts w:ascii="Cambria Math" w:hAnsi="Cambria Math"/>
                                            <w:color w:val="000000"/>
                                            <w:szCs w:val="24"/>
                                            <w:lang w:eastAsia="lt-LT"/>
                                          </w:rPr>
                                          <m:t>,</m:t>
                                        </m:r>
                                        <m:r>
                                          <w:rPr>
                                            <w:rFonts w:ascii="Cambria Math" w:hAnsi="Cambria Math"/>
                                            <w:color w:val="000000"/>
                                            <w:szCs w:val="24"/>
                                            <w:lang w:eastAsia="lt-LT"/>
                                          </w:rPr>
                                          <m:t>y</m:t>
                                        </m:r>
                                      </m:sub>
                                    </m:sSub>
                                    <m:r>
                                      <w:rPr>
                                        <w:rFonts w:ascii="Cambria Math" w:hAnsi="Cambria Math"/>
                                        <w:color w:val="000000"/>
                                        <w:szCs w:val="24"/>
                                        <w:lang w:eastAsia="lt-LT"/>
                                      </w:rPr>
                                      <m:t>+∆</m:t>
                                    </m:r>
                                    <m:sSub>
                                      <m:sSubPr>
                                        <m:ctrlPr>
                                          <w:rPr>
                                            <w:rFonts w:ascii="Cambria Math" w:hAnsi="Cambria Math"/>
                                            <w:bCs/>
                                            <w:i/>
                                            <w:color w:val="000000"/>
                                            <w:szCs w:val="24"/>
                                            <w:lang w:eastAsia="lt-LT"/>
                                          </w:rPr>
                                        </m:ctrlPr>
                                      </m:sSubPr>
                                      <m:e>
                                        <m:r>
                                          <w:rPr>
                                            <w:rFonts w:ascii="Cambria Math" w:hAnsi="Cambria Math"/>
                                            <w:color w:val="000000"/>
                                            <w:szCs w:val="24"/>
                                            <w:lang w:eastAsia="lt-LT"/>
                                          </w:rPr>
                                          <m:t>ROI</m:t>
                                        </m:r>
                                      </m:e>
                                      <m:sub>
                                        <m:r>
                                          <w:rPr>
                                            <w:rFonts w:ascii="Cambria Math" w:hAnsi="Cambria Math"/>
                                            <w:color w:val="000000"/>
                                            <w:szCs w:val="24"/>
                                            <w:lang w:eastAsia="lt-LT"/>
                                          </w:rPr>
                                          <m:t>ISDR</m:t>
                                        </m:r>
                                        <m:r>
                                          <w:rPr>
                                            <w:rFonts w:ascii="Cambria Math" w:hAnsi="Cambria Math"/>
                                            <w:color w:val="000000"/>
                                            <w:szCs w:val="24"/>
                                            <w:lang w:eastAsia="lt-LT"/>
                                          </w:rPr>
                                          <m:t>,</m:t>
                                        </m:r>
                                        <m:r>
                                          <w:rPr>
                                            <w:rFonts w:ascii="Cambria Math" w:hAnsi="Cambria Math"/>
                                            <w:color w:val="000000"/>
                                            <w:szCs w:val="24"/>
                                            <w:lang w:eastAsia="lt-LT"/>
                                          </w:rPr>
                                          <m:t>y</m:t>
                                        </m:r>
                                        <m:r>
                                          <w:rPr>
                                            <w:rFonts w:ascii="Cambria Math" w:hAnsi="Cambria Math"/>
                                            <w:color w:val="000000"/>
                                            <w:szCs w:val="24"/>
                                            <w:lang w:eastAsia="lt-LT"/>
                                          </w:rPr>
                                          <m:t>-2</m:t>
                                        </m:r>
                                      </m:sub>
                                    </m:sSub>
                                  </m:e>
                                </m:d>
                              </m:num>
                              <m:den>
                                <m:sSub>
                                  <m:sSubPr>
                                    <m:ctrlPr>
                                      <w:rPr>
                                        <w:rFonts w:ascii="Cambria Math" w:hAnsi="Cambria Math"/>
                                        <w:bCs/>
                                        <w:i/>
                                        <w:color w:val="000000"/>
                                        <w:szCs w:val="24"/>
                                        <w:lang w:eastAsia="lt-LT"/>
                                      </w:rPr>
                                    </m:ctrlPr>
                                  </m:sSubPr>
                                  <m:e>
                                    <m:r>
                                      <w:rPr>
                                        <w:rFonts w:ascii="Cambria Math" w:hAnsi="Cambria Math"/>
                                        <w:color w:val="000000"/>
                                        <w:szCs w:val="24"/>
                                        <w:lang w:eastAsia="lt-LT"/>
                                      </w:rPr>
                                      <m:t>Q</m:t>
                                    </m:r>
                                  </m:e>
                                  <m:sub>
                                    <m:r>
                                      <w:rPr>
                                        <w:rFonts w:ascii="Cambria Math" w:hAnsi="Cambria Math"/>
                                        <w:color w:val="000000"/>
                                        <w:szCs w:val="24"/>
                                        <w:lang w:eastAsia="lt-LT"/>
                                      </w:rPr>
                                      <m:t>ISDR</m:t>
                                    </m:r>
                                    <m:r>
                                      <w:rPr>
                                        <w:rFonts w:ascii="Cambria Math" w:hAnsi="Cambria Math"/>
                                        <w:color w:val="000000"/>
                                        <w:szCs w:val="24"/>
                                        <w:lang w:eastAsia="lt-LT"/>
                                      </w:rPr>
                                      <m:t>,</m:t>
                                    </m:r>
                                    <m:r>
                                      <w:rPr>
                                        <w:rFonts w:ascii="Cambria Math" w:hAnsi="Cambria Math"/>
                                        <w:color w:val="000000"/>
                                        <w:szCs w:val="24"/>
                                        <w:lang w:eastAsia="lt-LT"/>
                                      </w:rPr>
                                      <m:t>y</m:t>
                                    </m:r>
                                  </m:sub>
                                </m:sSub>
                              </m:den>
                            </m:f>
                            <m:r>
                              <w:rPr>
                                <w:rFonts w:ascii="Cambria Math" w:hAnsi="Cambria Math"/>
                                <w:color w:val="000000"/>
                                <w:szCs w:val="24"/>
                                <w:lang w:eastAsia="lt-LT"/>
                              </w:rPr>
                              <m:t xml:space="preserve">                     </m:t>
                            </m:r>
                          </m:oMath>
                          <w:r>
                            <w:rPr>
                              <w:bCs/>
                              <w:iCs/>
                              <w:color w:val="000000"/>
                              <w:szCs w:val="24"/>
                              <w:lang w:eastAsia="lt-LT"/>
                            </w:rPr>
                            <w:t>(6)</w:t>
                          </w:r>
                        </w:p>
                        <w:p>
                          <w:pPr>
                            <w:jc w:val="center"/>
                            <w:rPr>
                              <w:bCs/>
                              <w:i/>
                              <w:color w:val="000000"/>
                              <w:szCs w:val="24"/>
                              <w:lang w:eastAsia="lt-LT"/>
                            </w:rPr>
                          </w:pPr>
                          <m:oMathPara>
                            <m:oMath>
                              <m:r>
                                <w:rPr>
                                  <w:rFonts w:ascii="Cambria Math" w:hAnsi="Cambria Math"/>
                                  <w:color w:val="000000"/>
                                  <w:szCs w:val="24"/>
                                  <w:lang w:eastAsia="lt-LT"/>
                                </w:rPr>
                                <m:t xml:space="preserve">        </m:t>
                              </m:r>
                            </m:oMath>
                          </m:oMathPara>
                        </w:p>
                        <w:p>
                          <w:pPr>
                            <w:ind w:left="709"/>
                            <w:jc w:val="both"/>
                            <w:rPr>
                              <w:b/>
                              <w:color w:val="000000"/>
                              <w:szCs w:val="24"/>
                              <w:lang w:eastAsia="lt-LT"/>
                            </w:rPr>
                          </w:pPr>
                        </w:p>
                        <w:p>
                          <w:pPr>
                            <w:ind w:firstLine="709"/>
                            <w:jc w:val="both"/>
                            <w:rPr>
                              <w:bCs/>
                              <w:color w:val="000000"/>
                              <w:szCs w:val="24"/>
                              <w:lang w:eastAsia="lt-LT"/>
                            </w:rPr>
                          </w:pPr>
                          <w:r>
                            <w:rPr>
                              <w:bCs/>
                              <w:i/>
                              <w:iCs/>
                              <w:color w:val="000000"/>
                              <w:szCs w:val="24"/>
                              <w:lang w:eastAsia="lt-LT"/>
                            </w:rPr>
                            <w:t>kur:</w:t>
                          </w:r>
                        </w:p>
                        <w:p>
                          <w:pPr>
                            <w:ind w:firstLine="709"/>
                            <w:jc w:val="both"/>
                            <w:rPr>
                              <w:bCs/>
                              <w:color w:val="000000"/>
                              <w:szCs w:val="24"/>
                              <w:lang w:eastAsia="lt-LT"/>
                            </w:rPr>
                          </w:pPr>
                          <w:r>
                            <w:rPr>
                              <w:bCs/>
                              <w:color w:val="000000"/>
                              <w:szCs w:val="24"/>
                              <w:lang w:eastAsia="lt-LT"/>
                            </w:rPr>
                            <w:t>T</w:t>
                          </w:r>
                          <w:r>
                            <w:rPr>
                              <w:bCs/>
                              <w:color w:val="000000"/>
                              <w:szCs w:val="24"/>
                              <w:vertAlign w:val="subscript"/>
                              <w:lang w:eastAsia="lt-LT"/>
                            </w:rPr>
                            <w:t>ISDR,y</w:t>
                          </w:r>
                          <w:r>
                            <w:rPr>
                              <w:bCs/>
                              <w:color w:val="000000"/>
                              <w:szCs w:val="24"/>
                              <w:lang w:eastAsia="lt-LT"/>
                            </w:rPr>
                            <w:t> –</w:t>
                          </w:r>
                          <w:r>
                            <w:rPr>
                              <w:bCs/>
                              <w:szCs w:val="24"/>
                              <w:lang w:eastAsia="lt-LT"/>
                            </w:rPr>
                            <w:t xml:space="preserve"> izoliuoto darbo rezervo </w:t>
                          </w:r>
                          <w:r>
                            <w:rPr>
                              <w:bCs/>
                              <w:szCs w:val="24"/>
                            </w:rPr>
                            <w:t xml:space="preserve">paslaugos </w:t>
                          </w:r>
                          <w:r>
                            <w:rPr>
                              <w:bCs/>
                              <w:color w:val="000000"/>
                              <w:szCs w:val="24"/>
                              <w:lang w:eastAsia="lt-LT"/>
                            </w:rPr>
                            <w:t>kainos viršutinė riba, nustatoma ataskaitiniams metams y, Eur/vnt.;</w:t>
                          </w:r>
                        </w:p>
                        <w:p>
                          <w:pPr>
                            <w:ind w:firstLine="709"/>
                            <w:jc w:val="both"/>
                            <w:rPr>
                              <w:bCs/>
                              <w:color w:val="000000"/>
                              <w:szCs w:val="24"/>
                              <w:lang w:eastAsia="lt-LT"/>
                            </w:rPr>
                          </w:pPr>
                          <w:r>
                            <w:rPr>
                              <w:bCs/>
                              <w:color w:val="000000"/>
                              <w:szCs w:val="24"/>
                              <w:lang w:eastAsia="lt-LT"/>
                            </w:rPr>
                            <w:t>S</w:t>
                          </w:r>
                          <w:r>
                            <w:rPr>
                              <w:bCs/>
                              <w:color w:val="000000"/>
                              <w:szCs w:val="24"/>
                              <w:vertAlign w:val="subscript"/>
                              <w:lang w:eastAsia="lt-LT"/>
                            </w:rPr>
                            <w:t>ISDR,y</w:t>
                          </w:r>
                          <w:r>
                            <w:rPr>
                              <w:bCs/>
                              <w:color w:val="000000"/>
                              <w:szCs w:val="24"/>
                              <w:lang w:eastAsia="lt-LT"/>
                            </w:rPr>
                            <w:t xml:space="preserve"> – </w:t>
                          </w:r>
                          <w:r>
                            <w:rPr>
                              <w:bCs/>
                              <w:szCs w:val="24"/>
                              <w:lang w:eastAsia="lt-LT"/>
                            </w:rPr>
                            <w:t xml:space="preserve">izoliuoto darbo rezervo </w:t>
                          </w:r>
                          <w:r>
                            <w:rPr>
                              <w:bCs/>
                              <w:szCs w:val="24"/>
                            </w:rPr>
                            <w:t xml:space="preserve">paslaugos </w:t>
                          </w:r>
                          <w:r>
                            <w:rPr>
                              <w:bCs/>
                              <w:color w:val="000000"/>
                              <w:szCs w:val="24"/>
                              <w:lang w:eastAsia="lt-LT"/>
                            </w:rPr>
                            <w:t>prognozuojamos</w:t>
                          </w:r>
                          <w:r>
                            <w:rPr>
                              <w:bCs/>
                              <w:szCs w:val="24"/>
                              <w:lang w:eastAsia="lt-LT"/>
                            </w:rPr>
                            <w:t xml:space="preserve"> </w:t>
                          </w:r>
                          <w:r>
                            <w:rPr>
                              <w:bCs/>
                              <w:szCs w:val="24"/>
                            </w:rPr>
                            <w:t>sąnaudos ataskaitiniais metais y, Eur/vnt.;</w:t>
                          </w:r>
                        </w:p>
                        <w:p>
                          <w:pPr>
                            <w:ind w:firstLine="709"/>
                            <w:jc w:val="both"/>
                            <w:rPr>
                              <w:bCs/>
                              <w:color w:val="000000"/>
                              <w:szCs w:val="24"/>
                              <w:lang w:eastAsia="lt-LT"/>
                            </w:rPr>
                          </w:pPr>
                          <w:r>
                            <w:rPr>
                              <w:bCs/>
                              <w:color w:val="000000"/>
                              <w:szCs w:val="24"/>
                              <w:lang w:eastAsia="lt-LT"/>
                            </w:rPr>
                            <w:t>S</w:t>
                          </w:r>
                          <w:r>
                            <w:rPr>
                              <w:bCs/>
                              <w:color w:val="000000"/>
                              <w:szCs w:val="24"/>
                              <w:vertAlign w:val="subscript"/>
                              <w:lang w:eastAsia="lt-LT"/>
                            </w:rPr>
                            <w:t>P,ISDR,y</w:t>
                          </w:r>
                          <w:r>
                            <w:rPr>
                              <w:bCs/>
                              <w:color w:val="000000"/>
                              <w:szCs w:val="24"/>
                              <w:lang w:eastAsia="lt-LT"/>
                            </w:rPr>
                            <w:t xml:space="preserve"> – </w:t>
                          </w:r>
                          <w:r>
                            <w:rPr>
                              <w:bCs/>
                              <w:szCs w:val="24"/>
                              <w:lang w:eastAsia="lt-LT"/>
                            </w:rPr>
                            <w:t xml:space="preserve">izoliuoto darbo rezervo </w:t>
                          </w:r>
                          <w:r>
                            <w:rPr>
                              <w:bCs/>
                              <w:szCs w:val="24"/>
                            </w:rPr>
                            <w:t xml:space="preserve">paslaugos </w:t>
                          </w:r>
                          <w:r>
                            <w:rPr>
                              <w:bCs/>
                              <w:color w:val="000000"/>
                              <w:szCs w:val="24"/>
                              <w:lang w:eastAsia="lt-LT"/>
                            </w:rPr>
                            <w:t>prognozuojamos</w:t>
                          </w:r>
                          <w:r>
                            <w:rPr>
                              <w:bCs/>
                              <w:szCs w:val="24"/>
                              <w:lang w:eastAsia="lt-LT"/>
                            </w:rPr>
                            <w:t xml:space="preserve"> </w:t>
                          </w:r>
                          <w:r>
                            <w:rPr>
                              <w:bCs/>
                              <w:color w:val="000000"/>
                              <w:szCs w:val="24"/>
                              <w:lang w:eastAsia="lt-LT"/>
                            </w:rPr>
                            <w:t xml:space="preserve">pastoviosios sąnaudos ataskaitiniais metais y, įskaitant </w:t>
                          </w:r>
                          <w:r>
                            <w:rPr>
                              <w:bCs/>
                              <w:color w:val="000000"/>
                            </w:rPr>
                            <w:t>su Taryba suderintų OPEX projektų sąnaudas,</w:t>
                          </w:r>
                          <w:r>
                            <w:rPr>
                              <w:bCs/>
                              <w:color w:val="000000"/>
                              <w:szCs w:val="24"/>
                              <w:lang w:eastAsia="lt-LT"/>
                            </w:rPr>
                            <w:t xml:space="preserve"> Eur;</w:t>
                          </w:r>
                        </w:p>
                        <w:p>
                          <w:pPr>
                            <w:ind w:firstLine="709"/>
                            <w:jc w:val="both"/>
                            <w:rPr>
                              <w:bCs/>
                              <w:color w:val="000000"/>
                              <w:szCs w:val="24"/>
                              <w:lang w:eastAsia="lt-LT"/>
                            </w:rPr>
                          </w:pPr>
                          <w:r>
                            <w:rPr>
                              <w:bCs/>
                              <w:color w:val="000000"/>
                              <w:szCs w:val="24"/>
                              <w:lang w:eastAsia="lt-LT"/>
                            </w:rPr>
                            <w:t>S</w:t>
                          </w:r>
                          <w:r>
                            <w:rPr>
                              <w:bCs/>
                              <w:color w:val="000000"/>
                              <w:szCs w:val="24"/>
                              <w:vertAlign w:val="subscript"/>
                              <w:lang w:eastAsia="lt-LT"/>
                            </w:rPr>
                            <w:t>K,ISDR,y</w:t>
                          </w:r>
                          <w:r>
                            <w:rPr>
                              <w:bCs/>
                              <w:color w:val="000000"/>
                              <w:szCs w:val="24"/>
                              <w:lang w:eastAsia="lt-LT"/>
                            </w:rPr>
                            <w:t xml:space="preserve"> – </w:t>
                          </w:r>
                          <w:r>
                            <w:rPr>
                              <w:bCs/>
                              <w:szCs w:val="24"/>
                              <w:lang w:eastAsia="lt-LT"/>
                            </w:rPr>
                            <w:t xml:space="preserve">izoliuoto darbo rezervo </w:t>
                          </w:r>
                          <w:r>
                            <w:rPr>
                              <w:bCs/>
                              <w:szCs w:val="24"/>
                            </w:rPr>
                            <w:t xml:space="preserve">paslaugos </w:t>
                          </w:r>
                          <w:r>
                            <w:rPr>
                              <w:bCs/>
                              <w:color w:val="000000"/>
                              <w:szCs w:val="24"/>
                              <w:lang w:eastAsia="lt-LT"/>
                            </w:rPr>
                            <w:t>prognozuojamos</w:t>
                          </w:r>
                          <w:r>
                            <w:rPr>
                              <w:bCs/>
                              <w:szCs w:val="24"/>
                              <w:lang w:eastAsia="lt-LT"/>
                            </w:rPr>
                            <w:t xml:space="preserve"> </w:t>
                          </w:r>
                          <w:r>
                            <w:rPr>
                              <w:bCs/>
                              <w:color w:val="000000"/>
                              <w:szCs w:val="24"/>
                              <w:lang w:eastAsia="lt-LT"/>
                            </w:rPr>
                            <w:t>kintamosios sąnaudos ataskaitiniais metais y, Eur;</w:t>
                          </w:r>
                        </w:p>
                        <w:p>
                          <w:pPr>
                            <w:ind w:firstLine="709"/>
                            <w:jc w:val="both"/>
                            <w:rPr>
                              <w:bCs/>
                              <w:color w:val="000000"/>
                              <w:szCs w:val="24"/>
                              <w:lang w:eastAsia="lt-LT"/>
                            </w:rPr>
                          </w:pPr>
                          <w:r>
                            <w:rPr>
                              <w:bCs/>
                              <w:color w:val="000000"/>
                              <w:szCs w:val="24"/>
                              <w:lang w:eastAsia="lt-LT"/>
                            </w:rPr>
                            <w:t>ROI</w:t>
                          </w:r>
                          <w:r>
                            <w:rPr>
                              <w:bCs/>
                              <w:color w:val="000000"/>
                              <w:szCs w:val="24"/>
                              <w:vertAlign w:val="subscript"/>
                              <w:lang w:eastAsia="lt-LT"/>
                            </w:rPr>
                            <w:t>ISDR,y</w:t>
                          </w:r>
                          <w:r>
                            <w:rPr>
                              <w:bCs/>
                              <w:color w:val="000000"/>
                              <w:szCs w:val="24"/>
                              <w:lang w:eastAsia="lt-LT"/>
                            </w:rPr>
                            <w:t xml:space="preserve"> – </w:t>
                          </w:r>
                          <w:r>
                            <w:rPr>
                              <w:bCs/>
                              <w:szCs w:val="24"/>
                              <w:lang w:eastAsia="lt-LT"/>
                            </w:rPr>
                            <w:t xml:space="preserve">izoliuoto darbo rezervo </w:t>
                          </w:r>
                          <w:r>
                            <w:rPr>
                              <w:bCs/>
                              <w:color w:val="000000"/>
                              <w:szCs w:val="24"/>
                              <w:lang w:eastAsia="lt-LT"/>
                            </w:rPr>
                            <w:t>paslaugos prognozuojama</w:t>
                          </w:r>
                          <w:r>
                            <w:rPr>
                              <w:bCs/>
                              <w:szCs w:val="24"/>
                              <w:lang w:eastAsia="lt-LT"/>
                            </w:rPr>
                            <w:t xml:space="preserve"> </w:t>
                          </w:r>
                          <w:r>
                            <w:rPr>
                              <w:bCs/>
                              <w:color w:val="000000"/>
                              <w:szCs w:val="24"/>
                              <w:lang w:eastAsia="lt-LT"/>
                            </w:rPr>
                            <w:t>investicijų grąža ataskaitiniais metais y, Eur;</w:t>
                          </w:r>
                        </w:p>
                        <w:p>
                          <w:pPr>
                            <w:ind w:firstLine="709"/>
                            <w:jc w:val="both"/>
                            <w:rPr>
                              <w:bCs/>
                              <w:color w:val="000000"/>
                              <w:szCs w:val="24"/>
                              <w:lang w:eastAsia="lt-LT"/>
                            </w:rPr>
                          </w:pPr>
                          <w:r>
                            <w:rPr>
                              <w:bCs/>
                              <w:color w:val="000000"/>
                              <w:szCs w:val="24"/>
                              <w:lang w:eastAsia="lt-LT"/>
                            </w:rPr>
                            <w:t>∆ROI</w:t>
                          </w:r>
                          <w:r>
                            <w:rPr>
                              <w:bCs/>
                              <w:color w:val="000000"/>
                              <w:szCs w:val="24"/>
                              <w:vertAlign w:val="subscript"/>
                              <w:lang w:eastAsia="lt-LT"/>
                            </w:rPr>
                            <w:t>ISDR,y-2</w:t>
                          </w:r>
                          <w:r>
                            <w:rPr>
                              <w:bCs/>
                              <w:color w:val="000000"/>
                              <w:szCs w:val="24"/>
                              <w:lang w:eastAsia="lt-LT"/>
                            </w:rPr>
                            <w:t xml:space="preserve"> – </w:t>
                          </w:r>
                          <w:r>
                            <w:rPr>
                              <w:bCs/>
                              <w:szCs w:val="24"/>
                              <w:lang w:eastAsia="lt-LT"/>
                            </w:rPr>
                            <w:t xml:space="preserve">izoliuoto darbo rezervo </w:t>
                          </w:r>
                          <w:r>
                            <w:rPr>
                              <w:bCs/>
                              <w:szCs w:val="24"/>
                            </w:rPr>
                            <w:t>paslaugos</w:t>
                          </w:r>
                          <w:r>
                            <w:rPr>
                              <w:bCs/>
                              <w:color w:val="000000"/>
                              <w:szCs w:val="24"/>
                              <w:lang w:eastAsia="lt-LT"/>
                            </w:rPr>
                            <w:t xml:space="preserve"> protingumo kriterijų atitinkančios investicijų grąžos neatitikimo dydis, palyginti su nustatyta investicijų grąža, per ataskaitinį laikotarpį (y-2), Eur;</w:t>
                          </w:r>
                        </w:p>
                        <w:p>
                          <w:pPr>
                            <w:ind w:firstLine="709"/>
                            <w:jc w:val="both"/>
                            <w:rPr>
                              <w:bCs/>
                            </w:rPr>
                          </w:pPr>
                          <w:r>
                            <w:rPr>
                              <w:bCs/>
                              <w:color w:val="000000"/>
                              <w:szCs w:val="24"/>
                              <w:lang w:eastAsia="lt-LT"/>
                            </w:rPr>
                            <w:t>Q</w:t>
                          </w:r>
                          <w:r>
                            <w:rPr>
                              <w:bCs/>
                              <w:color w:val="000000"/>
                              <w:szCs w:val="24"/>
                              <w:vertAlign w:val="subscript"/>
                              <w:lang w:eastAsia="lt-LT"/>
                            </w:rPr>
                            <w:t>ISDR,y</w:t>
                          </w:r>
                          <w:r>
                            <w:rPr>
                              <w:bCs/>
                              <w:color w:val="000000"/>
                              <w:szCs w:val="24"/>
                              <w:lang w:eastAsia="lt-LT"/>
                            </w:rPr>
                            <w:t xml:space="preserve"> – </w:t>
                          </w:r>
                          <w:r>
                            <w:rPr>
                              <w:bCs/>
                              <w:szCs w:val="24"/>
                              <w:lang w:eastAsia="lt-LT"/>
                            </w:rPr>
                            <w:t xml:space="preserve">izoliuoto darbo rezervo </w:t>
                          </w:r>
                          <w:r>
                            <w:rPr>
                              <w:bCs/>
                              <w:szCs w:val="24"/>
                            </w:rPr>
                            <w:t xml:space="preserve">paslaugos </w:t>
                          </w:r>
                          <w:r>
                            <w:rPr>
                              <w:bCs/>
                              <w:color w:val="000000"/>
                              <w:szCs w:val="24"/>
                              <w:lang w:eastAsia="lt-LT"/>
                            </w:rPr>
                            <w:t>prognozuojamas</w:t>
                          </w:r>
                          <w:r>
                            <w:rPr>
                              <w:bCs/>
                              <w:szCs w:val="24"/>
                              <w:lang w:eastAsia="lt-LT"/>
                            </w:rPr>
                            <w:t xml:space="preserve"> </w:t>
                          </w:r>
                          <w:r>
                            <w:rPr>
                              <w:bCs/>
                              <w:color w:val="000000"/>
                              <w:szCs w:val="24"/>
                              <w:lang w:eastAsia="lt-LT"/>
                            </w:rPr>
                            <w:t>kiekis, patiektinas per ataskaitinius metus y, vnt.</w:t>
                          </w:r>
                        </w:p>
                        <w:p>
                          <w:pPr>
                            <w:ind w:firstLine="709"/>
                            <w:jc w:val="both"/>
                            <w:rPr>
                              <w:bCs/>
                              <w:color w:val="000000"/>
                              <w:szCs w:val="24"/>
                              <w:lang w:eastAsia="lt-LT"/>
                            </w:rPr>
                          </w:pPr>
                        </w:p>
                      </w:sdtContent>
                    </w:sdt>
                    <w:sdt>
                      <w:sdtPr>
                        <w:alias w:val="35-2.1.2 pp."/>
                        <w:tag w:val="part_b851d9c43b95425592f57a4dc8038277"/>
                        <w:lock w:val="sdtLocked"/>
                        <w:richText/>
                      </w:sdtPr>
                      <w:sdtContent>
                        <w:p>
                          <w:pPr>
                            <w:tabs>
                              <w:tab w:val="left" w:pos="0"/>
                              <w:tab w:val="left" w:pos="426"/>
                            </w:tabs>
                            <w:spacing w:line="22" w:lineRule="atLeast"/>
                            <w:ind w:firstLine="720"/>
                            <w:jc w:val="both"/>
                            <w:rPr>
                              <w:bCs/>
                              <w:szCs w:val="24"/>
                            </w:rPr>
                          </w:pPr>
                          <w:sdt>
                            <w:sdtPr>
                              <w:alias w:val="Numeris"/>
                              <w:tag w:val="nr_b851d9c43b95425592f57a4dc8038277"/>
                              <w:lock w:val="sdtLocked"/>
                              <w:richText/>
                            </w:sdtPr>
                            <w:sdtContent>
                              <w:r>
                                <w:rPr>
                                  <w:bCs/>
                                  <w:color w:val="000000"/>
                                  <w:szCs w:val="24"/>
                                  <w:lang w:eastAsia="lt-LT"/>
                                </w:rPr>
                                <w:t>35</w:t>
                              </w:r>
                              <w:r>
                                <w:rPr>
                                  <w:bCs/>
                                  <w:color w:val="000000"/>
                                  <w:szCs w:val="24"/>
                                  <w:vertAlign w:val="superscript"/>
                                  <w:lang w:eastAsia="lt-LT"/>
                                </w:rPr>
                                <w:t>2</w:t>
                              </w:r>
                              <w:r>
                                <w:rPr>
                                  <w:bCs/>
                                  <w:szCs w:val="24"/>
                                </w:rPr>
                                <w:t>.1.2</w:t>
                              </w:r>
                            </w:sdtContent>
                          </w:sdt>
                          <w:r>
                            <w:rPr>
                              <w:bCs/>
                              <w:szCs w:val="24"/>
                            </w:rPr>
                            <w:t xml:space="preserve">. laikant, kad įvertinant ir apskaičiuojant protingumo kriterijų atitinkančios investicijų grąžos neatitikimo dydį, palyginti su nustatyta investicijų grąža per praėjusį ataskaitinį laikotarpį, kuriuo koreguojamas </w:t>
                          </w:r>
                          <w:r>
                            <w:rPr>
                              <w:bCs/>
                              <w:szCs w:val="24"/>
                              <w:lang w:eastAsia="lt-LT"/>
                            </w:rPr>
                            <w:t xml:space="preserve">izoliuoto darbo rezervo </w:t>
                          </w:r>
                          <w:r>
                            <w:rPr>
                              <w:bCs/>
                              <w:szCs w:val="24"/>
                            </w:rPr>
                            <w:t>paslaugos leistinas pajamų lygis ateinantiems metams (y), yra įvertinama:</w:t>
                          </w:r>
                        </w:p>
                        <w:sdt>
                          <w:sdtPr>
                            <w:alias w:val="35-2.1.2.1 pp."/>
                            <w:tag w:val="part_488c7277dc7940a5913d4c6dec5485cb"/>
                            <w:lock w:val="sdtLocked"/>
                            <w:richText/>
                          </w:sdtPr>
                          <w:sdtContent>
                            <w:p>
                              <w:pPr>
                                <w:tabs>
                                  <w:tab w:val="left" w:pos="0"/>
                                  <w:tab w:val="left" w:pos="426"/>
                                </w:tabs>
                                <w:spacing w:line="22" w:lineRule="atLeast"/>
                                <w:ind w:firstLine="720"/>
                                <w:jc w:val="both"/>
                                <w:rPr>
                                  <w:bCs/>
                                  <w:szCs w:val="24"/>
                                </w:rPr>
                              </w:pPr>
                              <w:sdt>
                                <w:sdtPr>
                                  <w:alias w:val="Numeris"/>
                                  <w:tag w:val="nr_488c7277dc7940a5913d4c6dec5485cb"/>
                                  <w:lock w:val="sdtLocked"/>
                                  <w:richText/>
                                </w:sdtPr>
                                <w:sdtContent>
                                  <w:r>
                                    <w:rPr>
                                      <w:bCs/>
                                      <w:color w:val="000000"/>
                                      <w:szCs w:val="24"/>
                                      <w:lang w:eastAsia="lt-LT"/>
                                    </w:rPr>
                                    <w:t>35</w:t>
                                  </w:r>
                                  <w:r>
                                    <w:rPr>
                                      <w:bCs/>
                                      <w:color w:val="000000"/>
                                      <w:szCs w:val="24"/>
                                      <w:vertAlign w:val="superscript"/>
                                      <w:lang w:eastAsia="lt-LT"/>
                                    </w:rPr>
                                    <w:t>2</w:t>
                                  </w:r>
                                  <w:r>
                                    <w:rPr>
                                      <w:bCs/>
                                      <w:szCs w:val="24"/>
                                      <w:lang w:eastAsia="lt-LT"/>
                                    </w:rPr>
                                    <w:t>.1.2.1</w:t>
                                  </w:r>
                                </w:sdtContent>
                              </w:sdt>
                              <w:r>
                                <w:rPr>
                                  <w:bCs/>
                                  <w:szCs w:val="24"/>
                                  <w:lang w:eastAsia="lt-LT"/>
                                </w:rPr>
                                <w:t xml:space="preserve">. Asmens uždirbta faktinė investicijų grąža iš reguliuojamos izoliuoto darbo rezervo </w:t>
                              </w:r>
                              <w:r>
                                <w:rPr>
                                  <w:bCs/>
                                  <w:szCs w:val="24"/>
                                </w:rPr>
                                <w:t xml:space="preserve">paslaugos </w:t>
                              </w:r>
                              <w:r>
                                <w:rPr>
                                  <w:bCs/>
                                  <w:szCs w:val="24"/>
                                  <w:lang w:eastAsia="lt-LT"/>
                                </w:rPr>
                                <w:t xml:space="preserve">per praėjusį ataskaitinį laikotarpį, </w:t>
                              </w:r>
                              <w:r>
                                <w:rPr>
                                  <w:bCs/>
                                  <w:szCs w:val="24"/>
                                </w:rPr>
                                <w:t xml:space="preserve">įvertinant pagrįstus Asmens pajamų ir (ar) sąnaudų nuokrypius nuo Tarybos nustatytų ar suderintų pajamų, sąnaudų, susijusius su reguliuojamos izoliuoto darbo rezervo paslaugos teikimu per praėjusį ataskaitinį laikotarpį; </w:t>
                              </w:r>
                            </w:p>
                          </w:sdtContent>
                        </w:sdt>
                        <w:sdt>
                          <w:sdtPr>
                            <w:alias w:val="35-2.1.2.2 pp."/>
                            <w:tag w:val="part_57397d613fe04a10867e0db4f1d0519e"/>
                            <w:lock w:val="sdtLocked"/>
                            <w:richText/>
                          </w:sdtPr>
                          <w:sdtContent>
                            <w:p>
                              <w:pPr>
                                <w:tabs>
                                  <w:tab w:val="left" w:pos="0"/>
                                  <w:tab w:val="left" w:pos="426"/>
                                </w:tabs>
                                <w:spacing w:line="22" w:lineRule="atLeast"/>
                                <w:ind w:firstLine="720"/>
                                <w:jc w:val="both"/>
                                <w:rPr>
                                  <w:bCs/>
                                  <w:szCs w:val="24"/>
                                </w:rPr>
                              </w:pPr>
                              <w:sdt>
                                <w:sdtPr>
                                  <w:alias w:val="Numeris"/>
                                  <w:tag w:val="nr_57397d613fe04a10867e0db4f1d0519e"/>
                                  <w:lock w:val="sdtLocked"/>
                                  <w:richText/>
                                </w:sdtPr>
                                <w:sdtContent>
                                  <w:r>
                                    <w:rPr>
                                      <w:bCs/>
                                      <w:color w:val="000000"/>
                                      <w:szCs w:val="24"/>
                                      <w:lang w:eastAsia="lt-LT"/>
                                    </w:rPr>
                                    <w:t>35</w:t>
                                  </w:r>
                                  <w:r>
                                    <w:rPr>
                                      <w:bCs/>
                                      <w:color w:val="000000"/>
                                      <w:szCs w:val="24"/>
                                      <w:vertAlign w:val="superscript"/>
                                      <w:lang w:eastAsia="lt-LT"/>
                                    </w:rPr>
                                    <w:t>2</w:t>
                                  </w:r>
                                  <w:r>
                                    <w:rPr>
                                      <w:bCs/>
                                      <w:szCs w:val="24"/>
                                      <w:lang w:eastAsia="lt-LT"/>
                                    </w:rPr>
                                    <w:t>.1.2.2</w:t>
                                  </w:r>
                                </w:sdtContent>
                              </w:sdt>
                              <w:r>
                                <w:rPr>
                                  <w:bCs/>
                                  <w:szCs w:val="24"/>
                                  <w:lang w:eastAsia="lt-LT"/>
                                </w:rPr>
                                <w:t>. investicijų grąžos neatitikimas dėl faktinės reguliuojamos paslaugos teikimui naudojamo turto vertės pokyčio, palyginti su Tarybos nustatyta;</w:t>
                              </w:r>
                            </w:p>
                          </w:sdtContent>
                        </w:sdt>
                        <w:sdt>
                          <w:sdtPr>
                            <w:alias w:val="35-2.1.2.3 pp."/>
                            <w:tag w:val="part_9f21eb8fd27d4874a388742a1f4459a4"/>
                            <w:lock w:val="sdtLocked"/>
                            <w:richText/>
                          </w:sdtPr>
                          <w:sdtContent>
                            <w:p>
                              <w:pPr>
                                <w:tabs>
                                  <w:tab w:val="left" w:pos="0"/>
                                  <w:tab w:val="left" w:pos="426"/>
                                </w:tabs>
                                <w:spacing w:line="22" w:lineRule="atLeast"/>
                                <w:ind w:firstLine="720"/>
                                <w:jc w:val="both"/>
                                <w:rPr>
                                  <w:bCs/>
                                  <w:szCs w:val="24"/>
                                  <w:lang w:eastAsia="lt-LT"/>
                                </w:rPr>
                              </w:pPr>
                              <w:sdt>
                                <w:sdtPr>
                                  <w:alias w:val="Numeris"/>
                                  <w:tag w:val="nr_9f21eb8fd27d4874a388742a1f4459a4"/>
                                  <w:lock w:val="sdtLocked"/>
                                  <w:richText/>
                                </w:sdtPr>
                                <w:sdtContent>
                                  <w:r>
                                    <w:rPr>
                                      <w:bCs/>
                                      <w:color w:val="000000"/>
                                      <w:szCs w:val="24"/>
                                      <w:lang w:eastAsia="lt-LT"/>
                                    </w:rPr>
                                    <w:t>35</w:t>
                                  </w:r>
                                  <w:r>
                                    <w:rPr>
                                      <w:bCs/>
                                      <w:color w:val="000000"/>
                                      <w:szCs w:val="24"/>
                                      <w:vertAlign w:val="superscript"/>
                                      <w:lang w:eastAsia="lt-LT"/>
                                    </w:rPr>
                                    <w:t>2</w:t>
                                  </w:r>
                                  <w:r>
                                    <w:rPr>
                                      <w:bCs/>
                                      <w:szCs w:val="24"/>
                                      <w:lang w:eastAsia="lt-LT"/>
                                    </w:rPr>
                                    <w:t>.1.2.3</w:t>
                                  </w:r>
                                </w:sdtContent>
                              </w:sdt>
                              <w:r>
                                <w:rPr>
                                  <w:bCs/>
                                  <w:szCs w:val="24"/>
                                  <w:lang w:eastAsia="lt-LT"/>
                                </w:rPr>
                                <w:t>. praėjusių laikotarpių investicijų grąžos korekcijos, nustatytos Tarybos sprendimu;</w:t>
                              </w:r>
                            </w:p>
                          </w:sdtContent>
                        </w:sdt>
                        <w:sdt>
                          <w:sdtPr>
                            <w:alias w:val="35-2.1.2.4 pp."/>
                            <w:tag w:val="part_7cbc385a8ade446cb97a2d2cd29fca9b"/>
                            <w:lock w:val="sdtLocked"/>
                            <w:richText/>
                          </w:sdtPr>
                          <w:sdtContent>
                            <w:p>
                              <w:pPr>
                                <w:widowControl w:val="0"/>
                                <w:tabs>
                                  <w:tab w:val="left" w:pos="0"/>
                                  <w:tab w:val="left" w:pos="1204"/>
                                  <w:tab w:val="left" w:pos="1276"/>
                                </w:tabs>
                                <w:spacing w:line="22" w:lineRule="atLeast"/>
                                <w:ind w:firstLine="709"/>
                                <w:jc w:val="both"/>
                                <w:rPr>
                                  <w:bCs/>
                                  <w:szCs w:val="24"/>
                                </w:rPr>
                              </w:pPr>
                              <w:sdt>
                                <w:sdtPr>
                                  <w:alias w:val="Numeris"/>
                                  <w:tag w:val="nr_7cbc385a8ade446cb97a2d2cd29fca9b"/>
                                  <w:lock w:val="sdtLocked"/>
                                  <w:richText/>
                                </w:sdtPr>
                                <w:sdtContent>
                                  <w:r>
                                    <w:rPr>
                                      <w:bCs/>
                                      <w:color w:val="000000"/>
                                      <w:szCs w:val="24"/>
                                      <w:lang w:eastAsia="lt-LT"/>
                                    </w:rPr>
                                    <w:t>35</w:t>
                                  </w:r>
                                  <w:r>
                                    <w:rPr>
                                      <w:bCs/>
                                      <w:color w:val="000000"/>
                                      <w:szCs w:val="24"/>
                                      <w:vertAlign w:val="superscript"/>
                                      <w:lang w:eastAsia="lt-LT"/>
                                    </w:rPr>
                                    <w:t>2</w:t>
                                  </w:r>
                                  <w:r>
                                    <w:rPr>
                                      <w:bCs/>
                                      <w:szCs w:val="24"/>
                                      <w:lang w:eastAsia="lt-LT"/>
                                    </w:rPr>
                                    <w:t>.1.2.4</w:t>
                                  </w:r>
                                </w:sdtContent>
                              </w:sdt>
                              <w:r>
                                <w:rPr>
                                  <w:bCs/>
                                  <w:szCs w:val="24"/>
                                  <w:lang w:eastAsia="lt-LT"/>
                                </w:rPr>
                                <w:t xml:space="preserve">. </w:t>
                              </w:r>
                              <w:r>
                                <w:rPr>
                                  <w:bCs/>
                                  <w:szCs w:val="24"/>
                                </w:rPr>
                                <w:t xml:space="preserve">nuokrypis nuo </w:t>
                              </w:r>
                              <w:r>
                                <w:rPr>
                                  <w:bCs/>
                                  <w:szCs w:val="24"/>
                                  <w:lang w:eastAsia="lt-LT" w:bidi="bn-IN"/>
                                </w:rPr>
                                <w:t>su Taryba suderintų OPEX projektų sąnaudų apimties, numatytos derinant atitinkamą OPEX projektą</w:t>
                              </w:r>
                              <w:r>
                                <w:rPr>
                                  <w:bCs/>
                                  <w:szCs w:val="24"/>
                                  <w:lang w:eastAsia="lt-LT"/>
                                </w:rPr>
                                <w:t>.</w:t>
                              </w:r>
                            </w:p>
                          </w:sdtContent>
                        </w:sdt>
                      </w:sdtContent>
                    </w:sdt>
                    <w:sdt>
                      <w:sdtPr>
                        <w:alias w:val="35-2.1.3 pp."/>
                        <w:tag w:val="part_a900df32a5574b7a97604d63fb1897d9"/>
                        <w:lock w:val="sdtLocked"/>
                        <w:richText/>
                      </w:sdtPr>
                      <w:sdtContent>
                        <w:p>
                          <w:pPr>
                            <w:tabs>
                              <w:tab w:val="left" w:pos="0"/>
                              <w:tab w:val="left" w:pos="426"/>
                            </w:tabs>
                            <w:spacing w:line="22" w:lineRule="atLeast"/>
                            <w:ind w:firstLine="720"/>
                            <w:jc w:val="both"/>
                            <w:rPr>
                              <w:bCs/>
                              <w:szCs w:val="24"/>
                            </w:rPr>
                          </w:pPr>
                          <w:sdt>
                            <w:sdtPr>
                              <w:alias w:val="Numeris"/>
                              <w:tag w:val="nr_a900df32a5574b7a97604d63fb1897d9"/>
                              <w:lock w:val="sdtLocked"/>
                              <w:richText/>
                            </w:sdtPr>
                            <w:sdtContent>
                              <w:r>
                                <w:rPr>
                                  <w:bCs/>
                                  <w:color w:val="000000"/>
                                  <w:szCs w:val="24"/>
                                  <w:lang w:eastAsia="lt-LT"/>
                                </w:rPr>
                                <w:t>35</w:t>
                              </w:r>
                              <w:r>
                                <w:rPr>
                                  <w:bCs/>
                                  <w:color w:val="000000"/>
                                  <w:szCs w:val="24"/>
                                  <w:vertAlign w:val="superscript"/>
                                  <w:lang w:eastAsia="lt-LT"/>
                                </w:rPr>
                                <w:t>2</w:t>
                              </w:r>
                              <w:r>
                                <w:rPr>
                                  <w:bCs/>
                                  <w:szCs w:val="24"/>
                                </w:rPr>
                                <w:t>.1.3</w:t>
                              </w:r>
                            </w:sdtContent>
                          </w:sdt>
                          <w:r>
                            <w:rPr>
                              <w:bCs/>
                              <w:szCs w:val="24"/>
                            </w:rPr>
                            <w:t xml:space="preserve">. atsižvelgiant (pakoreguojant leistiną pajamų lygį) į Tarybos atliktos reguliuojamos </w:t>
                          </w:r>
                          <w:r>
                            <w:rPr>
                              <w:bCs/>
                              <w:szCs w:val="24"/>
                              <w:lang w:eastAsia="lt-LT"/>
                            </w:rPr>
                            <w:t xml:space="preserve">izoliuoto darbo rezervo </w:t>
                          </w:r>
                          <w:r>
                            <w:rPr>
                              <w:bCs/>
                              <w:szCs w:val="24"/>
                            </w:rPr>
                            <w:t>paslaugos sąnaudų pagrįstumo (būtinumo) patikrinimo rezultatus bei sąnaudų audito, atlikto pagal reguliacinius sąnaudų apskaitos reikalavimus, išvadas.</w:t>
                          </w:r>
                        </w:p>
                      </w:sdtContent>
                    </w:sdt>
                  </w:sdtContent>
                </w:sdt>
                <w:sdt>
                  <w:sdtPr>
                    <w:alias w:val="35-2.2 pp."/>
                    <w:tag w:val="part_f6e9d5bcc099408793d3c056f6805f3a"/>
                    <w:lock w:val="sdtLocked"/>
                    <w:richText/>
                  </w:sdtPr>
                  <w:sdtContent>
                    <w:p>
                      <w:pPr>
                        <w:tabs>
                          <w:tab w:val="left" w:pos="0"/>
                          <w:tab w:val="left" w:pos="426"/>
                        </w:tabs>
                        <w:spacing w:line="22" w:lineRule="atLeast"/>
                        <w:ind w:firstLine="720"/>
                        <w:jc w:val="both"/>
                        <w:rPr>
                          <w:szCs w:val="24"/>
                        </w:rPr>
                      </w:pPr>
                      <w:sdt>
                        <w:sdtPr>
                          <w:alias w:val="Numeris"/>
                          <w:tag w:val="nr_f6e9d5bcc099408793d3c056f6805f3a"/>
                          <w:lock w:val="sdtLocked"/>
                          <w:richText/>
                        </w:sdtPr>
                        <w:sdtContent>
                          <w:r>
                            <w:rPr>
                              <w:bCs/>
                              <w:color w:val="000000"/>
                              <w:szCs w:val="24"/>
                              <w:lang w:eastAsia="lt-LT"/>
                            </w:rPr>
                            <w:t>35</w:t>
                          </w:r>
                          <w:r>
                            <w:rPr>
                              <w:bCs/>
                              <w:color w:val="000000"/>
                              <w:szCs w:val="24"/>
                              <w:vertAlign w:val="superscript"/>
                              <w:lang w:eastAsia="lt-LT"/>
                            </w:rPr>
                            <w:t>2</w:t>
                          </w:r>
                          <w:r>
                            <w:rPr>
                              <w:bCs/>
                              <w:szCs w:val="24"/>
                              <w:lang w:eastAsia="lt-LT"/>
                            </w:rPr>
                            <w:t>.2</w:t>
                          </w:r>
                        </w:sdtContent>
                      </w:sdt>
                      <w:r>
                        <w:rPr>
                          <w:bCs/>
                          <w:szCs w:val="24"/>
                          <w:lang w:eastAsia="lt-LT"/>
                        </w:rPr>
                        <w:t xml:space="preserve">. Tuo atveju, kai Asmuo, kuriam izoliuoto darbo rezervo </w:t>
                      </w:r>
                      <w:r>
                        <w:rPr>
                          <w:bCs/>
                          <w:szCs w:val="24"/>
                        </w:rPr>
                        <w:t>paslaugos kainos viršutinė riba nustatyta pagal Metodikos 35</w:t>
                      </w:r>
                      <w:r>
                        <w:rPr>
                          <w:bCs/>
                          <w:szCs w:val="24"/>
                          <w:vertAlign w:val="superscript"/>
                        </w:rPr>
                        <w:t>1</w:t>
                      </w:r>
                      <w:r>
                        <w:rPr>
                          <w:bCs/>
                          <w:szCs w:val="24"/>
                        </w:rPr>
                        <w:t xml:space="preserve">.1 papunkčio reikalavimus, </w:t>
                      </w:r>
                      <w:r>
                        <w:rPr>
                          <w:bCs/>
                          <w:szCs w:val="24"/>
                          <w:lang w:eastAsia="lt-LT"/>
                        </w:rPr>
                        <w:t>nebeteikia</w:t>
                      </w:r>
                      <w:r>
                        <w:rPr>
                          <w:bCs/>
                          <w:szCs w:val="24"/>
                        </w:rPr>
                        <w:t xml:space="preserve"> </w:t>
                      </w:r>
                      <w:r>
                        <w:rPr>
                          <w:bCs/>
                          <w:szCs w:val="24"/>
                          <w:lang w:eastAsia="lt-LT"/>
                        </w:rPr>
                        <w:t>izoliuoto darbo rezervo paslaugos, per praėjusį (y-2) ataskaitinį laikotarpį susidarę neatitikimai tarp Asmeniui prognozuotų ir faktiškai patirtų sąnaudų</w:t>
                      </w:r>
                      <w:r>
                        <w:rPr>
                          <w:bCs/>
                          <w:color w:val="000000"/>
                          <w:szCs w:val="24"/>
                          <w:lang w:eastAsia="lt-LT"/>
                        </w:rPr>
                        <w:t xml:space="preserve">, </w:t>
                      </w:r>
                      <w:r>
                        <w:rPr>
                          <w:bCs/>
                          <w:szCs w:val="24"/>
                          <w:lang w:eastAsia="lt-LT"/>
                        </w:rPr>
                        <w:t>teikiant šią paslaugą, Tarybos sprendimu įvertinami, įpareigojant Asmenį grąžinti susidariusį neatitikimą perdavimo sistemos operatoriui, jeigu Asmens faktiškai patirtos sąnaudos buvo mažesnės nei gautos pajamos iš perdavimo sistemos operatoriaus, arba išmokant susidariusį neatitikimą Asmeniui, jeigu Asmens faktiškai patirtos sąnaudos buvo didesnės nei gautos pajamos iš perdavimo sistemos operatoriaus. Per a</w:t>
                      </w:r>
                      <w:r>
                        <w:rPr>
                          <w:rFonts w:eastAsia="Calibri"/>
                          <w:bCs/>
                          <w:szCs w:val="24"/>
                          <w:lang w:eastAsia="lt-LT"/>
                        </w:rPr>
                        <w:t xml:space="preserve">taskaitinį laikotarpį (y-2) susidariusiems neatitikimams tarp Asmeniui </w:t>
                      </w:r>
                      <w:r>
                        <w:rPr>
                          <w:bCs/>
                          <w:szCs w:val="24"/>
                          <w:lang w:eastAsia="lt-LT"/>
                        </w:rPr>
                        <w:t xml:space="preserve">izoliuoto darbo rezervo </w:t>
                      </w:r>
                      <w:r>
                        <w:rPr>
                          <w:bCs/>
                          <w:szCs w:val="24"/>
                        </w:rPr>
                        <w:t>paslaugos</w:t>
                      </w:r>
                      <w:r>
                        <w:rPr>
                          <w:rFonts w:eastAsia="Calibri"/>
                          <w:bCs/>
                          <w:szCs w:val="24"/>
                          <w:lang w:eastAsia="lt-LT"/>
                        </w:rPr>
                        <w:t xml:space="preserve"> prognozuotų ir faktiškai patirtų sąnaudų nustatyti naudojamos auditoriaus patikrintos Asmens reguliuojamosios veiklos ataskaitos.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skyrius"/>
            <w:tag w:val="part_39b75314a7014674881e4913e5876567"/>
            <w:lock w:val="sdtLocked"/>
            <w:richText/>
          </w:sdtPr>
          <w:sdtContent>
            <w:p>
              <w:pPr>
                <w:tabs>
                  <w:tab w:val="left" w:pos="0"/>
                </w:tabs>
                <w:spacing w:line="22" w:lineRule="atLeast"/>
                <w:ind w:firstLine="709"/>
                <w:jc w:val="center"/>
                <w:rPr>
                  <w:b/>
                  <w:szCs w:val="24"/>
                </w:rPr>
              </w:pPr>
              <w:sdt>
                <w:sdtPr>
                  <w:alias w:val="Numeris"/>
                  <w:tag w:val="nr_39b75314a7014674881e4913e5876567"/>
                  <w:lock w:val="sdtLocked"/>
                  <w:richText/>
                </w:sdtPr>
                <w:sdtContent>
                  <w:r>
                    <w:rPr>
                      <w:b/>
                      <w:szCs w:val="24"/>
                    </w:rPr>
                    <w:t>VI</w:t>
                  </w:r>
                </w:sdtContent>
              </w:sdt>
              <w:r>
                <w:rPr>
                  <w:b/>
                  <w:szCs w:val="24"/>
                </w:rPr>
                <w:t xml:space="preserve"> SKYRIUS</w:t>
              </w:r>
            </w:p>
            <w:p>
              <w:pPr>
                <w:tabs>
                  <w:tab w:val="left" w:pos="0"/>
                </w:tabs>
                <w:spacing w:line="22" w:lineRule="atLeast"/>
                <w:ind w:firstLine="709"/>
                <w:jc w:val="center"/>
                <w:rPr>
                  <w:b/>
                  <w:szCs w:val="24"/>
                </w:rPr>
              </w:pPr>
              <w:sdt>
                <w:sdtPr>
                  <w:alias w:val="Pavadinimas"/>
                  <w:tag w:val="title_39b75314a7014674881e4913e5876567"/>
                  <w:lock w:val="sdtLocked"/>
                  <w:richText/>
                </w:sdtPr>
                <w:sdtContent>
                  <w:r>
                    <w:rPr>
                      <w:b/>
                      <w:szCs w:val="24"/>
                    </w:rPr>
                    <w:t>REIKALAVIMAI, SUSIJĘ SU ELEKTROS ENERGIJOS KAINŲ BEI REZERVINĖS GALIOS UŽTIKRINIMO PASLAUGŲ KAINŲ NUSTATYMU</w:t>
                  </w:r>
                </w:sdtContent>
              </w:sdt>
            </w:p>
            <w:p>
              <w:pPr>
                <w:tabs>
                  <w:tab w:val="left" w:pos="0"/>
                </w:tabs>
                <w:spacing w:line="22" w:lineRule="atLeast"/>
                <w:ind w:firstLine="709"/>
                <w:jc w:val="both"/>
                <w:rPr>
                  <w:szCs w:val="24"/>
                </w:rPr>
              </w:pPr>
            </w:p>
            <w:sdt>
              <w:sdtPr>
                <w:alias w:val="36 p."/>
                <w:tag w:val="part_84a648c37c054735baf820a0d64c4a13"/>
                <w:lock w:val="sdtLocked"/>
                <w:richText/>
              </w:sdtPr>
              <w:sdtContent>
                <w:p>
                  <w:pPr>
                    <w:tabs>
                      <w:tab w:val="left" w:pos="0"/>
                    </w:tabs>
                    <w:ind w:firstLine="709"/>
                    <w:jc w:val="both"/>
                    <w:rPr>
                      <w:szCs w:val="24"/>
                      <w:lang w:eastAsia="lt-LT"/>
                    </w:rPr>
                  </w:pPr>
                  <w:sdt>
                    <w:sdtPr>
                      <w:alias w:val="Numeris"/>
                      <w:tag w:val="nr_84a648c37c054735baf820a0d64c4a13"/>
                      <w:lock w:val="sdtLocked"/>
                      <w:richText/>
                    </w:sdtPr>
                    <w:sdtContent>
                      <w:r>
                        <w:rPr>
                          <w:szCs w:val="24"/>
                          <w:lang w:eastAsia="lt-LT"/>
                        </w:rPr>
                        <w:t>36</w:t>
                      </w:r>
                    </w:sdtContent>
                  </w:sdt>
                  <w:r>
                    <w:rPr>
                      <w:szCs w:val="24"/>
                      <w:lang w:eastAsia="lt-LT"/>
                    </w:rPr>
                    <w:t>. Asmenys, išskyrus Asmenis, kuriems pagal Metodikos 22, 23, 31 ir 32 punktų reikalavimus yra nustatyta izoliuoto elektros energetikos sistemos darbo paslaugos kainos viršutinė riba, iki einamųjų metų rugsėjo 1 d. pateikia Tarybai reguliuojamų paslaugų (produktų) kainų projektus, užpildytus Metodikos 1‒5 priedus, vadovaudamiesi šioje Metodikoje nustatytais reikalavimais, taip pat atskleisdami kitą informaciją, reikalingą pagrįstam ir motyvuotam Tarybos sprendimui dėl reguliuojamų paslaugų (produktų) kainų priimti. Asmuo Tarybai pateikia: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77f40300611edb4cae1b158f98ea5">
                    <w:r w:rsidRPr="00532B9F">
                      <w:rPr>
                        <w:rFonts w:ascii="Times New Roman" w:eastAsia="MS Mincho" w:hAnsi="Times New Roman"/>
                        <w:sz w:val="20"/>
                        <w:i/>
                        <w:iCs/>
                        <w:color w:val="0000FF" w:themeColor="hyperlink"/>
                        <w:u w:val="single"/>
                      </w:rPr>
                      <w:t>O3E-1207</w:t>
                    </w:r>
                  </w:fldSimple>
                  <w:r>
                    <w:rPr>
                      <w:rFonts w:ascii="Times New Roman" w:eastAsia="MS Mincho" w:hAnsi="Times New Roman"/>
                      <w:sz w:val="20"/>
                      <w:i/>
                      <w:iCs/>
                    </w:rPr>
                    <w:t>,
2022-09-09,
paskelbta TAR 2022-09-09, i. k. 2022-18577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6d0505cf311ee81b8b446907f594f">
                    <w:r w:rsidRPr="00532B9F">
                      <w:rPr>
                        <w:rFonts w:ascii="Times New Roman" w:eastAsia="MS Mincho" w:hAnsi="Times New Roman"/>
                        <w:sz w:val="20"/>
                        <w:i/>
                        <w:iCs/>
                        <w:color w:val="0000FF" w:themeColor="hyperlink"/>
                        <w:u w:val="single"/>
                      </w:rPr>
                      <w:t>O3E-1390</w:t>
                    </w:r>
                  </w:fldSimple>
                  <w:r>
                    <w:rPr>
                      <w:rFonts w:ascii="Times New Roman" w:eastAsia="MS Mincho" w:hAnsi="Times New Roman"/>
                      <w:sz w:val="20"/>
                      <w:i/>
                      <w:iCs/>
                    </w:rPr>
                    <w:t>,
2023-09-27,
paskelbta TAR 2023-09-27, i. k. 2023-18760            </w:t>
                  </w:r>
                </w:p>
                <w:sdt>
                  <w:sdtPr>
                    <w:alias w:val="36.1 pp."/>
                    <w:tag w:val="part_e1607aff42e443118e5e1d71dfaa1cf2"/>
                    <w:lock w:val="sdtLocked"/>
                    <w:richText/>
                  </w:sdtPr>
                  <w:sdtContent>
                    <w:p>
                      <w:pPr>
                        <w:tabs>
                          <w:tab w:val="left" w:pos="0"/>
                        </w:tabs>
                        <w:spacing w:line="22" w:lineRule="atLeast"/>
                        <w:ind w:firstLine="709"/>
                        <w:jc w:val="both"/>
                        <w:rPr>
                          <w:szCs w:val="24"/>
                        </w:rPr>
                      </w:pPr>
                      <w:sdt>
                        <w:sdtPr>
                          <w:alias w:val="Numeris"/>
                          <w:tag w:val="nr_e1607aff42e443118e5e1d71dfaa1cf2"/>
                          <w:lock w:val="sdtLocked"/>
                          <w:richText/>
                        </w:sdtPr>
                        <w:sdtContent>
                          <w:r>
                            <w:rPr>
                              <w:szCs w:val="24"/>
                            </w:rPr>
                            <w:t>36.1</w:t>
                          </w:r>
                        </w:sdtContent>
                      </w:sdt>
                      <w:r>
                        <w:rPr>
                          <w:szCs w:val="24"/>
                        </w:rPr>
                        <w:t>. faktines praėjusio ataskaitinio laikotarpio (y–2) pajamas pagal kiekvieną verslo vienetą ir kiekvieną reguliuojamą paslaugą (produktą); laukiamas einamojo laikotarpio (y–1) pajamas pagal kiekvieną verslo vienetą ir kiekvieną reguliuojamą paslaugą (produktą); prognozuojamas būsimo ataskaitinio laikotarpio (y) pajamas pagal kiekvieną verslo vienetą ir kiekvieną reguliuojamą paslaugą (produktą);</w:t>
                      </w:r>
                    </w:p>
                  </w:sdtContent>
                </w:sdt>
                <w:sdt>
                  <w:sdtPr>
                    <w:alias w:val="36.2 pp."/>
                    <w:tag w:val="part_2cdd5928eda1485d9b6484921d244825"/>
                    <w:lock w:val="sdtLocked"/>
                    <w:richText/>
                  </w:sdtPr>
                  <w:sdtContent>
                    <w:p>
                      <w:pPr>
                        <w:tabs>
                          <w:tab w:val="left" w:pos="0"/>
                        </w:tabs>
                        <w:spacing w:line="22" w:lineRule="atLeast"/>
                        <w:ind w:firstLine="709"/>
                        <w:jc w:val="both"/>
                        <w:rPr>
                          <w:szCs w:val="24"/>
                        </w:rPr>
                      </w:pPr>
                      <w:sdt>
                        <w:sdtPr>
                          <w:alias w:val="Numeris"/>
                          <w:tag w:val="nr_2cdd5928eda1485d9b6484921d244825"/>
                          <w:lock w:val="sdtLocked"/>
                          <w:richText/>
                        </w:sdtPr>
                        <w:sdtContent>
                          <w:r>
                            <w:rPr>
                              <w:szCs w:val="24"/>
                            </w:rPr>
                            <w:t>36.2</w:t>
                          </w:r>
                        </w:sdtContent>
                      </w:sdt>
                      <w:r>
                        <w:rPr>
                          <w:szCs w:val="24"/>
                        </w:rPr>
                        <w:t>. faktines praėjusio ataskaitinio laikotarpio (y–2) sąnaudas pagal kiekvieną verslo vienetą ir kiekvieną reguliuojamą paslaugą (produktą), specifikuotas pagal sąnaudų kategorijas ir grupes; laukiamas einamojo ataskaitinio laikotarpio (y–1) sąnaudas, pagal kiekvieną verslo vienetą ir kiekvieną reguliuojamą paslaugą (produktą), specifikuotas pagal sąnaudų kategorijas ir grupes; prognozuojamas būsimo ataskaitinio laikotarpio (y) sąnaudas pagal kiekvieną verslo vienetą ir kiekvieną reguliuojamą paslaugą (produktą), specifikuotas pagal sąnaudų kategorijas ir grupes;</w:t>
                      </w:r>
                    </w:p>
                  </w:sdtContent>
                </w:sdt>
                <w:sdt>
                  <w:sdtPr>
                    <w:alias w:val="36.3 pp."/>
                    <w:tag w:val="part_acc881794e894f1ea6a985c8298e5bb9"/>
                    <w:lock w:val="sdtLocked"/>
                    <w:richText/>
                  </w:sdtPr>
                  <w:sdtContent>
                    <w:p>
                      <w:pPr>
                        <w:tabs>
                          <w:tab w:val="left" w:pos="0"/>
                        </w:tabs>
                        <w:spacing w:line="22" w:lineRule="atLeast"/>
                        <w:ind w:firstLine="709"/>
                        <w:jc w:val="both"/>
                        <w:rPr>
                          <w:szCs w:val="24"/>
                        </w:rPr>
                      </w:pPr>
                      <w:sdt>
                        <w:sdtPr>
                          <w:alias w:val="Numeris"/>
                          <w:tag w:val="nr_acc881794e894f1ea6a985c8298e5bb9"/>
                          <w:lock w:val="sdtLocked"/>
                          <w:richText/>
                        </w:sdtPr>
                        <w:sdtContent>
                          <w:r>
                            <w:rPr>
                              <w:szCs w:val="24"/>
                            </w:rPr>
                            <w:t>36.3</w:t>
                          </w:r>
                        </w:sdtContent>
                      </w:sdt>
                      <w:r>
                        <w:rPr>
                          <w:szCs w:val="24"/>
                        </w:rPr>
                        <w:t>. faktinį praėjusio ataskaitinio laikotarpio (y–2) kiekvienos reguliuojamos paslaugos (produkto) kiekį; laukiamą einamojo ataskaitinio laikotarpio (y–1) kiekvienos reguliuojamos paslaugos (produkto) kiekį; prognozuojamą būsimojo ataskaitinio laikotarpio (y) kiekvienos reguliuojamos paslaugos (produkto) kiekį;</w:t>
                      </w:r>
                    </w:p>
                  </w:sdtContent>
                </w:sdt>
                <w:sdt>
                  <w:sdtPr>
                    <w:alias w:val="36.4 pp."/>
                    <w:tag w:val="part_e68eb58573b444d7afbd834b97e80c76"/>
                    <w:lock w:val="sdtLocked"/>
                    <w:richText/>
                  </w:sdtPr>
                  <w:sdtContent>
                    <w:p>
                      <w:pPr>
                        <w:ind w:firstLine="709"/>
                        <w:jc w:val="both"/>
                      </w:pPr>
                      <w:sdt>
                        <w:sdtPr>
                          <w:alias w:val="Numeris"/>
                          <w:tag w:val="nr_e68eb58573b444d7afbd834b97e80c76"/>
                          <w:lock w:val="sdtLocked"/>
                          <w:richText/>
                        </w:sdtPr>
                        <w:sdtContent>
                          <w:r>
                            <w:rPr>
                              <w:color w:val="000000"/>
                              <w:szCs w:val="24"/>
                              <w:lang w:eastAsia="lt-LT"/>
                            </w:rPr>
                            <w:t>36.4</w:t>
                          </w:r>
                        </w:sdtContent>
                      </w:sdt>
                      <w:r>
                        <w:rPr>
                          <w:color w:val="000000"/>
                          <w:szCs w:val="24"/>
                          <w:lang w:eastAsia="lt-LT"/>
                        </w:rPr>
                        <w:t>. faktines kapitalo apimtis, priskirtas pagal kiekvieną verslo vienetą ir kiekvieną reguliuojamą paslaugą (produktą), praėjusį ataskaitinį laikotarpį (y–2); laukiamas kapitalo apimtis, priskirtas pagal kiekvieną verslo vienetą ir kiekvieną reguliuojamą paslaugą (produktą), einamąjį ataskaitinį laikotarpį (y–1); prognozuojamas kapitalo apimtis, priskirtas pagal kiekvieną verslo vienetą ir kiekvieną reguliuojamą paslaugą (produktą), būsimąjį ataskaitinį laikotarpį (y);</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36.5 pp."/>
                    <w:tag w:val="part_cd0d221a4d98468baa9fc92ca9fe3067"/>
                    <w:lock w:val="sdtLocked"/>
                    <w:richText/>
                  </w:sdtPr>
                  <w:sdtContent>
                    <w:p>
                      <w:pPr>
                        <w:ind w:firstLine="709"/>
                        <w:jc w:val="both"/>
                      </w:pPr>
                      <w:sdt>
                        <w:sdtPr>
                          <w:alias w:val="Numeris"/>
                          <w:tag w:val="nr_cd0d221a4d98468baa9fc92ca9fe3067"/>
                          <w:lock w:val="sdtLocked"/>
                          <w:richText/>
                        </w:sdtPr>
                        <w:sdtContent>
                          <w:r>
                            <w:t>36.5</w:t>
                          </w:r>
                        </w:sdtContent>
                      </w:sdt>
                      <w:r>
                        <w:t xml:space="preserve">. antrinio avarinio aktyviosios galios rezervo užtikrinimo paslaugos atveju, per ataskaitinį laikotarpį (y–2) Asmens gautą pelną pardavus elektros energiją, pagamintą perdavimo sistemos operatoriui aktyvavus antrinį avarinį aktyviosios galios rezervą;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36.6 pp."/>
                    <w:tag w:val="part_971e564496f34adeaeb0299bb93f37c4"/>
                    <w:lock w:val="sdtLocked"/>
                    <w:richText/>
                  </w:sdtPr>
                  <w:sdtContent>
                    <w:p>
                      <w:pPr>
                        <w:ind w:firstLine="709"/>
                        <w:jc w:val="both"/>
                        <w:rPr>
                          <w:b/>
                          <w:szCs w:val="24"/>
                        </w:rPr>
                      </w:pPr>
                      <w:sdt>
                        <w:sdtPr>
                          <w:alias w:val="Numeris"/>
                          <w:tag w:val="nr_971e564496f34adeaeb0299bb93f37c4"/>
                          <w:lock w:val="sdtLocked"/>
                          <w:richText/>
                        </w:sdtPr>
                        <w:sdtContent>
                          <w:r>
                            <w:t>36.6</w:t>
                          </w:r>
                        </w:sdtContent>
                      </w:sdt>
                      <w:r>
                        <w:t>. kainos viršutinės ribos koregavimui, esant Metodikos 35</w:t>
                      </w:r>
                      <w:r>
                        <w:rPr>
                          <w:vertAlign w:val="superscript"/>
                          <w:lang w:val="en-US"/>
                        </w:rPr>
                        <w:t>2</w:t>
                      </w:r>
                      <w:r>
                        <w:t xml:space="preserve">.2 papunktyje nurodytam atvejui, paskirtasis kaupimo sistemos operatorius pateikia aiškinamąjį raštą, kuriame nurodomas pateiktų duomenų pagrindimas.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Content>
            </w:sdt>
            <w:sdt>
              <w:sdtPr>
                <w:alias w:val="36-1 p."/>
                <w:tag w:val="part_e56d7953415a4e558df9403fbcfd9760"/>
                <w:lock w:val="sdtLocked"/>
                <w:richText/>
              </w:sdtPr>
              <w:sdtContent>
                <w:p>
                  <w:pPr>
                    <w:ind w:firstLine="709"/>
                    <w:jc w:val="both"/>
                    <w:rPr>
                      <w:color w:val="000000"/>
                      <w:szCs w:val="24"/>
                    </w:rPr>
                  </w:pPr>
                  <w:sdt>
                    <w:sdtPr>
                      <w:alias w:val="Numeris"/>
                      <w:tag w:val="nr_e56d7953415a4e558df9403fbcfd9760"/>
                      <w:lock w:val="sdtLocked"/>
                      <w:richText/>
                    </w:sdtPr>
                    <w:sdtContent>
                      <w:r>
                        <w:rPr>
                          <w:color w:val="000000"/>
                          <w:szCs w:val="24"/>
                        </w:rPr>
                        <w:t>36</w:t>
                      </w:r>
                      <w:r>
                        <w:rPr>
                          <w:color w:val="000000"/>
                          <w:szCs w:val="24"/>
                          <w:vertAlign w:val="superscript"/>
                        </w:rPr>
                        <w:t>1</w:t>
                      </w:r>
                    </w:sdtContent>
                  </w:sdt>
                  <w:r>
                    <w:rPr>
                      <w:color w:val="000000"/>
                      <w:szCs w:val="24"/>
                    </w:rPr>
                    <w:t xml:space="preserve">. Izoliuoto elektros energetikos sistemos darbo paslaugos kaina gali būti koreguojama ne dažniau, kaip du kartus per metus </w:t>
                  </w:r>
                  <w:r>
                    <w:rPr>
                      <w:color w:val="000000"/>
                    </w:rPr>
                    <w:t>Elektros energetikos įstatyme</w:t>
                  </w:r>
                  <w:r>
                    <w:rPr>
                      <w:color w:val="000000"/>
                      <w:szCs w:val="24"/>
                    </w:rPr>
                    <w:t xml:space="preserve"> nustatytu atveju, kai yra su elektros energetikos sistemos atsparumu, darbo saugumo, patikimumo užtikrinimu susijusių vieno ar kelių veiksnių, kuriais vadovaujantis buvo nustatytos izoliuoto elektros energetikos sistemos darbo paslaugos kaina, pokyčių. Nustatytos einamųjų metų izoliuoto elektros energetikos sistemos darbo paslaugos kainos viršutinės ribos koregavimas </w:t>
                  </w:r>
                  <w:r>
                    <w:rPr>
                      <w:color w:val="000000"/>
                    </w:rPr>
                    <w:t xml:space="preserve">Elektros energetikos įstatyme </w:t>
                  </w:r>
                  <w:r>
                    <w:rPr>
                      <w:color w:val="000000"/>
                      <w:szCs w:val="24"/>
                    </w:rPr>
                    <w:t>nustatytu atveju, kai yra su elektros energetikos sistemos atsparumu, darbo saugumo, patikimumo užtikrinimu susijusių vieno ar kelių veiksnių, kuriais vadovaujantis buvo nustatyta izoliuoto elektros energetikos sistemos darbo paslaugos kaina, pokyčių, atliekamas šia tvarka:</w:t>
                  </w:r>
                </w:p>
                <w:sdt>
                  <w:sdtPr>
                    <w:alias w:val="36-1.1 pp."/>
                    <w:tag w:val="part_be643063acbe4944bf9ae3f9e05b8b81"/>
                    <w:lock w:val="sdtLocked"/>
                    <w:richText/>
                  </w:sdtPr>
                  <w:sdtContent>
                    <w:p>
                      <w:pPr>
                        <w:ind w:firstLine="709"/>
                        <w:jc w:val="both"/>
                        <w:rPr>
                          <w:color w:val="000000"/>
                          <w:szCs w:val="24"/>
                        </w:rPr>
                      </w:pPr>
                      <w:sdt>
                        <w:sdtPr>
                          <w:alias w:val="Numeris"/>
                          <w:tag w:val="nr_be643063acbe4944bf9ae3f9e05b8b81"/>
                          <w:lock w:val="sdtLocked"/>
                          <w:richText/>
                        </w:sdtPr>
                        <w:sdtContent>
                          <w:r>
                            <w:rPr>
                              <w:color w:val="000000"/>
                              <w:szCs w:val="24"/>
                            </w:rPr>
                            <w:t>36</w:t>
                          </w:r>
                          <w:r>
                            <w:rPr>
                              <w:color w:val="000000"/>
                              <w:szCs w:val="24"/>
                              <w:vertAlign w:val="superscript"/>
                            </w:rPr>
                            <w:t>1</w:t>
                          </w:r>
                          <w:r>
                            <w:rPr>
                              <w:color w:val="000000"/>
                              <w:szCs w:val="24"/>
                            </w:rPr>
                            <w:t>.1</w:t>
                          </w:r>
                        </w:sdtContent>
                      </w:sdt>
                      <w:r>
                        <w:rPr>
                          <w:color w:val="000000"/>
                          <w:szCs w:val="24"/>
                        </w:rPr>
                        <w:t>. Nustatytos einamųjų metų izoliuoto elektros energetikos sistemos darbo paslaugos kainos viršutinės ribos koregavimo metu yra peržiūrimos tik gamtinių dujų įsigijimo, transportavimo, saugojimo ir su tuo susijusių sąnaudų (</w:t>
                      </w:r>
                      <w:r>
                        <w:rPr>
                          <w:color w:val="000000"/>
                          <w:lang w:eastAsia="lt-LT"/>
                        </w:rPr>
                        <w:t>įskaitant Metodikos 30.6 papunktyje nustatytas palūkanas)</w:t>
                      </w:r>
                      <w:r>
                        <w:rPr>
                          <w:color w:val="000000"/>
                          <w:szCs w:val="24"/>
                        </w:rPr>
                        <w:t xml:space="preserve"> pokytis, dėl kurio buvo inicijuotas izoliuoto elektros energetikos sistemos darbo paslaugos kainos viršutinės ribos koregavimas.</w:t>
                      </w:r>
                    </w:p>
                  </w:sdtContent>
                </w:sdt>
                <w:sdt>
                  <w:sdtPr>
                    <w:alias w:val="36-1.2 pp."/>
                    <w:tag w:val="part_7402516071f2478999bdefb55e11aa85"/>
                    <w:lock w:val="sdtLocked"/>
                    <w:richText/>
                  </w:sdtPr>
                  <w:sdtContent>
                    <w:p>
                      <w:pPr>
                        <w:ind w:firstLine="709"/>
                        <w:jc w:val="both"/>
                        <w:rPr>
                          <w:color w:val="000000"/>
                          <w:szCs w:val="24"/>
                        </w:rPr>
                      </w:pPr>
                      <w:sdt>
                        <w:sdtPr>
                          <w:alias w:val="Numeris"/>
                          <w:tag w:val="nr_7402516071f2478999bdefb55e11aa85"/>
                          <w:lock w:val="sdtLocked"/>
                          <w:richText/>
                        </w:sdtPr>
                        <w:sdtContent>
                          <w:r>
                            <w:rPr>
                              <w:color w:val="000000"/>
                              <w:szCs w:val="24"/>
                            </w:rPr>
                            <w:t>36</w:t>
                          </w:r>
                          <w:r>
                            <w:rPr>
                              <w:color w:val="000000"/>
                              <w:szCs w:val="24"/>
                              <w:vertAlign w:val="superscript"/>
                            </w:rPr>
                            <w:t>1</w:t>
                          </w:r>
                          <w:r>
                            <w:rPr>
                              <w:color w:val="000000"/>
                              <w:szCs w:val="24"/>
                            </w:rPr>
                            <w:t>.2</w:t>
                          </w:r>
                        </w:sdtContent>
                      </w:sdt>
                      <w:r>
                        <w:rPr>
                          <w:color w:val="000000"/>
                          <w:szCs w:val="24"/>
                        </w:rPr>
                        <w:t>. Dėl nustatytos einamųjų metų izoliuoto elektros energetikos sistemos darbo paslaugos kainos viršutinės ribos koregavimo į Tarybą kreipiasi gamintojas, kuris einamaisiais metais teikia izoliuoto elektros energetikos sistemos darbo paslaugą perdavimo sistemos operatoriui (toliau – Paslaugos teikėjas).</w:t>
                      </w:r>
                    </w:p>
                  </w:sdtContent>
                </w:sdt>
                <w:sdt>
                  <w:sdtPr>
                    <w:alias w:val="36-1.3 pp."/>
                    <w:tag w:val="part_e1fa29e595ae45e587896d1f9329627b"/>
                    <w:lock w:val="sdtLocked"/>
                    <w:richText/>
                  </w:sdtPr>
                  <w:sdtContent>
                    <w:p>
                      <w:pPr>
                        <w:ind w:firstLine="709"/>
                        <w:jc w:val="both"/>
                        <w:rPr>
                          <w:color w:val="000000"/>
                        </w:rPr>
                      </w:pPr>
                      <w:sdt>
                        <w:sdtPr>
                          <w:alias w:val="Numeris"/>
                          <w:tag w:val="nr_e1fa29e595ae45e587896d1f9329627b"/>
                          <w:lock w:val="sdtLocked"/>
                          <w:richText/>
                        </w:sdtPr>
                        <w:sdtContent>
                          <w:r>
                            <w:rPr>
                              <w:color w:val="000000"/>
                            </w:rPr>
                            <w:t>36</w:t>
                          </w:r>
                          <w:r>
                            <w:rPr>
                              <w:color w:val="000000"/>
                              <w:vertAlign w:val="superscript"/>
                            </w:rPr>
                            <w:t>1</w:t>
                          </w:r>
                          <w:r>
                            <w:rPr>
                              <w:color w:val="000000"/>
                            </w:rPr>
                            <w:t>.3</w:t>
                          </w:r>
                        </w:sdtContent>
                      </w:sdt>
                      <w:r>
                        <w:rPr>
                          <w:color w:val="000000"/>
                        </w:rPr>
                        <w:t>. Paslaugos teikėjas Tarybai pateikia raštišką laisvos formos prašymą koreguoti einamųjų metų izoliuoto elektros energetikos sistemos darbo paslaugos viršutinę ribą (toliau – Prašymas). Prašymui pagrįsti Paslaugos teikėjas papildomai pateikia Tarybai:</w:t>
                      </w:r>
                    </w:p>
                    <w:sdt>
                      <w:sdtPr>
                        <w:alias w:val="36-1.3.1 pp."/>
                        <w:tag w:val="part_2621839571db49c19ac287d38dbe31d6"/>
                        <w:lock w:val="sdtLocked"/>
                        <w:richText/>
                      </w:sdtPr>
                      <w:sdtContent>
                        <w:p>
                          <w:pPr>
                            <w:ind w:firstLine="709"/>
                            <w:jc w:val="both"/>
                            <w:rPr>
                              <w:color w:val="000000"/>
                              <w:szCs w:val="24"/>
                            </w:rPr>
                          </w:pPr>
                          <w:sdt>
                            <w:sdtPr>
                              <w:alias w:val="Numeris"/>
                              <w:tag w:val="nr_2621839571db49c19ac287d38dbe31d6"/>
                              <w:lock w:val="sdtLocked"/>
                              <w:richText/>
                            </w:sdtPr>
                            <w:sdtContent>
                              <w:r>
                                <w:rPr>
                                  <w:color w:val="000000"/>
                                  <w:szCs w:val="24"/>
                                </w:rPr>
                                <w:t>36</w:t>
                              </w:r>
                              <w:r>
                                <w:rPr>
                                  <w:color w:val="000000"/>
                                  <w:szCs w:val="24"/>
                                  <w:vertAlign w:val="superscript"/>
                                </w:rPr>
                                <w:t>1</w:t>
                              </w:r>
                              <w:r>
                                <w:rPr>
                                  <w:color w:val="000000"/>
                                  <w:szCs w:val="24"/>
                                </w:rPr>
                                <w:t>.3.1</w:t>
                              </w:r>
                            </w:sdtContent>
                          </w:sdt>
                          <w:r>
                            <w:rPr>
                              <w:color w:val="000000"/>
                              <w:szCs w:val="24"/>
                            </w:rPr>
                            <w:t>. Gamtinių dujų įsigijimo, transportavimo, saugojimo ir su tuo susijusių sąnaudų, kuriomis vadovaujantis buvo nustatyta einamųjų metų izoliuoto elektros energetikos sistemos darbo paslaugos viršutinė kainos riba, pokytį bei su elektros energetikos sistemos atsparumu, darbo saugumo, patikimumo užtikrinimu susijusių vieno ar kelių veiksnių, kuriais vadovaujantis buvo nustatytos izoliuoto elektros energetikos sistemos darbo paslaugos kaina, pokyčius pagrindžiančius dokumentus.</w:t>
                          </w:r>
                        </w:p>
                      </w:sdtContent>
                    </w:sdt>
                    <w:sdt>
                      <w:sdtPr>
                        <w:alias w:val="36-1.3.2 pp."/>
                        <w:tag w:val="part_1cd3d944c1f2433cbcdcfd38ed07af6d"/>
                        <w:lock w:val="sdtLocked"/>
                        <w:richText/>
                      </w:sdtPr>
                      <w:sdtContent>
                        <w:p>
                          <w:pPr>
                            <w:ind w:firstLine="709"/>
                            <w:jc w:val="both"/>
                          </w:pPr>
                          <w:sdt>
                            <w:sdtPr>
                              <w:alias w:val="Numeris"/>
                              <w:tag w:val="nr_1cd3d944c1f2433cbcdcfd38ed07af6d"/>
                              <w:lock w:val="sdtLocked"/>
                              <w:richText/>
                            </w:sdtPr>
                            <w:sdtContent>
                              <w:r>
                                <w:rPr>
                                  <w:color w:val="000000"/>
                                </w:rPr>
                                <w:t>36</w:t>
                              </w:r>
                              <w:r>
                                <w:rPr>
                                  <w:color w:val="000000"/>
                                  <w:vertAlign w:val="superscript"/>
                                </w:rPr>
                                <w:t>1</w:t>
                              </w:r>
                              <w:r>
                                <w:rPr>
                                  <w:color w:val="000000"/>
                                </w:rPr>
                                <w:t>.3.2</w:t>
                              </w:r>
                            </w:sdtContent>
                          </w:sdt>
                          <w:r>
                            <w:rPr>
                              <w:color w:val="000000"/>
                            </w:rPr>
                            <w:t xml:space="preserve">. Laisvos formos ekonomiškai naudingiausio sprendimo priėmimo metu Paslaugos teikėjo vertintų alternatyvų analizę. Priimdamas sprendimą dėl gamtinių dujų įsigijimo, saugojimo ir su tuo susijusių sąnaudų, Paslaugos teikėjas turi siekti mažiausių sąnaudų ir didžiausios naudos, tuo tikslu atlikdamas tokio sprendimo prognozuojamų pasekmių </w:t>
                          </w:r>
                          <w:r>
                            <w:rPr>
                              <w:i/>
                              <w:iCs/>
                              <w:color w:val="000000"/>
                            </w:rPr>
                            <w:t>ex-ante</w:t>
                          </w:r>
                          <w:r>
                            <w:rPr>
                              <w:color w:val="000000"/>
                            </w:rPr>
                            <w:t xml:space="preserve"> alternatyvų analizę, kuri pateikiama Tarybai, pagrindžiant patirtas sąnaudas (</w:t>
                          </w:r>
                          <w:r>
                            <w:rPr>
                              <w:color w:val="000000"/>
                              <w:lang w:eastAsia="lt-LT"/>
                            </w:rPr>
                            <w:t>įskaitant Metodikos 30.6 papunktyje nustatytas palūkanas</w:t>
                          </w:r>
                          <w:r>
                            <w:rPr>
                              <w:bCs/>
                              <w:color w:val="000000"/>
                              <w:lang w:eastAsia="lt-LT"/>
                            </w:rPr>
                            <w:t>)</w:t>
                          </w:r>
                          <w:r>
                            <w:rPr>
                              <w:bCs/>
                              <w:color w:val="000000"/>
                            </w:rPr>
                            <w:t>.</w:t>
                          </w:r>
                          <w:r>
                            <w:rPr>
                              <w:color w:val="000000"/>
                            </w:rPr>
                            <w:t xml:space="preserve"> Taryba, priimdama sprendimą dėl tokių sąnaudų pagrįstumo, atsižvelgia į Paslaugos teikėjo sprendimo priėmimo metu atliktą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d7fb30d80511ec8d9390588bf2de65">
                    <w:r w:rsidRPr="00532B9F">
                      <w:rPr>
                        <w:rFonts w:ascii="Times New Roman" w:eastAsia="MS Mincho" w:hAnsi="Times New Roman"/>
                        <w:sz w:val="20"/>
                        <w:i/>
                        <w:iCs/>
                        <w:color w:val="0000FF" w:themeColor="hyperlink"/>
                        <w:u w:val="single"/>
                      </w:rPr>
                      <w:t>O3E-735</w:t>
                    </w:r>
                  </w:fldSimple>
                  <w:r>
                    <w:rPr>
                      <w:rFonts w:ascii="Times New Roman" w:eastAsia="MS Mincho" w:hAnsi="Times New Roman"/>
                      <w:sz w:val="20"/>
                      <w:i/>
                      <w:iCs/>
                    </w:rPr>
                    <w:t>,
2022-05-20,
paskelbta TAR 2022-05-20, i. k. 2022-10651        </w:t>
                  </w:r>
                </w:p>
                <w:p/>
              </w:sdtContent>
            </w:sdt>
            <w:sdt>
              <w:sdtPr>
                <w:alias w:val="36-2 p."/>
                <w:tag w:val="part_641d29eee5394e1ab2515952639bf92e"/>
                <w:lock w:val="sdtLocked"/>
                <w:richText/>
              </w:sdtPr>
              <w:sdtContent>
                <w:p>
                  <w:pPr>
                    <w:ind w:firstLine="709"/>
                    <w:jc w:val="both"/>
                    <w:rPr>
                      <w:b/>
                      <w:szCs w:val="24"/>
                    </w:rPr>
                  </w:pPr>
                  <w:sdt>
                    <w:sdtPr>
                      <w:alias w:val="Numeris"/>
                      <w:tag w:val="nr_641d29eee5394e1ab2515952639bf92e"/>
                      <w:lock w:val="sdtLocked"/>
                      <w:richText/>
                    </w:sdtPr>
                    <w:sdtContent>
                      <w:r>
                        <w:rPr>
                          <w:color w:val="000000"/>
                          <w:szCs w:val="24"/>
                        </w:rPr>
                        <w:t>36</w:t>
                      </w:r>
                      <w:r>
                        <w:rPr>
                          <w:color w:val="000000"/>
                          <w:szCs w:val="24"/>
                          <w:vertAlign w:val="superscript"/>
                        </w:rPr>
                        <w:t>2</w:t>
                      </w:r>
                    </w:sdtContent>
                  </w:sdt>
                  <w:r>
                    <w:rPr>
                      <w:color w:val="000000"/>
                      <w:szCs w:val="24"/>
                    </w:rPr>
                    <w:t>. Metodikos 36</w:t>
                  </w:r>
                  <w:r>
                    <w:rPr>
                      <w:color w:val="000000"/>
                      <w:szCs w:val="24"/>
                      <w:vertAlign w:val="superscript"/>
                    </w:rPr>
                    <w:t xml:space="preserve">1 </w:t>
                  </w:r>
                  <w:r>
                    <w:rPr>
                      <w:color w:val="000000"/>
                      <w:szCs w:val="24"/>
                    </w:rPr>
                    <w:t>punkto nuostatos taikomos ir Metodikos 31 punkte nurodytiems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d7fb30d80511ec8d9390588bf2de65">
                    <w:r w:rsidRPr="00532B9F">
                      <w:rPr>
                        <w:rFonts w:ascii="Times New Roman" w:eastAsia="MS Mincho" w:hAnsi="Times New Roman"/>
                        <w:sz w:val="20"/>
                        <w:i/>
                        <w:iCs/>
                        <w:color w:val="0000FF" w:themeColor="hyperlink"/>
                        <w:u w:val="single"/>
                      </w:rPr>
                      <w:t>O3E-735</w:t>
                    </w:r>
                  </w:fldSimple>
                  <w:r>
                    <w:rPr>
                      <w:rFonts w:ascii="Times New Roman" w:eastAsia="MS Mincho" w:hAnsi="Times New Roman"/>
                      <w:sz w:val="20"/>
                      <w:i/>
                      <w:iCs/>
                    </w:rPr>
                    <w:t>,
2022-05-20,
paskelbta TAR 2022-05-20, i. k. 2022-10651        </w:t>
                  </w:r>
                </w:p>
                <w:p/>
              </w:sdtContent>
            </w:sdt>
          </w:sdtContent>
        </w:sdt>
        <w:sdt>
          <w:sdtPr>
            <w:alias w:val="skyrius"/>
            <w:tag w:val="part_c595ad3bd32840d2ba31c41d0b0bd4f1"/>
            <w:lock w:val="sdtLocked"/>
            <w:richText/>
          </w:sdtPr>
          <w:sdtContent>
            <w:p>
              <w:pPr>
                <w:tabs>
                  <w:tab w:val="left" w:pos="0"/>
                </w:tabs>
                <w:spacing w:line="22" w:lineRule="atLeast"/>
                <w:ind w:firstLine="709"/>
                <w:jc w:val="center"/>
                <w:rPr>
                  <w:b/>
                  <w:szCs w:val="24"/>
                </w:rPr>
              </w:pPr>
              <w:sdt>
                <w:sdtPr>
                  <w:alias w:val="Numeris"/>
                  <w:tag w:val="nr_c595ad3bd32840d2ba31c41d0b0bd4f1"/>
                  <w:lock w:val="sdtLocked"/>
                  <w:richText/>
                </w:sdtPr>
                <w:sdtContent>
                  <w:r>
                    <w:rPr>
                      <w:b/>
                      <w:szCs w:val="24"/>
                    </w:rPr>
                    <w:t>VII</w:t>
                  </w:r>
                </w:sdtContent>
              </w:sdt>
              <w:r>
                <w:rPr>
                  <w:b/>
                  <w:szCs w:val="24"/>
                </w:rPr>
                <w:t xml:space="preserve"> SKYRIUS</w:t>
              </w:r>
            </w:p>
            <w:p>
              <w:pPr>
                <w:tabs>
                  <w:tab w:val="left" w:pos="0"/>
                </w:tabs>
                <w:spacing w:line="22" w:lineRule="atLeast"/>
                <w:ind w:firstLine="709"/>
                <w:jc w:val="center"/>
                <w:rPr>
                  <w:b/>
                  <w:szCs w:val="24"/>
                </w:rPr>
              </w:pPr>
              <w:sdt>
                <w:sdtPr>
                  <w:alias w:val="Pavadinimas"/>
                  <w:tag w:val="title_c595ad3bd32840d2ba31c41d0b0bd4f1"/>
                  <w:lock w:val="sdtLocked"/>
                  <w:richText/>
                </w:sdtPr>
                <w:sdtContent>
                  <w:r>
                    <w:rPr>
                      <w:b/>
                      <w:szCs w:val="24"/>
                    </w:rPr>
                    <w:t>BAIGIAMOSIOS NUOSTATOS</w:t>
                  </w:r>
                </w:sdtContent>
              </w:sdt>
            </w:p>
            <w:p>
              <w:pPr>
                <w:tabs>
                  <w:tab w:val="left" w:pos="0"/>
                </w:tabs>
                <w:spacing w:line="22" w:lineRule="atLeast"/>
                <w:ind w:firstLine="709"/>
                <w:jc w:val="both"/>
                <w:rPr>
                  <w:szCs w:val="24"/>
                </w:rPr>
              </w:pPr>
            </w:p>
            <w:sdt>
              <w:sdtPr>
                <w:alias w:val="37 p."/>
                <w:tag w:val="part_245f24064ea649ef85c430fadc18cf10"/>
                <w:lock w:val="sdtLocked"/>
                <w:richText/>
              </w:sdtPr>
              <w:sdtContent>
                <w:p>
                  <w:pPr>
                    <w:tabs>
                      <w:tab w:val="left" w:pos="0"/>
                      <w:tab w:val="left" w:pos="562"/>
                    </w:tabs>
                    <w:spacing w:line="22" w:lineRule="atLeast"/>
                    <w:ind w:firstLine="709"/>
                    <w:jc w:val="both"/>
                    <w:rPr>
                      <w:szCs w:val="24"/>
                    </w:rPr>
                  </w:pPr>
                  <w:sdt>
                    <w:sdtPr>
                      <w:alias w:val="Numeris"/>
                      <w:tag w:val="nr_245f24064ea649ef85c430fadc18cf10"/>
                      <w:lock w:val="sdtLocked"/>
                      <w:richText/>
                    </w:sdtPr>
                    <w:sdtContent>
                      <w:r>
                        <w:rPr>
                          <w:szCs w:val="24"/>
                        </w:rPr>
                        <w:t>37</w:t>
                      </w:r>
                    </w:sdtContent>
                  </w:sdt>
                  <w:r>
                    <w:rPr>
                      <w:szCs w:val="24"/>
                    </w:rPr>
                    <w:t xml:space="preserve">. Taryba teisės aktų nustatyta tvarka turi teisę iš energetikos įmonių ar asmenų, kurių vykdoma veikla tiesiogiai ar netiesiogiai susijusi su energetikos veikla, bei valstybės institucijų gauti visą reikalingą informaciją ir dokumentus, būtinus Tarybos sprendimui dėl reguliuojamų paslaugų (produktų)  kainų nustatymo priimti.</w:t>
                  </w:r>
                </w:p>
              </w:sdtContent>
            </w:sdt>
            <w:sdt>
              <w:sdtPr>
                <w:alias w:val="38 p."/>
                <w:tag w:val="part_2b5875e9619a4db89ddf4e08dbd92791"/>
                <w:lock w:val="sdtLocked"/>
                <w:richText/>
              </w:sdtPr>
              <w:sdtContent>
                <w:p>
                  <w:pPr>
                    <w:tabs>
                      <w:tab w:val="left" w:pos="0"/>
                      <w:tab w:val="left" w:pos="562"/>
                    </w:tabs>
                    <w:spacing w:line="22" w:lineRule="atLeast"/>
                    <w:ind w:firstLine="709"/>
                    <w:jc w:val="both"/>
                    <w:rPr>
                      <w:szCs w:val="24"/>
                    </w:rPr>
                  </w:pPr>
                  <w:sdt>
                    <w:sdtPr>
                      <w:alias w:val="Numeris"/>
                      <w:tag w:val="nr_2b5875e9619a4db89ddf4e08dbd92791"/>
                      <w:lock w:val="sdtLocked"/>
                      <w:richText/>
                    </w:sdtPr>
                    <w:sdtContent>
                      <w:r>
                        <w:rPr>
                          <w:szCs w:val="24"/>
                        </w:rPr>
                        <w:t>38</w:t>
                      </w:r>
                    </w:sdtContent>
                  </w:sdt>
                  <w:r>
                    <w:rPr>
                      <w:szCs w:val="24"/>
                    </w:rPr>
                    <w:t>. Asmenys, pažeidę Metodikos nuostatas, atsako Lietuvos Respublikos įstatymų nustatyta tvarka.</w:t>
                  </w:r>
                </w:p>
              </w:sdtContent>
            </w:sdt>
            <w:sdt>
              <w:sdtPr>
                <w:alias w:val="39 p."/>
                <w:tag w:val="part_90d1b8f562f14c14bfd6468a71da7664"/>
                <w:lock w:val="sdtLocked"/>
                <w:richText/>
              </w:sdtPr>
              <w:sdtContent>
                <w:p>
                  <w:pPr>
                    <w:tabs>
                      <w:tab w:val="left" w:pos="0"/>
                      <w:tab w:val="left" w:pos="562"/>
                    </w:tabs>
                    <w:spacing w:line="22" w:lineRule="atLeast"/>
                    <w:ind w:firstLine="709"/>
                    <w:jc w:val="both"/>
                    <w:rPr>
                      <w:szCs w:val="24"/>
                    </w:rPr>
                  </w:pPr>
                  <w:sdt>
                    <w:sdtPr>
                      <w:alias w:val="Numeris"/>
                      <w:tag w:val="nr_90d1b8f562f14c14bfd6468a71da7664"/>
                      <w:lock w:val="sdtLocked"/>
                      <w:richText/>
                    </w:sdtPr>
                    <w:sdtContent>
                      <w:r>
                        <w:rPr>
                          <w:szCs w:val="24"/>
                        </w:rPr>
                        <w:t>39</w:t>
                      </w:r>
                    </w:sdtContent>
                  </w:sdt>
                  <w:r>
                    <w:rPr>
                      <w:szCs w:val="24"/>
                    </w:rPr>
                    <w:t>. Tarybos veiksmai arba neveikimas, įgyvendinant šią Metodiką, gali būti skundžiami Lietuvos Respublikos įstatymų nustatyta tvarka ir sąlygomis.</w:t>
                  </w:r>
                </w:p>
              </w:sdtContent>
            </w:sdt>
          </w:sdtContent>
        </w:sdt>
        <w:sdt>
          <w:sdtPr>
            <w:alias w:val="pabaiga"/>
            <w:tag w:val="part_96efc26c76f94fac844cd6016f4accd0"/>
            <w:lock w:val="sdtLocked"/>
            <w:richText/>
          </w:sdtPr>
          <w:sdtContent>
            <w:p>
              <w:pPr>
                <w:spacing w:line="22" w:lineRule="atLeast"/>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7d9ac006ec11ea9d279ea27696ab7b">
            <w:r w:rsidRPr="00532B9F">
              <w:rPr>
                <w:rFonts w:ascii="Times New Roman" w:eastAsia="MS Mincho" w:hAnsi="Times New Roman"/>
                <w:sz w:val="20"/>
                <w:i/>
                <w:iCs/>
                <w:color w:val="0000FF" w:themeColor="hyperlink"/>
                <w:u w:val="single"/>
              </w:rPr>
              <w:t>O3E-715</w:t>
            </w:r>
          </w:fldSimple>
          <w:r>
            <w:rPr>
              <w:rFonts w:ascii="Times New Roman" w:eastAsia="MS Mincho" w:hAnsi="Times New Roman"/>
              <w:sz w:val="20"/>
              <w:i/>
              <w:iCs/>
            </w:rPr>
            <w:t>,
2019-11-14,
paskelbta TAR 2019-11-14, i. k. 2019-18314            </w:t>
          </w:r>
        </w:p>
        <w:p/>
      </w:sdtContent>
    </w:sdt>
    <w:sdt>
      <w:sdtPr>
        <w:alias w:val="3 pr."/>
        <w:tag w:val="part_c0f47581b42f4140ae6dba85c02f8846"/>
        <w:lock w:val="sdtLocked"/>
        <w:richText/>
      </w:sdtPr>
      <w:sdtContent>
        <w:p>
          <w:pPr>
            <w:spacing w:line="22" w:lineRule="atLeast"/>
            <w:ind w:left="5670"/>
            <w:sectPr>
              <w:pgSz w:w="11907" w:h="16840" w:code="9"/>
              <w:pgMar w:top="1134" w:right="1134" w:bottom="1134" w:left="1134" w:header="709" w:footer="709" w:gutter="0"/>
              <w:pgNumType w:start="1"/>
              <w:cols w:space="708"/>
              <w:titlePg/>
              <w:docGrid w:linePitch="326"/>
            </w:sectPr>
          </w:pPr>
        </w:p>
        <w:p>
          <w:pPr>
            <w:spacing w:line="22" w:lineRule="atLeast"/>
            <w:ind w:left="5670"/>
            <w:rPr>
              <w:bCs/>
            </w:rPr>
          </w:pPr>
          <w:r>
            <w:rPr>
              <w:szCs w:val="24"/>
              <w:lang w:eastAsia="lt-LT"/>
            </w:rPr>
            <w:t>E</w:t>
          </w:r>
          <w:r>
            <w:rPr>
              <w:bCs/>
            </w:rPr>
            <w:t xml:space="preserve">lektros energijos kainos, </w:t>
          </w:r>
        </w:p>
        <w:p>
          <w:pPr>
            <w:spacing w:line="22" w:lineRule="atLeast"/>
            <w:ind w:left="5670"/>
            <w:rPr>
              <w:bCs/>
              <w:color w:val="000000"/>
            </w:rPr>
          </w:pPr>
          <w:r>
            <w:rPr>
              <w:bCs/>
            </w:rPr>
            <w:t xml:space="preserve">rezervinės galios ir </w:t>
          </w:r>
          <w:r>
            <w:rPr>
              <w:bCs/>
              <w:color w:val="000000"/>
            </w:rPr>
            <w:t xml:space="preserve">izoliuoto </w:t>
          </w:r>
        </w:p>
        <w:p>
          <w:pPr>
            <w:spacing w:line="22" w:lineRule="atLeast"/>
            <w:ind w:left="5670"/>
            <w:rPr>
              <w:bCs/>
              <w:color w:val="000000"/>
            </w:rPr>
          </w:pPr>
          <w:r>
            <w:rPr>
              <w:bCs/>
              <w:color w:val="000000"/>
            </w:rPr>
            <w:t xml:space="preserve">elektros energetikos sistemos </w:t>
          </w:r>
        </w:p>
        <w:p>
          <w:pPr>
            <w:spacing w:line="22" w:lineRule="atLeast"/>
            <w:ind w:left="5670"/>
            <w:rPr>
              <w:bCs/>
            </w:rPr>
          </w:pPr>
          <w:r>
            <w:rPr>
              <w:bCs/>
              <w:color w:val="000000"/>
            </w:rPr>
            <w:t xml:space="preserve">darbo </w:t>
          </w:r>
          <w:r>
            <w:rPr>
              <w:bCs/>
            </w:rPr>
            <w:t xml:space="preserve">užtikrinimo paslaugų kainų </w:t>
          </w:r>
        </w:p>
        <w:p>
          <w:pPr>
            <w:spacing w:line="22" w:lineRule="atLeast"/>
            <w:ind w:left="5670"/>
            <w:rPr>
              <w:bCs/>
            </w:rPr>
          </w:pPr>
          <w:r>
            <w:rPr>
              <w:bCs/>
            </w:rPr>
            <w:t>nustatymo</w:t>
          </w:r>
        </w:p>
        <w:p>
          <w:pPr>
            <w:spacing w:line="22" w:lineRule="atLeast"/>
            <w:ind w:left="5670"/>
            <w:rPr>
              <w:szCs w:val="24"/>
            </w:rPr>
          </w:pPr>
          <w:sdt>
            <w:sdtPr>
              <w:alias w:val="Numeris"/>
              <w:tag w:val="nr_c0f47581b42f4140ae6dba85c02f8846"/>
              <w:lock w:val="sdtLocked"/>
              <w:richText/>
            </w:sdtPr>
            <w:sdtContent>
              <w:r>
                <w:rPr>
                  <w:szCs w:val="24"/>
                </w:rPr>
                <w:t>3</w:t>
              </w:r>
            </w:sdtContent>
          </w:sdt>
          <w:r>
            <w:rPr>
              <w:szCs w:val="24"/>
            </w:rPr>
            <w:t xml:space="preserve"> priedas</w:t>
          </w:r>
        </w:p>
        <w:p>
          <w:pPr>
            <w:spacing w:line="22" w:lineRule="atLeast"/>
            <w:ind w:left="5812"/>
            <w:rPr>
              <w:szCs w:val="24"/>
            </w:rPr>
          </w:pPr>
        </w:p>
        <w:p>
          <w:pPr>
            <w:suppressAutoHyphens/>
            <w:spacing w:line="22" w:lineRule="atLeast"/>
            <w:ind w:left="1800" w:hanging="1091"/>
            <w:jc w:val="center"/>
            <w:rPr>
              <w:szCs w:val="24"/>
            </w:rPr>
          </w:pPr>
          <w:r>
            <w:rPr>
              <w:szCs w:val="24"/>
            </w:rPr>
            <w:t>_________________________________________</w:t>
          </w:r>
        </w:p>
        <w:p>
          <w:pPr>
            <w:suppressAutoHyphens/>
            <w:spacing w:line="22" w:lineRule="atLeast"/>
            <w:ind w:left="1800" w:hanging="1091"/>
            <w:jc w:val="center"/>
            <w:rPr>
              <w:szCs w:val="24"/>
            </w:rPr>
          </w:pPr>
          <w:r>
            <w:rPr>
              <w:szCs w:val="24"/>
            </w:rPr>
            <w:t>(Įmonės pavadinimas)</w:t>
          </w:r>
        </w:p>
        <w:p>
          <w:pPr>
            <w:suppressAutoHyphens/>
            <w:spacing w:line="22" w:lineRule="atLeast"/>
            <w:ind w:left="1800" w:firstLine="720"/>
            <w:jc w:val="both"/>
            <w:rPr>
              <w:szCs w:val="24"/>
            </w:rPr>
          </w:pPr>
        </w:p>
        <w:p>
          <w:pPr>
            <w:suppressAutoHyphens/>
            <w:spacing w:line="22" w:lineRule="atLeast"/>
            <w:ind w:left="1800" w:hanging="1091"/>
            <w:jc w:val="center"/>
            <w:rPr>
              <w:szCs w:val="24"/>
            </w:rPr>
          </w:pPr>
          <w:r>
            <w:rPr>
              <w:bCs/>
              <w:szCs w:val="24"/>
            </w:rPr>
            <w:t xml:space="preserve">KINTAMŲJŲ SĄNAUDŲ </w:t>
          </w:r>
          <w:r>
            <w:rPr>
              <w:szCs w:val="24"/>
            </w:rPr>
            <w:t>ATASKAITA</w:t>
          </w:r>
        </w:p>
        <w:p>
          <w:pPr>
            <w:suppressAutoHyphens/>
            <w:spacing w:line="22" w:lineRule="atLeast"/>
            <w:jc w:val="center"/>
            <w:rPr>
              <w:szCs w:val="24"/>
            </w:rPr>
          </w:pPr>
          <w:r>
            <w:rPr>
              <w:szCs w:val="24"/>
            </w:rPr>
            <w:t>(sudarymo data)</w:t>
          </w:r>
        </w:p>
        <w:p>
          <w:pPr>
            <w:spacing w:line="22" w:lineRule="atLeast"/>
            <w:jc w:val="both"/>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3"/>
            <w:gridCol w:w="1608"/>
            <w:gridCol w:w="634"/>
            <w:gridCol w:w="830"/>
            <w:gridCol w:w="483"/>
            <w:gridCol w:w="675"/>
            <w:gridCol w:w="830"/>
            <w:gridCol w:w="483"/>
            <w:gridCol w:w="635"/>
            <w:gridCol w:w="830"/>
            <w:gridCol w:w="483"/>
          </w:tblGrid>
          <w:tr>
            <w:trPr>
              <w:trHeight w:val="270"/>
            </w:trPr>
            <w:tc>
              <w:tcPr>
                <w:tcW w:w="1199" w:type="pct"/>
                <w:vMerge w:val="restart"/>
                <w:noWrap/>
                <w:hideMark/>
              </w:tcPr>
              <w:p>
                <w:pPr>
                  <w:spacing w:line="22" w:lineRule="atLeast"/>
                  <w:ind w:firstLine="41"/>
                  <w:jc w:val="both"/>
                  <w:rPr>
                    <w:sz w:val="16"/>
                    <w:szCs w:val="16"/>
                    <w:lang w:eastAsia="lt-LT"/>
                  </w:rPr>
                </w:pPr>
              </w:p>
            </w:tc>
            <w:tc>
              <w:tcPr>
                <w:tcW w:w="816" w:type="pct"/>
                <w:vMerge w:val="restart"/>
                <w:noWrap/>
                <w:hideMark/>
              </w:tcPr>
              <w:p>
                <w:pPr>
                  <w:spacing w:line="22" w:lineRule="atLeast"/>
                  <w:jc w:val="both"/>
                  <w:rPr>
                    <w:sz w:val="16"/>
                    <w:szCs w:val="16"/>
                    <w:lang w:eastAsia="lt-LT"/>
                  </w:rPr>
                </w:pPr>
                <w:r>
                  <w:rPr>
                    <w:sz w:val="16"/>
                    <w:szCs w:val="16"/>
                    <w:lang w:eastAsia="lt-LT"/>
                  </w:rPr>
                  <w:t>Vnt.</w:t>
                </w:r>
              </w:p>
            </w:tc>
            <w:tc>
              <w:tcPr>
                <w:tcW w:w="988" w:type="pct"/>
                <w:gridSpan w:val="3"/>
                <w:noWrap/>
                <w:hideMark/>
              </w:tcPr>
              <w:p>
                <w:pPr>
                  <w:spacing w:line="22" w:lineRule="atLeast"/>
                  <w:jc w:val="center"/>
                  <w:rPr>
                    <w:sz w:val="16"/>
                    <w:szCs w:val="16"/>
                    <w:lang w:eastAsia="lt-LT"/>
                  </w:rPr>
                </w:pPr>
                <w:r>
                  <w:rPr>
                    <w:sz w:val="16"/>
                    <w:szCs w:val="16"/>
                    <w:lang w:eastAsia="lt-LT"/>
                  </w:rPr>
                  <w:t>201_ m. faktas</w:t>
                </w:r>
              </w:p>
            </w:tc>
            <w:tc>
              <w:tcPr>
                <w:tcW w:w="1009" w:type="pct"/>
                <w:gridSpan w:val="3"/>
                <w:noWrap/>
                <w:hideMark/>
              </w:tcPr>
              <w:p>
                <w:pPr>
                  <w:spacing w:line="22" w:lineRule="atLeast"/>
                  <w:jc w:val="center"/>
                  <w:rPr>
                    <w:sz w:val="16"/>
                    <w:szCs w:val="16"/>
                    <w:lang w:eastAsia="lt-LT"/>
                  </w:rPr>
                </w:pPr>
                <w:r>
                  <w:rPr>
                    <w:sz w:val="16"/>
                    <w:szCs w:val="16"/>
                    <w:lang w:eastAsia="lt-LT"/>
                  </w:rPr>
                  <w:t>201_ m. laukiama</w:t>
                </w:r>
              </w:p>
            </w:tc>
            <w:tc>
              <w:tcPr>
                <w:tcW w:w="988" w:type="pct"/>
                <w:gridSpan w:val="3"/>
              </w:tcPr>
              <w:p>
                <w:pPr>
                  <w:spacing w:line="22" w:lineRule="atLeast"/>
                  <w:jc w:val="center"/>
                  <w:rPr>
                    <w:sz w:val="16"/>
                    <w:szCs w:val="16"/>
                    <w:lang w:eastAsia="lt-LT"/>
                  </w:rPr>
                </w:pPr>
                <w:r>
                  <w:rPr>
                    <w:sz w:val="16"/>
                    <w:szCs w:val="16"/>
                    <w:lang w:eastAsia="lt-LT"/>
                  </w:rPr>
                  <w:t>201_ m. prognozė</w:t>
                </w:r>
              </w:p>
            </w:tc>
          </w:tr>
          <w:tr>
            <w:trPr>
              <w:trHeight w:val="750"/>
            </w:trPr>
            <w:tc>
              <w:tcPr>
                <w:tcW w:w="1199" w:type="pct"/>
                <w:vMerge/>
                <w:hideMark/>
              </w:tcPr>
              <w:p>
                <w:pPr>
                  <w:spacing w:line="22" w:lineRule="atLeast"/>
                  <w:jc w:val="both"/>
                  <w:rPr>
                    <w:sz w:val="16"/>
                    <w:szCs w:val="16"/>
                    <w:lang w:eastAsia="lt-LT"/>
                  </w:rPr>
                </w:pPr>
              </w:p>
            </w:tc>
            <w:tc>
              <w:tcPr>
                <w:tcW w:w="816" w:type="pct"/>
                <w:vMerge/>
                <w:hideMark/>
              </w:tcPr>
              <w:p>
                <w:pPr>
                  <w:spacing w:line="22" w:lineRule="atLeast"/>
                  <w:jc w:val="both"/>
                  <w:rPr>
                    <w:sz w:val="16"/>
                    <w:szCs w:val="16"/>
                    <w:lang w:eastAsia="lt-LT"/>
                  </w:rPr>
                </w:pPr>
              </w:p>
            </w:tc>
            <w:tc>
              <w:tcPr>
                <w:tcW w:w="322" w:type="pct"/>
                <w:hideMark/>
              </w:tcPr>
              <w:p>
                <w:pPr>
                  <w:spacing w:line="22" w:lineRule="atLeast"/>
                  <w:jc w:val="both"/>
                  <w:rPr>
                    <w:sz w:val="16"/>
                    <w:szCs w:val="16"/>
                    <w:lang w:eastAsia="lt-LT"/>
                  </w:rPr>
                </w:pPr>
                <w:r>
                  <w:rPr>
                    <w:sz w:val="16"/>
                    <w:szCs w:val="16"/>
                    <w:lang w:eastAsia="lt-LT"/>
                  </w:rPr>
                  <w:t>_ blokas</w:t>
                </w:r>
              </w:p>
            </w:tc>
            <w:tc>
              <w:tcPr>
                <w:tcW w:w="421" w:type="pct"/>
                <w:hideMark/>
              </w:tcPr>
              <w:p>
                <w:pPr>
                  <w:spacing w:line="22" w:lineRule="atLeast"/>
                  <w:jc w:val="both"/>
                  <w:rPr>
                    <w:sz w:val="16"/>
                    <w:szCs w:val="16"/>
                    <w:lang w:eastAsia="lt-LT"/>
                  </w:rPr>
                </w:pPr>
                <w:r>
                  <w:rPr>
                    <w:sz w:val="16"/>
                    <w:szCs w:val="16"/>
                    <w:lang w:eastAsia="lt-LT"/>
                  </w:rPr>
                  <w:t>_ įrenginiai</w:t>
                </w:r>
              </w:p>
            </w:tc>
            <w:tc>
              <w:tcPr>
                <w:tcW w:w="245" w:type="pct"/>
                <w:hideMark/>
              </w:tcPr>
              <w:p>
                <w:pPr>
                  <w:spacing w:line="22" w:lineRule="atLeast"/>
                  <w:jc w:val="both"/>
                  <w:rPr>
                    <w:sz w:val="16"/>
                    <w:szCs w:val="16"/>
                    <w:lang w:eastAsia="lt-LT"/>
                  </w:rPr>
                </w:pPr>
                <w:r>
                  <w:rPr>
                    <w:sz w:val="16"/>
                    <w:szCs w:val="16"/>
                    <w:lang w:eastAsia="lt-LT"/>
                  </w:rPr>
                  <w:t>Iš viso</w:t>
                </w:r>
              </w:p>
            </w:tc>
            <w:tc>
              <w:tcPr>
                <w:tcW w:w="343" w:type="pct"/>
                <w:hideMark/>
              </w:tcPr>
              <w:p>
                <w:pPr>
                  <w:spacing w:line="22" w:lineRule="atLeast"/>
                  <w:jc w:val="both"/>
                  <w:rPr>
                    <w:sz w:val="16"/>
                    <w:szCs w:val="16"/>
                    <w:lang w:eastAsia="lt-LT"/>
                  </w:rPr>
                </w:pPr>
                <w:r>
                  <w:rPr>
                    <w:sz w:val="16"/>
                    <w:szCs w:val="16"/>
                    <w:lang w:eastAsia="lt-LT"/>
                  </w:rPr>
                  <w:t>_ blokas</w:t>
                </w:r>
              </w:p>
            </w:tc>
            <w:tc>
              <w:tcPr>
                <w:tcW w:w="421" w:type="pct"/>
                <w:hideMark/>
              </w:tcPr>
              <w:p>
                <w:pPr>
                  <w:spacing w:line="22" w:lineRule="atLeast"/>
                  <w:jc w:val="both"/>
                  <w:rPr>
                    <w:sz w:val="16"/>
                    <w:szCs w:val="16"/>
                    <w:lang w:eastAsia="lt-LT"/>
                  </w:rPr>
                </w:pPr>
                <w:r>
                  <w:rPr>
                    <w:sz w:val="16"/>
                    <w:szCs w:val="16"/>
                    <w:lang w:eastAsia="lt-LT"/>
                  </w:rPr>
                  <w:t>_ įrenginiai</w:t>
                </w:r>
              </w:p>
            </w:tc>
            <w:tc>
              <w:tcPr>
                <w:tcW w:w="245" w:type="pct"/>
                <w:hideMark/>
              </w:tcPr>
              <w:p>
                <w:pPr>
                  <w:spacing w:line="22" w:lineRule="atLeast"/>
                  <w:jc w:val="both"/>
                  <w:rPr>
                    <w:sz w:val="16"/>
                    <w:szCs w:val="16"/>
                    <w:lang w:eastAsia="lt-LT"/>
                  </w:rPr>
                </w:pPr>
                <w:r>
                  <w:rPr>
                    <w:sz w:val="16"/>
                    <w:szCs w:val="16"/>
                    <w:lang w:eastAsia="lt-LT"/>
                  </w:rPr>
                  <w:t>Iš viso</w:t>
                </w:r>
              </w:p>
            </w:tc>
            <w:tc>
              <w:tcPr>
                <w:tcW w:w="322" w:type="pct"/>
              </w:tcPr>
              <w:p>
                <w:pPr>
                  <w:spacing w:line="22" w:lineRule="atLeast"/>
                  <w:jc w:val="both"/>
                  <w:rPr>
                    <w:sz w:val="16"/>
                    <w:szCs w:val="16"/>
                    <w:lang w:eastAsia="lt-LT"/>
                  </w:rPr>
                </w:pPr>
                <w:r>
                  <w:rPr>
                    <w:sz w:val="16"/>
                    <w:szCs w:val="16"/>
                    <w:lang w:eastAsia="lt-LT"/>
                  </w:rPr>
                  <w:t>_ blokas</w:t>
                </w:r>
              </w:p>
            </w:tc>
            <w:tc>
              <w:tcPr>
                <w:tcW w:w="421" w:type="pct"/>
              </w:tcPr>
              <w:p>
                <w:pPr>
                  <w:spacing w:line="22" w:lineRule="atLeast"/>
                  <w:jc w:val="both"/>
                  <w:rPr>
                    <w:sz w:val="16"/>
                    <w:szCs w:val="16"/>
                    <w:lang w:eastAsia="lt-LT"/>
                  </w:rPr>
                </w:pPr>
                <w:r>
                  <w:rPr>
                    <w:sz w:val="16"/>
                    <w:szCs w:val="16"/>
                    <w:lang w:eastAsia="lt-LT"/>
                  </w:rPr>
                  <w:t>_ įrenginiai</w:t>
                </w:r>
              </w:p>
            </w:tc>
            <w:tc>
              <w:tcPr>
                <w:tcW w:w="245" w:type="pct"/>
              </w:tcPr>
              <w:p>
                <w:pPr>
                  <w:spacing w:line="22" w:lineRule="atLeast"/>
                  <w:jc w:val="both"/>
                  <w:rPr>
                    <w:sz w:val="16"/>
                    <w:szCs w:val="16"/>
                    <w:lang w:eastAsia="lt-LT"/>
                  </w:rPr>
                </w:pPr>
                <w:r>
                  <w:rPr>
                    <w:sz w:val="16"/>
                    <w:szCs w:val="16"/>
                    <w:lang w:eastAsia="lt-LT"/>
                  </w:rPr>
                  <w:t>Iš viso</w:t>
                </w: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Atleidimas</w:t>
                </w:r>
              </w:p>
            </w:tc>
            <w:tc>
              <w:tcPr>
                <w:tcW w:w="816" w:type="pct"/>
                <w:noWrap/>
                <w:hideMark/>
              </w:tcPr>
              <w:p>
                <w:pPr>
                  <w:spacing w:line="22" w:lineRule="atLeast"/>
                  <w:jc w:val="both"/>
                  <w:rPr>
                    <w:bCs/>
                    <w:sz w:val="16"/>
                    <w:szCs w:val="16"/>
                    <w:lang w:eastAsia="lt-LT"/>
                  </w:rPr>
                </w:pPr>
                <w:r>
                  <w:rPr>
                    <w:bCs/>
                    <w:sz w:val="16"/>
                    <w:szCs w:val="16"/>
                    <w:lang w:eastAsia="lt-LT"/>
                  </w:rPr>
                  <w:t>MWh</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Savos reikmės</w:t>
                </w:r>
              </w:p>
            </w:tc>
            <w:tc>
              <w:tcPr>
                <w:tcW w:w="816" w:type="pct"/>
                <w:noWrap/>
                <w:hideMark/>
              </w:tcPr>
              <w:p>
                <w:pPr>
                  <w:spacing w:line="22" w:lineRule="atLeast"/>
                  <w:jc w:val="both"/>
                  <w:rPr>
                    <w:bCs/>
                    <w:sz w:val="16"/>
                    <w:szCs w:val="16"/>
                    <w:lang w:eastAsia="lt-LT"/>
                  </w:rPr>
                </w:pPr>
                <w:r>
                  <w:rPr>
                    <w:bCs/>
                    <w:sz w:val="16"/>
                    <w:szCs w:val="16"/>
                    <w:lang w:eastAsia="lt-LT"/>
                  </w:rPr>
                  <w:t>%</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Gamyba</w:t>
                </w:r>
              </w:p>
            </w:tc>
            <w:tc>
              <w:tcPr>
                <w:tcW w:w="816" w:type="pct"/>
                <w:noWrap/>
                <w:hideMark/>
              </w:tcPr>
              <w:p>
                <w:pPr>
                  <w:spacing w:line="22" w:lineRule="atLeast"/>
                  <w:jc w:val="both"/>
                  <w:rPr>
                    <w:bCs/>
                    <w:sz w:val="16"/>
                    <w:szCs w:val="16"/>
                    <w:lang w:eastAsia="lt-LT"/>
                  </w:rPr>
                </w:pPr>
                <w:r>
                  <w:rPr>
                    <w:bCs/>
                    <w:sz w:val="16"/>
                    <w:szCs w:val="16"/>
                    <w:lang w:eastAsia="lt-LT"/>
                  </w:rPr>
                  <w:t>MWh</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Sutartinio kuras sunaudojimas</w:t>
                </w:r>
              </w:p>
            </w:tc>
            <w:tc>
              <w:tcPr>
                <w:tcW w:w="816" w:type="pct"/>
                <w:noWrap/>
                <w:hideMark/>
              </w:tcPr>
              <w:p>
                <w:pPr>
                  <w:spacing w:line="22" w:lineRule="atLeast"/>
                  <w:jc w:val="both"/>
                  <w:rPr>
                    <w:bCs/>
                    <w:sz w:val="16"/>
                    <w:szCs w:val="16"/>
                    <w:lang w:eastAsia="lt-LT"/>
                  </w:rPr>
                </w:pPr>
                <w:r>
                  <w:rPr>
                    <w:bCs/>
                    <w:sz w:val="16"/>
                    <w:szCs w:val="16"/>
                    <w:lang w:eastAsia="lt-LT"/>
                  </w:rPr>
                  <w:t>g/kwh</w:t>
                </w:r>
              </w:p>
            </w:tc>
            <w:tc>
              <w:tcPr>
                <w:tcW w:w="322" w:type="pct"/>
                <w:noWrap/>
                <w:hideMark/>
              </w:tcPr>
              <w:p>
                <w:pPr>
                  <w:spacing w:line="22" w:lineRule="atLeast"/>
                  <w:ind w:firstLine="41"/>
                  <w:jc w:val="both"/>
                  <w:rPr>
                    <w:bCs/>
                    <w:sz w:val="16"/>
                    <w:szCs w:val="16"/>
                    <w:lang w:eastAsia="lt-LT"/>
                  </w:rPr>
                </w:pPr>
              </w:p>
            </w:tc>
            <w:tc>
              <w:tcPr>
                <w:tcW w:w="421" w:type="pct"/>
                <w:noWrap/>
                <w:hideMark/>
              </w:tcPr>
              <w:p>
                <w:pPr>
                  <w:spacing w:line="22" w:lineRule="atLeast"/>
                  <w:ind w:firstLine="41"/>
                  <w:jc w:val="both"/>
                  <w:rPr>
                    <w:bCs/>
                    <w:sz w:val="16"/>
                    <w:szCs w:val="16"/>
                    <w:lang w:eastAsia="lt-LT"/>
                  </w:rPr>
                </w:pPr>
              </w:p>
            </w:tc>
            <w:tc>
              <w:tcPr>
                <w:tcW w:w="245" w:type="pct"/>
                <w:noWrap/>
                <w:hideMark/>
              </w:tcPr>
              <w:p>
                <w:pPr>
                  <w:spacing w:line="22" w:lineRule="atLeast"/>
                  <w:ind w:firstLine="41"/>
                  <w:jc w:val="both"/>
                  <w:rPr>
                    <w:bCs/>
                    <w:sz w:val="16"/>
                    <w:szCs w:val="16"/>
                    <w:lang w:eastAsia="lt-LT"/>
                  </w:rPr>
                </w:pPr>
              </w:p>
            </w:tc>
            <w:tc>
              <w:tcPr>
                <w:tcW w:w="343" w:type="pct"/>
                <w:noWrap/>
                <w:hideMark/>
              </w:tcPr>
              <w:p>
                <w:pPr>
                  <w:spacing w:line="22" w:lineRule="atLeast"/>
                  <w:ind w:firstLine="41"/>
                  <w:jc w:val="both"/>
                  <w:rPr>
                    <w:bCs/>
                    <w:sz w:val="16"/>
                    <w:szCs w:val="16"/>
                    <w:lang w:eastAsia="lt-LT"/>
                  </w:rPr>
                </w:pPr>
              </w:p>
            </w:tc>
            <w:tc>
              <w:tcPr>
                <w:tcW w:w="421" w:type="pct"/>
                <w:noWrap/>
                <w:hideMark/>
              </w:tcPr>
              <w:p>
                <w:pPr>
                  <w:spacing w:line="22" w:lineRule="atLeast"/>
                  <w:ind w:firstLine="41"/>
                  <w:jc w:val="both"/>
                  <w:rPr>
                    <w:bCs/>
                    <w:sz w:val="16"/>
                    <w:szCs w:val="16"/>
                    <w:lang w:eastAsia="lt-LT"/>
                  </w:rPr>
                </w:pPr>
              </w:p>
            </w:tc>
            <w:tc>
              <w:tcPr>
                <w:tcW w:w="245" w:type="pct"/>
                <w:noWrap/>
                <w:hideMark/>
              </w:tcPr>
              <w:p>
                <w:pPr>
                  <w:spacing w:line="22" w:lineRule="atLeast"/>
                  <w:ind w:firstLine="41"/>
                  <w:jc w:val="both"/>
                  <w:rPr>
                    <w:bCs/>
                    <w:sz w:val="16"/>
                    <w:szCs w:val="16"/>
                    <w:lang w:eastAsia="lt-LT"/>
                  </w:rPr>
                </w:pPr>
              </w:p>
            </w:tc>
            <w:tc>
              <w:tcPr>
                <w:tcW w:w="322" w:type="pct"/>
              </w:tcPr>
              <w:p>
                <w:pPr>
                  <w:spacing w:line="22" w:lineRule="atLeast"/>
                  <w:jc w:val="both"/>
                  <w:rPr>
                    <w:bCs/>
                    <w:sz w:val="16"/>
                    <w:szCs w:val="16"/>
                    <w:lang w:eastAsia="lt-LT"/>
                  </w:rPr>
                </w:pPr>
              </w:p>
            </w:tc>
            <w:tc>
              <w:tcPr>
                <w:tcW w:w="421" w:type="pct"/>
              </w:tcPr>
              <w:p>
                <w:pPr>
                  <w:spacing w:line="22" w:lineRule="atLeast"/>
                  <w:jc w:val="both"/>
                  <w:rPr>
                    <w:bCs/>
                    <w:sz w:val="16"/>
                    <w:szCs w:val="16"/>
                    <w:lang w:eastAsia="lt-LT"/>
                  </w:rPr>
                </w:pPr>
              </w:p>
            </w:tc>
            <w:tc>
              <w:tcPr>
                <w:tcW w:w="245" w:type="pct"/>
              </w:tcPr>
              <w:p>
                <w:pPr>
                  <w:spacing w:line="22" w:lineRule="atLeast"/>
                  <w:jc w:val="both"/>
                  <w:rPr>
                    <w:bCs/>
                    <w:sz w:val="16"/>
                    <w:szCs w:val="16"/>
                    <w:lang w:eastAsia="lt-LT"/>
                  </w:rPr>
                </w:pP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Sutartinis kuras gamybai</w:t>
                </w:r>
              </w:p>
            </w:tc>
            <w:tc>
              <w:tcPr>
                <w:tcW w:w="816" w:type="pct"/>
                <w:noWrap/>
                <w:hideMark/>
              </w:tcPr>
              <w:p>
                <w:pPr>
                  <w:spacing w:line="22" w:lineRule="atLeast"/>
                  <w:jc w:val="both"/>
                  <w:rPr>
                    <w:bCs/>
                    <w:sz w:val="16"/>
                    <w:szCs w:val="16"/>
                    <w:lang w:eastAsia="lt-LT"/>
                  </w:rPr>
                </w:pPr>
                <w:r>
                  <w:rPr>
                    <w:bCs/>
                    <w:sz w:val="16"/>
                    <w:szCs w:val="16"/>
                    <w:lang w:eastAsia="lt-LT"/>
                  </w:rPr>
                  <w:t>tn</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Mazuto dalis</w:t>
                </w:r>
              </w:p>
            </w:tc>
            <w:tc>
              <w:tcPr>
                <w:tcW w:w="816" w:type="pct"/>
                <w:noWrap/>
                <w:hideMark/>
              </w:tcPr>
              <w:p>
                <w:pPr>
                  <w:spacing w:line="22" w:lineRule="atLeast"/>
                  <w:jc w:val="both"/>
                  <w:rPr>
                    <w:bCs/>
                    <w:sz w:val="16"/>
                    <w:szCs w:val="16"/>
                    <w:lang w:eastAsia="lt-LT"/>
                  </w:rPr>
                </w:pPr>
                <w:r>
                  <w:rPr>
                    <w:bCs/>
                    <w:sz w:val="16"/>
                    <w:szCs w:val="16"/>
                    <w:lang w:eastAsia="lt-LT"/>
                  </w:rPr>
                  <w:t>%</w:t>
                </w:r>
              </w:p>
            </w:tc>
            <w:tc>
              <w:tcPr>
                <w:tcW w:w="322" w:type="pct"/>
                <w:noWrap/>
                <w:hideMark/>
              </w:tcPr>
              <w:p>
                <w:pPr>
                  <w:spacing w:line="22" w:lineRule="atLeast"/>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Gamyba mazutu</w:t>
                </w:r>
              </w:p>
            </w:tc>
            <w:tc>
              <w:tcPr>
                <w:tcW w:w="816" w:type="pct"/>
                <w:noWrap/>
                <w:hideMark/>
              </w:tcPr>
              <w:p>
                <w:pPr>
                  <w:spacing w:line="22" w:lineRule="atLeast"/>
                  <w:jc w:val="both"/>
                  <w:rPr>
                    <w:bCs/>
                    <w:sz w:val="16"/>
                    <w:szCs w:val="16"/>
                    <w:lang w:eastAsia="lt-LT"/>
                  </w:rPr>
                </w:pPr>
                <w:r>
                  <w:rPr>
                    <w:bCs/>
                    <w:sz w:val="16"/>
                    <w:szCs w:val="16"/>
                    <w:lang w:eastAsia="lt-LT"/>
                  </w:rPr>
                  <w:t>MWh</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Sutartinis kuras gamybai mazutu</w:t>
                </w:r>
              </w:p>
            </w:tc>
            <w:tc>
              <w:tcPr>
                <w:tcW w:w="816" w:type="pct"/>
                <w:noWrap/>
                <w:hideMark/>
              </w:tcPr>
              <w:p>
                <w:pPr>
                  <w:spacing w:line="22" w:lineRule="atLeast"/>
                  <w:jc w:val="both"/>
                  <w:rPr>
                    <w:bCs/>
                    <w:sz w:val="16"/>
                    <w:szCs w:val="16"/>
                    <w:lang w:eastAsia="lt-LT"/>
                  </w:rPr>
                </w:pPr>
                <w:r>
                  <w:rPr>
                    <w:bCs/>
                    <w:sz w:val="16"/>
                    <w:szCs w:val="16"/>
                    <w:lang w:eastAsia="lt-LT"/>
                  </w:rPr>
                  <w:t>tn</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70"/>
            </w:trPr>
            <w:tc>
              <w:tcPr>
                <w:tcW w:w="1199" w:type="pct"/>
                <w:noWrap/>
                <w:hideMark/>
              </w:tcPr>
              <w:p>
                <w:pPr>
                  <w:spacing w:line="22" w:lineRule="atLeast"/>
                  <w:jc w:val="both"/>
                  <w:rPr>
                    <w:bCs/>
                    <w:sz w:val="16"/>
                    <w:szCs w:val="16"/>
                    <w:lang w:eastAsia="lt-LT"/>
                  </w:rPr>
                </w:pPr>
                <w:r>
                  <w:rPr>
                    <w:bCs/>
                    <w:sz w:val="16"/>
                    <w:szCs w:val="16"/>
                    <w:lang w:eastAsia="lt-LT"/>
                  </w:rPr>
                  <w:t>Mazuto kaloringumas</w:t>
                </w:r>
              </w:p>
            </w:tc>
            <w:tc>
              <w:tcPr>
                <w:tcW w:w="816" w:type="pct"/>
                <w:noWrap/>
                <w:hideMark/>
              </w:tcPr>
              <w:p>
                <w:pPr>
                  <w:spacing w:line="22" w:lineRule="atLeast"/>
                  <w:jc w:val="both"/>
                  <w:rPr>
                    <w:bCs/>
                    <w:sz w:val="16"/>
                    <w:szCs w:val="16"/>
                    <w:lang w:eastAsia="lt-LT"/>
                  </w:rPr>
                </w:pPr>
                <w:r>
                  <w:rPr>
                    <w:bCs/>
                    <w:sz w:val="16"/>
                    <w:szCs w:val="16"/>
                    <w:lang w:eastAsia="lt-LT"/>
                  </w:rPr>
                  <w:t>kcal/kg</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Mazuto kaina</w:t>
                </w:r>
              </w:p>
            </w:tc>
            <w:tc>
              <w:tcPr>
                <w:tcW w:w="816" w:type="pct"/>
                <w:noWrap/>
                <w:hideMark/>
              </w:tcPr>
              <w:p>
                <w:pPr>
                  <w:spacing w:line="22" w:lineRule="atLeast"/>
                  <w:jc w:val="both"/>
                  <w:rPr>
                    <w:bCs/>
                    <w:sz w:val="16"/>
                    <w:szCs w:val="16"/>
                    <w:lang w:eastAsia="lt-LT"/>
                  </w:rPr>
                </w:pPr>
                <w:r>
                  <w:rPr>
                    <w:bCs/>
                    <w:sz w:val="16"/>
                    <w:szCs w:val="16"/>
                    <w:lang w:eastAsia="lt-LT"/>
                  </w:rPr>
                  <w:t>Lt/tn</w:t>
                </w:r>
              </w:p>
            </w:tc>
            <w:tc>
              <w:tcPr>
                <w:tcW w:w="322" w:type="pct"/>
                <w:noWrap/>
                <w:hideMark/>
              </w:tcPr>
              <w:p>
                <w:pPr>
                  <w:spacing w:line="22" w:lineRule="atLeast"/>
                  <w:ind w:firstLine="41"/>
                  <w:jc w:val="both"/>
                  <w:rPr>
                    <w:bCs/>
                    <w:sz w:val="16"/>
                    <w:szCs w:val="16"/>
                    <w:lang w:eastAsia="lt-LT"/>
                  </w:rPr>
                </w:pPr>
              </w:p>
            </w:tc>
            <w:tc>
              <w:tcPr>
                <w:tcW w:w="421" w:type="pct"/>
                <w:noWrap/>
                <w:hideMark/>
              </w:tcPr>
              <w:p>
                <w:pPr>
                  <w:spacing w:line="22" w:lineRule="atLeast"/>
                  <w:ind w:firstLine="41"/>
                  <w:jc w:val="both"/>
                  <w:rPr>
                    <w:bCs/>
                    <w:sz w:val="16"/>
                    <w:szCs w:val="16"/>
                    <w:lang w:eastAsia="lt-LT"/>
                  </w:rPr>
                </w:pPr>
              </w:p>
            </w:tc>
            <w:tc>
              <w:tcPr>
                <w:tcW w:w="245" w:type="pct"/>
                <w:noWrap/>
                <w:hideMark/>
              </w:tcPr>
              <w:p>
                <w:pPr>
                  <w:spacing w:line="22" w:lineRule="atLeast"/>
                  <w:ind w:firstLine="41"/>
                  <w:jc w:val="both"/>
                  <w:rPr>
                    <w:bCs/>
                    <w:sz w:val="16"/>
                    <w:szCs w:val="16"/>
                    <w:lang w:eastAsia="lt-LT"/>
                  </w:rPr>
                </w:pPr>
              </w:p>
            </w:tc>
            <w:tc>
              <w:tcPr>
                <w:tcW w:w="343" w:type="pct"/>
                <w:noWrap/>
                <w:hideMark/>
              </w:tcPr>
              <w:p>
                <w:pPr>
                  <w:spacing w:line="22" w:lineRule="atLeast"/>
                  <w:ind w:firstLine="41"/>
                  <w:jc w:val="both"/>
                  <w:rPr>
                    <w:bCs/>
                    <w:sz w:val="16"/>
                    <w:szCs w:val="16"/>
                    <w:lang w:eastAsia="lt-LT"/>
                  </w:rPr>
                </w:pPr>
              </w:p>
            </w:tc>
            <w:tc>
              <w:tcPr>
                <w:tcW w:w="421" w:type="pct"/>
                <w:noWrap/>
                <w:hideMark/>
              </w:tcPr>
              <w:p>
                <w:pPr>
                  <w:spacing w:line="22" w:lineRule="atLeast"/>
                  <w:ind w:firstLine="41"/>
                  <w:jc w:val="both"/>
                  <w:rPr>
                    <w:bCs/>
                    <w:sz w:val="16"/>
                    <w:szCs w:val="16"/>
                    <w:lang w:eastAsia="lt-LT"/>
                  </w:rPr>
                </w:pPr>
              </w:p>
            </w:tc>
            <w:tc>
              <w:tcPr>
                <w:tcW w:w="245" w:type="pct"/>
                <w:noWrap/>
                <w:hideMark/>
              </w:tcPr>
              <w:p>
                <w:pPr>
                  <w:spacing w:line="22" w:lineRule="atLeast"/>
                  <w:ind w:firstLine="41"/>
                  <w:jc w:val="both"/>
                  <w:rPr>
                    <w:bCs/>
                    <w:sz w:val="16"/>
                    <w:szCs w:val="16"/>
                    <w:lang w:eastAsia="lt-LT"/>
                  </w:rPr>
                </w:pPr>
              </w:p>
            </w:tc>
            <w:tc>
              <w:tcPr>
                <w:tcW w:w="322" w:type="pct"/>
              </w:tcPr>
              <w:p>
                <w:pPr>
                  <w:spacing w:line="22" w:lineRule="atLeast"/>
                  <w:jc w:val="both"/>
                  <w:rPr>
                    <w:bCs/>
                    <w:sz w:val="16"/>
                    <w:szCs w:val="16"/>
                    <w:lang w:eastAsia="lt-LT"/>
                  </w:rPr>
                </w:pPr>
              </w:p>
            </w:tc>
            <w:tc>
              <w:tcPr>
                <w:tcW w:w="421" w:type="pct"/>
              </w:tcPr>
              <w:p>
                <w:pPr>
                  <w:spacing w:line="22" w:lineRule="atLeast"/>
                  <w:jc w:val="both"/>
                  <w:rPr>
                    <w:bCs/>
                    <w:sz w:val="16"/>
                    <w:szCs w:val="16"/>
                    <w:lang w:eastAsia="lt-LT"/>
                  </w:rPr>
                </w:pPr>
              </w:p>
            </w:tc>
            <w:tc>
              <w:tcPr>
                <w:tcW w:w="245" w:type="pct"/>
              </w:tcPr>
              <w:p>
                <w:pPr>
                  <w:spacing w:line="22" w:lineRule="atLeast"/>
                  <w:jc w:val="both"/>
                  <w:rPr>
                    <w:bCs/>
                    <w:sz w:val="16"/>
                    <w:szCs w:val="16"/>
                    <w:lang w:eastAsia="lt-LT"/>
                  </w:rPr>
                </w:pPr>
              </w:p>
            </w:tc>
          </w:tr>
          <w:tr>
            <w:trPr>
              <w:trHeight w:val="270"/>
            </w:trPr>
            <w:tc>
              <w:tcPr>
                <w:tcW w:w="1199" w:type="pct"/>
                <w:noWrap/>
                <w:hideMark/>
              </w:tcPr>
              <w:p>
                <w:pPr>
                  <w:spacing w:line="22" w:lineRule="atLeast"/>
                  <w:jc w:val="both"/>
                  <w:rPr>
                    <w:bCs/>
                    <w:sz w:val="16"/>
                    <w:szCs w:val="16"/>
                    <w:lang w:eastAsia="lt-LT"/>
                  </w:rPr>
                </w:pPr>
                <w:r>
                  <w:rPr>
                    <w:bCs/>
                    <w:sz w:val="16"/>
                    <w:szCs w:val="16"/>
                    <w:lang w:eastAsia="lt-LT"/>
                  </w:rPr>
                  <w:t>Mazutas gamybai</w:t>
                </w:r>
              </w:p>
            </w:tc>
            <w:tc>
              <w:tcPr>
                <w:tcW w:w="816" w:type="pct"/>
                <w:noWrap/>
                <w:hideMark/>
              </w:tcPr>
              <w:p>
                <w:pPr>
                  <w:spacing w:line="22" w:lineRule="atLeast"/>
                  <w:jc w:val="both"/>
                  <w:rPr>
                    <w:bCs/>
                    <w:sz w:val="16"/>
                    <w:szCs w:val="16"/>
                    <w:lang w:eastAsia="lt-LT"/>
                  </w:rPr>
                </w:pPr>
                <w:r>
                  <w:rPr>
                    <w:bCs/>
                    <w:sz w:val="16"/>
                    <w:szCs w:val="16"/>
                    <w:lang w:eastAsia="lt-LT"/>
                  </w:rPr>
                  <w:t>tn</w:t>
                </w:r>
              </w:p>
            </w:tc>
            <w:tc>
              <w:tcPr>
                <w:tcW w:w="322" w:type="pct"/>
                <w:noWrap/>
                <w:hideMark/>
              </w:tcPr>
              <w:p>
                <w:pPr>
                  <w:spacing w:line="22" w:lineRule="atLeast"/>
                  <w:ind w:firstLine="41"/>
                  <w:jc w:val="both"/>
                  <w:rPr>
                    <w:bCs/>
                    <w:sz w:val="16"/>
                    <w:szCs w:val="16"/>
                    <w:lang w:eastAsia="lt-LT"/>
                  </w:rPr>
                </w:pPr>
              </w:p>
            </w:tc>
            <w:tc>
              <w:tcPr>
                <w:tcW w:w="421" w:type="pct"/>
                <w:noWrap/>
                <w:hideMark/>
              </w:tcPr>
              <w:p>
                <w:pPr>
                  <w:spacing w:line="22" w:lineRule="atLeast"/>
                  <w:ind w:firstLine="41"/>
                  <w:jc w:val="both"/>
                  <w:rPr>
                    <w:bCs/>
                    <w:sz w:val="16"/>
                    <w:szCs w:val="16"/>
                    <w:lang w:eastAsia="lt-LT"/>
                  </w:rPr>
                </w:pPr>
              </w:p>
            </w:tc>
            <w:tc>
              <w:tcPr>
                <w:tcW w:w="245" w:type="pct"/>
                <w:noWrap/>
                <w:hideMark/>
              </w:tcPr>
              <w:p>
                <w:pPr>
                  <w:spacing w:line="22" w:lineRule="atLeast"/>
                  <w:ind w:firstLine="41"/>
                  <w:jc w:val="both"/>
                  <w:rPr>
                    <w:bCs/>
                    <w:sz w:val="16"/>
                    <w:szCs w:val="16"/>
                    <w:lang w:eastAsia="lt-LT"/>
                  </w:rPr>
                </w:pPr>
              </w:p>
            </w:tc>
            <w:tc>
              <w:tcPr>
                <w:tcW w:w="343" w:type="pct"/>
                <w:noWrap/>
                <w:hideMark/>
              </w:tcPr>
              <w:p>
                <w:pPr>
                  <w:spacing w:line="22" w:lineRule="atLeast"/>
                  <w:ind w:firstLine="41"/>
                  <w:jc w:val="both"/>
                  <w:rPr>
                    <w:bCs/>
                    <w:sz w:val="16"/>
                    <w:szCs w:val="16"/>
                    <w:lang w:eastAsia="lt-LT"/>
                  </w:rPr>
                </w:pPr>
              </w:p>
            </w:tc>
            <w:tc>
              <w:tcPr>
                <w:tcW w:w="421" w:type="pct"/>
                <w:noWrap/>
                <w:hideMark/>
              </w:tcPr>
              <w:p>
                <w:pPr>
                  <w:spacing w:line="22" w:lineRule="atLeast"/>
                  <w:ind w:firstLine="41"/>
                  <w:jc w:val="both"/>
                  <w:rPr>
                    <w:bCs/>
                    <w:sz w:val="16"/>
                    <w:szCs w:val="16"/>
                    <w:lang w:eastAsia="lt-LT"/>
                  </w:rPr>
                </w:pPr>
              </w:p>
            </w:tc>
            <w:tc>
              <w:tcPr>
                <w:tcW w:w="245" w:type="pct"/>
                <w:noWrap/>
                <w:hideMark/>
              </w:tcPr>
              <w:p>
                <w:pPr>
                  <w:spacing w:line="22" w:lineRule="atLeast"/>
                  <w:ind w:firstLine="41"/>
                  <w:jc w:val="both"/>
                  <w:rPr>
                    <w:bCs/>
                    <w:sz w:val="16"/>
                    <w:szCs w:val="16"/>
                    <w:lang w:eastAsia="lt-LT"/>
                  </w:rPr>
                </w:pPr>
              </w:p>
            </w:tc>
            <w:tc>
              <w:tcPr>
                <w:tcW w:w="322" w:type="pct"/>
              </w:tcPr>
              <w:p>
                <w:pPr>
                  <w:spacing w:line="22" w:lineRule="atLeast"/>
                  <w:jc w:val="both"/>
                  <w:rPr>
                    <w:bCs/>
                    <w:sz w:val="16"/>
                    <w:szCs w:val="16"/>
                    <w:lang w:eastAsia="lt-LT"/>
                  </w:rPr>
                </w:pPr>
              </w:p>
            </w:tc>
            <w:tc>
              <w:tcPr>
                <w:tcW w:w="421" w:type="pct"/>
              </w:tcPr>
              <w:p>
                <w:pPr>
                  <w:spacing w:line="22" w:lineRule="atLeast"/>
                  <w:jc w:val="both"/>
                  <w:rPr>
                    <w:bCs/>
                    <w:sz w:val="16"/>
                    <w:szCs w:val="16"/>
                    <w:lang w:eastAsia="lt-LT"/>
                  </w:rPr>
                </w:pPr>
              </w:p>
            </w:tc>
            <w:tc>
              <w:tcPr>
                <w:tcW w:w="245" w:type="pct"/>
              </w:tcPr>
              <w:p>
                <w:pPr>
                  <w:spacing w:line="22" w:lineRule="atLeast"/>
                  <w:jc w:val="both"/>
                  <w:rPr>
                    <w:bCs/>
                    <w:sz w:val="16"/>
                    <w:szCs w:val="16"/>
                    <w:lang w:eastAsia="lt-LT"/>
                  </w:rPr>
                </w:pPr>
              </w:p>
            </w:tc>
          </w:tr>
          <w:tr>
            <w:trPr>
              <w:trHeight w:val="255"/>
            </w:trPr>
            <w:tc>
              <w:tcPr>
                <w:tcW w:w="1199" w:type="pct"/>
                <w:noWrap/>
                <w:hideMark/>
              </w:tcPr>
              <w:p>
                <w:pPr>
                  <w:spacing w:line="22" w:lineRule="atLeast"/>
                  <w:jc w:val="both"/>
                  <w:rPr>
                    <w:bCs/>
                    <w:iCs/>
                    <w:sz w:val="16"/>
                    <w:szCs w:val="16"/>
                    <w:lang w:eastAsia="lt-LT"/>
                  </w:rPr>
                </w:pPr>
                <w:r>
                  <w:rPr>
                    <w:bCs/>
                    <w:iCs/>
                    <w:sz w:val="16"/>
                    <w:szCs w:val="16"/>
                    <w:lang w:eastAsia="lt-LT"/>
                  </w:rPr>
                  <w:t>Išlaidos mazutui</w:t>
                </w:r>
              </w:p>
            </w:tc>
            <w:tc>
              <w:tcPr>
                <w:tcW w:w="816" w:type="pct"/>
                <w:noWrap/>
                <w:hideMark/>
              </w:tcPr>
              <w:p>
                <w:pPr>
                  <w:spacing w:line="22" w:lineRule="atLeast"/>
                  <w:jc w:val="both"/>
                  <w:rPr>
                    <w:bCs/>
                    <w:iCs/>
                    <w:sz w:val="16"/>
                    <w:szCs w:val="16"/>
                    <w:lang w:eastAsia="lt-LT"/>
                  </w:rPr>
                </w:pPr>
                <w:r>
                  <w:rPr>
                    <w:bCs/>
                    <w:iCs/>
                    <w:sz w:val="16"/>
                    <w:szCs w:val="16"/>
                    <w:lang w:eastAsia="lt-LT"/>
                  </w:rPr>
                  <w:t>Eur</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noWrap/>
                <w:hideMark/>
              </w:tcPr>
              <w:p>
                <w:pPr>
                  <w:spacing w:line="22" w:lineRule="atLeast"/>
                  <w:jc w:val="both"/>
                  <w:rPr>
                    <w:bCs/>
                    <w:iCs/>
                    <w:sz w:val="16"/>
                    <w:szCs w:val="16"/>
                    <w:lang w:eastAsia="lt-LT"/>
                  </w:rPr>
                </w:pPr>
                <w:r>
                  <w:rPr>
                    <w:bCs/>
                    <w:iCs/>
                    <w:sz w:val="16"/>
                    <w:szCs w:val="16"/>
                    <w:lang w:eastAsia="lt-LT"/>
                  </w:rPr>
                  <w:t>Dujų dalis</w:t>
                </w:r>
              </w:p>
            </w:tc>
            <w:tc>
              <w:tcPr>
                <w:tcW w:w="816" w:type="pct"/>
                <w:noWrap/>
                <w:hideMark/>
              </w:tcPr>
              <w:p>
                <w:pPr>
                  <w:spacing w:line="22" w:lineRule="atLeast"/>
                  <w:jc w:val="both"/>
                  <w:rPr>
                    <w:bCs/>
                    <w:iCs/>
                    <w:sz w:val="16"/>
                    <w:szCs w:val="16"/>
                    <w:lang w:eastAsia="lt-LT"/>
                  </w:rPr>
                </w:pPr>
                <w:r>
                  <w:rPr>
                    <w:bCs/>
                    <w:iCs/>
                    <w:sz w:val="16"/>
                    <w:szCs w:val="16"/>
                    <w:lang w:eastAsia="lt-LT"/>
                  </w:rPr>
                  <w:t>%</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noWrap/>
                <w:hideMark/>
              </w:tcPr>
              <w:p>
                <w:pPr>
                  <w:spacing w:line="22" w:lineRule="atLeast"/>
                  <w:jc w:val="both"/>
                  <w:rPr>
                    <w:bCs/>
                    <w:iCs/>
                    <w:sz w:val="16"/>
                    <w:szCs w:val="16"/>
                    <w:lang w:eastAsia="lt-LT"/>
                  </w:rPr>
                </w:pPr>
                <w:r>
                  <w:rPr>
                    <w:bCs/>
                    <w:iCs/>
                    <w:sz w:val="16"/>
                    <w:szCs w:val="16"/>
                    <w:lang w:eastAsia="lt-LT"/>
                  </w:rPr>
                  <w:t>Gamyba dujomis</w:t>
                </w:r>
              </w:p>
            </w:tc>
            <w:tc>
              <w:tcPr>
                <w:tcW w:w="816" w:type="pct"/>
                <w:noWrap/>
                <w:hideMark/>
              </w:tcPr>
              <w:p>
                <w:pPr>
                  <w:spacing w:line="22" w:lineRule="atLeast"/>
                  <w:jc w:val="both"/>
                  <w:rPr>
                    <w:bCs/>
                    <w:iCs/>
                    <w:sz w:val="16"/>
                    <w:szCs w:val="16"/>
                    <w:lang w:eastAsia="lt-LT"/>
                  </w:rPr>
                </w:pPr>
                <w:r>
                  <w:rPr>
                    <w:bCs/>
                    <w:iCs/>
                    <w:sz w:val="16"/>
                    <w:szCs w:val="16"/>
                    <w:lang w:eastAsia="lt-LT"/>
                  </w:rPr>
                  <w:t>MWh</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Sutartinis kuras gamybai dujomis</w:t>
                </w:r>
              </w:p>
            </w:tc>
            <w:tc>
              <w:tcPr>
                <w:tcW w:w="816" w:type="pct"/>
                <w:noWrap/>
                <w:hideMark/>
              </w:tcPr>
              <w:p>
                <w:pPr>
                  <w:spacing w:line="22" w:lineRule="atLeast"/>
                  <w:jc w:val="both"/>
                  <w:rPr>
                    <w:bCs/>
                    <w:sz w:val="16"/>
                    <w:szCs w:val="16"/>
                    <w:lang w:eastAsia="lt-LT"/>
                  </w:rPr>
                </w:pPr>
                <w:r>
                  <w:rPr>
                    <w:bCs/>
                    <w:sz w:val="16"/>
                    <w:szCs w:val="16"/>
                    <w:lang w:eastAsia="lt-LT"/>
                  </w:rPr>
                  <w:t>tn</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Dujų kaloringumas</w:t>
                </w:r>
              </w:p>
            </w:tc>
            <w:tc>
              <w:tcPr>
                <w:tcW w:w="816" w:type="pct"/>
                <w:noWrap/>
                <w:hideMark/>
              </w:tcPr>
              <w:p>
                <w:pPr>
                  <w:spacing w:line="22" w:lineRule="atLeast"/>
                  <w:jc w:val="both"/>
                  <w:rPr>
                    <w:bCs/>
                    <w:sz w:val="16"/>
                    <w:szCs w:val="16"/>
                    <w:lang w:eastAsia="lt-LT"/>
                  </w:rPr>
                </w:pPr>
                <w:r>
                  <w:rPr>
                    <w:bCs/>
                    <w:sz w:val="16"/>
                    <w:szCs w:val="16"/>
                    <w:lang w:eastAsia="lt-LT"/>
                  </w:rPr>
                  <w:t>kcal/t m</w:t>
                </w:r>
                <w:r>
                  <w:rPr>
                    <w:bCs/>
                    <w:sz w:val="16"/>
                    <w:szCs w:val="16"/>
                    <w:vertAlign w:val="superscript"/>
                    <w:lang w:eastAsia="lt-LT"/>
                  </w:rPr>
                  <w:t>3</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Dujų kaina</w:t>
                </w:r>
              </w:p>
            </w:tc>
            <w:tc>
              <w:tcPr>
                <w:tcW w:w="816" w:type="pct"/>
                <w:noWrap/>
                <w:hideMark/>
              </w:tcPr>
              <w:p>
                <w:pPr>
                  <w:spacing w:line="22" w:lineRule="atLeast"/>
                  <w:jc w:val="both"/>
                  <w:rPr>
                    <w:bCs/>
                    <w:sz w:val="16"/>
                    <w:szCs w:val="16"/>
                    <w:lang w:eastAsia="lt-LT"/>
                  </w:rPr>
                </w:pPr>
                <w:r>
                  <w:rPr>
                    <w:bCs/>
                    <w:sz w:val="16"/>
                    <w:szCs w:val="16"/>
                    <w:lang w:eastAsia="lt-LT"/>
                  </w:rPr>
                  <w:t>Eur/t m</w:t>
                </w:r>
                <w:r>
                  <w:rPr>
                    <w:bCs/>
                    <w:sz w:val="16"/>
                    <w:szCs w:val="16"/>
                    <w:vertAlign w:val="superscript"/>
                    <w:lang w:eastAsia="lt-LT"/>
                  </w:rPr>
                  <w:t>3</w:t>
                </w:r>
              </w:p>
            </w:tc>
            <w:tc>
              <w:tcPr>
                <w:tcW w:w="322" w:type="pct"/>
                <w:noWrap/>
                <w:hideMark/>
              </w:tcPr>
              <w:p>
                <w:pPr>
                  <w:spacing w:line="22" w:lineRule="atLeast"/>
                  <w:ind w:firstLine="41"/>
                  <w:jc w:val="both"/>
                  <w:rPr>
                    <w:bCs/>
                    <w:sz w:val="16"/>
                    <w:szCs w:val="16"/>
                    <w:lang w:eastAsia="lt-LT"/>
                  </w:rPr>
                </w:pPr>
              </w:p>
            </w:tc>
            <w:tc>
              <w:tcPr>
                <w:tcW w:w="421" w:type="pct"/>
                <w:noWrap/>
                <w:hideMark/>
              </w:tcPr>
              <w:p>
                <w:pPr>
                  <w:spacing w:line="22" w:lineRule="atLeast"/>
                  <w:ind w:firstLine="41"/>
                  <w:jc w:val="both"/>
                  <w:rPr>
                    <w:bCs/>
                    <w:sz w:val="16"/>
                    <w:szCs w:val="16"/>
                    <w:lang w:eastAsia="lt-LT"/>
                  </w:rPr>
                </w:pPr>
              </w:p>
            </w:tc>
            <w:tc>
              <w:tcPr>
                <w:tcW w:w="245" w:type="pct"/>
                <w:noWrap/>
                <w:hideMark/>
              </w:tcPr>
              <w:p>
                <w:pPr>
                  <w:spacing w:line="22" w:lineRule="atLeast"/>
                  <w:ind w:firstLine="41"/>
                  <w:jc w:val="both"/>
                  <w:rPr>
                    <w:bCs/>
                    <w:sz w:val="16"/>
                    <w:szCs w:val="16"/>
                    <w:lang w:eastAsia="lt-LT"/>
                  </w:rPr>
                </w:pPr>
              </w:p>
            </w:tc>
            <w:tc>
              <w:tcPr>
                <w:tcW w:w="343" w:type="pct"/>
                <w:noWrap/>
                <w:hideMark/>
              </w:tcPr>
              <w:p>
                <w:pPr>
                  <w:spacing w:line="22" w:lineRule="atLeast"/>
                  <w:ind w:firstLine="41"/>
                  <w:jc w:val="both"/>
                  <w:rPr>
                    <w:bCs/>
                    <w:sz w:val="16"/>
                    <w:szCs w:val="16"/>
                    <w:lang w:eastAsia="lt-LT"/>
                  </w:rPr>
                </w:pPr>
              </w:p>
            </w:tc>
            <w:tc>
              <w:tcPr>
                <w:tcW w:w="421" w:type="pct"/>
                <w:noWrap/>
                <w:hideMark/>
              </w:tcPr>
              <w:p>
                <w:pPr>
                  <w:spacing w:line="22" w:lineRule="atLeast"/>
                  <w:ind w:firstLine="41"/>
                  <w:jc w:val="both"/>
                  <w:rPr>
                    <w:bCs/>
                    <w:sz w:val="16"/>
                    <w:szCs w:val="16"/>
                    <w:lang w:eastAsia="lt-LT"/>
                  </w:rPr>
                </w:pPr>
              </w:p>
            </w:tc>
            <w:tc>
              <w:tcPr>
                <w:tcW w:w="245" w:type="pct"/>
                <w:noWrap/>
                <w:hideMark/>
              </w:tcPr>
              <w:p>
                <w:pPr>
                  <w:spacing w:line="22" w:lineRule="atLeast"/>
                  <w:ind w:firstLine="41"/>
                  <w:jc w:val="both"/>
                  <w:rPr>
                    <w:bCs/>
                    <w:sz w:val="16"/>
                    <w:szCs w:val="16"/>
                    <w:lang w:eastAsia="lt-LT"/>
                  </w:rPr>
                </w:pPr>
              </w:p>
            </w:tc>
            <w:tc>
              <w:tcPr>
                <w:tcW w:w="322" w:type="pct"/>
              </w:tcPr>
              <w:p>
                <w:pPr>
                  <w:spacing w:line="22" w:lineRule="atLeast"/>
                  <w:jc w:val="both"/>
                  <w:rPr>
                    <w:bCs/>
                    <w:sz w:val="16"/>
                    <w:szCs w:val="16"/>
                    <w:lang w:eastAsia="lt-LT"/>
                  </w:rPr>
                </w:pPr>
              </w:p>
            </w:tc>
            <w:tc>
              <w:tcPr>
                <w:tcW w:w="421" w:type="pct"/>
              </w:tcPr>
              <w:p>
                <w:pPr>
                  <w:spacing w:line="22" w:lineRule="atLeast"/>
                  <w:jc w:val="both"/>
                  <w:rPr>
                    <w:bCs/>
                    <w:sz w:val="16"/>
                    <w:szCs w:val="16"/>
                    <w:lang w:eastAsia="lt-LT"/>
                  </w:rPr>
                </w:pPr>
              </w:p>
            </w:tc>
            <w:tc>
              <w:tcPr>
                <w:tcW w:w="245" w:type="pct"/>
              </w:tcPr>
              <w:p>
                <w:pPr>
                  <w:spacing w:line="22" w:lineRule="atLeast"/>
                  <w:jc w:val="both"/>
                  <w:rPr>
                    <w:bCs/>
                    <w:sz w:val="16"/>
                    <w:szCs w:val="16"/>
                    <w:lang w:eastAsia="lt-LT"/>
                  </w:rPr>
                </w:pPr>
              </w:p>
            </w:tc>
          </w:tr>
          <w:tr>
            <w:trPr>
              <w:trHeight w:val="255"/>
            </w:trPr>
            <w:tc>
              <w:tcPr>
                <w:tcW w:w="1199" w:type="pct"/>
                <w:noWrap/>
                <w:hideMark/>
              </w:tcPr>
              <w:p>
                <w:pPr>
                  <w:spacing w:line="22" w:lineRule="atLeast"/>
                  <w:jc w:val="both"/>
                  <w:rPr>
                    <w:bCs/>
                    <w:sz w:val="16"/>
                    <w:szCs w:val="16"/>
                    <w:lang w:eastAsia="lt-LT"/>
                  </w:rPr>
                </w:pPr>
                <w:r>
                  <w:rPr>
                    <w:bCs/>
                    <w:sz w:val="16"/>
                    <w:szCs w:val="16"/>
                    <w:lang w:eastAsia="lt-LT"/>
                  </w:rPr>
                  <w:t>Dujos gamybai</w:t>
                </w:r>
              </w:p>
            </w:tc>
            <w:tc>
              <w:tcPr>
                <w:tcW w:w="816" w:type="pct"/>
                <w:noWrap/>
                <w:hideMark/>
              </w:tcPr>
              <w:p>
                <w:pPr>
                  <w:spacing w:line="22" w:lineRule="atLeast"/>
                  <w:jc w:val="both"/>
                  <w:rPr>
                    <w:bCs/>
                    <w:sz w:val="16"/>
                    <w:szCs w:val="16"/>
                    <w:lang w:eastAsia="lt-LT"/>
                  </w:rPr>
                </w:pPr>
                <w:r>
                  <w:rPr>
                    <w:bCs/>
                    <w:sz w:val="16"/>
                    <w:szCs w:val="16"/>
                    <w:lang w:eastAsia="lt-LT"/>
                  </w:rPr>
                  <w:t>t m</w:t>
                </w:r>
                <w:r>
                  <w:rPr>
                    <w:bCs/>
                    <w:sz w:val="16"/>
                    <w:szCs w:val="16"/>
                    <w:vertAlign w:val="superscript"/>
                    <w:lang w:eastAsia="lt-LT"/>
                  </w:rPr>
                  <w:t>3</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70"/>
            </w:trPr>
            <w:tc>
              <w:tcPr>
                <w:tcW w:w="1199" w:type="pct"/>
                <w:noWrap/>
                <w:hideMark/>
              </w:tcPr>
              <w:p>
                <w:pPr>
                  <w:spacing w:line="22" w:lineRule="atLeast"/>
                  <w:jc w:val="both"/>
                  <w:rPr>
                    <w:bCs/>
                    <w:iCs/>
                    <w:sz w:val="16"/>
                    <w:szCs w:val="16"/>
                    <w:lang w:eastAsia="lt-LT"/>
                  </w:rPr>
                </w:pPr>
                <w:r>
                  <w:rPr>
                    <w:bCs/>
                    <w:iCs/>
                    <w:sz w:val="16"/>
                    <w:szCs w:val="16"/>
                    <w:lang w:eastAsia="lt-LT"/>
                  </w:rPr>
                  <w:t>Išlaidos dujoms</w:t>
                </w:r>
              </w:p>
            </w:tc>
            <w:tc>
              <w:tcPr>
                <w:tcW w:w="816" w:type="pct"/>
                <w:noWrap/>
                <w:hideMark/>
              </w:tcPr>
              <w:p>
                <w:pPr>
                  <w:spacing w:line="22" w:lineRule="atLeast"/>
                  <w:jc w:val="both"/>
                  <w:rPr>
                    <w:bCs/>
                    <w:iCs/>
                    <w:sz w:val="16"/>
                    <w:szCs w:val="16"/>
                    <w:lang w:eastAsia="lt-LT"/>
                  </w:rPr>
                </w:pPr>
                <w:r>
                  <w:rPr>
                    <w:bCs/>
                    <w:iCs/>
                    <w:sz w:val="16"/>
                    <w:szCs w:val="16"/>
                    <w:lang w:eastAsia="lt-LT"/>
                  </w:rPr>
                  <w:t>Eur</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510"/>
            </w:trPr>
            <w:tc>
              <w:tcPr>
                <w:tcW w:w="1199" w:type="pct"/>
                <w:hideMark/>
              </w:tcPr>
              <w:p>
                <w:pPr>
                  <w:spacing w:line="22" w:lineRule="atLeast"/>
                  <w:jc w:val="both"/>
                  <w:rPr>
                    <w:iCs/>
                    <w:sz w:val="16"/>
                    <w:szCs w:val="16"/>
                    <w:lang w:eastAsia="lt-LT"/>
                  </w:rPr>
                </w:pPr>
                <w:r>
                  <w:rPr>
                    <w:iCs/>
                    <w:sz w:val="16"/>
                    <w:szCs w:val="16"/>
                    <w:lang w:eastAsia="lt-LT"/>
                  </w:rPr>
                  <w:t>Kitos kuro rūšies sunaudojimas (įvesti)</w:t>
                </w:r>
              </w:p>
            </w:tc>
            <w:tc>
              <w:tcPr>
                <w:tcW w:w="816" w:type="pct"/>
                <w:hideMark/>
              </w:tcPr>
              <w:p>
                <w:pPr>
                  <w:spacing w:line="22" w:lineRule="atLeast"/>
                  <w:jc w:val="both"/>
                  <w:rPr>
                    <w:iCs/>
                    <w:sz w:val="16"/>
                    <w:szCs w:val="16"/>
                    <w:lang w:eastAsia="lt-LT"/>
                  </w:rPr>
                </w:pPr>
                <w:r>
                  <w:rPr>
                    <w:iCs/>
                    <w:sz w:val="16"/>
                    <w:szCs w:val="16"/>
                    <w:lang w:eastAsia="lt-LT"/>
                  </w:rPr>
                  <w:t>tn</w:t>
                </w:r>
              </w:p>
            </w:tc>
            <w:tc>
              <w:tcPr>
                <w:tcW w:w="322" w:type="pct"/>
                <w:hideMark/>
              </w:tcPr>
              <w:p>
                <w:pPr>
                  <w:spacing w:line="22" w:lineRule="atLeast"/>
                  <w:ind w:firstLine="41"/>
                  <w:jc w:val="both"/>
                  <w:rPr>
                    <w:iCs/>
                    <w:sz w:val="16"/>
                    <w:szCs w:val="16"/>
                    <w:lang w:eastAsia="lt-LT"/>
                  </w:rPr>
                </w:pPr>
              </w:p>
            </w:tc>
            <w:tc>
              <w:tcPr>
                <w:tcW w:w="421" w:type="pct"/>
                <w:hideMark/>
              </w:tcPr>
              <w:p>
                <w:pPr>
                  <w:spacing w:line="22" w:lineRule="atLeast"/>
                  <w:ind w:firstLine="41"/>
                  <w:jc w:val="both"/>
                  <w:rPr>
                    <w:iCs/>
                    <w:sz w:val="16"/>
                    <w:szCs w:val="16"/>
                    <w:lang w:eastAsia="lt-LT"/>
                  </w:rPr>
                </w:pPr>
              </w:p>
            </w:tc>
            <w:tc>
              <w:tcPr>
                <w:tcW w:w="245" w:type="pct"/>
                <w:hideMark/>
              </w:tcPr>
              <w:p>
                <w:pPr>
                  <w:spacing w:line="22" w:lineRule="atLeast"/>
                  <w:ind w:firstLine="41"/>
                  <w:jc w:val="both"/>
                  <w:rPr>
                    <w:iCs/>
                    <w:sz w:val="16"/>
                    <w:szCs w:val="16"/>
                    <w:lang w:eastAsia="lt-LT"/>
                  </w:rPr>
                </w:pPr>
              </w:p>
            </w:tc>
            <w:tc>
              <w:tcPr>
                <w:tcW w:w="343" w:type="pct"/>
                <w:hideMark/>
              </w:tcPr>
              <w:p>
                <w:pPr>
                  <w:spacing w:line="22" w:lineRule="atLeast"/>
                  <w:ind w:firstLine="41"/>
                  <w:jc w:val="both"/>
                  <w:rPr>
                    <w:iCs/>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iCs/>
                    <w:sz w:val="16"/>
                    <w:szCs w:val="16"/>
                    <w:lang w:eastAsia="lt-LT"/>
                  </w:rPr>
                </w:pPr>
                <w:r>
                  <w:rPr>
                    <w:iCs/>
                    <w:sz w:val="16"/>
                    <w:szCs w:val="16"/>
                    <w:lang w:eastAsia="lt-LT"/>
                  </w:rPr>
                  <w:t>Kitos kuro rūšies kaina</w:t>
                </w:r>
              </w:p>
            </w:tc>
            <w:tc>
              <w:tcPr>
                <w:tcW w:w="816" w:type="pct"/>
                <w:hideMark/>
              </w:tcPr>
              <w:p>
                <w:pPr>
                  <w:spacing w:line="22" w:lineRule="atLeast"/>
                  <w:jc w:val="both"/>
                  <w:rPr>
                    <w:iCs/>
                    <w:sz w:val="16"/>
                    <w:szCs w:val="16"/>
                    <w:lang w:eastAsia="lt-LT"/>
                  </w:rPr>
                </w:pPr>
                <w:r>
                  <w:rPr>
                    <w:bCs/>
                    <w:sz w:val="16"/>
                    <w:szCs w:val="16"/>
                    <w:lang w:eastAsia="lt-LT"/>
                  </w:rPr>
                  <w:t>Eur/tn</w:t>
                </w:r>
              </w:p>
            </w:tc>
            <w:tc>
              <w:tcPr>
                <w:tcW w:w="322" w:type="pct"/>
                <w:hideMark/>
              </w:tcPr>
              <w:p>
                <w:pPr>
                  <w:spacing w:line="22" w:lineRule="atLeast"/>
                  <w:ind w:firstLine="41"/>
                  <w:jc w:val="both"/>
                  <w:rPr>
                    <w:iCs/>
                    <w:sz w:val="16"/>
                    <w:szCs w:val="16"/>
                    <w:lang w:eastAsia="lt-LT"/>
                  </w:rPr>
                </w:pPr>
              </w:p>
            </w:tc>
            <w:tc>
              <w:tcPr>
                <w:tcW w:w="421" w:type="pct"/>
                <w:hideMark/>
              </w:tcPr>
              <w:p>
                <w:pPr>
                  <w:spacing w:line="22" w:lineRule="atLeast"/>
                  <w:ind w:firstLine="41"/>
                  <w:jc w:val="both"/>
                  <w:rPr>
                    <w:iCs/>
                    <w:sz w:val="16"/>
                    <w:szCs w:val="16"/>
                    <w:lang w:eastAsia="lt-LT"/>
                  </w:rPr>
                </w:pPr>
              </w:p>
            </w:tc>
            <w:tc>
              <w:tcPr>
                <w:tcW w:w="245" w:type="pct"/>
                <w:hideMark/>
              </w:tcPr>
              <w:p>
                <w:pPr>
                  <w:spacing w:line="22" w:lineRule="atLeast"/>
                  <w:ind w:firstLine="41"/>
                  <w:jc w:val="both"/>
                  <w:rPr>
                    <w:iCs/>
                    <w:sz w:val="16"/>
                    <w:szCs w:val="16"/>
                    <w:lang w:eastAsia="lt-LT"/>
                  </w:rPr>
                </w:pPr>
              </w:p>
            </w:tc>
            <w:tc>
              <w:tcPr>
                <w:tcW w:w="343" w:type="pct"/>
                <w:hideMark/>
              </w:tcPr>
              <w:p>
                <w:pPr>
                  <w:spacing w:line="22" w:lineRule="atLeast"/>
                  <w:ind w:firstLine="41"/>
                  <w:jc w:val="both"/>
                  <w:rPr>
                    <w:iCs/>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587"/>
            </w:trPr>
            <w:tc>
              <w:tcPr>
                <w:tcW w:w="1199" w:type="pct"/>
                <w:hideMark/>
              </w:tcPr>
              <w:p>
                <w:pPr>
                  <w:spacing w:line="22" w:lineRule="atLeast"/>
                  <w:jc w:val="both"/>
                  <w:rPr>
                    <w:iCs/>
                    <w:sz w:val="16"/>
                    <w:szCs w:val="16"/>
                    <w:lang w:eastAsia="lt-LT"/>
                  </w:rPr>
                </w:pPr>
                <w:r>
                  <w:rPr>
                    <w:iCs/>
                    <w:sz w:val="16"/>
                    <w:szCs w:val="16"/>
                    <w:lang w:eastAsia="lt-LT"/>
                  </w:rPr>
                  <w:t>Kitos kuro rūšies sąnaudos</w:t>
                </w:r>
              </w:p>
            </w:tc>
            <w:tc>
              <w:tcPr>
                <w:tcW w:w="816" w:type="pct"/>
                <w:hideMark/>
              </w:tcPr>
              <w:p>
                <w:pPr>
                  <w:spacing w:line="22" w:lineRule="atLeast"/>
                  <w:jc w:val="both"/>
                  <w:rPr>
                    <w:iCs/>
                    <w:sz w:val="16"/>
                    <w:szCs w:val="16"/>
                    <w:lang w:eastAsia="lt-LT"/>
                  </w:rPr>
                </w:pPr>
                <w:r>
                  <w:rPr>
                    <w:sz w:val="16"/>
                    <w:szCs w:val="16"/>
                    <w:lang w:eastAsia="lt-LT"/>
                  </w:rPr>
                  <w:t>tūkst. Lt (tūkst. EUR)</w:t>
                </w:r>
              </w:p>
            </w:tc>
            <w:tc>
              <w:tcPr>
                <w:tcW w:w="322" w:type="pct"/>
                <w:hideMark/>
              </w:tcPr>
              <w:p>
                <w:pPr>
                  <w:spacing w:line="22" w:lineRule="atLeast"/>
                  <w:ind w:firstLine="41"/>
                  <w:jc w:val="both"/>
                  <w:rPr>
                    <w:iCs/>
                    <w:sz w:val="16"/>
                    <w:szCs w:val="16"/>
                    <w:lang w:eastAsia="lt-LT"/>
                  </w:rPr>
                </w:pPr>
              </w:p>
            </w:tc>
            <w:tc>
              <w:tcPr>
                <w:tcW w:w="421" w:type="pct"/>
                <w:hideMark/>
              </w:tcPr>
              <w:p>
                <w:pPr>
                  <w:spacing w:line="22" w:lineRule="atLeast"/>
                  <w:ind w:firstLine="41"/>
                  <w:jc w:val="both"/>
                  <w:rPr>
                    <w:iCs/>
                    <w:sz w:val="16"/>
                    <w:szCs w:val="16"/>
                    <w:lang w:eastAsia="lt-LT"/>
                  </w:rPr>
                </w:pPr>
              </w:p>
            </w:tc>
            <w:tc>
              <w:tcPr>
                <w:tcW w:w="245" w:type="pct"/>
                <w:hideMark/>
              </w:tcPr>
              <w:p>
                <w:pPr>
                  <w:spacing w:line="22" w:lineRule="atLeast"/>
                  <w:ind w:firstLine="41"/>
                  <w:jc w:val="both"/>
                  <w:rPr>
                    <w:iCs/>
                    <w:sz w:val="16"/>
                    <w:szCs w:val="16"/>
                    <w:lang w:eastAsia="lt-LT"/>
                  </w:rPr>
                </w:pPr>
              </w:p>
            </w:tc>
            <w:tc>
              <w:tcPr>
                <w:tcW w:w="343" w:type="pct"/>
                <w:hideMark/>
              </w:tcPr>
              <w:p>
                <w:pPr>
                  <w:spacing w:line="22" w:lineRule="atLeast"/>
                  <w:ind w:firstLine="41"/>
                  <w:jc w:val="both"/>
                  <w:rPr>
                    <w:iCs/>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85"/>
            </w:trPr>
            <w:tc>
              <w:tcPr>
                <w:tcW w:w="1199" w:type="pct"/>
                <w:noWrap/>
                <w:hideMark/>
              </w:tcPr>
              <w:p>
                <w:pPr>
                  <w:spacing w:line="22" w:lineRule="atLeast"/>
                  <w:jc w:val="both"/>
                  <w:rPr>
                    <w:sz w:val="16"/>
                    <w:szCs w:val="16"/>
                    <w:lang w:eastAsia="lt-LT"/>
                  </w:rPr>
                </w:pPr>
                <w:r>
                  <w:rPr>
                    <w:sz w:val="16"/>
                    <w:szCs w:val="16"/>
                    <w:lang w:eastAsia="lt-LT"/>
                  </w:rPr>
                  <w:t>Iš viso kuras</w:t>
                </w:r>
              </w:p>
            </w:tc>
            <w:tc>
              <w:tcPr>
                <w:tcW w:w="816" w:type="pct"/>
                <w:noWrap/>
                <w:hideMark/>
              </w:tcPr>
              <w:p>
                <w:pPr>
                  <w:spacing w:line="22" w:lineRule="atLeast"/>
                  <w:jc w:val="both"/>
                  <w:rPr>
                    <w:sz w:val="16"/>
                    <w:szCs w:val="16"/>
                    <w:lang w:eastAsia="lt-LT"/>
                  </w:rPr>
                </w:pPr>
                <w:r>
                  <w:rPr>
                    <w:sz w:val="16"/>
                    <w:szCs w:val="16"/>
                    <w:lang w:eastAsia="lt-LT"/>
                  </w:rPr>
                  <w:t>tūkst. Lt (tūkst. EUR)</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sz w:val="16"/>
                    <w:szCs w:val="16"/>
                    <w:lang w:eastAsia="lt-LT"/>
                  </w:rPr>
                </w:pPr>
                <w:r>
                  <w:rPr>
                    <w:sz w:val="16"/>
                    <w:szCs w:val="16"/>
                    <w:lang w:eastAsia="lt-LT"/>
                  </w:rPr>
                  <w:t xml:space="preserve">ATL kiekis </w:t>
                </w:r>
              </w:p>
            </w:tc>
            <w:tc>
              <w:tcPr>
                <w:tcW w:w="816" w:type="pct"/>
                <w:hideMark/>
              </w:tcPr>
              <w:p>
                <w:pPr>
                  <w:spacing w:line="22" w:lineRule="atLeast"/>
                  <w:jc w:val="both"/>
                  <w:rPr>
                    <w:sz w:val="16"/>
                    <w:szCs w:val="16"/>
                    <w:lang w:eastAsia="lt-LT"/>
                  </w:rPr>
                </w:pPr>
                <w:r>
                  <w:rPr>
                    <w:sz w:val="16"/>
                    <w:szCs w:val="16"/>
                    <w:lang w:eastAsia="lt-LT"/>
                  </w:rPr>
                  <w:t>tūkst. vnt.</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sz w:val="16"/>
                    <w:szCs w:val="16"/>
                    <w:lang w:eastAsia="lt-LT"/>
                  </w:rPr>
                </w:pPr>
                <w:r>
                  <w:rPr>
                    <w:sz w:val="16"/>
                    <w:szCs w:val="16"/>
                    <w:lang w:eastAsia="lt-LT"/>
                  </w:rPr>
                  <w:t>Gauti nemokamai ATL</w:t>
                </w:r>
              </w:p>
            </w:tc>
            <w:tc>
              <w:tcPr>
                <w:tcW w:w="816" w:type="pct"/>
                <w:hideMark/>
              </w:tcPr>
              <w:p>
                <w:pPr>
                  <w:spacing w:line="22" w:lineRule="atLeast"/>
                  <w:jc w:val="both"/>
                  <w:rPr>
                    <w:sz w:val="16"/>
                    <w:szCs w:val="16"/>
                    <w:lang w:eastAsia="lt-LT"/>
                  </w:rPr>
                </w:pPr>
                <w:r>
                  <w:rPr>
                    <w:sz w:val="16"/>
                    <w:szCs w:val="16"/>
                    <w:lang w:eastAsia="lt-LT"/>
                  </w:rPr>
                  <w:t>tūkst. vnt.</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sz w:val="16"/>
                    <w:szCs w:val="16"/>
                    <w:lang w:eastAsia="lt-LT"/>
                  </w:rPr>
                </w:pPr>
                <w:r>
                  <w:rPr>
                    <w:sz w:val="16"/>
                    <w:szCs w:val="16"/>
                    <w:lang w:eastAsia="lt-LT"/>
                  </w:rPr>
                  <w:t>Pirktini rinkoje ATL</w:t>
                </w:r>
              </w:p>
            </w:tc>
            <w:tc>
              <w:tcPr>
                <w:tcW w:w="816" w:type="pct"/>
                <w:hideMark/>
              </w:tcPr>
              <w:p>
                <w:pPr>
                  <w:spacing w:line="22" w:lineRule="atLeast"/>
                  <w:jc w:val="both"/>
                  <w:rPr>
                    <w:sz w:val="16"/>
                    <w:szCs w:val="16"/>
                    <w:lang w:eastAsia="lt-LT"/>
                  </w:rPr>
                </w:pPr>
                <w:r>
                  <w:rPr>
                    <w:sz w:val="16"/>
                    <w:szCs w:val="16"/>
                    <w:lang w:eastAsia="lt-LT"/>
                  </w:rPr>
                  <w:t>tūkst. vnt.</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sz w:val="16"/>
                    <w:szCs w:val="16"/>
                    <w:lang w:eastAsia="lt-LT"/>
                  </w:rPr>
                </w:pPr>
                <w:r>
                  <w:rPr>
                    <w:sz w:val="16"/>
                    <w:szCs w:val="16"/>
                    <w:lang w:eastAsia="lt-LT"/>
                  </w:rPr>
                  <w:t>ATL kaina</w:t>
                </w:r>
              </w:p>
            </w:tc>
            <w:tc>
              <w:tcPr>
                <w:tcW w:w="816" w:type="pct"/>
                <w:hideMark/>
              </w:tcPr>
              <w:p>
                <w:pPr>
                  <w:spacing w:line="22" w:lineRule="atLeast"/>
                  <w:jc w:val="both"/>
                  <w:rPr>
                    <w:sz w:val="16"/>
                    <w:szCs w:val="16"/>
                    <w:lang w:eastAsia="lt-LT"/>
                  </w:rPr>
                </w:pPr>
                <w:r>
                  <w:rPr>
                    <w:color w:val="000000"/>
                    <w:sz w:val="16"/>
                    <w:szCs w:val="16"/>
                    <w:lang w:eastAsia="lt-LT"/>
                  </w:rPr>
                  <w:t>Eur/vnt.</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sz w:val="16"/>
                    <w:szCs w:val="16"/>
                    <w:lang w:eastAsia="lt-LT"/>
                  </w:rPr>
                </w:pPr>
                <w:r>
                  <w:rPr>
                    <w:sz w:val="16"/>
                    <w:szCs w:val="16"/>
                    <w:lang w:eastAsia="lt-LT"/>
                  </w:rPr>
                  <w:t>ATL sąnaudos</w:t>
                </w:r>
              </w:p>
            </w:tc>
            <w:tc>
              <w:tcPr>
                <w:tcW w:w="816" w:type="pct"/>
                <w:hideMark/>
              </w:tcPr>
              <w:p>
                <w:pPr>
                  <w:spacing w:line="22" w:lineRule="atLeast"/>
                  <w:jc w:val="both"/>
                  <w:rPr>
                    <w:sz w:val="16"/>
                    <w:szCs w:val="16"/>
                    <w:lang w:eastAsia="lt-LT"/>
                  </w:rPr>
                </w:pPr>
                <w:r>
                  <w:rPr>
                    <w:color w:val="000000"/>
                    <w:sz w:val="16"/>
                    <w:szCs w:val="16"/>
                    <w:lang w:eastAsia="lt-LT"/>
                  </w:rPr>
                  <w:t>tūkst. Lt (</w:t>
                </w:r>
                <w:r>
                  <w:rPr>
                    <w:sz w:val="16"/>
                    <w:szCs w:val="16"/>
                    <w:lang w:eastAsia="lt-LT"/>
                  </w:rPr>
                  <w:t>tūkst. EUR)</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sz w:val="16"/>
                    <w:szCs w:val="16"/>
                    <w:lang w:eastAsia="lt-LT"/>
                  </w:rPr>
                </w:pPr>
                <w:r>
                  <w:rPr>
                    <w:sz w:val="16"/>
                    <w:szCs w:val="16"/>
                    <w:lang w:eastAsia="lt-LT"/>
                  </w:rPr>
                  <w:t xml:space="preserve">PTMV kiekis </w:t>
                </w:r>
              </w:p>
            </w:tc>
            <w:tc>
              <w:tcPr>
                <w:tcW w:w="816" w:type="pct"/>
                <w:hideMark/>
              </w:tcPr>
              <w:p>
                <w:pPr>
                  <w:spacing w:line="22" w:lineRule="atLeast"/>
                  <w:jc w:val="both"/>
                  <w:rPr>
                    <w:sz w:val="16"/>
                    <w:szCs w:val="16"/>
                    <w:lang w:eastAsia="lt-LT"/>
                  </w:rPr>
                </w:pPr>
                <w:r>
                  <w:rPr>
                    <w:sz w:val="16"/>
                    <w:szCs w:val="16"/>
                    <w:lang w:eastAsia="lt-LT"/>
                  </w:rPr>
                  <w:t>tūkst. vnt.</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sz w:val="16"/>
                    <w:szCs w:val="16"/>
                    <w:lang w:eastAsia="lt-LT"/>
                  </w:rPr>
                </w:pPr>
                <w:r>
                  <w:rPr>
                    <w:sz w:val="16"/>
                    <w:szCs w:val="16"/>
                    <w:lang w:eastAsia="lt-LT"/>
                  </w:rPr>
                  <w:t xml:space="preserve">Nemokamai gauti PTMV </w:t>
                </w:r>
              </w:p>
            </w:tc>
            <w:tc>
              <w:tcPr>
                <w:tcW w:w="816" w:type="pct"/>
                <w:hideMark/>
              </w:tcPr>
              <w:p>
                <w:pPr>
                  <w:spacing w:line="22" w:lineRule="atLeast"/>
                  <w:jc w:val="both"/>
                  <w:rPr>
                    <w:sz w:val="16"/>
                    <w:szCs w:val="16"/>
                    <w:lang w:eastAsia="lt-LT"/>
                  </w:rPr>
                </w:pPr>
                <w:r>
                  <w:rPr>
                    <w:sz w:val="16"/>
                    <w:szCs w:val="16"/>
                    <w:lang w:eastAsia="lt-LT"/>
                  </w:rPr>
                  <w:t>tūkst. vnt.</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sz w:val="16"/>
                    <w:szCs w:val="16"/>
                    <w:lang w:eastAsia="lt-LT"/>
                  </w:rPr>
                </w:pPr>
                <w:r>
                  <w:rPr>
                    <w:sz w:val="16"/>
                    <w:szCs w:val="16"/>
                    <w:lang w:eastAsia="lt-LT"/>
                  </w:rPr>
                  <w:t>Pirktini rinkoje PTMV</w:t>
                </w:r>
              </w:p>
            </w:tc>
            <w:tc>
              <w:tcPr>
                <w:tcW w:w="816" w:type="pct"/>
                <w:hideMark/>
              </w:tcPr>
              <w:p>
                <w:pPr>
                  <w:spacing w:line="22" w:lineRule="atLeast"/>
                  <w:jc w:val="both"/>
                  <w:rPr>
                    <w:sz w:val="16"/>
                    <w:szCs w:val="16"/>
                    <w:lang w:eastAsia="lt-LT"/>
                  </w:rPr>
                </w:pPr>
                <w:r>
                  <w:rPr>
                    <w:sz w:val="16"/>
                    <w:szCs w:val="16"/>
                    <w:lang w:eastAsia="lt-LT"/>
                  </w:rPr>
                  <w:t>tūkst. vnt.</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sz w:val="16"/>
                    <w:szCs w:val="16"/>
                    <w:lang w:eastAsia="lt-LT"/>
                  </w:rPr>
                </w:pPr>
                <w:r>
                  <w:rPr>
                    <w:sz w:val="16"/>
                    <w:szCs w:val="16"/>
                    <w:lang w:eastAsia="lt-LT"/>
                  </w:rPr>
                  <w:t>PTMV kaina</w:t>
                </w:r>
              </w:p>
            </w:tc>
            <w:tc>
              <w:tcPr>
                <w:tcW w:w="816" w:type="pct"/>
                <w:hideMark/>
              </w:tcPr>
              <w:p>
                <w:pPr>
                  <w:spacing w:line="22" w:lineRule="atLeast"/>
                  <w:jc w:val="both"/>
                  <w:rPr>
                    <w:sz w:val="16"/>
                    <w:szCs w:val="16"/>
                    <w:lang w:eastAsia="lt-LT"/>
                  </w:rPr>
                </w:pPr>
                <w:r>
                  <w:rPr>
                    <w:color w:val="000000"/>
                    <w:sz w:val="16"/>
                    <w:szCs w:val="16"/>
                    <w:lang w:eastAsia="lt-LT"/>
                  </w:rPr>
                  <w:t>Eur/vnt.</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sz w:val="16"/>
                    <w:szCs w:val="16"/>
                    <w:lang w:eastAsia="lt-LT"/>
                  </w:rPr>
                </w:pPr>
                <w:r>
                  <w:rPr>
                    <w:sz w:val="16"/>
                    <w:szCs w:val="16"/>
                    <w:lang w:eastAsia="lt-LT"/>
                  </w:rPr>
                  <w:t>PTMV sąnaudos</w:t>
                </w:r>
              </w:p>
            </w:tc>
            <w:tc>
              <w:tcPr>
                <w:tcW w:w="816" w:type="pct"/>
                <w:hideMark/>
              </w:tcPr>
              <w:p>
                <w:pPr>
                  <w:spacing w:line="22" w:lineRule="atLeast"/>
                  <w:jc w:val="both"/>
                  <w:rPr>
                    <w:sz w:val="16"/>
                    <w:szCs w:val="16"/>
                    <w:lang w:eastAsia="lt-LT"/>
                  </w:rPr>
                </w:pPr>
                <w:r>
                  <w:rPr>
                    <w:color w:val="000000"/>
                    <w:sz w:val="16"/>
                    <w:szCs w:val="16"/>
                    <w:lang w:eastAsia="lt-LT"/>
                  </w:rPr>
                  <w:t>tūkst. Lt (</w:t>
                </w:r>
                <w:r>
                  <w:rPr>
                    <w:sz w:val="16"/>
                    <w:szCs w:val="16"/>
                    <w:lang w:eastAsia="lt-LT"/>
                  </w:rPr>
                  <w:t>tūkst. EUR)</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510"/>
            </w:trPr>
            <w:tc>
              <w:tcPr>
                <w:tcW w:w="1199" w:type="pct"/>
                <w:hideMark/>
              </w:tcPr>
              <w:p>
                <w:pPr>
                  <w:spacing w:line="22" w:lineRule="atLeast"/>
                  <w:jc w:val="both"/>
                  <w:rPr>
                    <w:sz w:val="16"/>
                    <w:szCs w:val="16"/>
                    <w:lang w:eastAsia="lt-LT"/>
                  </w:rPr>
                </w:pPr>
                <w:r>
                  <w:rPr>
                    <w:sz w:val="16"/>
                    <w:szCs w:val="16"/>
                    <w:lang w:eastAsia="lt-LT"/>
                  </w:rPr>
                  <w:t>Reagentų nusierinimui sąnaudos</w:t>
                </w:r>
              </w:p>
            </w:tc>
            <w:tc>
              <w:tcPr>
                <w:tcW w:w="816" w:type="pct"/>
                <w:hideMark/>
              </w:tcPr>
              <w:p>
                <w:pPr>
                  <w:spacing w:line="22" w:lineRule="atLeast"/>
                  <w:jc w:val="both"/>
                  <w:rPr>
                    <w:sz w:val="16"/>
                    <w:szCs w:val="16"/>
                    <w:lang w:eastAsia="lt-LT"/>
                  </w:rPr>
                </w:pPr>
                <w:r>
                  <w:rPr>
                    <w:color w:val="000000"/>
                    <w:sz w:val="16"/>
                    <w:szCs w:val="16"/>
                    <w:lang w:eastAsia="lt-LT"/>
                  </w:rPr>
                  <w:t>tūkst. Lt (</w:t>
                </w:r>
                <w:r>
                  <w:rPr>
                    <w:sz w:val="16"/>
                    <w:szCs w:val="16"/>
                    <w:lang w:eastAsia="lt-LT"/>
                  </w:rPr>
                  <w:t>tūkst. EUR)</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iCs/>
                    <w:sz w:val="16"/>
                    <w:szCs w:val="16"/>
                    <w:lang w:eastAsia="lt-LT"/>
                  </w:rPr>
                </w:pPr>
                <w:r>
                  <w:rPr>
                    <w:iCs/>
                    <w:sz w:val="16"/>
                    <w:szCs w:val="16"/>
                    <w:lang w:eastAsia="lt-LT"/>
                  </w:rPr>
                  <w:t>Kitos sąnaudos (įvesti)***</w:t>
                </w:r>
              </w:p>
            </w:tc>
            <w:tc>
              <w:tcPr>
                <w:tcW w:w="816" w:type="pct"/>
                <w:hideMark/>
              </w:tcPr>
              <w:p>
                <w:pPr>
                  <w:spacing w:line="22" w:lineRule="atLeast"/>
                  <w:jc w:val="both"/>
                  <w:rPr>
                    <w:sz w:val="16"/>
                    <w:szCs w:val="16"/>
                    <w:lang w:eastAsia="lt-LT"/>
                  </w:rPr>
                </w:pPr>
                <w:r>
                  <w:rPr>
                    <w:color w:val="000000"/>
                    <w:sz w:val="16"/>
                    <w:szCs w:val="16"/>
                    <w:lang w:eastAsia="lt-LT"/>
                  </w:rPr>
                  <w:t>tūkst. Lt (</w:t>
                </w:r>
                <w:r>
                  <w:rPr>
                    <w:sz w:val="16"/>
                    <w:szCs w:val="16"/>
                    <w:lang w:eastAsia="lt-LT"/>
                  </w:rPr>
                  <w:t>tūkst. EUR)</w:t>
                </w:r>
              </w:p>
            </w:tc>
            <w:tc>
              <w:tcPr>
                <w:tcW w:w="322" w:type="pct"/>
                <w:hideMark/>
              </w:tcPr>
              <w:p>
                <w:pPr>
                  <w:spacing w:line="22" w:lineRule="atLeast"/>
                  <w:ind w:firstLine="41"/>
                  <w:jc w:val="both"/>
                  <w:rPr>
                    <w:iCs/>
                    <w:sz w:val="16"/>
                    <w:szCs w:val="16"/>
                    <w:lang w:eastAsia="lt-LT"/>
                  </w:rPr>
                </w:pPr>
              </w:p>
            </w:tc>
            <w:tc>
              <w:tcPr>
                <w:tcW w:w="421" w:type="pct"/>
                <w:hideMark/>
              </w:tcPr>
              <w:p>
                <w:pPr>
                  <w:spacing w:line="22" w:lineRule="atLeast"/>
                  <w:ind w:firstLine="41"/>
                  <w:jc w:val="both"/>
                  <w:rPr>
                    <w:iCs/>
                    <w:sz w:val="16"/>
                    <w:szCs w:val="16"/>
                    <w:lang w:eastAsia="lt-LT"/>
                  </w:rPr>
                </w:pPr>
              </w:p>
            </w:tc>
            <w:tc>
              <w:tcPr>
                <w:tcW w:w="245" w:type="pct"/>
                <w:hideMark/>
              </w:tcPr>
              <w:p>
                <w:pPr>
                  <w:spacing w:line="22" w:lineRule="atLeast"/>
                  <w:ind w:firstLine="41"/>
                  <w:jc w:val="both"/>
                  <w:rPr>
                    <w:iCs/>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bCs/>
                    <w:sz w:val="16"/>
                    <w:szCs w:val="16"/>
                    <w:lang w:eastAsia="lt-LT"/>
                  </w:rPr>
                </w:pPr>
                <w:r>
                  <w:rPr>
                    <w:bCs/>
                    <w:sz w:val="16"/>
                    <w:szCs w:val="16"/>
                    <w:lang w:eastAsia="lt-LT"/>
                  </w:rPr>
                  <w:t>Iš viso kintamosios sąnaudos</w:t>
                </w:r>
              </w:p>
            </w:tc>
            <w:tc>
              <w:tcPr>
                <w:tcW w:w="816" w:type="pct"/>
                <w:hideMark/>
              </w:tcPr>
              <w:p>
                <w:pPr>
                  <w:spacing w:line="22" w:lineRule="atLeast"/>
                  <w:jc w:val="both"/>
                  <w:rPr>
                    <w:sz w:val="16"/>
                    <w:szCs w:val="16"/>
                    <w:lang w:eastAsia="lt-LT"/>
                  </w:rPr>
                </w:pPr>
                <w:r>
                  <w:rPr>
                    <w:color w:val="000000"/>
                    <w:sz w:val="16"/>
                    <w:szCs w:val="16"/>
                    <w:lang w:eastAsia="lt-LT"/>
                  </w:rPr>
                  <w:t>tūkst. Lt (</w:t>
                </w:r>
                <w:r>
                  <w:rPr>
                    <w:sz w:val="16"/>
                    <w:szCs w:val="16"/>
                    <w:lang w:eastAsia="lt-LT"/>
                  </w:rPr>
                  <w:t>tūkst. EUR)</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315"/>
            </w:trPr>
            <w:tc>
              <w:tcPr>
                <w:tcW w:w="1199" w:type="pct"/>
                <w:hideMark/>
              </w:tcPr>
              <w:p>
                <w:pPr>
                  <w:spacing w:line="22" w:lineRule="atLeast"/>
                  <w:jc w:val="both"/>
                  <w:rPr>
                    <w:sz w:val="16"/>
                    <w:szCs w:val="16"/>
                    <w:lang w:eastAsia="lt-LT"/>
                  </w:rPr>
                </w:pPr>
                <w:r>
                  <w:rPr>
                    <w:sz w:val="16"/>
                    <w:szCs w:val="16"/>
                    <w:lang w:eastAsia="lt-LT"/>
                  </w:rPr>
                  <w:t>Kuro dedamoji</w:t>
                </w:r>
              </w:p>
            </w:tc>
            <w:tc>
              <w:tcPr>
                <w:tcW w:w="816" w:type="pct"/>
                <w:hideMark/>
              </w:tcPr>
              <w:p>
                <w:pPr>
                  <w:spacing w:line="22" w:lineRule="atLeast"/>
                  <w:jc w:val="both"/>
                  <w:rPr>
                    <w:sz w:val="16"/>
                    <w:szCs w:val="16"/>
                    <w:lang w:eastAsia="lt-LT"/>
                  </w:rPr>
                </w:pPr>
                <w:r>
                  <w:rPr>
                    <w:sz w:val="16"/>
                    <w:szCs w:val="16"/>
                    <w:lang w:eastAsia="lt-LT"/>
                  </w:rPr>
                  <w:t>ct/kWh</w:t>
                </w:r>
              </w:p>
            </w:tc>
            <w:tc>
              <w:tcPr>
                <w:tcW w:w="322" w:type="pct"/>
                <w:hideMark/>
              </w:tcPr>
              <w:p>
                <w:pPr>
                  <w:spacing w:line="22" w:lineRule="atLeast"/>
                  <w:ind w:firstLine="41"/>
                  <w:jc w:val="both"/>
                  <w:rPr>
                    <w:sz w:val="16"/>
                    <w:szCs w:val="16"/>
                    <w:lang w:eastAsia="lt-LT"/>
                  </w:rPr>
                </w:pPr>
              </w:p>
            </w:tc>
            <w:tc>
              <w:tcPr>
                <w:tcW w:w="421" w:type="pct"/>
                <w:hideMark/>
              </w:tcPr>
              <w:p>
                <w:pPr>
                  <w:spacing w:line="22" w:lineRule="atLeast"/>
                  <w:ind w:firstLine="41"/>
                  <w:jc w:val="both"/>
                  <w:rPr>
                    <w:sz w:val="16"/>
                    <w:szCs w:val="16"/>
                    <w:lang w:eastAsia="lt-LT"/>
                  </w:rPr>
                </w:pPr>
              </w:p>
            </w:tc>
            <w:tc>
              <w:tcPr>
                <w:tcW w:w="245" w:type="pct"/>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r>
            <w:trPr>
              <w:trHeight w:val="255"/>
            </w:trPr>
            <w:tc>
              <w:tcPr>
                <w:tcW w:w="1199" w:type="pct"/>
                <w:hideMark/>
              </w:tcPr>
              <w:p>
                <w:pPr>
                  <w:spacing w:line="22" w:lineRule="atLeast"/>
                  <w:jc w:val="both"/>
                  <w:rPr>
                    <w:sz w:val="16"/>
                    <w:szCs w:val="16"/>
                    <w:lang w:eastAsia="lt-LT"/>
                  </w:rPr>
                </w:pPr>
                <w:r>
                  <w:rPr>
                    <w:sz w:val="16"/>
                    <w:szCs w:val="16"/>
                    <w:lang w:eastAsia="lt-LT"/>
                  </w:rPr>
                  <w:t>Kintamų sąnaudų dedamoji</w:t>
                </w:r>
              </w:p>
            </w:tc>
            <w:tc>
              <w:tcPr>
                <w:tcW w:w="816" w:type="pct"/>
                <w:noWrap/>
                <w:hideMark/>
              </w:tcPr>
              <w:p>
                <w:pPr>
                  <w:spacing w:line="22" w:lineRule="atLeast"/>
                  <w:jc w:val="both"/>
                  <w:rPr>
                    <w:sz w:val="16"/>
                    <w:szCs w:val="16"/>
                    <w:lang w:eastAsia="lt-LT"/>
                  </w:rPr>
                </w:pPr>
                <w:r>
                  <w:rPr>
                    <w:sz w:val="16"/>
                    <w:szCs w:val="16"/>
                    <w:lang w:eastAsia="lt-LT"/>
                  </w:rPr>
                  <w:t>ct/kWh</w:t>
                </w:r>
              </w:p>
            </w:tc>
            <w:tc>
              <w:tcPr>
                <w:tcW w:w="322"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43" w:type="pct"/>
                <w:noWrap/>
                <w:hideMark/>
              </w:tcPr>
              <w:p>
                <w:pPr>
                  <w:spacing w:line="22" w:lineRule="atLeast"/>
                  <w:ind w:firstLine="41"/>
                  <w:jc w:val="both"/>
                  <w:rPr>
                    <w:sz w:val="16"/>
                    <w:szCs w:val="16"/>
                    <w:lang w:eastAsia="lt-LT"/>
                  </w:rPr>
                </w:pPr>
              </w:p>
            </w:tc>
            <w:tc>
              <w:tcPr>
                <w:tcW w:w="421" w:type="pct"/>
                <w:noWrap/>
                <w:hideMark/>
              </w:tcPr>
              <w:p>
                <w:pPr>
                  <w:spacing w:line="22" w:lineRule="atLeast"/>
                  <w:ind w:firstLine="41"/>
                  <w:jc w:val="both"/>
                  <w:rPr>
                    <w:sz w:val="16"/>
                    <w:szCs w:val="16"/>
                    <w:lang w:eastAsia="lt-LT"/>
                  </w:rPr>
                </w:pPr>
              </w:p>
            </w:tc>
            <w:tc>
              <w:tcPr>
                <w:tcW w:w="245" w:type="pct"/>
                <w:noWrap/>
                <w:hideMark/>
              </w:tcPr>
              <w:p>
                <w:pPr>
                  <w:spacing w:line="22" w:lineRule="atLeast"/>
                  <w:ind w:firstLine="41"/>
                  <w:jc w:val="both"/>
                  <w:rPr>
                    <w:sz w:val="16"/>
                    <w:szCs w:val="16"/>
                    <w:lang w:eastAsia="lt-LT"/>
                  </w:rPr>
                </w:pPr>
              </w:p>
            </w:tc>
            <w:tc>
              <w:tcPr>
                <w:tcW w:w="322" w:type="pct"/>
              </w:tcPr>
              <w:p>
                <w:pPr>
                  <w:spacing w:line="22" w:lineRule="atLeast"/>
                  <w:jc w:val="both"/>
                  <w:rPr>
                    <w:sz w:val="16"/>
                    <w:szCs w:val="16"/>
                    <w:lang w:eastAsia="lt-LT"/>
                  </w:rPr>
                </w:pPr>
              </w:p>
            </w:tc>
            <w:tc>
              <w:tcPr>
                <w:tcW w:w="421" w:type="pct"/>
              </w:tcPr>
              <w:p>
                <w:pPr>
                  <w:spacing w:line="22" w:lineRule="atLeast"/>
                  <w:jc w:val="both"/>
                  <w:rPr>
                    <w:sz w:val="16"/>
                    <w:szCs w:val="16"/>
                    <w:lang w:eastAsia="lt-LT"/>
                  </w:rPr>
                </w:pPr>
              </w:p>
            </w:tc>
            <w:tc>
              <w:tcPr>
                <w:tcW w:w="245" w:type="pct"/>
              </w:tcPr>
              <w:p>
                <w:pPr>
                  <w:spacing w:line="22" w:lineRule="atLeast"/>
                  <w:jc w:val="both"/>
                  <w:rPr>
                    <w:sz w:val="16"/>
                    <w:szCs w:val="16"/>
                    <w:lang w:eastAsia="lt-LT"/>
                  </w:rPr>
                </w:pPr>
              </w:p>
            </w:tc>
          </w:tr>
        </w:tbl>
        <w:p>
          <w:pPr>
            <w:spacing w:line="22" w:lineRule="atLeast"/>
            <w:jc w:val="both"/>
            <w:rPr>
              <w:szCs w:val="24"/>
              <w:lang w:eastAsia="lt-LT"/>
            </w:rPr>
          </w:pPr>
        </w:p>
        <w:sdt>
          <w:sdtPr>
            <w:alias w:val="pabaiga"/>
            <w:tag w:val="part_5f3d08123d504710aee7209fb855b276"/>
            <w:lock w:val="sdtLocked"/>
            <w:richText/>
          </w:sdtPr>
          <w:sdtContent>
            <w:p>
              <w:pPr>
                <w:suppressAutoHyphens/>
                <w:spacing w:line="22" w:lineRule="atLeast"/>
                <w:ind w:left="1800" w:hanging="1091"/>
                <w:jc w:val="center"/>
              </w:pPr>
              <w:r>
                <w:rPr>
                  <w:szCs w:val="24"/>
                </w:rPr>
                <w:t>_________________________________________</w:t>
              </w:r>
            </w:p>
          </w:sdtContent>
        </w:sdt>
      </w:sdtContent>
    </w:sdt>
    <w:sdt>
      <w:sdtPr>
        <w:alias w:val="4 pr."/>
        <w:tag w:val="part_147aa4c94bb7454ebb56f6870bb373ce"/>
        <w:lock w:val="sdtLocked"/>
        <w:richText/>
      </w:sdtPr>
      <w:sdtContent>
        <w:p>
          <w:pPr>
            <w:ind w:firstLine="10773"/>
            <w:sectPr>
              <w:pgSz w:w="11906" w:h="16838" w:code="9"/>
              <w:pgMar w:top="1134" w:right="1701" w:bottom="1134" w:left="567" w:header="340" w:footer="567" w:gutter="0"/>
              <w:pgNumType w:start="1"/>
              <w:cols w:space="1296"/>
              <w:titlePg/>
              <w:docGrid w:linePitch="360"/>
            </w:sectPr>
          </w:pPr>
        </w:p>
        <w:p>
          <w:pPr>
            <w:ind w:firstLine="10773"/>
            <w:rPr>
              <w:color w:val="000000"/>
              <w:szCs w:val="24"/>
              <w:lang w:eastAsia="lt-LT"/>
            </w:rPr>
          </w:pPr>
          <w:r>
            <w:rPr>
              <w:color w:val="000000"/>
              <w:szCs w:val="24"/>
              <w:lang w:eastAsia="lt-LT"/>
            </w:rPr>
            <w:t>Elektros energijos kainos,</w:t>
          </w:r>
        </w:p>
        <w:p>
          <w:pPr>
            <w:ind w:firstLine="10773"/>
            <w:rPr>
              <w:color w:val="000000"/>
              <w:szCs w:val="24"/>
              <w:lang w:eastAsia="lt-LT"/>
            </w:rPr>
          </w:pPr>
          <w:r>
            <w:rPr>
              <w:color w:val="000000"/>
              <w:szCs w:val="24"/>
              <w:lang w:eastAsia="lt-LT"/>
            </w:rPr>
            <w:t>rezervinės galios ir izoliuoto</w:t>
          </w:r>
        </w:p>
        <w:p>
          <w:pPr>
            <w:ind w:firstLine="10773"/>
            <w:rPr>
              <w:color w:val="000000"/>
              <w:szCs w:val="24"/>
              <w:lang w:eastAsia="lt-LT"/>
            </w:rPr>
          </w:pPr>
          <w:r>
            <w:rPr>
              <w:color w:val="000000"/>
              <w:szCs w:val="24"/>
              <w:lang w:eastAsia="lt-LT"/>
            </w:rPr>
            <w:t>elektros energetikos sistemos</w:t>
          </w:r>
        </w:p>
        <w:p>
          <w:pPr>
            <w:ind w:firstLine="10773"/>
            <w:rPr>
              <w:color w:val="000000"/>
              <w:szCs w:val="24"/>
              <w:lang w:eastAsia="lt-LT"/>
            </w:rPr>
          </w:pPr>
          <w:r>
            <w:rPr>
              <w:color w:val="000000"/>
              <w:szCs w:val="24"/>
              <w:lang w:eastAsia="lt-LT"/>
            </w:rPr>
            <w:t>darbo užtikrinimo paslaugų kainų</w:t>
          </w:r>
        </w:p>
        <w:p>
          <w:pPr>
            <w:ind w:firstLine="10773"/>
            <w:rPr>
              <w:color w:val="000000"/>
              <w:szCs w:val="24"/>
              <w:lang w:eastAsia="lt-LT"/>
            </w:rPr>
          </w:pPr>
          <w:r>
            <w:rPr>
              <w:color w:val="000000"/>
              <w:szCs w:val="24"/>
              <w:lang w:eastAsia="lt-LT"/>
            </w:rPr>
            <w:t>nustatymo metodikos</w:t>
          </w:r>
        </w:p>
        <w:p>
          <w:pPr>
            <w:ind w:firstLine="10773"/>
            <w:rPr>
              <w:color w:val="000000"/>
              <w:szCs w:val="24"/>
              <w:lang w:eastAsia="lt-LT"/>
            </w:rPr>
          </w:pPr>
          <w:sdt>
            <w:sdtPr>
              <w:alias w:val="Numeris"/>
              <w:tag w:val="nr_147aa4c94bb7454ebb56f6870bb373ce"/>
              <w:lock w:val="sdtLocked"/>
              <w:richText/>
            </w:sdtPr>
            <w:sdtContent>
              <w:r>
                <w:rPr>
                  <w:color w:val="000000"/>
                  <w:szCs w:val="24"/>
                  <w:lang w:eastAsia="lt-LT"/>
                </w:rPr>
                <w:t>4</w:t>
              </w:r>
            </w:sdtContent>
          </w:sdt>
          <w:r>
            <w:rPr>
              <w:color w:val="000000"/>
              <w:szCs w:val="24"/>
              <w:lang w:eastAsia="lt-LT"/>
            </w:rPr>
            <w:t> priedas</w:t>
          </w:r>
        </w:p>
        <w:p>
          <w:pPr>
            <w:ind w:left="1800" w:firstLine="62"/>
            <w:jc w:val="right"/>
            <w:rPr>
              <w:color w:val="000000"/>
              <w:szCs w:val="24"/>
              <w:lang w:eastAsia="lt-LT"/>
            </w:rPr>
          </w:pPr>
        </w:p>
        <w:p>
          <w:pPr>
            <w:ind w:firstLine="43"/>
            <w:jc w:val="center"/>
            <w:rPr>
              <w:color w:val="000000"/>
              <w:sz w:val="27"/>
              <w:szCs w:val="27"/>
              <w:lang w:eastAsia="lt-LT"/>
            </w:rPr>
          </w:pPr>
          <w:r>
            <w:rPr>
              <w:color w:val="000000"/>
              <w:sz w:val="27"/>
              <w:szCs w:val="27"/>
              <w:lang w:eastAsia="lt-LT"/>
            </w:rPr>
            <w:t>_________________________________________</w:t>
          </w:r>
        </w:p>
        <w:p>
          <w:pPr>
            <w:jc w:val="center"/>
            <w:rPr>
              <w:color w:val="000000"/>
              <w:szCs w:val="24"/>
              <w:lang w:eastAsia="lt-LT"/>
            </w:rPr>
          </w:pPr>
          <w:r>
            <w:rPr>
              <w:color w:val="000000"/>
              <w:szCs w:val="24"/>
              <w:lang w:eastAsia="lt-LT"/>
            </w:rPr>
            <w:t>(Įmonės pavadinimas)</w:t>
          </w:r>
        </w:p>
        <w:p>
          <w:pPr>
            <w:ind w:left="1800" w:firstLine="782"/>
            <w:jc w:val="both"/>
            <w:rPr>
              <w:color w:val="000000"/>
              <w:szCs w:val="24"/>
              <w:lang w:eastAsia="lt-LT"/>
            </w:rPr>
          </w:pPr>
        </w:p>
        <w:p>
          <w:pPr>
            <w:ind w:firstLine="43"/>
            <w:jc w:val="center"/>
            <w:rPr>
              <w:color w:val="000000"/>
              <w:szCs w:val="24"/>
              <w:lang w:eastAsia="lt-LT"/>
            </w:rPr>
          </w:pPr>
          <w:r>
            <w:rPr>
              <w:color w:val="000000"/>
              <w:szCs w:val="24"/>
              <w:lang w:eastAsia="lt-LT"/>
            </w:rPr>
            <w:t>NAUDOJAMO TURTO VERTĖ, GRUODŽIO 31 D. ATASKAITA</w:t>
          </w:r>
        </w:p>
        <w:p>
          <w:pPr>
            <w:jc w:val="center"/>
            <w:rPr>
              <w:color w:val="000000"/>
              <w:szCs w:val="24"/>
              <w:lang w:eastAsia="lt-LT"/>
            </w:rPr>
          </w:pPr>
          <w:r>
            <w:rPr>
              <w:color w:val="000000"/>
              <w:szCs w:val="24"/>
              <w:lang w:eastAsia="lt-LT"/>
            </w:rPr>
            <w:t>(sudarymo data)</w:t>
          </w:r>
        </w:p>
        <w:p>
          <w:pPr>
            <w:ind w:firstLine="67"/>
            <w:jc w:val="both"/>
            <w:rPr>
              <w:color w:val="000000"/>
              <w:sz w:val="27"/>
              <w:szCs w:val="27"/>
              <w:lang w:eastAsia="lt-LT"/>
            </w:rPr>
          </w:pPr>
        </w:p>
        <w:tbl>
          <w:tblPr>
            <w:tblW w:w="5000" w:type="pct"/>
            <w:tblInd w:w="108" w:type="dxa"/>
            <w:tblCellMar>
              <w:left w:w="0" w:type="dxa"/>
              <w:right w:w="0" w:type="dxa"/>
            </w:tblCellMar>
            <w:tblLook w:val="04A0" w:firstRow="1" w:lastRow="0" w:firstColumn="1" w:lastColumn="0" w:noHBand="0" w:noVBand="1"/>
          </w:tblPr>
          <w:tblGrid>
            <w:gridCol w:w="755"/>
            <w:gridCol w:w="3319"/>
            <w:gridCol w:w="1961"/>
            <w:gridCol w:w="1358"/>
            <w:gridCol w:w="1056"/>
            <w:gridCol w:w="1059"/>
            <w:gridCol w:w="1207"/>
            <w:gridCol w:w="1358"/>
            <w:gridCol w:w="1056"/>
            <w:gridCol w:w="1659"/>
          </w:tblGrid>
          <w:tr>
            <w:trPr>
              <w:trHeight w:val="274"/>
            </w:trPr>
            <w:tc>
              <w:tcPr>
                <w:tcW w:w="255"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color w:val="000000"/>
                    <w:sz w:val="18"/>
                    <w:szCs w:val="18"/>
                    <w:lang w:eastAsia="lt-LT"/>
                  </w:rPr>
                  <w:t>Eil. Nr.</w:t>
                </w:r>
              </w:p>
            </w:tc>
            <w:tc>
              <w:tcPr>
                <w:tcW w:w="1122"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color w:val="000000"/>
                    <w:sz w:val="18"/>
                    <w:szCs w:val="18"/>
                    <w:lang w:eastAsia="lt-LT"/>
                  </w:rPr>
                  <w:t>Pavadinimas</w:t>
                </w:r>
              </w:p>
            </w:tc>
            <w:tc>
              <w:tcPr>
                <w:tcW w:w="1837"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color w:val="000000"/>
                    <w:sz w:val="18"/>
                    <w:szCs w:val="18"/>
                    <w:lang w:eastAsia="lt-LT"/>
                  </w:rPr>
                  <w:t>20..-12-31 (laukiama) tūkst. Lt (</w:t>
                </w:r>
                <w:r>
                  <w:rPr>
                    <w:sz w:val="18"/>
                    <w:szCs w:val="18"/>
                    <w:lang w:eastAsia="lt-LT"/>
                  </w:rPr>
                  <w:t>tūkst. EUR)</w:t>
                </w:r>
              </w:p>
            </w:tc>
            <w:tc>
              <w:tcPr>
                <w:tcW w:w="1785"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 w:val="18"/>
                    <w:szCs w:val="18"/>
                    <w:lang w:eastAsia="lt-LT"/>
                  </w:rPr>
                  <w:t>20..-12-31 (faktas) tūkst. Lt (</w:t>
                </w:r>
                <w:r>
                  <w:rPr>
                    <w:sz w:val="18"/>
                    <w:szCs w:val="18"/>
                    <w:lang w:eastAsia="lt-LT"/>
                  </w:rPr>
                  <w:t>tūkst. EUR)</w:t>
                </w:r>
              </w:p>
            </w:tc>
          </w:tr>
          <w:tr>
            <w:trPr>
              <w:trHeight w:val="328"/>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48"/>
                  <w:jc w:val="center"/>
                  <w:rPr>
                    <w:szCs w:val="24"/>
                    <w:lang w:eastAsia="lt-LT"/>
                  </w:rPr>
                </w:pP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663" w:type="pct"/>
                <w:tcBorders>
                  <w:top w:val="nil"/>
                  <w:left w:val="nil"/>
                  <w:bottom w:val="single" w:sz="8" w:space="0" w:color="auto"/>
                  <w:right w:val="single" w:sz="8" w:space="0" w:color="auto"/>
                </w:tcBorders>
                <w:noWrap/>
                <w:tcMar>
                  <w:top w:w="0" w:type="dxa"/>
                  <w:left w:w="108" w:type="dxa"/>
                  <w:bottom w:w="0" w:type="dxa"/>
                  <w:right w:w="108" w:type="dxa"/>
                </w:tcMar>
                <w:hideMark/>
              </w:tcPr>
              <w:p>
                <w:pPr>
                  <w:jc w:val="both"/>
                  <w:rPr>
                    <w:szCs w:val="24"/>
                    <w:lang w:eastAsia="lt-LT"/>
                  </w:rPr>
                </w:pPr>
                <w:r>
                  <w:rPr>
                    <w:sz w:val="18"/>
                    <w:szCs w:val="18"/>
                    <w:lang w:eastAsia="lt-LT"/>
                  </w:rPr>
                  <w:t>_ blokas</w:t>
                </w: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18"/>
                    <w:szCs w:val="18"/>
                    <w:lang w:eastAsia="lt-LT"/>
                  </w:rPr>
                  <w:t>_ renginiai</w:t>
                </w: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18"/>
                    <w:szCs w:val="18"/>
                    <w:lang w:eastAsia="lt-LT"/>
                  </w:rPr>
                  <w:t>Kita (įvesti)</w:t>
                </w: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18"/>
                    <w:szCs w:val="18"/>
                    <w:lang w:eastAsia="lt-LT"/>
                  </w:rPr>
                  <w:t>Iš viso</w:t>
                </w:r>
              </w:p>
            </w:tc>
            <w:tc>
              <w:tcPr>
                <w:tcW w:w="408" w:type="pct"/>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18"/>
                    <w:szCs w:val="18"/>
                    <w:lang w:eastAsia="lt-LT"/>
                  </w:rPr>
                  <w:t>_ blokas</w:t>
                </w: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18"/>
                    <w:szCs w:val="18"/>
                    <w:lang w:eastAsia="lt-LT"/>
                  </w:rPr>
                  <w:t>_ renginiai</w:t>
                </w: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18"/>
                    <w:szCs w:val="18"/>
                    <w:lang w:eastAsia="lt-LT"/>
                  </w:rPr>
                  <w:t>Kita (įvesti)</w:t>
                </w:r>
              </w:p>
            </w:tc>
            <w:tc>
              <w:tcPr>
                <w:tcW w:w="561" w:type="pct"/>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18"/>
                    <w:szCs w:val="18"/>
                    <w:lang w:eastAsia="lt-LT"/>
                  </w:rPr>
                  <w:t>Iš viso</w:t>
                </w: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color w:val="000000"/>
                    <w:sz w:val="18"/>
                    <w:szCs w:val="18"/>
                    <w:lang w:eastAsia="lt-LT"/>
                  </w:rPr>
                  <w:t>1.</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rPr>
                    <w:sz w:val="18"/>
                    <w:szCs w:val="18"/>
                    <w:lang w:eastAsia="lt-LT"/>
                  </w:rPr>
                </w:pPr>
                <w:r>
                  <w:rPr>
                    <w:color w:val="000000"/>
                    <w:sz w:val="18"/>
                    <w:szCs w:val="18"/>
                    <w:lang w:eastAsia="lt-LT"/>
                  </w:rPr>
                  <w:t>Ekonomiškai pagrįsta ilgalaikio turto vertė (RAB)                  (2+3-4-5-6-7)**, iš jos:</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hideMark/>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color w:val="000000"/>
                    <w:sz w:val="18"/>
                    <w:szCs w:val="18"/>
                    <w:lang w:eastAsia="lt-LT"/>
                  </w:rPr>
                  <w:t>1.1.</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 w:val="18"/>
                    <w:szCs w:val="18"/>
                    <w:lang w:eastAsia="lt-LT"/>
                  </w:rPr>
                </w:pPr>
                <w:r>
                  <w:rPr>
                    <w:color w:val="000000"/>
                    <w:sz w:val="18"/>
                    <w:szCs w:val="18"/>
                    <w:lang w:eastAsia="lt-LT"/>
                  </w:rPr>
                  <w:t>turto, būtino rezervui išlaikyti, vertė</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hideMark/>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center"/>
                  <w:rPr>
                    <w:color w:val="000000"/>
                    <w:sz w:val="18"/>
                    <w:szCs w:val="18"/>
                    <w:lang w:val="en-US" w:eastAsia="lt-LT"/>
                  </w:rPr>
                </w:pPr>
                <w:r>
                  <w:rPr>
                    <w:color w:val="000000"/>
                    <w:sz w:val="18"/>
                    <w:szCs w:val="18"/>
                    <w:lang w:val="en-US" w:eastAsia="lt-LT"/>
                  </w:rPr>
                  <w:t>1.2.</w:t>
                </w:r>
              </w:p>
            </w:tc>
            <w:tc>
              <w:tcPr>
                <w:tcW w:w="1122" w:type="pct"/>
                <w:tcBorders>
                  <w:top w:val="nil"/>
                  <w:left w:val="nil"/>
                  <w:bottom w:val="single" w:sz="8" w:space="0" w:color="auto"/>
                  <w:right w:val="single" w:sz="8" w:space="0" w:color="auto"/>
                </w:tcBorders>
                <w:tcMar>
                  <w:top w:w="0" w:type="dxa"/>
                  <w:left w:w="108" w:type="dxa"/>
                  <w:bottom w:w="0" w:type="dxa"/>
                  <w:right w:w="108" w:type="dxa"/>
                </w:tcMar>
              </w:tcPr>
              <w:p>
                <w:pPr>
                  <w:jc w:val="both"/>
                  <w:rPr>
                    <w:b/>
                    <w:bCs/>
                    <w:color w:val="000000"/>
                    <w:sz w:val="18"/>
                    <w:szCs w:val="18"/>
                    <w:lang w:eastAsia="lt-LT"/>
                  </w:rPr>
                </w:pPr>
                <w:r>
                  <w:rPr>
                    <w:color w:val="000000"/>
                    <w:sz w:val="18"/>
                    <w:szCs w:val="18"/>
                  </w:rPr>
                  <w:t>turto vertės dalis,</w:t>
                </w:r>
                <w:r>
                  <w:rPr>
                    <w:b/>
                    <w:bCs/>
                    <w:color w:val="000000"/>
                    <w:sz w:val="18"/>
                    <w:szCs w:val="18"/>
                  </w:rPr>
                  <w:t xml:space="preserve"> </w:t>
                </w:r>
                <w:r>
                  <w:rPr>
                    <w:color w:val="000000"/>
                    <w:sz w:val="18"/>
                    <w:szCs w:val="18"/>
                  </w:rPr>
                  <w:t>nurodyta Metodikos 19.4 papunktyje, sukurta bandomojoje aplinkoje diegiant pasiteisinusias energetikos inovacijas, kuri buvo finansuojama iš reguliuojamą veiklą vykdančio Asmens nuosavų ir (ar) skolintų lėšų</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center"/>
                  <w:rPr>
                    <w:color w:val="000000"/>
                    <w:sz w:val="18"/>
                    <w:szCs w:val="18"/>
                    <w:lang w:val="en-US" w:eastAsia="lt-LT"/>
                  </w:rPr>
                </w:pPr>
                <w:r>
                  <w:rPr>
                    <w:color w:val="000000"/>
                    <w:sz w:val="18"/>
                    <w:szCs w:val="18"/>
                    <w:lang w:val="en-US" w:eastAsia="lt-LT"/>
                  </w:rPr>
                  <w:t>1.3.</w:t>
                </w:r>
              </w:p>
            </w:tc>
            <w:tc>
              <w:tcPr>
                <w:tcW w:w="1122" w:type="pct"/>
                <w:tcBorders>
                  <w:top w:val="nil"/>
                  <w:left w:val="nil"/>
                  <w:bottom w:val="single" w:sz="8" w:space="0" w:color="auto"/>
                  <w:right w:val="single" w:sz="8" w:space="0" w:color="auto"/>
                </w:tcBorders>
                <w:tcMar>
                  <w:top w:w="0" w:type="dxa"/>
                  <w:left w:w="108" w:type="dxa"/>
                  <w:bottom w:w="0" w:type="dxa"/>
                  <w:right w:w="108" w:type="dxa"/>
                </w:tcMar>
              </w:tcPr>
              <w:p>
                <w:pPr>
                  <w:jc w:val="both"/>
                  <w:rPr>
                    <w:color w:val="000000"/>
                    <w:sz w:val="18"/>
                    <w:szCs w:val="18"/>
                    <w:lang w:eastAsia="lt-LT"/>
                  </w:rPr>
                </w:pPr>
                <w:r>
                  <w:rPr>
                    <w:color w:val="000000"/>
                    <w:sz w:val="18"/>
                    <w:szCs w:val="18"/>
                    <w:lang w:eastAsia="lt-LT"/>
                  </w:rPr>
                  <w:t>Metodikos 19.5 papunktyje nurodyto turto vertė</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color w:val="000000"/>
                    <w:sz w:val="18"/>
                    <w:szCs w:val="18"/>
                    <w:lang w:eastAsia="lt-LT"/>
                  </w:rPr>
                  <w:t>2.</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18"/>
                    <w:szCs w:val="18"/>
                    <w:lang w:eastAsia="lt-LT"/>
                  </w:rPr>
                </w:pPr>
                <w:r>
                  <w:rPr>
                    <w:color w:val="000000"/>
                    <w:sz w:val="18"/>
                    <w:szCs w:val="18"/>
                    <w:lang w:eastAsia="lt-LT"/>
                  </w:rPr>
                  <w:t>Likutinė reguliuojamos veiklos ilgalaikio turto vertė (ataskaitinio laikotarpio pradžioje), iš jos:</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hideMark/>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center"/>
                  <w:rPr>
                    <w:color w:val="000000"/>
                    <w:sz w:val="18"/>
                    <w:szCs w:val="18"/>
                    <w:lang w:val="en-US" w:eastAsia="lt-LT"/>
                  </w:rPr>
                </w:pPr>
                <w:r>
                  <w:rPr>
                    <w:color w:val="000000"/>
                    <w:sz w:val="18"/>
                    <w:szCs w:val="18"/>
                    <w:lang w:val="en-US" w:eastAsia="lt-LT"/>
                  </w:rPr>
                  <w:t>2.1.</w:t>
                </w:r>
              </w:p>
            </w:tc>
            <w:tc>
              <w:tcPr>
                <w:tcW w:w="1122" w:type="pct"/>
                <w:tcBorders>
                  <w:top w:val="nil"/>
                  <w:left w:val="nil"/>
                  <w:bottom w:val="single" w:sz="8" w:space="0" w:color="auto"/>
                  <w:right w:val="single" w:sz="8" w:space="0" w:color="auto"/>
                </w:tcBorders>
                <w:tcMar>
                  <w:top w:w="0" w:type="dxa"/>
                  <w:left w:w="108" w:type="dxa"/>
                  <w:bottom w:w="0" w:type="dxa"/>
                  <w:right w:w="108" w:type="dxa"/>
                </w:tcMar>
              </w:tcPr>
              <w:p>
                <w:pPr>
                  <w:jc w:val="both"/>
                  <w:rPr>
                    <w:color w:val="000000"/>
                    <w:sz w:val="18"/>
                    <w:szCs w:val="18"/>
                    <w:lang w:eastAsia="lt-LT"/>
                  </w:rPr>
                </w:pPr>
                <w:r>
                  <w:rPr>
                    <w:color w:val="000000"/>
                    <w:sz w:val="18"/>
                    <w:szCs w:val="18"/>
                  </w:rPr>
                  <w:t>turto vertės dalis, nurodyta Metodikos 19.4 papunktyje, sukurta bandomojoje aplinkoje diegiant pasiteisinusias energetikos inovacijas</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center"/>
                  <w:rPr>
                    <w:color w:val="000000"/>
                    <w:sz w:val="18"/>
                    <w:szCs w:val="18"/>
                    <w:lang w:eastAsia="lt-LT"/>
                  </w:rPr>
                </w:pPr>
                <w:r>
                  <w:rPr>
                    <w:color w:val="000000"/>
                    <w:sz w:val="18"/>
                    <w:szCs w:val="18"/>
                    <w:lang w:eastAsia="lt-LT"/>
                  </w:rPr>
                  <w:t>2.2.</w:t>
                </w:r>
              </w:p>
            </w:tc>
            <w:tc>
              <w:tcPr>
                <w:tcW w:w="1122"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r>
                  <w:rPr>
                    <w:color w:val="000000"/>
                    <w:sz w:val="18"/>
                    <w:szCs w:val="18"/>
                    <w:lang w:eastAsia="lt-LT"/>
                  </w:rPr>
                  <w:t>Metodikos 19.5 papunktyje nurodyto turto vertė</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color w:val="000000"/>
                    <w:sz w:val="18"/>
                    <w:szCs w:val="18"/>
                    <w:lang w:eastAsia="lt-LT"/>
                  </w:rPr>
                  <w:t>3.</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rPr>
                    <w:sz w:val="18"/>
                    <w:szCs w:val="18"/>
                    <w:lang w:eastAsia="lt-LT"/>
                  </w:rPr>
                </w:pPr>
                <w:r>
                  <w:rPr>
                    <w:color w:val="000000"/>
                    <w:sz w:val="18"/>
                    <w:szCs w:val="18"/>
                    <w:lang w:eastAsia="lt-LT"/>
                  </w:rPr>
                  <w:t>Elektros energetikos įmonės su Taryba suderintos bei įgyvendintos investicijos per ataskaitinius metus, iš jų:</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hideMark/>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center"/>
                  <w:rPr>
                    <w:color w:val="000000"/>
                    <w:sz w:val="18"/>
                    <w:szCs w:val="18"/>
                    <w:lang w:val="en-US" w:eastAsia="lt-LT"/>
                  </w:rPr>
                </w:pPr>
                <w:r>
                  <w:rPr>
                    <w:color w:val="000000"/>
                    <w:sz w:val="18"/>
                    <w:szCs w:val="18"/>
                    <w:lang w:val="en-US" w:eastAsia="lt-LT"/>
                  </w:rPr>
                  <w:t>3.1.</w:t>
                </w:r>
              </w:p>
            </w:tc>
            <w:tc>
              <w:tcPr>
                <w:tcW w:w="1122"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r>
                  <w:rPr>
                    <w:color w:val="000000"/>
                    <w:sz w:val="18"/>
                    <w:szCs w:val="18"/>
                  </w:rPr>
                  <w:t>elektros energetikos įmonės su Taryba suderintos bei įgyvendintos energetikos inovacijos per ataskaitinius metus</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center"/>
                  <w:rPr>
                    <w:color w:val="000000"/>
                    <w:sz w:val="18"/>
                    <w:szCs w:val="18"/>
                    <w:lang w:val="en-US" w:eastAsia="lt-LT"/>
                  </w:rPr>
                </w:pPr>
                <w:r>
                  <w:rPr>
                    <w:color w:val="000000"/>
                    <w:sz w:val="18"/>
                    <w:szCs w:val="18"/>
                    <w:lang w:val="en-US" w:eastAsia="lt-LT"/>
                  </w:rPr>
                  <w:t>3.2.</w:t>
                </w:r>
              </w:p>
            </w:tc>
            <w:tc>
              <w:tcPr>
                <w:tcW w:w="1122"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r>
                  <w:rPr>
                    <w:color w:val="000000"/>
                    <w:sz w:val="18"/>
                    <w:szCs w:val="18"/>
                    <w:lang w:eastAsia="lt-LT"/>
                  </w:rPr>
                  <w:t>Metodikos 19.5 papunktyje nurodytam turtui sukurti skirtos investicijos</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color w:val="000000"/>
                    <w:sz w:val="18"/>
                    <w:szCs w:val="18"/>
                    <w:lang w:eastAsia="lt-LT"/>
                  </w:rPr>
                  <w:t>4.</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rPr>
                    <w:sz w:val="18"/>
                    <w:szCs w:val="18"/>
                    <w:lang w:eastAsia="lt-LT"/>
                  </w:rPr>
                </w:pPr>
                <w:r>
                  <w:rPr>
                    <w:color w:val="000000"/>
                    <w:sz w:val="18"/>
                    <w:szCs w:val="18"/>
                    <w:lang w:eastAsia="lt-LT"/>
                  </w:rPr>
                  <w:t>Ilgalaikio turto nusidėvėjimo sąnaudos, priskaitytos per ataskaitinius metus, iš jų:</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hideMark/>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center"/>
                  <w:rPr>
                    <w:color w:val="000000"/>
                    <w:sz w:val="18"/>
                    <w:szCs w:val="18"/>
                    <w:lang w:val="en-US" w:eastAsia="lt-LT"/>
                  </w:rPr>
                </w:pPr>
                <w:r>
                  <w:rPr>
                    <w:color w:val="000000"/>
                    <w:sz w:val="18"/>
                    <w:szCs w:val="18"/>
                    <w:lang w:val="en-US" w:eastAsia="lt-LT"/>
                  </w:rPr>
                  <w:t>4.1.</w:t>
                </w:r>
              </w:p>
            </w:tc>
            <w:tc>
              <w:tcPr>
                <w:tcW w:w="1122" w:type="pct"/>
                <w:tcBorders>
                  <w:top w:val="nil"/>
                  <w:left w:val="nil"/>
                  <w:bottom w:val="single" w:sz="8" w:space="0" w:color="auto"/>
                  <w:right w:val="single" w:sz="8" w:space="0" w:color="auto"/>
                </w:tcBorders>
                <w:tcMar>
                  <w:top w:w="0" w:type="dxa"/>
                  <w:left w:w="108" w:type="dxa"/>
                  <w:bottom w:w="0" w:type="dxa"/>
                  <w:right w:w="108" w:type="dxa"/>
                </w:tcMar>
              </w:tcPr>
              <w:p>
                <w:pPr>
                  <w:rPr>
                    <w:sz w:val="18"/>
                    <w:szCs w:val="18"/>
                    <w:lang w:eastAsia="lt-LT"/>
                  </w:rPr>
                </w:pPr>
                <w:r>
                  <w:rPr>
                    <w:color w:val="000000"/>
                    <w:sz w:val="18"/>
                    <w:szCs w:val="18"/>
                  </w:rPr>
                  <w:t>nusidėvėjimo sąnaudas nuo ilgalaikio turto vertės dalies, nurodytos Metodikos 19.4 papunktyje, sukurtos bandomojoje aplinkoje diegiant pasiteisinusias energetikos inovacijas, kuri buvo finansuojama iš reguliuojamą veiklą vykdančio Asmens nuosavų ir (ar) skolintų lėšų</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center"/>
                  <w:rPr>
                    <w:color w:val="000000"/>
                    <w:sz w:val="18"/>
                    <w:szCs w:val="18"/>
                    <w:lang w:val="en-US" w:eastAsia="lt-LT"/>
                  </w:rPr>
                </w:pPr>
                <w:r>
                  <w:rPr>
                    <w:color w:val="000000"/>
                    <w:sz w:val="18"/>
                    <w:szCs w:val="18"/>
                    <w:lang w:val="en-US" w:eastAsia="lt-LT"/>
                  </w:rPr>
                  <w:t>4.2.</w:t>
                </w:r>
              </w:p>
            </w:tc>
            <w:tc>
              <w:tcPr>
                <w:tcW w:w="1122"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r>
                  <w:rPr>
                    <w:sz w:val="18"/>
                    <w:szCs w:val="18"/>
                    <w:lang w:eastAsia="lt-LT"/>
                  </w:rPr>
                  <w:t xml:space="preserve">nusidėvėjimo sąnaudos nuo </w:t>
                </w:r>
                <w:r>
                  <w:rPr>
                    <w:color w:val="000000"/>
                    <w:sz w:val="18"/>
                    <w:szCs w:val="18"/>
                    <w:lang w:eastAsia="lt-LT"/>
                  </w:rPr>
                  <w:t>Metodikos 19.5 papunktyje nurodyto turto vertės</w:t>
                </w:r>
                <w:r>
                  <w:rPr>
                    <w:sz w:val="18"/>
                    <w:szCs w:val="18"/>
                    <w:lang w:eastAsia="lt-LT"/>
                  </w:rPr>
                  <w:t xml:space="preserve"> </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tcPr>
              <w:p>
                <w:pPr>
                  <w:rPr>
                    <w:color w:val="000000"/>
                    <w:sz w:val="18"/>
                    <w:szCs w:val="18"/>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color w:val="000000"/>
                    <w:sz w:val="18"/>
                    <w:szCs w:val="18"/>
                    <w:lang w:eastAsia="lt-LT"/>
                  </w:rPr>
                  <w:t>5.</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rPr>
                    <w:sz w:val="18"/>
                    <w:szCs w:val="18"/>
                    <w:lang w:eastAsia="lt-LT"/>
                  </w:rPr>
                </w:pPr>
                <w:r>
                  <w:rPr>
                    <w:color w:val="000000"/>
                    <w:sz w:val="18"/>
                    <w:szCs w:val="18"/>
                    <w:lang w:eastAsia="lt-LT"/>
                  </w:rPr>
                  <w:t>Parduoto, perleisto ir nurašyto turto likutinė vertė ataskaitinių metų pabaigoje</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hideMark/>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color w:val="000000"/>
                    <w:sz w:val="18"/>
                    <w:szCs w:val="18"/>
                    <w:lang w:eastAsia="lt-LT"/>
                  </w:rPr>
                  <w:t>6.</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rPr>
                    <w:sz w:val="18"/>
                    <w:szCs w:val="18"/>
                    <w:lang w:eastAsia="lt-LT"/>
                  </w:rPr>
                </w:pPr>
                <w:r>
                  <w:rPr>
                    <w:color w:val="000000"/>
                    <w:sz w:val="18"/>
                    <w:szCs w:val="18"/>
                    <w:lang w:eastAsia="lt-LT"/>
                  </w:rPr>
                  <w:t>Dotacijų ir subsidijų (įskaitant vartotojų prijungimo įmokas, ES fondų lėšas) likutinė vertė</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hideMark/>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r>
          <w:tr>
            <w:trPr>
              <w:trHeight w:val="290"/>
            </w:trPr>
            <w:tc>
              <w:tcPr>
                <w:tcW w:w="2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color w:val="000000"/>
                    <w:sz w:val="18"/>
                    <w:szCs w:val="18"/>
                    <w:lang w:eastAsia="lt-LT"/>
                  </w:rPr>
                  <w:t>7.</w:t>
                </w:r>
              </w:p>
            </w:tc>
            <w:tc>
              <w:tcPr>
                <w:tcW w:w="1122" w:type="pct"/>
                <w:tcBorders>
                  <w:top w:val="nil"/>
                  <w:left w:val="nil"/>
                  <w:bottom w:val="single" w:sz="8" w:space="0" w:color="auto"/>
                  <w:right w:val="single" w:sz="8" w:space="0" w:color="auto"/>
                </w:tcBorders>
                <w:tcMar>
                  <w:top w:w="0" w:type="dxa"/>
                  <w:left w:w="108" w:type="dxa"/>
                  <w:bottom w:w="0" w:type="dxa"/>
                  <w:right w:w="108" w:type="dxa"/>
                </w:tcMar>
                <w:hideMark/>
              </w:tcPr>
              <w:p>
                <w:pPr>
                  <w:rPr>
                    <w:sz w:val="18"/>
                    <w:szCs w:val="18"/>
                    <w:lang w:eastAsia="lt-LT"/>
                  </w:rPr>
                </w:pPr>
                <w:r>
                  <w:rPr>
                    <w:color w:val="000000"/>
                    <w:sz w:val="18"/>
                    <w:szCs w:val="18"/>
                    <w:lang w:eastAsia="lt-LT"/>
                  </w:rPr>
                  <w:t>Nenaudojamo, laikinai nenaudojamo (užkonservuoto) turto vertė </w:t>
                </w:r>
              </w:p>
            </w:tc>
            <w:tc>
              <w:tcPr>
                <w:tcW w:w="663" w:type="pct"/>
                <w:tcBorders>
                  <w:top w:val="nil"/>
                  <w:left w:val="nil"/>
                  <w:bottom w:val="single" w:sz="8" w:space="0" w:color="auto"/>
                  <w:right w:val="single" w:sz="8" w:space="0" w:color="auto"/>
                </w:tcBorders>
                <w:noWrap/>
                <w:tcMar>
                  <w:top w:w="0" w:type="dxa"/>
                  <w:left w:w="108" w:type="dxa"/>
                  <w:bottom w:w="0" w:type="dxa"/>
                  <w:right w:w="108" w:type="dxa"/>
                </w:tcMar>
                <w:hideMark/>
              </w:tcPr>
              <w:p>
                <w:pPr>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08"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459"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357"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c>
              <w:tcPr>
                <w:tcW w:w="561" w:type="pct"/>
                <w:tcBorders>
                  <w:top w:val="nil"/>
                  <w:left w:val="nil"/>
                  <w:bottom w:val="single" w:sz="8" w:space="0" w:color="auto"/>
                  <w:right w:val="single" w:sz="8" w:space="0" w:color="auto"/>
                </w:tcBorders>
                <w:tcMar>
                  <w:top w:w="0" w:type="dxa"/>
                  <w:left w:w="108" w:type="dxa"/>
                  <w:bottom w:w="0" w:type="dxa"/>
                  <w:right w:w="108" w:type="dxa"/>
                </w:tcMar>
                <w:hideMark/>
              </w:tcPr>
              <w:p>
                <w:pPr>
                  <w:ind w:firstLine="48"/>
                  <w:rPr>
                    <w:szCs w:val="24"/>
                    <w:lang w:eastAsia="lt-LT"/>
                  </w:rPr>
                </w:pPr>
              </w:p>
            </w:tc>
          </w:tr>
        </w:tbl>
        <w:p>
          <w:pPr>
            <w:jc w:val="both"/>
            <w:rPr>
              <w:color w:val="000000"/>
              <w:sz w:val="18"/>
              <w:szCs w:val="18"/>
              <w:lang w:eastAsia="lt-LT"/>
            </w:rPr>
          </w:pPr>
        </w:p>
        <w:p>
          <w:pPr>
            <w:jc w:val="both"/>
            <w:rPr>
              <w:color w:val="000000"/>
              <w:sz w:val="27"/>
              <w:szCs w:val="27"/>
              <w:lang w:eastAsia="lt-LT"/>
            </w:rPr>
          </w:pPr>
          <w:r>
            <w:rPr>
              <w:color w:val="000000"/>
              <w:sz w:val="18"/>
              <w:szCs w:val="18"/>
              <w:lang w:eastAsia="lt-LT"/>
            </w:rPr>
            <w:t>*naudojamo turto vertė turi būti lygi ilgalaikio materialiojo</w:t>
          </w:r>
          <w:r>
            <w:rPr>
              <w:sz w:val="18"/>
              <w:szCs w:val="18"/>
              <w:lang w:eastAsia="lt-LT"/>
            </w:rPr>
            <w:t xml:space="preserve"> ir nematerialiojo</w:t>
          </w:r>
          <w:r>
            <w:rPr>
              <w:color w:val="000000"/>
              <w:sz w:val="18"/>
              <w:szCs w:val="18"/>
              <w:lang w:eastAsia="lt-LT"/>
            </w:rPr>
            <w:t xml:space="preserve"> turto neperkainotai grynajai buhalterinei vertei 2001 m. gruodžio 31 d., įvertinant investicijas, turto nusidėvėjimą, nurašymus, pardavimus</w:t>
          </w:r>
          <w:r>
            <w:rPr>
              <w:sz w:val="18"/>
              <w:szCs w:val="18"/>
            </w:rPr>
            <w:t xml:space="preserve"> ir (ar) kitus Sąnaudų aprašo reikalavimus</w:t>
          </w:r>
          <w:r>
            <w:rPr>
              <w:color w:val="000000"/>
              <w:sz w:val="18"/>
              <w:szCs w:val="18"/>
              <w:lang w:eastAsia="lt-LT"/>
            </w:rPr>
            <w:t xml:space="preserve"> laikotarpiu tarp šios datos ir ataskaitinių metų, už kuriuos teikiama informacija. Turto vertė apskaičiuojama neįtraukiant reguliuojamo turto, kuris yra nudėvėtas, su reguliuojama paslauga ir (ar) produktu nesusijusio, nenaudojamo, esančio atsargose, užkonservuoto turto, investicinio turto, taip pat už Europos Sąjungos struktūrinių fondų lėšas, gautas subsidijas ir dotacijas; tai pat nepripažįstant nepagrįstai panaudotų investicijų į reguliuojamų paslaugų ir (ar) produktų turto vertę lėšų sumos.</w:t>
          </w:r>
        </w:p>
        <w:p>
          <w:pPr>
            <w:ind w:firstLine="67"/>
            <w:jc w:val="both"/>
            <w:rPr>
              <w:color w:val="000000"/>
              <w:sz w:val="27"/>
              <w:szCs w:val="27"/>
              <w:lang w:eastAsia="lt-LT"/>
            </w:rPr>
          </w:pPr>
        </w:p>
        <w:sdt>
          <w:sdtPr>
            <w:alias w:val="pabaiga"/>
            <w:tag w:val="part_f63d45cdfe3946aabcdede707aafc604"/>
            <w:lock w:val="sdtLocked"/>
            <w:richText/>
          </w:sdtPr>
          <w:sdtContent>
            <w:p>
              <w:pPr>
                <w:ind w:left="1800" w:hanging="1091"/>
                <w:jc w:val="center"/>
                <w:rPr>
                  <w:color w:val="000000"/>
                  <w:szCs w:val="24"/>
                  <w:lang w:eastAsia="lt-LT"/>
                </w:rPr>
              </w:pPr>
              <w:r>
                <w:rPr>
                  <w:color w:val="000000"/>
                  <w:szCs w:val="24"/>
                  <w:lang w:eastAsia="lt-LT"/>
                </w:rPr>
                <w:t>_________________________________________</w:t>
              </w:r>
            </w:p>
            <w:p>
              <w:pPr>
                <w:ind w:firstLine="53"/>
                <w:jc w:val="both"/>
                <w:rPr>
                  <w:color w:val="000000"/>
                  <w:szCs w:val="24"/>
                  <w:lang w:eastAsia="lt-LT"/>
                </w:rPr>
              </w:pPr>
            </w:p>
            <w:p>
              <w:pPr>
                <w:suppressAutoHyphens/>
                <w:spacing w:line="259" w:lineRule="auto"/>
                <w:jc w:val="both"/>
                <w:textAlignment w:val="baseline"/>
              </w:pPr>
            </w:p>
            <w:p>
              <w:pPr>
                <w:suppressAutoHyphens/>
                <w:spacing w:line="259" w:lineRule="auto"/>
                <w:jc w:val="both"/>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4d230f09511eb9f09e7df20500045">
            <w:r w:rsidRPr="00532B9F">
              <w:rPr>
                <w:rFonts w:ascii="Times New Roman" w:eastAsia="MS Mincho" w:hAnsi="Times New Roman"/>
                <w:sz w:val="20"/>
                <w:i/>
                <w:iCs/>
                <w:color w:val="0000FF" w:themeColor="hyperlink"/>
                <w:u w:val="single"/>
              </w:rPr>
              <w:t>O3E-939</w:t>
            </w:r>
          </w:fldSimple>
          <w:r>
            <w:rPr>
              <w:rFonts w:ascii="Times New Roman" w:eastAsia="MS Mincho" w:hAnsi="Times New Roman"/>
              <w:sz w:val="20"/>
              <w:i/>
              <w:iCs/>
            </w:rPr>
            <w:t>,
2021-07-29,
paskelbta TAR 2021-07-29, i. k. 2021-16745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fd75c00a6311ec9f09e7df20500045">
            <w:r w:rsidRPr="00532B9F">
              <w:rPr>
                <w:rFonts w:ascii="Times New Roman" w:eastAsia="MS Mincho" w:hAnsi="Times New Roman"/>
                <w:sz w:val="20"/>
                <w:i/>
                <w:iCs/>
                <w:color w:val="0000FF" w:themeColor="hyperlink"/>
                <w:u w:val="single"/>
              </w:rPr>
              <w:t>O3E-1064</w:t>
            </w:r>
          </w:fldSimple>
          <w:r>
            <w:rPr>
              <w:rFonts w:ascii="Times New Roman" w:eastAsia="MS Mincho" w:hAnsi="Times New Roman"/>
              <w:sz w:val="20"/>
              <w:i/>
              <w:iCs/>
            </w:rPr>
            <w:t>,
2021-08-31,
paskelbta TAR 2021-08-31, i. k. 2021-18502            </w:t>
          </w:r>
        </w:p>
        <w:p/>
      </w:sdtContent>
    </w:sdt>
    <w:sdt>
      <w:sdtPr>
        <w:alias w:val="5 pr."/>
        <w:tag w:val="part_d080346c2ef7434287fb883c4df5d92f"/>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2, 5 priedai</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aa0ae0585e11e487eff7b424bd0f08">
            <w:r w:rsidRPr="00532B9F">
              <w:rPr>
                <w:rFonts w:ascii="Times New Roman" w:eastAsia="MS Mincho" w:hAnsi="Times New Roman"/>
                <w:sz w:val="20"/>
                <w:iCs/>
                <w:color w:val="0000FF" w:themeColor="hyperlink"/>
                <w:u w:val="single"/>
              </w:rPr>
              <w:t>O3-849</w:t>
            </w:r>
          </w:fldSimple>
          <w:r>
            <w:rPr>
              <w:rFonts w:ascii="Times New Roman" w:eastAsia="MS Mincho" w:hAnsi="Times New Roman"/>
              <w:sz w:val="20"/>
              <w:iCs/>
            </w:rPr>
            <w:t>,
2014-10-17,
paskelbta TAR 2014-10-21, i. k. 2014-14467                </w:t>
          </w:r>
        </w:p>
        <w:p>
          <w:pPr>
            <w:jc w:val="both"/>
            <w:rPr>
              <w:rFonts w:ascii="Times New Roman" w:hAnsi="Times New Roman"/>
            </w:rPr>
          </w:pPr>
          <w:r>
            <w:rPr>
              <w:rFonts w:ascii="Times New Roman" w:hAnsi="Times New Roman"/>
              <w:sz w:val="20"/>
            </w:rPr>
            <w:t>Dėl Valstybinės kainų ir energetikos kontrolės komisijos 2012 m. rugsėjo 14 d. nutarimo Nr. O3-229 „Dėl Elektros energijos kainos ir rezervinės galios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abcca1081f211e4bc68a1493830b8b9">
            <w:r w:rsidRPr="00532B9F">
              <w:rPr>
                <w:rFonts w:ascii="Times New Roman" w:eastAsia="MS Mincho" w:hAnsi="Times New Roman"/>
                <w:sz w:val="20"/>
                <w:iCs/>
                <w:color w:val="0000FF" w:themeColor="hyperlink"/>
                <w:u w:val="single"/>
              </w:rPr>
              <w:t>O3-938</w:t>
            </w:r>
          </w:fldSimple>
          <w:r>
            <w:rPr>
              <w:rFonts w:ascii="Times New Roman" w:eastAsia="MS Mincho" w:hAnsi="Times New Roman"/>
              <w:sz w:val="20"/>
              <w:iCs/>
            </w:rPr>
            <w:t>,
2014-12-12,
paskelbta TAR 2014-12-12, i. k. 2014-19564                </w:t>
          </w:r>
        </w:p>
        <w:p>
          <w:pPr>
            <w:jc w:val="both"/>
            <w:rPr>
              <w:rFonts w:ascii="Times New Roman" w:hAnsi="Times New Roman"/>
            </w:rPr>
          </w:pPr>
          <w:r>
            <w:rPr>
              <w:rFonts w:ascii="Times New Roman" w:hAnsi="Times New Roman"/>
              <w:sz w:val="20"/>
            </w:rPr>
            <w:t>Dėl Valstybinės kainų ir energetikos kontrolės komisijos 2012 m. rugsėjo 14 d. nutarimo Nr. O3-229 „Dėl Elektros energijos kainos ir rezervinės galios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a438d00b3e11e4adf3c8c5d7681e73">
            <w:r w:rsidRPr="00532B9F">
              <w:rPr>
                <w:rFonts w:ascii="Times New Roman" w:eastAsia="MS Mincho" w:hAnsi="Times New Roman"/>
                <w:sz w:val="20"/>
                <w:iCs/>
                <w:color w:val="0000FF" w:themeColor="hyperlink"/>
                <w:u w:val="single"/>
              </w:rPr>
              <w:t>O3-220</w:t>
            </w:r>
          </w:fldSimple>
          <w:r>
            <w:rPr>
              <w:rFonts w:ascii="Times New Roman" w:eastAsia="MS Mincho" w:hAnsi="Times New Roman"/>
              <w:sz w:val="20"/>
              <w:iCs/>
            </w:rPr>
            <w:t>,
2014-07-11,
paskelbta TAR 2014-07-14, i. k. 2014-10189                </w:t>
          </w:r>
        </w:p>
        <w:p>
          <w:pPr>
            <w:jc w:val="both"/>
            <w:rPr>
              <w:rFonts w:ascii="Times New Roman" w:hAnsi="Times New Roman"/>
            </w:rPr>
          </w:pPr>
          <w:r>
            <w:rPr>
              <w:rFonts w:ascii="Times New Roman" w:hAnsi="Times New Roman"/>
              <w:sz w:val="20"/>
            </w:rPr>
            <w:t>Dėl Valstybinės kainų ir energetikos kontrolės komisijos 2012 m. rugsėjo 14 d. nutarimo Nr. O3-229 „Dėl Elektros energijos kainos ir rezervinės galios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f9ed2061b911e589fccd6fa118e11c">
            <w:r w:rsidRPr="00532B9F">
              <w:rPr>
                <w:rFonts w:ascii="Times New Roman" w:eastAsia="MS Mincho" w:hAnsi="Times New Roman"/>
                <w:sz w:val="20"/>
                <w:iCs/>
                <w:color w:val="0000FF" w:themeColor="hyperlink"/>
                <w:u w:val="single"/>
              </w:rPr>
              <w:t>O3-519</w:t>
            </w:r>
          </w:fldSimple>
          <w:r>
            <w:rPr>
              <w:rFonts w:ascii="Times New Roman" w:eastAsia="MS Mincho" w:hAnsi="Times New Roman"/>
              <w:sz w:val="20"/>
              <w:iCs/>
            </w:rPr>
            <w:t>,
2015-09-22,
paskelbta TAR 2015-09-23, i. k. 2015-14116                </w:t>
          </w:r>
        </w:p>
        <w:p>
          <w:pPr>
            <w:jc w:val="both"/>
            <w:rPr>
              <w:rFonts w:ascii="Times New Roman" w:hAnsi="Times New Roman"/>
            </w:rPr>
          </w:pPr>
          <w:r>
            <w:rPr>
              <w:rFonts w:ascii="Times New Roman" w:hAnsi="Times New Roman"/>
              <w:sz w:val="20"/>
            </w:rPr>
            <w:t>Dėl Valstybinės kainų ir energetikos kontrolės komisijos 2012 m. rugsėjo 14 d. nutarimo Nr. O3-229 „Dėl Elektros energijos kainos ir rezervinės galios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c270fa083e711e7a3c4a5eb10f04386">
            <w:r w:rsidRPr="00532B9F">
              <w:rPr>
                <w:rFonts w:ascii="Times New Roman" w:eastAsia="MS Mincho" w:hAnsi="Times New Roman"/>
                <w:sz w:val="20"/>
                <w:iCs/>
                <w:color w:val="0000FF" w:themeColor="hyperlink"/>
                <w:u w:val="single"/>
              </w:rPr>
              <w:t>O3E-373</w:t>
            </w:r>
          </w:fldSimple>
          <w:r>
            <w:rPr>
              <w:rFonts w:ascii="Times New Roman" w:eastAsia="MS Mincho" w:hAnsi="Times New Roman"/>
              <w:sz w:val="20"/>
              <w:iCs/>
            </w:rPr>
            <w:t>,
2017-08-18,
paskelbta TAR 2017-08-18, i. k. 2017-13437                </w:t>
          </w:r>
        </w:p>
        <w:p>
          <w:pPr>
            <w:jc w:val="both"/>
            <w:rPr>
              <w:rFonts w:ascii="Times New Roman" w:hAnsi="Times New Roman"/>
            </w:rPr>
          </w:pPr>
          <w:r>
            <w:rPr>
              <w:rFonts w:ascii="Times New Roman" w:hAnsi="Times New Roman"/>
              <w:sz w:val="20"/>
            </w:rPr>
            <w:t>Dėl Valstybinės kainų ir energetikos kontrolės komisijos 2012 m. rugsėjo 14 d. nutarimo Nr. O3-229 „Dėl Elektros energijos kainos ir rezervinės galios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05fab0e0c411e7b3f0a470b0373cb2">
            <w:r w:rsidRPr="00532B9F">
              <w:rPr>
                <w:rFonts w:ascii="Times New Roman" w:eastAsia="MS Mincho" w:hAnsi="Times New Roman"/>
                <w:sz w:val="20"/>
                <w:iCs/>
                <w:color w:val="0000FF" w:themeColor="hyperlink"/>
                <w:u w:val="single"/>
              </w:rPr>
              <w:t>O3E-595</w:t>
            </w:r>
          </w:fldSimple>
          <w:r>
            <w:rPr>
              <w:rFonts w:ascii="Times New Roman" w:eastAsia="MS Mincho" w:hAnsi="Times New Roman"/>
              <w:sz w:val="20"/>
              <w:iCs/>
            </w:rPr>
            <w:t>,
2017-12-14,
paskelbta TAR 2017-12-14, i. k. 2017-20145                </w:t>
          </w:r>
        </w:p>
        <w:p>
          <w:pPr>
            <w:jc w:val="both"/>
            <w:rPr>
              <w:rFonts w:ascii="Times New Roman" w:hAnsi="Times New Roman"/>
            </w:rPr>
          </w:pPr>
          <w:r>
            <w:rPr>
              <w:rFonts w:ascii="Times New Roman" w:hAnsi="Times New Roman"/>
              <w:sz w:val="20"/>
            </w:rPr>
            <w:t>Dėl Valstybinės kainų ir energetikos kontrolės komisijos 2012 m. rugsėjo 14 d. nutarimo Nr. O3-229 „Dėl Elektros energijos kainos ir rezervinės galios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c7d9ac006ec11ea9d279ea27696ab7b">
            <w:r w:rsidRPr="00532B9F">
              <w:rPr>
                <w:rFonts w:ascii="Times New Roman" w:eastAsia="MS Mincho" w:hAnsi="Times New Roman"/>
                <w:sz w:val="20"/>
                <w:iCs/>
                <w:color w:val="0000FF" w:themeColor="hyperlink"/>
                <w:u w:val="single"/>
              </w:rPr>
              <w:t>O3E-715</w:t>
            </w:r>
          </w:fldSimple>
          <w:r>
            <w:rPr>
              <w:rFonts w:ascii="Times New Roman" w:eastAsia="MS Mincho" w:hAnsi="Times New Roman"/>
              <w:sz w:val="20"/>
              <w:iCs/>
            </w:rPr>
            <w:t>,
2019-11-14,
paskelbta TAR 2019-11-14, i. k. 2019-18314                </w:t>
          </w:r>
        </w:p>
        <w:p>
          <w:pPr>
            <w:jc w:val="both"/>
            <w:rPr>
              <w:rFonts w:ascii="Times New Roman" w:hAnsi="Times New Roman"/>
            </w:rPr>
          </w:pPr>
          <w:r>
            <w:rPr>
              <w:rFonts w:ascii="Times New Roman" w:hAnsi="Times New Roman"/>
              <w:sz w:val="20"/>
            </w:rPr>
            <w:t>Dėl Valstybinės kainų ir energetikos kontrolės komisijos 2012 m. rugsėjo 14 d. nutarimo Nr. O3-229 „Dėl Elektros energijos kainos ir rezervinės galios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865ad701e6911ebb0038a8cd8ff585f">
            <w:r w:rsidRPr="00532B9F">
              <w:rPr>
                <w:rFonts w:ascii="Times New Roman" w:eastAsia="MS Mincho" w:hAnsi="Times New Roman"/>
                <w:sz w:val="20"/>
                <w:iCs/>
                <w:color w:val="0000FF" w:themeColor="hyperlink"/>
                <w:u w:val="single"/>
              </w:rPr>
              <w:t>O3E-1069</w:t>
            </w:r>
          </w:fldSimple>
          <w:r>
            <w:rPr>
              <w:rFonts w:ascii="Times New Roman" w:eastAsia="MS Mincho" w:hAnsi="Times New Roman"/>
              <w:sz w:val="20"/>
              <w:iCs/>
            </w:rPr>
            <w:t>,
2020-11-04,
paskelbta TAR 2020-11-04, i. k. 2020-22976                </w:t>
          </w:r>
        </w:p>
        <w:p>
          <w:pPr>
            <w:jc w:val="both"/>
            <w:rPr>
              <w:rFonts w:ascii="Times New Roman" w:hAnsi="Times New Roman"/>
            </w:rPr>
          </w:pPr>
          <w:r>
            <w:rPr>
              <w:rFonts w:ascii="Times New Roman" w:hAnsi="Times New Roman"/>
              <w:sz w:val="20"/>
            </w:rPr>
            <w:t>Dėl Valstybinės energetikos reguliavimo tarybos 2012 m. rugsėjo 14 d. nutarimo Nr. O3-229 „Dėl Elektros energijos kainos, rezervinės galios ir izoliuoto elektros energetikos sistemos darbo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c4d230f09511eb9f09e7df20500045">
            <w:r w:rsidRPr="00532B9F">
              <w:rPr>
                <w:rFonts w:ascii="Times New Roman" w:eastAsia="MS Mincho" w:hAnsi="Times New Roman"/>
                <w:sz w:val="20"/>
                <w:iCs/>
                <w:color w:val="0000FF" w:themeColor="hyperlink"/>
                <w:u w:val="single"/>
              </w:rPr>
              <w:t>O3E-939</w:t>
            </w:r>
          </w:fldSimple>
          <w:r>
            <w:rPr>
              <w:rFonts w:ascii="Times New Roman" w:eastAsia="MS Mincho" w:hAnsi="Times New Roman"/>
              <w:sz w:val="20"/>
              <w:iCs/>
            </w:rPr>
            <w:t>,
2021-07-29,
paskelbta TAR 2021-07-29, i. k. 2021-16745                </w:t>
          </w:r>
        </w:p>
        <w:p>
          <w:pPr>
            <w:jc w:val="both"/>
            <w:rPr>
              <w:rFonts w:ascii="Times New Roman" w:hAnsi="Times New Roman"/>
            </w:rPr>
          </w:pPr>
          <w:r>
            <w:rPr>
              <w:rFonts w:ascii="Times New Roman" w:hAnsi="Times New Roman"/>
              <w:sz w:val="20"/>
            </w:rPr>
            <w:t>Dėl Valstybinės energetikos reguliavimo tarybos 2012 m. rugsėjo 14 d. nutarimo Nr. O3-229 „Dėl Elektros energijos kainos, rezervinės galios ir izoliuoto elektros energetikos sistemos darbo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ffd75c00a6311ec9f09e7df20500045">
            <w:r w:rsidRPr="00532B9F">
              <w:rPr>
                <w:rFonts w:ascii="Times New Roman" w:eastAsia="MS Mincho" w:hAnsi="Times New Roman"/>
                <w:sz w:val="20"/>
                <w:iCs/>
                <w:color w:val="0000FF" w:themeColor="hyperlink"/>
                <w:u w:val="single"/>
              </w:rPr>
              <w:t>O3E-1064</w:t>
            </w:r>
          </w:fldSimple>
          <w:r>
            <w:rPr>
              <w:rFonts w:ascii="Times New Roman" w:eastAsia="MS Mincho" w:hAnsi="Times New Roman"/>
              <w:sz w:val="20"/>
              <w:iCs/>
            </w:rPr>
            <w:t>,
2021-08-31,
paskelbta TAR 2021-08-31, i. k. 2021-18502                </w:t>
          </w:r>
        </w:p>
        <w:p>
          <w:pPr>
            <w:jc w:val="both"/>
            <w:rPr>
              <w:rFonts w:ascii="Times New Roman" w:hAnsi="Times New Roman"/>
            </w:rPr>
          </w:pPr>
          <w:r>
            <w:rPr>
              <w:rFonts w:ascii="Times New Roman" w:hAnsi="Times New Roman"/>
              <w:sz w:val="20"/>
            </w:rPr>
            <w:t>Dėl Valstybinės energetikos reguliavimo tarybos 2012 m. rugsėjo 14 d. nutarimo Nr. O3-229 „Dėl Elektros energijos kainos, rezervinės galios ir izoliuoto elektros energetikos sistemos darbo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074d800a6311ec9f09e7df20500045">
            <w:r w:rsidRPr="00532B9F">
              <w:rPr>
                <w:rFonts w:ascii="Times New Roman" w:eastAsia="MS Mincho" w:hAnsi="Times New Roman"/>
                <w:sz w:val="20"/>
                <w:iCs/>
                <w:color w:val="0000FF" w:themeColor="hyperlink"/>
                <w:u w:val="single"/>
              </w:rPr>
              <w:t>O3E-1065</w:t>
            </w:r>
          </w:fldSimple>
          <w:r>
            <w:rPr>
              <w:rFonts w:ascii="Times New Roman" w:eastAsia="MS Mincho" w:hAnsi="Times New Roman"/>
              <w:sz w:val="20"/>
              <w:iCs/>
            </w:rPr>
            <w:t>,
2021-08-31,
paskelbta TAR 2021-08-31, i. k. 2021-18503                </w:t>
          </w:r>
        </w:p>
        <w:p>
          <w:pPr>
            <w:jc w:val="both"/>
            <w:rPr>
              <w:rFonts w:ascii="Times New Roman" w:hAnsi="Times New Roman"/>
            </w:rPr>
          </w:pPr>
          <w:r>
            <w:rPr>
              <w:rFonts w:ascii="Times New Roman" w:hAnsi="Times New Roman"/>
              <w:sz w:val="20"/>
            </w:rPr>
            <w:t>Dėl Valstybinės energetikos reguliavimo tarybos 2020 m. lapkričio 4 d. nutarimo Nr. O3E-1069 „Dėl Valstybinės energetikos reguliavimo tarybos 2012 m. rugsėjo 14 d. nutarimo Nr. O3-229 „Dėl Elektros energijos kainos, rezervinės galios ir izoliuoto elektros energetikos sistemos darbo užtikrinimo paslaugų kainų nustatymo metodikos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b7e5c50461811ec992fe4cdfceb5666">
            <w:r w:rsidRPr="00532B9F">
              <w:rPr>
                <w:rFonts w:ascii="Times New Roman" w:eastAsia="MS Mincho" w:hAnsi="Times New Roman"/>
                <w:sz w:val="20"/>
                <w:iCs/>
                <w:color w:val="0000FF" w:themeColor="hyperlink"/>
                <w:u w:val="single"/>
              </w:rPr>
              <w:t>O3E-1490</w:t>
            </w:r>
          </w:fldSimple>
          <w:r>
            <w:rPr>
              <w:rFonts w:ascii="Times New Roman" w:eastAsia="MS Mincho" w:hAnsi="Times New Roman"/>
              <w:sz w:val="20"/>
              <w:iCs/>
            </w:rPr>
            <w:t>,
2021-11-15,
paskelbta TAR 2021-11-15, i. k. 2021-23602                </w:t>
          </w:r>
        </w:p>
        <w:p>
          <w:pPr>
            <w:jc w:val="both"/>
            <w:rPr>
              <w:rFonts w:ascii="Times New Roman" w:hAnsi="Times New Roman"/>
            </w:rPr>
          </w:pPr>
          <w:r>
            <w:rPr>
              <w:rFonts w:ascii="Times New Roman" w:hAnsi="Times New Roman"/>
              <w:sz w:val="20"/>
            </w:rPr>
            <w:t>Dėl Valstybinės energetikos reguliavimo tarybos 2012 m. rugsėjo 14 d. nutarimo Nr. O3-229 „Dėl Elektros energijos kainos, rezervinės galios ir izoliuoto elektros energetikos sistemos darbo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cd7fb30d80511ec8d9390588bf2de65">
            <w:r w:rsidRPr="00532B9F">
              <w:rPr>
                <w:rFonts w:ascii="Times New Roman" w:eastAsia="MS Mincho" w:hAnsi="Times New Roman"/>
                <w:sz w:val="20"/>
                <w:iCs/>
                <w:color w:val="0000FF" w:themeColor="hyperlink"/>
                <w:u w:val="single"/>
              </w:rPr>
              <w:t>O3E-735</w:t>
            </w:r>
          </w:fldSimple>
          <w:r>
            <w:rPr>
              <w:rFonts w:ascii="Times New Roman" w:eastAsia="MS Mincho" w:hAnsi="Times New Roman"/>
              <w:sz w:val="20"/>
              <w:iCs/>
            </w:rPr>
            <w:t>,
2022-05-20,
paskelbta TAR 2022-05-20, i. k. 2022-10651                </w:t>
          </w:r>
        </w:p>
        <w:p>
          <w:pPr>
            <w:jc w:val="both"/>
            <w:rPr>
              <w:rFonts w:ascii="Times New Roman" w:hAnsi="Times New Roman"/>
            </w:rPr>
          </w:pPr>
          <w:r>
            <w:rPr>
              <w:rFonts w:ascii="Times New Roman" w:hAnsi="Times New Roman"/>
              <w:sz w:val="20"/>
            </w:rPr>
            <w:t>Dėl Valstybinės energetikos reguliavimo tarybos 2012 m. rugsėjo 14 d. nutarimo Nr. O3-229 „Dėl Elektros energijos kainos, rezervinės galios, izoliuoto elektros energetikos sistemos darbo ir totalios elektros energetikos sistemos avarijos prevencijos ar likvidavimo, izoliuoto elektros energetikos sistemos darbo rezervo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6177f40300611edb4cae1b158f98ea5">
            <w:r w:rsidRPr="00532B9F">
              <w:rPr>
                <w:rFonts w:ascii="Times New Roman" w:eastAsia="MS Mincho" w:hAnsi="Times New Roman"/>
                <w:sz w:val="20"/>
                <w:iCs/>
                <w:color w:val="0000FF" w:themeColor="hyperlink"/>
                <w:u w:val="single"/>
              </w:rPr>
              <w:t>O3E-1207</w:t>
            </w:r>
          </w:fldSimple>
          <w:r>
            <w:rPr>
              <w:rFonts w:ascii="Times New Roman" w:eastAsia="MS Mincho" w:hAnsi="Times New Roman"/>
              <w:sz w:val="20"/>
              <w:iCs/>
            </w:rPr>
            <w:t>,
2022-09-09,
paskelbta TAR 2022-09-09, i. k. 2022-18577                </w:t>
          </w:r>
        </w:p>
        <w:p>
          <w:pPr>
            <w:jc w:val="both"/>
            <w:rPr>
              <w:rFonts w:ascii="Times New Roman" w:hAnsi="Times New Roman"/>
            </w:rPr>
          </w:pPr>
          <w:r>
            <w:rPr>
              <w:rFonts w:ascii="Times New Roman" w:hAnsi="Times New Roman"/>
              <w:sz w:val="20"/>
            </w:rPr>
            <w:t>Dėl Valstybinės energetikos reguliavimo tarybos 2012 m. rugsėjo 14 d. nutarimo Nr. O3-229 „Dėl Elektros energijos kainos, rezervinės galios ir izoliuoto elektros energetikos sistemos darbo ir totalios elektros energetikos sistemos avarijos prevencijos ar likvidavimo, izoliuoto elektros energetikos sistemos darbo rezervo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766d0505cf311ee81b8b446907f594f">
            <w:r w:rsidRPr="00532B9F">
              <w:rPr>
                <w:rFonts w:ascii="Times New Roman" w:eastAsia="MS Mincho" w:hAnsi="Times New Roman"/>
                <w:sz w:val="20"/>
                <w:iCs/>
                <w:color w:val="0000FF" w:themeColor="hyperlink"/>
                <w:u w:val="single"/>
              </w:rPr>
              <w:t>O3E-1390</w:t>
            </w:r>
          </w:fldSimple>
          <w:r>
            <w:rPr>
              <w:rFonts w:ascii="Times New Roman" w:eastAsia="MS Mincho" w:hAnsi="Times New Roman"/>
              <w:sz w:val="20"/>
              <w:iCs/>
            </w:rPr>
            <w:t>,
2023-09-27,
paskelbta TAR 2023-09-27, i. k. 2023-18760                </w:t>
          </w:r>
        </w:p>
        <w:p>
          <w:pPr>
            <w:jc w:val="both"/>
            <w:rPr>
              <w:rFonts w:ascii="Times New Roman" w:hAnsi="Times New Roman"/>
            </w:rPr>
          </w:pPr>
          <w:r>
            <w:rPr>
              <w:rFonts w:ascii="Times New Roman" w:hAnsi="Times New Roman"/>
              <w:sz w:val="20"/>
            </w:rPr>
            <w:t>Dėl Valstybinės energetikos reguliavimo tarybos 2012 m. rugsėjo 14 d. nutarimo Nr. O3-229 „Dėl Elektros energijos kainos, rezervinės galios, izoliuoto elektros energetikos sistemos darbo ir totalios elektros energetikos sistemos avarijos prevencijos ar likvidavimo, izoliuoto elektros energetikos sistemos darbo rezervo užtikrinimo paslaugų kainų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e112366259b11f08fdabd4950271e2c">
            <w:r w:rsidRPr="00532B9F">
              <w:rPr>
                <w:rFonts w:ascii="Times New Roman" w:eastAsia="MS Mincho" w:hAnsi="Times New Roman"/>
                <w:sz w:val="20"/>
                <w:iCs/>
                <w:color w:val="0000FF" w:themeColor="hyperlink"/>
                <w:u w:val="single"/>
              </w:rPr>
              <w:t>O3E-604</w:t>
            </w:r>
          </w:fldSimple>
          <w:r>
            <w:rPr>
              <w:rFonts w:ascii="Times New Roman" w:eastAsia="MS Mincho" w:hAnsi="Times New Roman"/>
              <w:sz w:val="20"/>
              <w:iCs/>
            </w:rPr>
            <w:t>,
2025-04-30,
paskelbta TAR 2025-04-30, i. k. 2025-07745                </w:t>
          </w:r>
        </w:p>
        <w:p>
          <w:pPr>
            <w:jc w:val="both"/>
            <w:rPr>
              <w:rFonts w:ascii="Times New Roman" w:hAnsi="Times New Roman"/>
            </w:rPr>
          </w:pPr>
          <w:r>
            <w:rPr>
              <w:rFonts w:ascii="Times New Roman" w:hAnsi="Times New Roman"/>
              <w:sz w:val="20"/>
            </w:rPr>
            <w:t>Dėl valstybinės energetikos reguliavimo tarybos 2012 m. rugsėjo 14 d. nutarimo Nr. O3-229 „Dėl Elektros energijos kainos, rezervinės galios ir izoliuoto elektros energetikos sistemos darbo užtikrinimo paslaugų kainų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 </w:instrText>
    </w:r>
    <w:r>
      <w:rPr>
        <w:sz w:val="22"/>
        <w:szCs w:val="22"/>
        <w:lang w:eastAsia="lt-LT"/>
      </w:rPr>
      <w:instrText>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17</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17</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w:instrText>
    </w:r>
    <w:r>
      <w:rPr>
        <w:sz w:val="22"/>
        <w:szCs w:val="22"/>
        <w:lang w:eastAsia="lt-LT"/>
      </w:rPr>
      <w:instrText xml:space="preserve"> MERGEFORMAT</w:instrText>
    </w:r>
    <w:r>
      <w:rPr>
        <w:sz w:val="22"/>
        <w:szCs w:val="22"/>
        <w:lang w:eastAsia="lt-LT"/>
      </w:rPr>
      <w:fldChar w:fldCharType="separate"/>
    </w:r>
    <w:r>
      <w:rPr>
        <w:sz w:val="22"/>
        <w:szCs w:val="22"/>
        <w:lang w:eastAsia="lt-LT"/>
      </w:rPr>
      <w:t>17</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17</w:t>
    </w:r>
    <w:r>
      <w:rPr>
        <w:sz w:val="22"/>
        <w:szCs w:val="22"/>
        <w:lang w:eastAsia="lt-LT"/>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w:instrText>
    </w:r>
    <w:r>
      <w:rPr>
        <w:sz w:val="22"/>
        <w:szCs w:val="22"/>
        <w:lang w:eastAsia="lt-LT"/>
      </w:rPr>
      <w:instrText xml:space="preserve">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w:instrText>
    </w:r>
    <w:r>
      <w:rPr>
        <w:sz w:val="22"/>
        <w:szCs w:val="22"/>
        <w:lang w:eastAsia="lt-LT"/>
      </w:rPr>
      <w:instrText xml:space="preserve">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13</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p>
    <w:pPr>
      <w:tabs>
        <w:tab w:val="center" w:pos="4819"/>
        <w:tab w:val="right" w:pos="9638"/>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03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57369"/>
  <w15:docId w15:val="{E89FFFEB-AB13-4A00-99B6-5D634BED84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1.xml"/>
  <Relationship Id="rId11" Type="http://schemas.openxmlformats.org/officeDocument/2006/relationships/footer" Target="footer40.xml"/>
  <Relationship Id="rId12" Type="http://schemas.openxmlformats.org/officeDocument/2006/relationships/footer" Target="footer41.xml"/>
  <Relationship Id="rId13" Type="http://schemas.openxmlformats.org/officeDocument/2006/relationships/header" Target="header42.xml"/>
  <Relationship Id="rId14" Type="http://schemas.openxmlformats.org/officeDocument/2006/relationships/footer" Target="footer42.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0.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faa6b44a5b04531afa0a07363a8daef" PartId="e2d7952e1cfb4fc0a59a7e8271d6318a">
    <Part Type="preambule" DocPartId="b8af3a96aca44b24b6eda149203f07b8" PartId="7925c90f314a4d23bdff42b2a9a303ff"/>
    <Part Type="pastraipa" DocPartId="52270245016649d39d5fa09f205d25de" PartId="519f8bf704154ac5bb5136beb0f03ba9"/>
    <Part Type="signatura" DocPartId="c7680483924c4a8c9780f39605ccd657" PartId="97d454e0594f4780bdb080d31a0f13fd"/>
  </Part>
  <Part Type="patvirtinta" Title="„ELEKTROS ENERGIJOS KAINOS, REZERVINĖS GALIOS, IZOLIUOTO ELEKTROS ENERGETIKOS SISTEMOS DARBO IR TOTALIOS ELEKTROS ENERGETIKOS SISTEMOS AVARIJOS PREVENCIJOS AR LIKVIDAVIMO, IZOLIUOTO ELEKTROS ENERGETIKOS SISTEMOS DARBO REZERVO UŽTIKRINIMO PASLAUGŲ KAINŲ NUSTATYMO METODIKA“" DocPartId="af6b24671e214eda9c569f94ba073828" PartId="42fd9b0502c3421ab23ac404128790ee">
    <Part Type="skyrius" Nr="1" Title="BENDROSIOS NUOSTATOS" DocPartId="533745c4d8ab48e087f9651acdd7f96a" PartId="b5df455d1cde4839baa7e5e31178d130">
      <Part Type="punktas" Nr="1" Abbr="1 p." DocPartId="a2e8cd2e16e446cbbf2edae4844c7950" PartId="3c8b697231264eba8728db3dfc3a8aee"/>
      <Part Type="punktas" Nr="2" Abbr="2 p." DocPartId="28a1263118a34e81a551d8db8f7c6f4d" PartId="9cb30f9933894ff7a892c4394078fe5c"/>
      <Part Type="punktas" Nr="3" Abbr="3 p." DocPartId="74ae035f67f74aad9b84a7755102d638" PartId="8539517b295f475cab9e44bcd381d75a"/>
      <Part Type="punktas" Nr="4" Abbr="4 p." DocPartId="6483801f4881400abcce92373c7e6786" PartId="d569b3a65f134996be48a22a38d6e5f0">
        <Part Type="papunktis" Nr="4.1" Abbr="4.1 pp." DocPartId="ec9c9a01d7bc4058b686d0a363ae2e53" PartId="6e66b6d4206843fc9b6fa76e4bc6f597"/>
        <Part Type="papunktis" Nr="4.2" Abbr="4.2 pp." DocPartId="8455d12d5643448599eb0c2934df2288" PartId="928dc3d72b254387abfd457c39127c30"/>
      </Part>
      <Part Type="punktas" Nr="5" Abbr="5 p." DocPartId="3a1e4a2837a0458c81eb674cc42eb19a" PartId="e7362eb94a6d4660b8b0a74df371bbff"/>
    </Part>
    <Part Type="skyrius" Nr="2" Title="APSKAITOS ATSKYRIMAS" DocPartId="71f2a6d0c8e440dab5bce5376354c52b" PartId="ceccde039e2d47c98f14ca865e9a5c9a">
      <Part Type="punktas" Nr="6" Abbr="6 p." DocPartId="39bf1906728e41adac3943a541e84d2c" PartId="92fc563b82e64f099dbaca82a110574e"/>
    </Part>
    <Part Type="skyrius" Nr="3" Title="SĄNAUDŲ NUSTATYMAS" DocPartId="ba3f64b841104023a2030952dade2e5a" PartId="8fd9b0daa781459a8114d270764e76a1">
      <Part Type="punktas" Nr="7" Abbr="7 p." DocPartId="26ac32ed69f64cd29157cdc3132ce44d" PartId="8f1f2532286641b59b520dd1b4f262fc">
        <Part Type="papunktis" Nr="7.1" Abbr="7.1 pp." DocPartId="af6d4cd222024d8eb73aa5b8a519eed3" PartId="831274a3f639407fa959d4a8ae50d894"/>
        <Part Type="papunktis" Nr="7.2" Abbr="7.2 pp." DocPartId="1bc7c74ba97140fe8073c8b0b676f124" PartId="757307b6bf1d41a28b04ef030dfcc2c3"/>
      </Part>
      <Part Type="punktas" Nr="8" Abbr="8 p." DocPartId="10f2f83fa7274dc0a6a6eb29a6ffbfbd" PartId="8047427ed42c40f782aac4806dd703b1">
        <Part Type="papunktis" Nr="8.1" Abbr="8.1 pp." DocPartId="cedf30ae20d9499c810cfe88ba0c9166" PartId="7a6454cfd91f4d219afc225b86e622da"/>
        <Part Type="papunktis" Nr="8.2" Abbr="8.2 pp." DocPartId="8c6a7748d1d74e6c89236b9df927743e" PartId="03d89caae08f451283dc61298ffd4685"/>
        <Part Type="papunktis" Nr="8.3" Abbr="8.3 pp." DocPartId="841d3b2e53ed4524bca9443bc594dc7d" PartId="575776d385534292b6f4253c14bf9db5"/>
        <Part Type="papunktis" Nr="8.4" Abbr="8.4 pp." DocPartId="5ea00c6f811c4fd9a788344d4cc727ad" PartId="611786746e13488fa13b04b78f584d68"/>
        <Part Type="papunktis" Nr="8.5" Abbr="8.5 pp." DocPartId="0f049ef7985349089c14c74c6b2c4373" PartId="8f8a727e98ec423eb986a634287d576c"/>
        <Part Type="papunktis" Nr="8.6" Abbr="8.6 pp." DocPartId="6da7447f34d84d00a2d1d1c328f1f9cb" PartId="8dd02c34fb64479399411c6f084982a1"/>
        <Part Type="papunktis" Nr="8.7" Abbr="8.7 pp." DocPartId="9fdc590edde54c4d937a877abd423fc9" PartId="193047b5d4e64636b666cf4453c0618c"/>
        <Part Type="papunktis" Nr="8.8" Abbr="8.8 pp." DocPartId="1724a94f7d8b4d9089f197c694ef193d" PartId="577e2fdeb4c44b31bbbd567102558a94"/>
        <Part Type="papunktis" Nr="8.9" Abbr="8.9 pp." DocPartId="987fb95bdee34751862e3a5c0de42f97" PartId="a996d8831fc5476ca12a164586cd1bb3"/>
        <Part Type="papunktis" Nr="8.10" Abbr="8.10 pp." DocPartId="0d204bc9535f4d7a9e350de4da7e47c4" PartId="61c684cb662645148391c082a5c51a5b"/>
        <Part Type="papunktis" Nr="8.11" Abbr="8.11 pp." DocPartId="82eabed0bd234f15846da64d255919f3" PartId="117eb20724d3495d85296baf36fec4b0"/>
        <Part Type="papunktis" Nr="8.12" Abbr="8.12 pp." DocPartId="9502206f01294566aa953aa98970cf9c" PartId="f89761d8b3ce4b22b0884df4a0e7dec7"/>
        <Part Type="papunktis" Nr="8.13" Abbr="8.13 pp." DocPartId="f3038d5743b144c88c1e02f70c95a6bd" PartId="61e9af1d14e341c394351d01dbc3c2ca"/>
      </Part>
      <Part Type="punktas" Nr="9" Abbr="9 p." DocPartId="59e637e91c1a48dd805bca9c56a1a7b2" PartId="c397e2b91c35493f9283e84f553b6ab9"/>
      <Part Type="punktas" Nr="10" Abbr="10 p." DocPartId="dab5155a6b514bcb96a14882bf563daf" PartId="8870a83acef74bd9948fe4abdbe6be45"/>
      <Part Type="punktas" Nr="11" Abbr="11 p." DocPartId="15cea0879c6344ce8ef2f85e4b3717f7" PartId="c4767868812744049ed8cc85a60fb958"/>
      <Part Type="punktas" Nr="11-1" Abbr="11-1 p." DocPartId="2befdc0f6de847faa93ef843f02cb03d" PartId="18b1a9effc8a44d297bbf283382b4713"/>
      <Part Type="punktas" Nr="12" Abbr="12 p." DocPartId="0693ead3be6e44f7abff97fba44c2869" PartId="901d3f992be4433ba00871a9d75cf2b5">
        <Part Type="papunktis" Nr="12.1" Abbr="12.1 pp." DocPartId="8355ac5416e141f291ce56caabfafb60" PartId="5319244dd86940eb89c75a8063fb51f2"/>
        <Part Type="papunktis" Nr="12.2" Abbr="12.2 pp." DocPartId="3f2cf97646384798bfe17b93175b1136" PartId="26fa1fabb22949b6990902a00af6f387"/>
        <Part Type="papunktis" Nr="12.3" Abbr="12.3 pp." DocPartId="2e3c8b1a6fa046299c41d8c4917af65a" PartId="86c4ddae5ec94e179ef89cc6727d8036"/>
      </Part>
      <Part Type="punktas" Nr="13" Abbr="13 p." DocPartId="9e511f11d4ff4109a6df66fee6d619f2" PartId="4f9517688ad34b27951a775d620b902a"/>
      <Part Type="punktas" Nr="14" Abbr="14 p." DocPartId="e00d599351cf42428d44fbf6e7f0d107" PartId="bd31e0ca87774e589f5c45ec6b725e0b"/>
      <Part Type="punktas" Nr="15" Abbr="15 p." DocPartId="1c5c9fa85e2049fcb4abac063b7f5fab" PartId="c81a3daa352f4dedae7f537f7154c1bf"/>
      <Part Type="punktas" Nr="16" Abbr="16 p." DocPartId="74b88e2337c54fb4900dd6302cd0e9e0" PartId="298af1b4ec3f41b0a4d30dd296f717cf"/>
      <Part Type="punktas" Nr="17" Abbr="17 p." DocPartId="ae9445288adf4abbad45b7aaa9946240" PartId="2eca6020a76546e5bab9c6ac119c9805"/>
      <Part Type="punktas" Nr="18" Abbr="18 p." DocPartId="ae8eaf99861b4c8891d65776bbdc5e7b" PartId="58ba81b2994449ef9ca101034bc3de8e">
        <Part Type="papunktis" Nr="18.1" Abbr="18.1 pp." DocPartId="a844436cefe64aedad9ecc363437478f" PartId="42023caf87d946368b79ffa7ecdb2a5d"/>
        <Part Type="papunktis" Nr="18.2" Abbr="18.2 pp." DocPartId="3bac44fcd30f40349fa679dfe89bfbe6" PartId="e614cac23bcc4767839937514964f4ed"/>
        <Part Type="papunktis" Nr="18.3" Abbr="18.3 pp." DocPartId="c38176a36b794311861e209142f62724" PartId="fe2cf67e8cb6455aa7cf2a2d6a324110"/>
      </Part>
      <Part Type="punktas" Nr="19" Abbr="19 p." DocPartId="d514754f00da4bfdb06dfbb7a4143fbd" PartId="ca2b792fea1a4f5fb33f39ea8c9d5ed7">
        <Part Type="papunktis" Nr="19.1" Abbr="19.1 pp." DocPartId="4b3036458cbf4ab58b671d6d49649669" PartId="45341fedfcd4429983fdc16ffe292896"/>
        <Part Type="papunktis" Nr="19.2" Abbr="19.2 pp." DocPartId="d7051b876f794e77a5274c8a85fda1d9" PartId="b8d6107abb5740da8a02d5132c3d3811"/>
        <Part Type="papunktis" Nr="19.3" Abbr="19.3 pp." DocPartId="e7181f1e02b644c1b0be77d0b19e85ea" PartId="b820507259704da7b91c11b69a37cce7"/>
        <Part Type="papunktis" Nr="19.4" Abbr="19.4 pp." DocPartId="ba17d678ba664185962eff18d5fa6692" PartId="7cb192ca02f146dfb77696b0d30512d4"/>
        <Part Type="papunktis" Nr="19.5" Abbr="19.5 pp." DocPartId="c6e0ee7bc0ce424caa03d717ba803ee3" PartId="9516b89b78f2433c9466571edef582aa"/>
      </Part>
      <Part Type="punktas" Nr="20" Abbr="20 p." DocPartId="6b4fd12722074354938296149253f771" PartId="79fe1caa218e420595eade8d2763ef4b"/>
      <Part Type="punktas" Nr="20-1" Abbr="20-1 p." DocPartId="4114977d2b024decbda7ab8d00b99b9b" PartId="8982d20995b14695bd0dda476cf6dded"/>
    </Part>
    <Part Type="skyrius" Nr="4" Title="ELEKTROS ENERGIJOS, REZERVINĖS GALIOS IR TOTALIOS ELEKTROS ENERGETIKOS SISTEMOS AVARIJOS PREVENCIJOS AR LIKVIDAVIMO PASLAUGŲ KAINŲ NUSTATYMO TAISYKLĖS" DocPartId="5f6d730bbe98409aaf7fc880debe79df" PartId="e5d6a2bfb3ce46f4bb92d1d839bd6b79">
      <Part Type="punktas" Nr="21" Abbr="21 p." DocPartId="9639479fc98244e9bd7853aa9898c440" PartId="fe257f7c0c8f46679f37305e09cee7b2"/>
      <Part Type="punktas" Nr="22" Abbr="22 p." DocPartId="5eb5963d31cc4b93b8dd185ef14c45f3" PartId="5cdd0fa9bf984b538de696e434ae9420"/>
      <Part Type="punktas" Nr="23" Abbr="23 p." DocPartId="181a514220be4716948a0465c2979fe4" PartId="79eda06d97e748eab3760cf8e28f2c2b"/>
      <Part Type="punktas" Nr="24" Abbr="24 p." DocPartId="456bfbb59f7841ce92828e8d90235eb2" PartId="09d46139bb0940f4875ad9ca67813ec7"/>
      <Part Type="punktas" Nr="25" Abbr="25 p." DocPartId="6d740aaadbc54688ad18585a13d11a66" PartId="7b876f67d7ac467094effbf46117ca40"/>
      <Part Type="punktas" Nr="26" Abbr="26 p." DocPartId="444f2b6a9ab14ff4a8494226c3955429" PartId="21f23f40f841411b8785200ce3d4fa84">
        <Part Type="papunktis" Nr="26.1" Abbr="26.1 pp." DocPartId="7f8388120f9a4feb979e43af3ddf7998" PartId="099f1f7d7ee045e78b8979fe250ce9f9"/>
        <Part Type="papunktis" Nr="26.1-1" Abbr="26.1-1 pp." DocPartId="ba58d9fbd5954c6588ca9d701a85a3b4" PartId="f43fd76f2f2c4f0aaf54b7823e10115c"/>
        <Part Type="papunktis" Nr="26.2" Abbr="26.2 pp." DocPartId="28d742d463e649518935fc25c9bae9e1" PartId="5f815c8c7cf34b9b99ffd4c9468c37e6">
          <Part Type="papunktis" Nr="26.2.1" Abbr="26.2.1 pp." DocPartId="88709094d80b457f9c5bd524cfeb1815" PartId="c5d6e6bf4b734e52a547077e30c83a51"/>
          <Part Type="papunktis" Nr="26.2.2" Abbr="26.2.2 pp." DocPartId="b803315cdadf4b9da51cce70a745fa3a" PartId="7c611265100f454e8175984ed374c676"/>
          <Part Type="papunktis" Nr="26.2.3" Abbr="26.2.3 pp." DocPartId="eb552ccdea2249dab23fbc0949c24384" PartId="076c13e023634a1e958fc45a0276841f"/>
          <Part Type="papunktis" Nr="26.2.4" Abbr="26.2.4 pp." DocPartId="2b7e631abc0543ce8ae160e35cc50c28" PartId="61e6baddc2d049cd9f42cdba39778fa1"/>
        </Part>
        <Part Type="papunktis" Nr="26.3" Abbr="26.3 pp." DocPartId="a95f3a2c13c546c58da5e1e7cdbd9147" PartId="277aeb1fa75d44d28622c9c5ec404877">
          <Part Type="papunktis" Nr="26.3.1" Abbr="26.3.1 pp." DocPartId="03a0fe2e30fd4bcebffeef84f7a77c32" PartId="dfdc1da487104a37b9c47b3f3388ed91"/>
          <Part Type="papunktis" Nr="26.3.2" Abbr="26.3.2 pp." DocPartId="25142b3e37814d7d88e991ad7080c86d" PartId="7a59af8e23b84055992552f3fb490a3b"/>
          <Part Type="papunktis" Nr="26.3.3" Abbr="26.3.3 pp." DocPartId="8225c1f219db450e8c66dbfdfb9c6937" PartId="a6bc4e89984e401aa846f1aca71df0aa"/>
          <Part Type="papunktis" Nr="26.3.4" Abbr="26.3.4 pp." DocPartId="c63366bba9834789983ae83f45334858" PartId="4415a7172aff4f5d81fc5f85400cdade"/>
          <Part Type="papunktis" Nr="26.3.5" Abbr="26.3.5 pp." DocPartId="8f3a7167633344828995b69118925256" PartId="bba98301840746419e9767d5fb6b5e79"/>
          <Part Type="papunktis" Nr="26.3.6" Abbr="26.3.6 pp." DocPartId="1a5ee9c8d94f428ca24e251970f97150" PartId="c35a64d595c64e23aaf66f0916546dc3"/>
        </Part>
        <Part Type="papunktis" Nr="26.4" Abbr="26.4 pp." DocPartId="77b76603e41e4f9fb8d76bffd6900276" PartId="adf6e5e2b5824f66812f339035386baf"/>
        <Part Type="papunktis" Nr="26.5" Abbr="26.5 pp." DocPartId="103e4b7d428941f8afccb51d0de27fc7" PartId="e126414d501341e7813207a9003363d3"/>
        <Part Type="papunktis" Nr="26.6" Abbr="26.6 pp." DocPartId="67d3017c2de34efe987b359f64369fed" PartId="67b0e8516ed04ae586e0ae20062adfef"/>
        <Part Type="papunktis" Nr="26.7" Abbr="26.7 pp." DocPartId="ba8427e547684257afaf542d8264ca1b" PartId="390485c6798749dba5e391948045df15"/>
        <Part Type="papunktis" Nr="26.8" Abbr="26.8 pp." DocPartId="4d2d0bdc3d1e4da5896075516d64d507" PartId="190ccd46ecc54187a6f3237e592eb47e"/>
      </Part>
      <Part Type="punktas" Nr="27" Abbr="27 p." DocPartId="f7c6b64854e942d6a25989169055b532" PartId="69c4e134d03b46238f4d8bcfef4f1fe1"/>
      <Part Type="punktas" Nr="28" Abbr="28 p." DocPartId="627137827f0542e3ac7fd5d2deab58ba" PartId="1aa9fe9fca2e449988a6ec0e880650bb"/>
      <Part Type="punktas" Nr="28-1" Abbr="28-1 p." DocPartId="583fba19400a4c0d8f1f84a543fdc935" PartId="e5a4ff25b38644dcb1201023f177d7d1"/>
      <Part Type="punktas" Nr="28-2" Abbr="28-2 p." DocPartId="289b0a0b5b0a4910b87293a93120173c" PartId="18cc7f8768454a0687f17813f7a6fb0b">
        <Part Type="papunktis" Nr="28-2.1" Abbr="28-2.1 pp." DocPartId="fb83a9c1a3d2408ead668ad28b4e2b39" PartId="7940b45570334b6692481896261365cc"/>
        <Part Type="papunktis" Nr="28-2.2" Abbr="28-2.2 pp." DocPartId="4760a249af774886a96fa7625e7f8352" PartId="fd0841b72767410dbec38a2e89039578"/>
        <Part Type="papunktis" Nr="28-2.3" Abbr="28-2.3 pp." DocPartId="1804bac03b494ad6ac783da84fc69d51" PartId="1d5710b526d9461383d7b78015464d01"/>
        <Part Type="papunktis" Nr="28-2.4" Abbr="28-2.4 pp." DocPartId="cdfd5869704e43448646609dec414d1c" PartId="709730aa979d4407a2e77166e4812c1c"/>
      </Part>
    </Part>
    <Part Type="skyrius" Nr="5" Title="IZOLIUOTO ELEKTROS ENERGETIKOS SISTEMOS DARBO LEISTINŲ PAJAMŲ NUSTATYMO TAISYKLĖS" DocPartId="197dcc5ab5d9427ebc570bdc83b37b26" PartId="38fa74259c1548a08bb6788029cfb0f9">
      <Part Type="punktas" Nr="29" Abbr="29 p." DocPartId="92bd56b7d79748308e219f27b5aca7fd" PartId="81d340058be6411ea68465211de2298b"/>
      <Part Type="punktas" Nr="30" Abbr="30 p." DocPartId="584390864ae54a949b75060e430fb050" PartId="3d9f34e6bbde46748ef035d455c9196f">
        <Part Type="papunktis" Nr="30.1" Abbr="30.1 pp." DocPartId="b23f74f7c131465b95af22c28b714092" PartId="1e042b683a9346a192e252185648c9d5"/>
        <Part Type="papunktis" Nr="30.2" Abbr="30.2 pp." DocPartId="9ac16c301b324dc2890c809b65240579" PartId="a72d3e63b77e46809938df3dd85e4453"/>
        <Part Type="papunktis" Nr="30.3" Abbr="30.3 pp." DocPartId="ea10ffe98d9f4ff4828975c2e004b340" PartId="286de874f96a41bdaf4a37f5f3caaa66"/>
        <Part Type="papunktis" Nr="30.4" Abbr="30.4 pp." DocPartId="cbd5da87ca254826a89755a94b41588c" PartId="837f170880d94838ad8ffe93e3a8aa58"/>
        <Part Type="papunktis" Nr="30.5" Abbr="30.5 pp." DocPartId="3062de07e6eb4c5d9ef0820ccd8b640a" PartId="c3e5be85831f4e2fbfbd3d9cc670826d"/>
        <Part Type="papunktis" Nr="30.6" Abbr="30.6 pp." DocPartId="d890f6e4b598448ea9585425a8b4c378" PartId="c3005eff02794f899d7daad295985c62"/>
        <Part Type="papunktis" Nr="30.7" Abbr="30.7 pp." DocPartId="a0d68b8cf83349f6be30dde50a3f6d1d" PartId="83cc21b687154f10a53a2c58534c40b6"/>
        <Part Type="papunktis" Nr="30.8" Abbr="30.8 pp." DocPartId="ee23ab4a73cd4842bd20403ef220e0ce" PartId="17b09ef7cfff49c7a418f69d4538c530"/>
        <Part Type="papunktis" Nr="30.9" Abbr="30.9 pp." DocPartId="26803392b5fd4979a19f34e4d6b0dee1" PartId="9601a85cbbf841578be0f06d755ecc07"/>
      </Part>
      <Part Type="punktas" Nr="31" Abbr="31 p." DocPartId="4e007dd74a174d5d8f460d36a0d22025" PartId="09a94eba27ae45989b6dfa15a1290850"/>
      <Part Type="punktas" Nr="32" Abbr="32 p." DocPartId="970831f9eea4488f85b30a233b3934b1" PartId="edaa25f4934b4d3798c5b17501ede3e2"/>
      <Part Type="punktas" Nr="33" Abbr="33 p." DocPartId="6a5aae8ce93949ed9f7b20594a7c3697" PartId="35f49d3990e24d0697783322a4b8a62b"/>
      <Part Type="punktas" Nr="34" Abbr="34 p." DocPartId="444cb63eea84473d8faabff1b487111a" PartId="66a4d2e363e24acdacd558646c89151b"/>
      <Part Type="punktas" Nr="35" Abbr="35 p." DocPartId="a0f92df3f57346d1bc772bba0b10f685" PartId="7a2f9f76de75440793c95fe6b1c32dad"/>
      <Part Type="punktas" Nr="35-1" Abbr="35-1 p." DocPartId="7cd0096b4f3741c386aa0e5e440f6b8a" PartId="ef3678e123ef4177bd22bda63ed66224">
        <Part Type="papunktis" Nr="35-1.1" Abbr="35-1.1 pp." DocPartId="cc95e8cc77aa48d09dc271f486467648" PartId="c9f7a019ae6c40f1ae23bf0b565f3784"/>
        <Part Type="papunktis" Nr="35-1.2" Abbr="35-1.2 pp." DocPartId="5d49568387d54351b4e653eae5d6a768" PartId="ba5ff2a5dd75400d8d72361ef83857b6"/>
        <Part Type="papunktis" Nr="35-1.3" Abbr="35-1.3 pp." DocPartId="f8db88b7d5984d88902cd258b355635f" PartId="3375c8596b7d40d5b8f1983d87c7d282"/>
        <Part Type="papunktis" Nr="35-1.4" Abbr="35-1.4 pp." DocPartId="779d2ca3320e41d4999087f0d828d8d3" PartId="158137cfaf4e495d93cd467ccaf62e9b"/>
      </Part>
    </Part>
    <Part Type="skyrius" Nr="5-1" Title="IZOLIUOTO DARBO REZERVO PASLAUGOS LEISTINŲ PAJAMŲ NUSTATYMO TAISYKLĖS" DocPartId="f26f1720e904440e96b0edf8628291da" PartId="6937936014a443088099a768aa274917">
      <Part Type="punktas" Nr="35-2" Abbr="35-2 p." DocPartId="9dc044c4056144099a6aac90e82a7e2c" PartId="b1a7d7d4c7c94829b6b29e5ddc84885f">
        <Part Type="papunktis" Nr="35-2.1" Abbr="35-2.1 pp." DocPartId="225680bdfc2f4ff1b6893f1ec7e55cb1" PartId="13a71195779f42d2ad9ebab74b3156c4">
          <Part Type="papunktis" Nr="35-2.1.1" Abbr="35-2.1.1 pp." DocPartId="9c452815872f4dff93b212861fdbce17" PartId="23ff251bf5b542c6bb9098ec27b159cd"/>
          <Part Type="papunktis" Nr="35-2.1.2" Abbr="35-2.1.2 pp." DocPartId="e00f422984fd44f592ab6e2451287bcc" PartId="b851d9c43b95425592f57a4dc8038277">
            <Part Type="papunktis" Nr="35-2.1.2.1" Abbr="35-2.1.2.1 pp." DocPartId="9c25c5f9013440309291973479398488" PartId="488c7277dc7940a5913d4c6dec5485cb"/>
            <Part Type="papunktis" Nr="35-2.1.2.2" Abbr="35-2.1.2.2 pp." DocPartId="47bd200abf024e9bbb92dc3f209baad2" PartId="57397d613fe04a10867e0db4f1d0519e"/>
            <Part Type="papunktis" Nr="35-2.1.2.3" Abbr="35-2.1.2.3 pp." DocPartId="6371ab30c974485b826f51c025015b98" PartId="9f21eb8fd27d4874a388742a1f4459a4"/>
            <Part Type="papunktis" Nr="35-2.1.2.4" Abbr="35-2.1.2.4 pp." DocPartId="6a63d1ddad3546df9742f512783f9024" PartId="7cbc385a8ade446cb97a2d2cd29fca9b"/>
          </Part>
          <Part Type="papunktis" Nr="35-2.1.3" Abbr="35-2.1.3 pp." DocPartId="9212c4cdeaf74f57b0cc15ec69b05d51" PartId="a900df32a5574b7a97604d63fb1897d9"/>
        </Part>
        <Part Type="papunktis" Nr="35-2.2" Abbr="35-2.2 pp." DocPartId="281d79919db64d0182d53aab52c43ec0" PartId="f6e9d5bcc099408793d3c056f6805f3a"/>
      </Part>
    </Part>
    <Part Type="skyrius" Nr="6" Title="REIKALAVIMAI, SUSIJĘ SU ELEKTROS ENERGIJOS KAINŲ BEI REZERVINĖS GALIOS UŽTIKRINIMO PASLAUGŲ KAINŲ NUSTATYMU" DocPartId="ccda40e6fc804e968c53eb0e464bf157" PartId="39b75314a7014674881e4913e5876567">
      <Part Type="punktas" Nr="36" Abbr="36 p." DocPartId="02cdb3c2472f4ec688bce3d6ed52eb53" PartId="84a648c37c054735baf820a0d64c4a13">
        <Part Type="papunktis" Nr="36.1" Abbr="36.1 pp." DocPartId="27cca1cbe1654fb8a103e3342f9e6b69" PartId="e1607aff42e443118e5e1d71dfaa1cf2"/>
        <Part Type="papunktis" Nr="36.2" Abbr="36.2 pp." DocPartId="6eded3e62961498186b63a3bdbc50664" PartId="2cdd5928eda1485d9b6484921d244825"/>
        <Part Type="papunktis" Nr="36.3" Abbr="36.3 pp." DocPartId="d115a47cd86f4d7b8a4d3c58bb007185" PartId="acc881794e894f1ea6a985c8298e5bb9"/>
        <Part Type="papunktis" Nr="36.4" Abbr="36.4 pp." DocPartId="3d80f772738043c19f41e494e9e00673" PartId="e68eb58573b444d7afbd834b97e80c76"/>
        <Part Type="papunktis" Nr="36.5" Abbr="36.5 pp." DocPartId="fc40e18004c04f44aa463cee5ce4e581" PartId="cd0d221a4d98468baa9fc92ca9fe3067"/>
        <Part Type="papunktis" Nr="36.6" Abbr="36.6 pp." DocPartId="e2ddb34eba9a460190deb08cfad8940e" PartId="971e564496f34adeaeb0299bb93f37c4"/>
      </Part>
      <Part Type="punktas" Nr="36-1" Abbr="36-1 p." DocPartId="d42e9430225d4ae193a79f0e3472a79f" PartId="e56d7953415a4e558df9403fbcfd9760">
        <Part Type="papunktis" Nr="36-1.1" Abbr="36-1.1 pp." DocPartId="2f267a3c25cc41ef97f0e7bc4a465cd7" PartId="be643063acbe4944bf9ae3f9e05b8b81"/>
        <Part Type="papunktis" Nr="36-1.2" Abbr="36-1.2 pp." DocPartId="f18c5838f657474ebc5f3dd2f4ede58e" PartId="7402516071f2478999bdefb55e11aa85"/>
        <Part Type="papunktis" Nr="36-1.3" Abbr="36-1.3 pp." DocPartId="0ead7647bf9a4b55849f81c9b45e7960" PartId="e1fa29e595ae45e587896d1f9329627b">
          <Part Type="papunktis" Nr="36-1.3.1" Abbr="36-1.3.1 pp." DocPartId="ec9a8065da1641fc8f675868a1705bfe" PartId="2621839571db49c19ac287d38dbe31d6"/>
          <Part Type="papunktis" Nr="36-1.3.2" Abbr="36-1.3.2 pp." DocPartId="37b8137f09454db6b730e68fa64fdcb2" PartId="1cd3d944c1f2433cbcdcfd38ed07af6d"/>
        </Part>
      </Part>
      <Part Type="punktas" Nr="36-2" Abbr="36-2 p." DocPartId="89f58fe5d9ba47ddbbc2583fc6e053d9" PartId="641d29eee5394e1ab2515952639bf92e"/>
    </Part>
    <Part Type="skyrius" Nr="7" Title="BAIGIAMOSIOS NUOSTATOS" DocPartId="d7ce42faca0c4238bff6086d904e1077" PartId="c595ad3bd32840d2ba31c41d0b0bd4f1">
      <Part Type="punktas" Nr="37" Abbr="37 p." DocPartId="d3df381f584d4365826795dec8d46714" PartId="245f24064ea649ef85c430fadc18cf10"/>
      <Part Type="punktas" Nr="38" Abbr="38 p." DocPartId="0d412af28b0d44e5b0240874bf036636" PartId="2b5875e9619a4db89ddf4e08dbd92791"/>
      <Part Type="punktas" Nr="39" Abbr="39 p." DocPartId="5d3496c83f684c688d6d678048a388b6" PartId="90d1b8f562f14c14bfd6468a71da7664"/>
    </Part>
    <Part Type="pabaiga" DocPartId="d9f9ddbfc2ac4709a62b91be42c37642" PartId="96efc26c76f94fac844cd6016f4accd0"/>
  </Part>
  <Part Type="priedas" Nr="3" Abbr="3 pr." Title="KINTAMŲJŲ SĄNAUDŲ ATASKAITA" DocPartId="f5046eb7f9d54f8cac3cd33e07c21d7f" PartId="c0f47581b42f4140ae6dba85c02f8846">
    <Part Type="pabaiga" DocPartId="08c0df67a63444f083d5b2b0be770f82" PartId="5f3d08123d504710aee7209fb855b276"/>
  </Part>
  <Part Type="priedas" Nr="4" Abbr="4 pr." DocPartId="f0a9934aa7a6481c98482f65ebc7c186" PartId="147aa4c94bb7454ebb56f6870bb373ce">
    <Part Type="pabaiga" DocPartId="72bdc4e2c87c4442be719a3d032e9181" PartId="f63d45cdfe3946aabcdede707aafc604"/>
  </Part>
  <Part Type="priedas" Nr="5" Abbr="5 pr." DocPartId="5cb665895e704c3586a413fa6667c6ca" PartId="d080346c2ef7434287fb883c4df5d92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EDC97B9-750F-49E0-A483-5DC01F044761}">
  <ds:schemaRefs>
    <ds:schemaRef ds:uri="http://lrs.lt/TAIS/DocParts"/>
  </ds:schemaRefs>
</ds:datastoreItem>
</file>

<file path=customXml/itemProps3.xml><?xml version="1.0" encoding="utf-8"?>
<ds:datastoreItem xmlns:ds="http://schemas.openxmlformats.org/officeDocument/2006/customXml" ds:itemID="{1DC0DAF4-0A20-4479-B1D5-E4A9CC4C0D7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124</TotalTime>
  <Pages>24</Pages>
  <Words>48980</Words>
  <Characters>27920</Characters>
  <Application>Microsoft Office Word</Application>
  <DocSecurity>0</DocSecurity>
  <Lines>232</Lines>
  <Paragraphs>153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VALSTYBINĖS KAINŲ IR ENERGETIKOS KONTROLĖS KOMISIJOS</vt:lpstr>
    </vt:vector>
  </TitlesOfParts>
  <Company>Teisines informacijos centras</Company>
  <LinksUpToDate>false</LinksUpToDate>
  <CharactersWithSpaces>76747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2015-07-05T00:26:00Z</dcterms:created>
  <dc:creator>Kamilija</dc:creator>
  <lastModifiedBy>ŠAULYTĖ SKAIRIENĖ Dalia</lastModifiedBy>
  <dcterms:modified xsi:type="dcterms:W3CDTF">2025-05-28T07:13:00Z</dcterms:modified>
  <revision>42</revision>
  <dc:title>VALSTYBINĖS KAINŲ IR ENERGETIKOS KONTROLĖS KOMISIJOS</dc:title>
</coreProperties>
</file>