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c817b042ace47ffa5e4effda5bb67bb"/>
        <w:lock w:val="sdtLocked"/>
        <w:richText/>
      </w:sdtPr>
      <w:sdtContent>
        <w:p>
          <w:pPr>
            <w:jc w:val="both"/>
            <w:rPr>
              <w:rFonts w:ascii="Times New Roman" w:hAnsi="Times New Roman"/>
            </w:rPr>
          </w:pPr>
          <w:r>
            <w:rPr>
              <w:rFonts w:ascii="Times New Roman" w:hAnsi="Times New Roman"/>
              <w:b/>
              <w:i/>
            </w:rPr>
            <w:t>Suvestinė redakcija nuo 2023-07-12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2012, Nr. </w:t>
          </w:r>
          <w:fldSimple w:instr="HYPERLINK https://www.e-tar.lt/portal/legalAct.html?documentId=TAR.FD63BC81FE5C">
            <w:r w:rsidRPr="00532B9F">
              <w:rPr>
                <w:rFonts w:ascii="Times New Roman" w:eastAsia="MS Mincho" w:hAnsi="Times New Roman"/>
                <w:sz w:val="20"/>
                <w:i/>
                <w:iCs/>
                <w:color w:val="0000FF" w:themeColor="hyperlink"/>
                <w:u w:val="single"/>
              </w:rPr>
              <w:t>91-4771</w:t>
            </w:r>
          </w:fldSimple>
          <w:r>
            <w:rPr>
              <w:rFonts w:ascii="Times New Roman" w:eastAsia="MS Mincho" w:hAnsi="Times New Roman"/>
              <w:sz w:val="20"/>
              <w:i/>
              <w:iCs/>
            </w:rPr>
            <w:t>, i. k. 112106ANUTA00O3-200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2021-09-01:</w:t>
          </w:r>
        </w:p>
        <w:p>
          <w:pPr>
            <w:rPr>
              <w:rFonts w:ascii="Times New Roman" w:hAnsi="Times New Roman"/>
              <w:sz w:val="20"/>
              <w:i/>
            </w:rPr>
          </w:pPr>
          <w:r>
            <w:rPr>
              <w:rFonts w:ascii="Times New Roman" w:hAnsi="Times New Roman"/>
              <w:sz w:val="20"/>
              <w:i/>
            </w:rPr>
            <w:t xml:space="preserve">Nr. </w:t>
          </w:r>
          <w:fldSimple w:instr="HYPERLINK https://www.e-tar.lt/portal/legalAct.html?documentId=76e0b2400a6311ec9f09e7df20500045">
            <w:r w:rsidRPr="00532B9F">
              <w:rPr>
                <w:rFonts w:ascii="Times New Roman" w:eastAsia="MS Mincho" w:hAnsi="Times New Roman"/>
                <w:sz w:val="20"/>
                <w:i/>
                <w:iCs/>
                <w:color w:val="0000FF" w:themeColor="hyperlink"/>
                <w:u w:val="single"/>
              </w:rPr>
              <w:t>O3E-1063</w:t>
            </w:r>
          </w:fldSimple>
          <w:r>
            <w:rPr>
              <w:rFonts w:ascii="Times New Roman" w:eastAsia="MS Mincho" w:hAnsi="Times New Roman"/>
              <w:sz w:val="20"/>
              <w:i/>
              <w:iCs/>
            </w:rPr>
            <w:t>,
2021-08-31,
paskelbta TAR 2021-08-31, i. k. 2021-18500                </w:t>
          </w:r>
        </w:p>
        <w:p>
          <w:pPr>
            <w:rPr>
              <w:rFonts w:ascii="Times New Roman" w:hAnsi="Times New Roman"/>
              <w:sz w:val="22"/>
            </w:rPr>
          </w:pPr>
        </w:p>
        <w:p>
          <w:pPr>
            <w:widowControl w:val="0"/>
            <w:jc w:val="center"/>
            <w:rPr>
              <w:b/>
              <w:szCs w:val="32"/>
              <w:lang w:eastAsia="lt-LT"/>
            </w:rPr>
          </w:pPr>
          <w:r>
            <w:rPr>
              <w:szCs w:val="32"/>
              <w:lang w:eastAsia="ko-KR"/>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2" name="Picture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32"/>
              <w:lang w:eastAsia="lt-LT"/>
            </w:rPr>
            <w:t>VALSTYBINĖ ENERGETIKOS REGULIAVIMO TARYBA</w:t>
          </w:r>
        </w:p>
        <w:p>
          <w:pPr>
            <w:widowControl w:val="0"/>
            <w:ind w:firstLine="709"/>
            <w:jc w:val="center"/>
            <w:rPr>
              <w:bCs/>
              <w:szCs w:val="32"/>
              <w:lang w:eastAsia="lt-LT"/>
            </w:rPr>
          </w:pPr>
        </w:p>
        <w:p>
          <w:pPr>
            <w:widowControl w:val="0"/>
            <w:jc w:val="center"/>
            <w:rPr>
              <w:b/>
              <w:szCs w:val="32"/>
              <w:lang w:eastAsia="lt-LT"/>
            </w:rPr>
          </w:pPr>
          <w:r>
            <w:rPr>
              <w:b/>
              <w:szCs w:val="32"/>
              <w:lang w:eastAsia="lt-LT"/>
            </w:rPr>
            <w:t>NUTARIMAS</w:t>
          </w:r>
        </w:p>
        <w:sdt>
          <w:sdtPr>
            <w:alias w:val="Pavadinimas"/>
            <w:tag w:val="title_5c817b042ace47ffa5e4effda5bb67bb"/>
            <w:lock w:val="sdtLocked"/>
            <w:richText/>
          </w:sdtPr>
          <w:sdtContent>
            <w:p>
              <w:pPr>
                <w:widowControl w:val="0"/>
                <w:jc w:val="center"/>
                <w:rPr>
                  <w:b/>
                  <w:szCs w:val="32"/>
                  <w:lang w:eastAsia="lt-LT"/>
                </w:rPr>
              </w:pPr>
              <w:r>
                <w:rPr>
                  <w:b/>
                  <w:szCs w:val="32"/>
                  <w:lang w:eastAsia="lt-LT"/>
                </w:rPr>
                <w:t xml:space="preserve">DĖL PAPILDOMŲ PASLAUGŲ ĮSIGIJIMO DEDAMOSIOS PRIE PERDAVIMO PASLAUGOS KAINOS NUSTATYMO METODIKOS PATVIRTINIMO </w:t>
              </w:r>
            </w:p>
          </w:sdtContent>
        </w:sdt>
        <w:p>
          <w:pPr>
            <w:ind w:firstLine="62"/>
            <w:rPr>
              <w:color w:val="000000"/>
              <w:szCs w:val="24"/>
              <w:lang w:eastAsia="lt-LT"/>
            </w:rPr>
          </w:pPr>
        </w:p>
        <w:p>
          <w:pPr>
            <w:ind w:firstLine="62"/>
            <w:jc w:val="center"/>
            <w:rPr>
              <w:color w:val="000000"/>
            </w:rPr>
          </w:pPr>
          <w:r>
            <w:rPr>
              <w:color w:val="000000"/>
            </w:rPr>
            <w:t>2012 m. liepos 27 d. Nr. O3-200</w:t>
          </w:r>
        </w:p>
        <w:p>
          <w:pPr>
            <w:ind w:firstLine="62"/>
            <w:jc w:val="center"/>
            <w:rPr>
              <w:color w:val="000000"/>
            </w:rPr>
          </w:pPr>
          <w:r>
            <w:rPr>
              <w:color w:val="000000"/>
            </w:rPr>
            <w:t>Vilnius</w:t>
          </w:r>
        </w:p>
        <w:p>
          <w:pPr>
            <w:ind w:firstLine="62"/>
            <w:jc w:val="center"/>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c2fa101ff411eeb233e8b04dc9bb3d">
            <w:r w:rsidRPr="00532B9F">
              <w:rPr>
                <w:rFonts w:ascii="Times New Roman" w:eastAsia="MS Mincho" w:hAnsi="Times New Roman"/>
                <w:sz w:val="20"/>
                <w:i/>
                <w:iCs/>
                <w:color w:val="0000FF" w:themeColor="hyperlink"/>
                <w:u w:val="single"/>
              </w:rPr>
              <w:t>O3E-910</w:t>
            </w:r>
          </w:fldSimple>
          <w:r>
            <w:rPr>
              <w:rFonts w:ascii="Times New Roman" w:eastAsia="MS Mincho" w:hAnsi="Times New Roman"/>
              <w:sz w:val="20"/>
              <w:i/>
              <w:iCs/>
            </w:rPr>
            <w:t>,
2023-07-11,
paskelbta TAR 2023-07-11, i. k. 2023-14372        </w:t>
          </w:r>
        </w:p>
        <w:p/>
        <w:sdt>
          <w:sdtPr>
            <w:alias w:val="preambule"/>
            <w:tag w:val="part_a912b1a20fdd4eb9a70e131357c2ebab"/>
            <w:lock w:val="sdtLocked"/>
            <w:richText/>
          </w:sdtPr>
          <w:sdtContent>
            <w:p>
              <w:pPr>
                <w:ind w:firstLine="567"/>
                <w:jc w:val="both"/>
                <w:rPr>
                  <w:color w:val="000000"/>
                  <w:spacing w:val="-3"/>
                  <w:szCs w:val="24"/>
                  <w:lang w:eastAsia="lt-LT"/>
                </w:rPr>
              </w:pPr>
              <w:r>
                <w:rPr>
                  <w:color w:val="000000"/>
                  <w:szCs w:val="24"/>
                  <w:lang w:eastAsia="lt-LT"/>
                </w:rPr>
                <w:t xml:space="preserve">Vadovaudamasi Lietuvos Respublikos energetikos įstatymo 8 straipsnio 11 dalies </w:t>
                <w:br/>
                <w:t xml:space="preserve">2 punktu, Lietuvos Respublikos elektros energetikos įstatymo 9 straipsnio 3 dalies 4 punktu, </w:t>
                <w:br/>
                <w:t>69 straipsnio 17 dalimi</w:t>
              </w:r>
              <w:r>
                <w:rPr>
                  <w:color w:val="000000"/>
                  <w:spacing w:val="-3"/>
                  <w:szCs w:val="24"/>
                  <w:lang w:eastAsia="lt-LT"/>
                </w:rPr>
                <w:t> ir atsižvelgdama </w:t>
              </w:r>
              <w:r>
                <w:rPr>
                  <w:color w:val="000000"/>
                  <w:szCs w:val="24"/>
                  <w:lang w:eastAsia="lt-LT"/>
                </w:rPr>
                <w:t>į </w:t>
              </w:r>
              <w:r>
                <w:rPr>
                  <w:color w:val="000000"/>
                  <w:spacing w:val="-3"/>
                  <w:szCs w:val="24"/>
                  <w:lang w:eastAsia="lt-LT"/>
                </w:rPr>
                <w:t xml:space="preserve">Valstybinės energetikos reguliavimo tarybos </w:t>
                <w:br/>
                <w:t>(toliau – Taryba)</w:t>
              </w:r>
              <w:r>
                <w:rPr>
                  <w:color w:val="000000"/>
                  <w:szCs w:val="24"/>
                  <w:lang w:eastAsia="lt-LT"/>
                </w:rPr>
                <w:t> Dujų ir elektros departamento Elektros skyriaus 2012 m. liepos 19 d. pažymą Nr. O5-175 „Dėl elektros energijos sisteminių paslaugų kainos nustatymo metodikos patvirtinimo“, </w:t>
              </w:r>
              <w:r>
                <w:rPr>
                  <w:color w:val="000000"/>
                  <w:spacing w:val="-3"/>
                  <w:szCs w:val="24"/>
                  <w:lang w:eastAsia="lt-LT"/>
                </w:rPr>
                <w:t>Taryba</w:t>
              </w:r>
              <w:r>
                <w:rPr>
                  <w:color w:val="000000"/>
                  <w:szCs w:val="24"/>
                  <w:lang w:eastAsia="lt-LT"/>
                </w:rPr>
                <w:t xml:space="preserve"> n u t a r i a:</w:t>
              </w:r>
            </w:p>
          </w:sdtContent>
        </w:sdt>
        <w:sdt>
          <w:sdtPr>
            <w:alias w:val="pastraipa"/>
            <w:tag w:val="part_148e464b9d7f45e185820d38743d2846"/>
            <w:lock w:val="sdtLocked"/>
            <w:richText/>
          </w:sdtPr>
          <w:sdtContent>
            <w:p>
              <w:pPr>
                <w:ind w:firstLine="567"/>
                <w:jc w:val="both"/>
              </w:pPr>
              <w:r>
                <w:rPr>
                  <w:color w:val="000000"/>
                  <w:szCs w:val="24"/>
                  <w:lang w:eastAsia="lt-LT"/>
                </w:rPr>
                <w:t>Patvirtinti Papildomų paslaugų įsigijimo dedamosios prie perdavimo paslaugos kainos nustatymo metodiką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c2fa101ff411eeb233e8b04dc9bb3d">
                <w:r w:rsidRPr="00532B9F">
                  <w:rPr>
                    <w:rFonts w:ascii="Times New Roman" w:eastAsia="MS Mincho" w:hAnsi="Times New Roman"/>
                    <w:sz w:val="20"/>
                    <w:i/>
                    <w:iCs/>
                    <w:color w:val="0000FF" w:themeColor="hyperlink"/>
                    <w:u w:val="single"/>
                  </w:rPr>
                  <w:t>O3E-910</w:t>
                </w:r>
              </w:fldSimple>
              <w:r>
                <w:rPr>
                  <w:rFonts w:ascii="Times New Roman" w:eastAsia="MS Mincho" w:hAnsi="Times New Roman"/>
                  <w:sz w:val="20"/>
                  <w:i/>
                  <w:iCs/>
                </w:rPr>
                <w:t>,
2023-07-11,
paskelbta TAR 2023-07-11, i. k. 2023-14372            </w:t>
              </w:r>
            </w:p>
            <w:p/>
          </w:sdtContent>
        </w:sdt>
        <w:sdt>
          <w:sdtPr>
            <w:alias w:val="signatura"/>
            <w:tag w:val="part_5b01d0a120e64539b6f8d4233b164829"/>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Komisijos pirmininkė</w:t>
                <w:tab/>
                <w:t>Diana Korsakaitė</w:t>
              </w:r>
            </w:p>
            <w:p>
              <w:pPr>
                <w:keepLines/>
                <w:widowControl w:val="0"/>
                <w:suppressAutoHyphens/>
                <w:ind w:left="5953"/>
                <w:rPr>
                  <w:color w:val="000000"/>
                </w:rPr>
              </w:pPr>
            </w:p>
          </w:sdtContent>
        </w:sdt>
        <w:p/>
      </w:sdtContent>
    </w:sdt>
    <w:sdt>
      <w:sdtPr>
        <w:alias w:val="patvirtinta"/>
        <w:tag w:val="part_cd6cd0ef202348e1a9e93d95b4ea3cde"/>
        <w:lock w:val="sdtLocked"/>
        <w:richText/>
      </w:sdtPr>
      <w:sdtContent>
        <w:p>
          <w:pPr>
            <w:tabs>
              <w:tab w:val="left" w:pos="709"/>
              <w:tab w:val="left" w:pos="1276"/>
            </w:tabs>
            <w:ind w:left="3828"/>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1134" w:bottom="1134" w:left="1701" w:header="709" w:footer="709" w:gutter="0"/>
              <w:cols w:space="708"/>
              <w:titlePg/>
              <w:docGrid w:linePitch="326"/>
            </w:sectPr>
          </w:pPr>
        </w:p>
        <w:p>
          <w:pPr>
            <w:tabs>
              <w:tab w:val="left" w:pos="709"/>
              <w:tab w:val="left" w:pos="1276"/>
            </w:tabs>
            <w:ind w:left="5103"/>
            <w:rPr>
              <w:szCs w:val="24"/>
            </w:rPr>
          </w:pPr>
          <w:r>
            <w:rPr>
              <w:szCs w:val="24"/>
            </w:rPr>
            <w:t>PATVIRTINTA</w:t>
          </w:r>
        </w:p>
        <w:p>
          <w:pPr>
            <w:tabs>
              <w:tab w:val="left" w:pos="709"/>
              <w:tab w:val="left" w:pos="1276"/>
            </w:tabs>
            <w:ind w:left="5103"/>
            <w:rPr>
              <w:szCs w:val="24"/>
            </w:rPr>
          </w:pPr>
          <w:r>
            <w:rPr>
              <w:szCs w:val="24"/>
            </w:rPr>
            <w:t>Valstybinės energetikos reguliavimo tarybos</w:t>
          </w:r>
        </w:p>
        <w:p>
          <w:pPr>
            <w:tabs>
              <w:tab w:val="left" w:pos="709"/>
              <w:tab w:val="left" w:pos="1276"/>
            </w:tabs>
            <w:ind w:left="5103"/>
            <w:rPr>
              <w:szCs w:val="24"/>
            </w:rPr>
          </w:pPr>
          <w:r>
            <w:rPr>
              <w:szCs w:val="24"/>
            </w:rPr>
            <w:t xml:space="preserve">2012 m. liepos 27 d. nutarimu Nr. O3-200 </w:t>
          </w:r>
        </w:p>
        <w:p>
          <w:pPr>
            <w:tabs>
              <w:tab w:val="left" w:pos="709"/>
              <w:tab w:val="left" w:pos="1276"/>
            </w:tabs>
            <w:ind w:left="5103"/>
            <w:rPr>
              <w:szCs w:val="24"/>
            </w:rPr>
          </w:pPr>
          <w:r>
            <w:rPr>
              <w:szCs w:val="24"/>
            </w:rPr>
            <w:t xml:space="preserve">(Valstybinės energetikos reguliavimo tarybos </w:t>
          </w:r>
        </w:p>
        <w:p>
          <w:pPr>
            <w:tabs>
              <w:tab w:val="left" w:pos="709"/>
              <w:tab w:val="left" w:pos="1276"/>
            </w:tabs>
            <w:ind w:left="5103"/>
          </w:pPr>
          <w:r>
            <w:t>2023 m. liepos 11 d.</w:t>
          </w:r>
          <w:r>
            <w:rPr>
              <w:szCs w:val="24"/>
            </w:rPr>
            <w:t xml:space="preserve"> nutarimo</w:t>
          </w:r>
          <w:r>
            <w:t xml:space="preserve"> Nr. O3E-910</w:t>
          </w:r>
        </w:p>
        <w:p>
          <w:pPr>
            <w:tabs>
              <w:tab w:val="left" w:pos="709"/>
              <w:tab w:val="left" w:pos="1276"/>
            </w:tabs>
            <w:ind w:left="5103"/>
            <w:rPr>
              <w:szCs w:val="24"/>
            </w:rPr>
          </w:pPr>
          <w:r>
            <w:rPr>
              <w:szCs w:val="24"/>
            </w:rPr>
            <w:t>redakcija)</w:t>
          </w:r>
        </w:p>
        <w:p>
          <w:pPr>
            <w:keepLines/>
            <w:widowControl w:val="0"/>
            <w:suppressAutoHyphens/>
            <w:ind w:left="4535"/>
            <w:rPr>
              <w:color w:val="000000"/>
            </w:rPr>
          </w:pPr>
        </w:p>
        <w:p>
          <w:pPr>
            <w:keepLines/>
            <w:widowControl w:val="0"/>
            <w:suppressAutoHyphens/>
            <w:jc w:val="center"/>
            <w:rPr>
              <w:b/>
              <w:bCs/>
              <w:caps/>
              <w:color w:val="000000"/>
            </w:rPr>
          </w:pPr>
          <w:sdt>
            <w:sdtPr>
              <w:alias w:val="Pavadinimas"/>
              <w:tag w:val="title_cd6cd0ef202348e1a9e93d95b4ea3cde"/>
              <w:lock w:val="sdtLocked"/>
              <w:richText/>
            </w:sdtPr>
            <w:sdtContent>
              <w:r>
                <w:rPr>
                  <w:b/>
                  <w:bCs/>
                  <w:caps/>
                  <w:color w:val="000000"/>
                </w:rPr>
                <w:t>papildomų paslaugų įsigijimo dedamosios prie perdavimo paslaugos kainos NUSTATYMO METODIKA</w:t>
              </w:r>
            </w:sdtContent>
          </w:sdt>
        </w:p>
        <w:p>
          <w:pPr>
            <w:keepLines/>
            <w:widowControl w:val="0"/>
            <w:suppressAutoHyphens/>
            <w:jc w:val="center"/>
            <w:rPr>
              <w:b/>
              <w:bCs/>
              <w:caps/>
              <w:color w:val="000000"/>
            </w:rPr>
          </w:pPr>
        </w:p>
        <w:sdt>
          <w:sdtPr>
            <w:alias w:val="skyrius"/>
            <w:tag w:val="part_75930255026a4b2ead554cae56467ba9"/>
            <w:lock w:val="sdtLocked"/>
            <w:richText/>
          </w:sdtPr>
          <w:sdtContent>
            <w:p>
              <w:pPr>
                <w:keepLines/>
                <w:widowControl w:val="0"/>
                <w:suppressAutoHyphens/>
                <w:jc w:val="center"/>
                <w:rPr>
                  <w:b/>
                  <w:bCs/>
                  <w:caps/>
                  <w:color w:val="000000"/>
                </w:rPr>
              </w:pPr>
              <w:sdt>
                <w:sdtPr>
                  <w:alias w:val="Numeris"/>
                  <w:tag w:val="nr_75930255026a4b2ead554cae56467ba9"/>
                  <w:lock w:val="sdtLocked"/>
                  <w:richText/>
                </w:sdtPr>
                <w:sdtContent>
                  <w:r>
                    <w:rPr>
                      <w:b/>
                      <w:bCs/>
                      <w:caps/>
                      <w:color w:val="000000"/>
                    </w:rPr>
                    <w:t>I</w:t>
                  </w:r>
                </w:sdtContent>
              </w:sdt>
              <w:r>
                <w:rPr>
                  <w:b/>
                  <w:bCs/>
                  <w:caps/>
                  <w:color w:val="000000"/>
                </w:rPr>
                <w:t xml:space="preserve"> SKYRIUS</w:t>
              </w:r>
            </w:p>
            <w:p>
              <w:pPr>
                <w:keepLines/>
                <w:widowControl w:val="0"/>
                <w:suppressAutoHyphens/>
                <w:jc w:val="center"/>
                <w:rPr>
                  <w:b/>
                  <w:bCs/>
                  <w:caps/>
                  <w:color w:val="000000"/>
                </w:rPr>
              </w:pPr>
              <w:sdt>
                <w:sdtPr>
                  <w:alias w:val="Pavadinimas"/>
                  <w:tag w:val="title_75930255026a4b2ead554cae56467ba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e7fb1bbc418e46da898d925adcf27cab"/>
                <w:lock w:val="sdtLocked"/>
                <w:richText/>
              </w:sdtPr>
              <w:sdtContent>
                <w:p>
                  <w:pPr>
                    <w:widowControl w:val="0"/>
                    <w:suppressAutoHyphens/>
                    <w:ind w:firstLine="567"/>
                    <w:jc w:val="both"/>
                    <w:rPr>
                      <w:color w:val="000000"/>
                    </w:rPr>
                  </w:pPr>
                  <w:sdt>
                    <w:sdtPr>
                      <w:alias w:val="Numeris"/>
                      <w:tag w:val="nr_e7fb1bbc418e46da898d925adcf27cab"/>
                      <w:lock w:val="sdtLocked"/>
                      <w:richText/>
                    </w:sdtPr>
                    <w:sdtContent>
                      <w:r>
                        <w:rPr>
                          <w:color w:val="000000"/>
                        </w:rPr>
                        <w:t>1</w:t>
                      </w:r>
                    </w:sdtContent>
                  </w:sdt>
                  <w:r>
                    <w:rPr>
                      <w:color w:val="000000"/>
                    </w:rPr>
                    <w:t>. Papildomų paslaugų įsigijimo dedamosios prie perdavimo paslaugos kainos nustatymo metodika (toliau – Metodika) reglamentuoja balansavimo ir su dažnio reguliavimu nesusijusių papildomų paslaugų (toliau kartu – Papildomos paslaugos) įsigijimo dedamosios prie perdavimo paslaugos kainos nustatymo tvarką.</w:t>
                  </w:r>
                </w:p>
              </w:sdtContent>
            </w:sdt>
            <w:sdt>
              <w:sdtPr>
                <w:alias w:val="2 p."/>
                <w:tag w:val="part_498e060be75a48de9b0883f094ee7c9a"/>
                <w:lock w:val="sdtLocked"/>
                <w:richText/>
              </w:sdtPr>
              <w:sdtContent>
                <w:p>
                  <w:pPr>
                    <w:widowControl w:val="0"/>
                    <w:suppressAutoHyphens/>
                    <w:ind w:firstLine="567"/>
                    <w:jc w:val="both"/>
                    <w:rPr>
                      <w:color w:val="000000"/>
                    </w:rPr>
                  </w:pPr>
                  <w:sdt>
                    <w:sdtPr>
                      <w:alias w:val="Numeris"/>
                      <w:tag w:val="nr_498e060be75a48de9b0883f094ee7c9a"/>
                      <w:lock w:val="sdtLocked"/>
                      <w:richText/>
                    </w:sdtPr>
                    <w:sdtContent>
                      <w:r>
                        <w:rPr>
                          <w:color w:val="000000"/>
                        </w:rPr>
                        <w:t>2</w:t>
                      </w:r>
                    </w:sdtContent>
                  </w:sdt>
                  <w:r>
                    <w:rPr>
                      <w:color w:val="000000"/>
                    </w:rPr>
                    <w:t>. Vadovaudamasi Metodika Valstybinė energetikos reguliavimo taryba (toliau – Taryba) nustato perdavimo sistemos operatoriaus Papildomų paslaugų, kurios yra būtinos perdavimo sistemos operatoriaus elektros energetikos sistemos valdymo ir darbo užtikrinimo paslaugoms (galios ir dažnio valdymas, reaktyviosios galios ir įtampos valdymas, avarijų, sutrikimų prevencija ir jų likvidavimas, elektros energetikos sistemos operatyvinis valdymas, izoliuoto elektros energetikos sistemos darbo užtikrinimas) (toliau – PSO paslaugos) teikti, įsigijimo dedamosios prie perdavimo paslaugos kainos dydį.</w:t>
                  </w:r>
                </w:p>
              </w:sdtContent>
            </w:sdt>
            <w:sdt>
              <w:sdtPr>
                <w:alias w:val="3 p."/>
                <w:tag w:val="part_6db2988d36a74410b29e37b715e85cae"/>
                <w:lock w:val="sdtLocked"/>
                <w:richText/>
              </w:sdtPr>
              <w:sdtContent>
                <w:p>
                  <w:pPr>
                    <w:widowControl w:val="0"/>
                    <w:suppressAutoHyphens/>
                    <w:ind w:firstLine="567"/>
                    <w:jc w:val="both"/>
                    <w:rPr>
                      <w:color w:val="000000"/>
                    </w:rPr>
                  </w:pPr>
                  <w:sdt>
                    <w:sdtPr>
                      <w:alias w:val="Numeris"/>
                      <w:tag w:val="nr_6db2988d36a74410b29e37b715e85cae"/>
                      <w:lock w:val="sdtLocked"/>
                      <w:richText/>
                    </w:sdtPr>
                    <w:sdtContent>
                      <w:r>
                        <w:rPr>
                          <w:color w:val="000000"/>
                        </w:rPr>
                        <w:t>3</w:t>
                      </w:r>
                    </w:sdtContent>
                  </w:sdt>
                  <w:r>
                    <w:rPr>
                      <w:color w:val="000000"/>
                    </w:rPr>
                    <w:t>. Metodikos tikslas – nustatyti skaidrius, objektyvius ir nediskriminuojančius principus papildomų paslaugų įsigijimo dedamajai prie perdavimo paslaugos kainos nustatyti.</w:t>
                  </w:r>
                </w:p>
              </w:sdtContent>
            </w:sdt>
            <w:sdt>
              <w:sdtPr>
                <w:alias w:val="4 p."/>
                <w:tag w:val="part_5599f8d766b54488b407ae0d5ac4f2dc"/>
                <w:lock w:val="sdtLocked"/>
                <w:richText/>
              </w:sdtPr>
              <w:sdtContent>
                <w:p>
                  <w:pPr>
                    <w:widowControl w:val="0"/>
                    <w:suppressAutoHyphens/>
                    <w:ind w:firstLine="567"/>
                    <w:jc w:val="both"/>
                    <w:rPr>
                      <w:color w:val="000000"/>
                    </w:rPr>
                  </w:pPr>
                  <w:sdt>
                    <w:sdtPr>
                      <w:alias w:val="Numeris"/>
                      <w:tag w:val="nr_5599f8d766b54488b407ae0d5ac4f2dc"/>
                      <w:lock w:val="sdtLocked"/>
                      <w:richText/>
                    </w:sdtPr>
                    <w:sdtContent>
                      <w:r>
                        <w:rPr>
                          <w:color w:val="000000"/>
                        </w:rPr>
                        <w:t>4</w:t>
                      </w:r>
                    </w:sdtContent>
                  </w:sdt>
                  <w:r>
                    <w:rPr>
                      <w:color w:val="000000"/>
                    </w:rPr>
                    <w:t xml:space="preserve">. Metodika parengta vadovaujantis Lietuvos Respublikos energetikos įstatymo </w:t>
                    <w:br/>
                    <w:t>8 straipsnio 11 dalies 2 punktu, Lietuvos Respublikos elektros energetikos įstatymo 9 straipsnio 3 dalies 4 punktu.</w:t>
                  </w:r>
                </w:p>
              </w:sdtContent>
            </w:sdt>
            <w:sdt>
              <w:sdtPr>
                <w:alias w:val="5 p."/>
                <w:tag w:val="part_40ccdd26c23a4717be9d8e675798e4dc"/>
                <w:lock w:val="sdtLocked"/>
                <w:richText/>
              </w:sdtPr>
              <w:sdtContent>
                <w:p>
                  <w:pPr>
                    <w:widowControl w:val="0"/>
                    <w:suppressAutoHyphens/>
                    <w:ind w:firstLine="567"/>
                    <w:jc w:val="both"/>
                    <w:rPr>
                      <w:color w:val="000000"/>
                    </w:rPr>
                  </w:pPr>
                  <w:sdt>
                    <w:sdtPr>
                      <w:alias w:val="Numeris"/>
                      <w:tag w:val="nr_40ccdd26c23a4717be9d8e675798e4dc"/>
                      <w:lock w:val="sdtLocked"/>
                      <w:richText/>
                    </w:sdtPr>
                    <w:sdtContent>
                      <w:r>
                        <w:rPr>
                          <w:color w:val="000000"/>
                        </w:rPr>
                        <w:t>5</w:t>
                      </w:r>
                    </w:sdtContent>
                  </w:sdt>
                  <w:r>
                    <w:rPr>
                      <w:color w:val="000000"/>
                    </w:rPr>
                    <w:t>. Metodikoje vartojamos sąvokos suprantamos taip, kaip jos apibrėžtos Energetikos įstatyme, Elektros energetikos įstatyme, Lietuvos Respublikos elektros energetikos sistemos sujungimo su kontinentinės Europos elektros tinklais darbui sinchroniniu režimu įstatyme (toliau – Sinchronizacijos įstatyme), Elektros energetikos įmonių apskaitos atskyrimo ir sąnaudų paskirstymo reikalavimų apraše, patvirtintame Tarybos 2018 m. gruodžio 21 d. nutarimu Nr. O3E-468 „Dėl Elektros energetikos įmonių apskaitos atskyrimo ir sąnaudų paskirstymo reikalavimų aprašo patvirtinimo“, Elektros tinklų naudojimo taisyklėse, patvirtintose Lietuvos Respublikos energetikos ministro 2012 m. birželio 18 d.įsakymu Nr. 1-116 „Dėl Elektros tinklų naudojimo taisyklių patvirtinimo“, Prekybos su dažnio reguliavimu nesusijusiomis papildomomis paslaugomis tvarkos apraše, patvirtintame Tarybos 2022  m. lapkričio 25 d. nutarimu Nr. O3E-1614 „Dėl Prekybos su dažnio reguliavimu nesusijusiomis papildomomis paslaugomis tvarkos aprašo patvirtinimo“.</w:t>
                  </w:r>
                </w:p>
                <w:p>
                  <w:pPr>
                    <w:widowControl w:val="0"/>
                    <w:suppressAutoHyphens/>
                    <w:ind w:firstLine="567"/>
                    <w:jc w:val="both"/>
                    <w:rPr>
                      <w:color w:val="000000"/>
                    </w:rPr>
                  </w:pPr>
                </w:p>
              </w:sdtContent>
            </w:sdt>
          </w:sdtContent>
        </w:sdt>
        <w:sdt>
          <w:sdtPr>
            <w:alias w:val="skyrius"/>
            <w:tag w:val="part_eecf0d6fac394e5385476e2f92acab6b"/>
            <w:lock w:val="sdtLocked"/>
            <w:richText/>
          </w:sdtPr>
          <w:sdtContent>
            <w:p>
              <w:pPr>
                <w:keepLines/>
                <w:widowControl w:val="0"/>
                <w:suppressAutoHyphens/>
                <w:jc w:val="center"/>
                <w:rPr>
                  <w:b/>
                  <w:bCs/>
                  <w:caps/>
                  <w:color w:val="000000"/>
                </w:rPr>
              </w:pPr>
              <w:sdt>
                <w:sdtPr>
                  <w:alias w:val="Numeris"/>
                  <w:tag w:val="nr_eecf0d6fac394e5385476e2f92acab6b"/>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sdt>
                <w:sdtPr>
                  <w:alias w:val="Pavadinimas"/>
                  <w:tag w:val="title_eecf0d6fac394e5385476e2f92acab6b"/>
                  <w:lock w:val="sdtLocked"/>
                  <w:richText/>
                </w:sdtPr>
                <w:sdtContent>
                  <w:r>
                    <w:rPr>
                      <w:b/>
                      <w:bCs/>
                      <w:caps/>
                      <w:color w:val="000000"/>
                    </w:rPr>
                    <w:t>PAPILDOMŲ PASLAUGŲ ĮSIGIJIMO DEDAMOSIOS PRIE PERDAVIMO PASLAUGOS KAINOS NUSTATYMO TVARKA</w:t>
                  </w:r>
                </w:sdtContent>
              </w:sdt>
            </w:p>
            <w:p>
              <w:pPr>
                <w:keepLines/>
                <w:widowControl w:val="0"/>
                <w:suppressAutoHyphens/>
                <w:jc w:val="center"/>
                <w:rPr>
                  <w:b/>
                  <w:bCs/>
                  <w:caps/>
                  <w:color w:val="000000"/>
                </w:rPr>
              </w:pPr>
            </w:p>
            <w:p>
              <w:pPr>
                <w:widowControl w:val="0"/>
                <w:suppressAutoHyphens/>
                <w:ind w:firstLine="567"/>
                <w:jc w:val="both"/>
                <w:rPr>
                  <w:color w:val="000000"/>
                </w:rPr>
              </w:pPr>
            </w:p>
            <w:sdt>
              <w:sdtPr>
                <w:alias w:val="6 p."/>
                <w:tag w:val="part_e0b61e90ac904f8aa4560b145970722f"/>
                <w:lock w:val="sdtLocked"/>
                <w:richText/>
              </w:sdtPr>
              <w:sdtContent>
                <w:p>
                  <w:pPr>
                    <w:widowControl w:val="0"/>
                    <w:suppressAutoHyphens/>
                    <w:ind w:firstLine="567"/>
                    <w:jc w:val="both"/>
                    <w:rPr>
                      <w:color w:val="000000"/>
                    </w:rPr>
                  </w:pPr>
                  <w:sdt>
                    <w:sdtPr>
                      <w:alias w:val="Numeris"/>
                      <w:tag w:val="nr_e0b61e90ac904f8aa4560b145970722f"/>
                      <w:lock w:val="sdtLocked"/>
                      <w:richText/>
                    </w:sdtPr>
                    <w:sdtContent>
                      <w:r>
                        <w:rPr>
                          <w:color w:val="000000"/>
                        </w:rPr>
                        <w:t>6</w:t>
                      </w:r>
                    </w:sdtContent>
                  </w:sdt>
                  <w:r>
                    <w:rPr>
                      <w:color w:val="000000"/>
                    </w:rPr>
                    <w:t>. Papildomų paslaugų įsigijimo dedamoji prie perdavimo paslaugos kainos t metams yra nustatoma pagal formulę:</w:t>
                  </w:r>
                </w:p>
                <w:p>
                  <w:pPr>
                    <w:widowControl w:val="0"/>
                    <w:suppressAutoHyphens/>
                    <w:ind w:firstLine="567"/>
                    <w:jc w:val="both"/>
                    <w:rPr>
                      <w:color w:val="000000"/>
                    </w:rPr>
                  </w:pPr>
                </w:p>
                <w:p>
                  <w:pPr>
                    <w:widowControl w:val="0"/>
                    <w:suppressAutoHyphens/>
                    <w:ind w:firstLine="567"/>
                    <w:jc w:val="both"/>
                    <w:rPr>
                      <w:color w:val="000000"/>
                      <w:lang w:val="en-GB"/>
                    </w:rPr>
                  </w:pPr>
                  <w:r>
                    <w:rPr>
                      <w:i/>
                      <w:iCs/>
                      <w:color w:val="000000"/>
                    </w:rPr>
                    <w:t>PPD</w:t>
                  </w:r>
                  <w:r>
                    <w:rPr>
                      <w:i/>
                      <w:iCs/>
                      <w:color w:val="000000"/>
                      <w:vertAlign w:val="subscript"/>
                    </w:rPr>
                    <w:t>t</w:t>
                  </w:r>
                  <w:r>
                    <w:rPr>
                      <w:i/>
                      <w:iCs/>
                      <w:color w:val="000000"/>
                      <w:lang w:val="en-GB"/>
                    </w:rPr>
                    <w:t xml:space="preserve">= </w:t>
                  </w:r>
                  <w:r>
                    <w:rPr>
                      <w:i/>
                      <w:iCs/>
                      <w:color w:val="000000"/>
                    </w:rPr>
                    <w:t>P</w:t>
                  </w:r>
                  <w:r>
                    <w:rPr>
                      <w:i/>
                      <w:iCs/>
                      <w:color w:val="000000"/>
                      <w:vertAlign w:val="subscript"/>
                    </w:rPr>
                    <w:t xml:space="preserve">t, Tarybos nustatytas </w:t>
                  </w:r>
                  <w:r>
                    <w:rPr>
                      <w:i/>
                      <w:iCs/>
                      <w:color w:val="000000"/>
                    </w:rPr>
                    <w:t>/ Q</w:t>
                  </w:r>
                  <w:r>
                    <w:rPr>
                      <w:i/>
                      <w:iCs/>
                      <w:color w:val="000000"/>
                      <w:vertAlign w:val="subscript"/>
                    </w:rPr>
                    <w:t>t</w:t>
                  </w:r>
                  <w:r>
                    <w:rPr>
                      <w:color w:val="000000"/>
                    </w:rPr>
                    <w:t xml:space="preserve">; </w:t>
                    <w:tab/>
                    <w:tab/>
                    <w:tab/>
                    <w:tab/>
                    <w:tab/>
                    <w:tab/>
                    <w:tab/>
                    <w:t>(1)</w:t>
                  </w:r>
                </w:p>
                <w:p>
                  <w:pPr>
                    <w:widowControl w:val="0"/>
                    <w:suppressAutoHyphens/>
                    <w:ind w:firstLine="567"/>
                    <w:jc w:val="both"/>
                    <w:rPr>
                      <w:i/>
                      <w:iCs/>
                      <w:color w:val="000000"/>
                    </w:rPr>
                  </w:pPr>
                </w:p>
                <w:p>
                  <w:pPr>
                    <w:widowControl w:val="0"/>
                    <w:suppressAutoHyphens/>
                    <w:ind w:firstLine="567"/>
                    <w:jc w:val="both"/>
                    <w:rPr>
                      <w:i/>
                      <w:iCs/>
                      <w:color w:val="000000"/>
                    </w:rPr>
                  </w:pPr>
                  <w:r>
                    <w:rPr>
                      <w:i/>
                      <w:iCs/>
                      <w:color w:val="000000"/>
                    </w:rPr>
                    <w:t>čia:</w:t>
                  </w:r>
                </w:p>
                <w:p>
                  <w:pPr>
                    <w:widowControl w:val="0"/>
                    <w:suppressAutoHyphens/>
                    <w:ind w:firstLine="567"/>
                    <w:jc w:val="both"/>
                  </w:pPr>
                  <w:r>
                    <w:rPr>
                      <w:i/>
                      <w:iCs/>
                      <w:color w:val="000000"/>
                    </w:rPr>
                    <w:t>PPD</w:t>
                  </w:r>
                  <w:r>
                    <w:rPr>
                      <w:i/>
                      <w:iCs/>
                      <w:color w:val="000000"/>
                      <w:vertAlign w:val="subscript"/>
                    </w:rPr>
                    <w:t xml:space="preserve">t </w:t>
                  </w:r>
                  <w:r>
                    <w:t xml:space="preserve"> – papildomų paslaugų įsigijimo dedamoji prie perdavimo paslaugos kainos t metams, Eur/kWh;</w:t>
                  </w:r>
                </w:p>
                <w:p>
                  <w:pPr>
                    <w:widowControl w:val="0"/>
                    <w:suppressAutoHyphens/>
                    <w:ind w:firstLine="567"/>
                    <w:jc w:val="both"/>
                  </w:pPr>
                  <w:r>
                    <w:rPr>
                      <w:i/>
                      <w:iCs/>
                      <w:color w:val="000000"/>
                    </w:rPr>
                    <w:t>P</w:t>
                  </w:r>
                  <w:r>
                    <w:rPr>
                      <w:i/>
                      <w:iCs/>
                      <w:color w:val="000000"/>
                      <w:vertAlign w:val="subscript"/>
                    </w:rPr>
                    <w:t xml:space="preserve">t, Tarybos nustatytas </w:t>
                  </w:r>
                  <w:r>
                    <w:t>– Tarybos nustatytos perdavimo sistemos operatoriaus PSO paslaugų prognozuojamos pajamos t metams, Eur;</w:t>
                  </w:r>
                </w:p>
                <w:p>
                  <w:pPr>
                    <w:widowControl w:val="0"/>
                    <w:suppressAutoHyphens/>
                    <w:ind w:firstLine="567"/>
                    <w:jc w:val="both"/>
                  </w:pPr>
                  <w:r>
                    <w:rPr>
                      <w:i/>
                      <w:iCs/>
                      <w:color w:val="000000"/>
                    </w:rPr>
                    <w:t>Q</w:t>
                  </w:r>
                  <w:r>
                    <w:rPr>
                      <w:i/>
                      <w:iCs/>
                      <w:color w:val="000000"/>
                      <w:vertAlign w:val="subscript"/>
                    </w:rPr>
                    <w:t>t</w:t>
                  </w:r>
                  <w:r>
                    <w:rPr>
                      <w:color w:val="000000"/>
                    </w:rPr>
                    <w:t xml:space="preserve">; </w:t>
                  </w:r>
                  <w:r>
                    <w:t>– perdavimo sistemos operatoriaus prognozuojamas perdavimo tinklo naudotojų suvartotas elektros energijos kiekis per t kalendorinius metus, kuriam taikytina papildomų paslaugų įsigijimo dedamoji prie perdavimo paslaugos kainos per t kalendorinius metus, kWh.</w:t>
                  </w:r>
                </w:p>
                <w:p>
                  <w:pPr>
                    <w:widowControl w:val="0"/>
                    <w:suppressAutoHyphens/>
                    <w:jc w:val="both"/>
                    <w:rPr>
                      <w:color w:val="000000"/>
                    </w:rPr>
                  </w:pPr>
                </w:p>
              </w:sdtContent>
            </w:sdt>
            <w:sdt>
              <w:sdtPr>
                <w:alias w:val="7 p."/>
                <w:tag w:val="part_164876fe96364228bff6f3ea904e0ceb"/>
                <w:lock w:val="sdtLocked"/>
                <w:richText/>
              </w:sdtPr>
              <w:sdtContent>
                <w:p>
                  <w:pPr>
                    <w:widowControl w:val="0"/>
                    <w:suppressAutoHyphens/>
                    <w:ind w:firstLine="567"/>
                    <w:jc w:val="both"/>
                    <w:rPr>
                      <w:color w:val="000000"/>
                    </w:rPr>
                  </w:pPr>
                  <w:sdt>
                    <w:sdtPr>
                      <w:alias w:val="Numeris"/>
                      <w:tag w:val="nr_164876fe96364228bff6f3ea904e0ceb"/>
                      <w:lock w:val="sdtLocked"/>
                      <w:richText/>
                    </w:sdtPr>
                    <w:sdtContent>
                      <w:r>
                        <w:rPr>
                          <w:color w:val="000000"/>
                        </w:rPr>
                        <w:t>7</w:t>
                      </w:r>
                    </w:sdtContent>
                  </w:sdt>
                  <w:r>
                    <w:rPr>
                      <w:color w:val="000000"/>
                    </w:rPr>
                    <w:t>. Taryba nustato perdavimo sistemos operatoriaus PSO paslaugų prognozuojamą pajamų dydį t metams, vadovaudamasi:</w:t>
                  </w:r>
                </w:p>
                <w:sdt>
                  <w:sdtPr>
                    <w:alias w:val="7.1 pp."/>
                    <w:tag w:val="part_a9d8085603254c0ea079ecaa48111180"/>
                    <w:lock w:val="sdtLocked"/>
                    <w:richText/>
                  </w:sdtPr>
                  <w:sdtContent>
                    <w:p>
                      <w:pPr>
                        <w:widowControl w:val="0"/>
                        <w:suppressAutoHyphens/>
                        <w:ind w:firstLine="567"/>
                        <w:jc w:val="both"/>
                        <w:rPr>
                          <w:color w:val="000000"/>
                        </w:rPr>
                      </w:pPr>
                      <w:sdt>
                        <w:sdtPr>
                          <w:alias w:val="Numeris"/>
                          <w:tag w:val="nr_a9d8085603254c0ea079ecaa48111180"/>
                          <w:lock w:val="sdtLocked"/>
                          <w:richText/>
                        </w:sdtPr>
                        <w:sdtContent>
                          <w:r>
                            <w:rPr>
                              <w:color w:val="000000"/>
                            </w:rPr>
                            <w:t>7.1</w:t>
                          </w:r>
                        </w:sdtContent>
                      </w:sdt>
                      <w:r>
                        <w:rPr>
                          <w:color w:val="000000"/>
                        </w:rPr>
                        <w:t>. Perdavimo sistemos operatoriaus t metams prognozuojama Papildomų paslaugų įsigijimo sąnaudų suma, kuri skaičiuojama pagal formulę:</w:t>
                      </w:r>
                    </w:p>
                    <w:p>
                      <w:pPr>
                        <w:widowControl w:val="0"/>
                        <w:suppressAutoHyphens/>
                        <w:jc w:val="both"/>
                        <w:rPr>
                          <w:color w:val="000000"/>
                        </w:rPr>
                      </w:pPr>
                    </w:p>
                    <w:p>
                      <w:pPr>
                        <w:widowControl w:val="0"/>
                        <w:suppressAutoHyphens/>
                        <w:ind w:firstLine="567"/>
                        <w:jc w:val="both"/>
                        <w:rPr>
                          <w:i/>
                          <w:iCs/>
                          <w:color w:val="000000"/>
                          <w:lang w:val="en-GB"/>
                        </w:rPr>
                      </w:pPr>
                      <w:r>
                        <w:rPr>
                          <w:i/>
                          <w:iCs/>
                          <w:color w:val="000000"/>
                        </w:rPr>
                        <w:t>S</w:t>
                      </w:r>
                      <w:r>
                        <w:rPr>
                          <w:i/>
                          <w:iCs/>
                          <w:color w:val="000000"/>
                          <w:vertAlign w:val="subscript"/>
                        </w:rPr>
                        <w:t>t</w:t>
                      </w:r>
                      <w:r>
                        <w:rPr>
                          <w:i/>
                          <w:iCs/>
                          <w:color w:val="000000"/>
                          <w:lang w:val="en-GB"/>
                        </w:rPr>
                        <w:t>=s</w:t>
                      </w:r>
                      <w:r>
                        <w:rPr>
                          <w:i/>
                          <w:iCs/>
                          <w:color w:val="000000"/>
                          <w:vertAlign w:val="subscript"/>
                          <w:lang w:val="en-GB"/>
                        </w:rPr>
                        <w:t>1</w:t>
                      </w:r>
                      <w:r>
                        <w:rPr>
                          <w:i/>
                          <w:iCs/>
                          <w:color w:val="000000"/>
                          <w:lang w:val="en-GB"/>
                        </w:rPr>
                        <w:t>+s</w:t>
                      </w:r>
                      <w:r>
                        <w:rPr>
                          <w:i/>
                          <w:iCs/>
                          <w:color w:val="000000"/>
                          <w:vertAlign w:val="subscript"/>
                          <w:lang w:val="en-GB"/>
                        </w:rPr>
                        <w:t>2</w:t>
                      </w:r>
                      <w:r>
                        <w:rPr>
                          <w:i/>
                          <w:iCs/>
                          <w:color w:val="000000"/>
                          <w:lang w:val="en-GB"/>
                        </w:rPr>
                        <w:t>+s</w:t>
                      </w:r>
                      <w:r>
                        <w:rPr>
                          <w:i/>
                          <w:iCs/>
                          <w:color w:val="000000"/>
                          <w:vertAlign w:val="subscript"/>
                          <w:lang w:val="en-GB"/>
                        </w:rPr>
                        <w:t>3</w:t>
                      </w:r>
                      <w:r>
                        <w:rPr>
                          <w:i/>
                          <w:iCs/>
                          <w:color w:val="000000"/>
                          <w:lang w:val="en-GB"/>
                        </w:rPr>
                        <w:t>+…s</w:t>
                      </w:r>
                      <w:r>
                        <w:rPr>
                          <w:i/>
                          <w:iCs/>
                          <w:color w:val="000000"/>
                          <w:vertAlign w:val="subscript"/>
                          <w:lang w:val="en-GB"/>
                        </w:rPr>
                        <w:t>n</w:t>
                      </w:r>
                      <w:r>
                        <w:rPr>
                          <w:color w:val="000000"/>
                          <w:lang w:val="en-GB"/>
                        </w:rPr>
                        <w:tab/>
                        <w:tab/>
                        <w:tab/>
                        <w:tab/>
                        <w:tab/>
                        <w:tab/>
                        <w:tab/>
                        <w:tab/>
                        <w:t>(2)</w:t>
                      </w:r>
                    </w:p>
                    <w:p>
                      <w:pPr>
                        <w:widowControl w:val="0"/>
                        <w:suppressAutoHyphens/>
                        <w:ind w:firstLine="567"/>
                        <w:jc w:val="both"/>
                        <w:rPr>
                          <w:i/>
                          <w:iCs/>
                          <w:color w:val="000000"/>
                        </w:rPr>
                      </w:pPr>
                    </w:p>
                    <w:p>
                      <w:pPr>
                        <w:widowControl w:val="0"/>
                        <w:suppressAutoHyphens/>
                        <w:ind w:firstLine="567"/>
                        <w:jc w:val="both"/>
                        <w:rPr>
                          <w:i/>
                          <w:iCs/>
                          <w:color w:val="000000"/>
                        </w:rPr>
                      </w:pPr>
                      <w:r>
                        <w:rPr>
                          <w:i/>
                          <w:iCs/>
                          <w:color w:val="000000"/>
                        </w:rPr>
                        <w:t xml:space="preserve">čia: </w:t>
                      </w:r>
                    </w:p>
                    <w:p>
                      <w:pPr>
                        <w:widowControl w:val="0"/>
                        <w:suppressAutoHyphens/>
                        <w:ind w:firstLine="567"/>
                        <w:jc w:val="both"/>
                        <w:rPr>
                          <w:i/>
                          <w:iCs/>
                          <w:color w:val="000000"/>
                          <w:lang w:val="en-GB"/>
                        </w:rPr>
                      </w:pPr>
                      <w:r>
                        <w:rPr>
                          <w:i/>
                          <w:iCs/>
                          <w:color w:val="000000"/>
                        </w:rPr>
                        <w:t>S</w:t>
                      </w:r>
                      <w:r>
                        <w:rPr>
                          <w:i/>
                          <w:iCs/>
                          <w:color w:val="000000"/>
                          <w:vertAlign w:val="subscript"/>
                        </w:rPr>
                        <w:t>t</w:t>
                      </w:r>
                      <w:r>
                        <w:t xml:space="preserve"> – </w:t>
                      </w:r>
                      <w:r>
                        <w:rPr>
                          <w:color w:val="000000"/>
                        </w:rPr>
                        <w:t>Perdavimo sistemos operatoriaus t metams prognozuojama Papildomų paslaugų įsigijimo sąnaudų suma, Eur;</w:t>
                      </w:r>
                    </w:p>
                    <w:p>
                      <w:pPr>
                        <w:widowControl w:val="0"/>
                        <w:suppressAutoHyphens/>
                        <w:ind w:firstLine="567"/>
                        <w:jc w:val="both"/>
                        <w:rPr>
                          <w:i/>
                          <w:iCs/>
                          <w:color w:val="000000"/>
                        </w:rPr>
                      </w:pPr>
                      <w:r>
                        <w:rPr>
                          <w:i/>
                          <w:iCs/>
                          <w:color w:val="000000"/>
                          <w:lang w:val="en-GB"/>
                        </w:rPr>
                        <w:t>s</w:t>
                      </w:r>
                      <w:r>
                        <w:rPr>
                          <w:i/>
                          <w:iCs/>
                          <w:color w:val="000000"/>
                          <w:vertAlign w:val="subscript"/>
                          <w:lang w:val="en-GB"/>
                        </w:rPr>
                        <w:t>1,</w:t>
                      </w:r>
                      <w:r>
                        <w:rPr>
                          <w:i/>
                          <w:iCs/>
                          <w:color w:val="000000"/>
                          <w:lang w:val="en-GB"/>
                        </w:rPr>
                        <w:t xml:space="preserve"> s</w:t>
                      </w:r>
                      <w:r>
                        <w:rPr>
                          <w:i/>
                          <w:iCs/>
                          <w:color w:val="000000"/>
                          <w:vertAlign w:val="subscript"/>
                          <w:lang w:val="en-GB"/>
                        </w:rPr>
                        <w:t>2</w:t>
                      </w:r>
                      <w:r>
                        <w:rPr>
                          <w:i/>
                          <w:iCs/>
                          <w:color w:val="000000"/>
                          <w:lang w:val="en-GB"/>
                        </w:rPr>
                        <w:t>, s</w:t>
                      </w:r>
                      <w:r>
                        <w:rPr>
                          <w:i/>
                          <w:iCs/>
                          <w:color w:val="000000"/>
                          <w:vertAlign w:val="subscript"/>
                          <w:lang w:val="en-GB"/>
                        </w:rPr>
                        <w:t>3</w:t>
                      </w:r>
                      <w:r>
                        <w:rPr>
                          <w:i/>
                          <w:iCs/>
                          <w:color w:val="000000"/>
                          <w:lang w:val="en-GB"/>
                        </w:rPr>
                        <w:t>…s</w:t>
                      </w:r>
                      <w:r>
                        <w:rPr>
                          <w:i/>
                          <w:iCs/>
                          <w:color w:val="000000"/>
                          <w:vertAlign w:val="subscript"/>
                          <w:lang w:val="en-GB"/>
                        </w:rPr>
                        <w:t>n</w:t>
                      </w:r>
                      <w:r>
                        <w:t xml:space="preserve"> – </w:t>
                      </w:r>
                      <w:r>
                        <w:rPr>
                          <w:color w:val="000000"/>
                        </w:rPr>
                        <w:t>Perdavimo sistemos operatoriaus t metams prognozuojamos Papildomų paslaugų įsigijimo sąnaudos, Eur.</w:t>
                      </w:r>
                    </w:p>
                    <w:p>
                      <w:pPr>
                        <w:widowControl w:val="0"/>
                        <w:suppressAutoHyphens/>
                        <w:jc w:val="both"/>
                        <w:rPr>
                          <w:color w:val="000000"/>
                        </w:rPr>
                      </w:pPr>
                    </w:p>
                  </w:sdtContent>
                </w:sdt>
                <w:sdt>
                  <w:sdtPr>
                    <w:alias w:val="7.2 pp."/>
                    <w:tag w:val="part_25622cc0657a42d696e4461c310eceb4"/>
                    <w:lock w:val="sdtLocked"/>
                    <w:richText/>
                  </w:sdtPr>
                  <w:sdtContent>
                    <w:p>
                      <w:pPr>
                        <w:widowControl w:val="0"/>
                        <w:suppressAutoHyphens/>
                        <w:ind w:firstLine="567"/>
                        <w:jc w:val="both"/>
                        <w:rPr>
                          <w:color w:val="000000"/>
                        </w:rPr>
                      </w:pPr>
                      <w:sdt>
                        <w:sdtPr>
                          <w:alias w:val="Numeris"/>
                          <w:tag w:val="nr_25622cc0657a42d696e4461c310eceb4"/>
                          <w:lock w:val="sdtLocked"/>
                          <w:richText/>
                        </w:sdtPr>
                        <w:sdtContent>
                          <w:r>
                            <w:rPr>
                              <w:color w:val="000000"/>
                            </w:rPr>
                            <w:t>7.2</w:t>
                          </w:r>
                        </w:sdtContent>
                      </w:sdt>
                      <w:r>
                        <w:rPr>
                          <w:color w:val="000000"/>
                        </w:rPr>
                        <w:t>. Perdavimo sistemos operatoriui t-2 metams Tarybos nustatyto PSO paslaugų pajamų dydžio ir perdavimo sistemos operatoriaus t-2 metais už PSO paslaugų teikimą faktiškai gautų pajamų dydžio (pagal auditoriaus patikrintas t-2 metų reguliuojamos veiklos ataskaitas) skirtumu</w:t>
                      </w:r>
                      <w:r>
                        <w:rPr>
                          <w:i/>
                          <w:iCs/>
                          <w:color w:val="000000"/>
                        </w:rPr>
                        <w:t>,</w:t>
                      </w:r>
                      <w:r>
                        <w:rPr>
                          <w:color w:val="000000"/>
                        </w:rPr>
                        <w:t xml:space="preserve"> kuris skaičiuojamas pagal formulę:</w:t>
                      </w:r>
                    </w:p>
                    <w:p>
                      <w:pPr>
                        <w:widowControl w:val="0"/>
                        <w:suppressAutoHyphens/>
                        <w:ind w:firstLine="567"/>
                        <w:jc w:val="both"/>
                        <w:rPr>
                          <w:color w:val="000000"/>
                        </w:rPr>
                      </w:pPr>
                    </w:p>
                    <w:p>
                      <w:pPr>
                        <w:widowControl w:val="0"/>
                        <w:suppressAutoHyphens/>
                        <w:ind w:firstLine="567"/>
                        <w:jc w:val="both"/>
                        <w:rPr>
                          <w:i/>
                          <w:iCs/>
                          <w:color w:val="000000"/>
                          <w:vertAlign w:val="subscript"/>
                        </w:rPr>
                      </w:pPr>
                      <w:r>
                        <w:rPr>
                          <w:i/>
                          <w:iCs/>
                          <w:color w:val="000000"/>
                        </w:rPr>
                        <w:t>ΔP</w:t>
                      </w:r>
                      <w:r>
                        <w:rPr>
                          <w:i/>
                          <w:iCs/>
                          <w:color w:val="000000"/>
                          <w:vertAlign w:val="subscript"/>
                        </w:rPr>
                        <w:t>t-2</w:t>
                      </w:r>
                      <w:r>
                        <w:rPr>
                          <w:i/>
                          <w:iCs/>
                          <w:color w:val="000000"/>
                        </w:rPr>
                        <w:t>= P</w:t>
                      </w:r>
                      <w:r>
                        <w:rPr>
                          <w:i/>
                          <w:iCs/>
                          <w:color w:val="000000"/>
                          <w:vertAlign w:val="subscript"/>
                        </w:rPr>
                        <w:t>t-2, tarybos nustatytos</w:t>
                      </w:r>
                      <w:r>
                        <w:rPr>
                          <w:i/>
                          <w:iCs/>
                          <w:color w:val="000000"/>
                        </w:rPr>
                        <w:t xml:space="preserve"> – P</w:t>
                      </w:r>
                      <w:r>
                        <w:rPr>
                          <w:i/>
                          <w:iCs/>
                          <w:color w:val="000000"/>
                          <w:vertAlign w:val="subscript"/>
                        </w:rPr>
                        <w:t>t-2, faktinės</w:t>
                      </w:r>
                      <w:r>
                        <w:rPr>
                          <w:color w:val="000000"/>
                          <w:lang w:val="en-GB"/>
                        </w:rPr>
                        <w:tab/>
                        <w:tab/>
                        <w:tab/>
                        <w:tab/>
                        <w:tab/>
                        <w:tab/>
                        <w:t>(3)</w:t>
                      </w:r>
                    </w:p>
                    <w:p>
                      <w:pPr>
                        <w:widowControl w:val="0"/>
                        <w:suppressAutoHyphens/>
                        <w:ind w:firstLine="567"/>
                        <w:jc w:val="both"/>
                        <w:rPr>
                          <w:i/>
                          <w:iCs/>
                          <w:color w:val="000000"/>
                        </w:rPr>
                      </w:pPr>
                    </w:p>
                    <w:p>
                      <w:pPr>
                        <w:widowControl w:val="0"/>
                        <w:suppressAutoHyphens/>
                        <w:ind w:firstLine="567"/>
                        <w:jc w:val="both"/>
                        <w:rPr>
                          <w:i/>
                          <w:iCs/>
                          <w:color w:val="000000"/>
                        </w:rPr>
                      </w:pPr>
                      <w:r>
                        <w:rPr>
                          <w:i/>
                          <w:iCs/>
                          <w:color w:val="000000"/>
                        </w:rPr>
                        <w:t xml:space="preserve">čia: </w:t>
                      </w:r>
                    </w:p>
                    <w:p>
                      <w:pPr>
                        <w:widowControl w:val="0"/>
                        <w:suppressAutoHyphens/>
                        <w:ind w:firstLine="567"/>
                        <w:jc w:val="both"/>
                        <w:rPr>
                          <w:color w:val="000000"/>
                        </w:rPr>
                      </w:pPr>
                      <w:r>
                        <w:rPr>
                          <w:i/>
                          <w:iCs/>
                          <w:color w:val="000000"/>
                        </w:rPr>
                        <w:t>ΔP</w:t>
                      </w:r>
                      <w:r>
                        <w:rPr>
                          <w:i/>
                          <w:iCs/>
                          <w:color w:val="000000"/>
                          <w:vertAlign w:val="subscript"/>
                        </w:rPr>
                        <w:t>t-2</w:t>
                      </w:r>
                      <w:r>
                        <w:rPr>
                          <w:i/>
                          <w:iCs/>
                          <w:color w:val="000000"/>
                        </w:rPr>
                        <w:t xml:space="preserve"> </w:t>
                      </w:r>
                      <w:r>
                        <w:t>– Perdavimo sistemos operatoriui t-2 metams Tarybos nustatyto PSO paslaugų pajamų dydžio ir perdavimo sistemos operatoriaus t-2 metais už PSO paslaugų teikimą faktiškai gautų pajamų dydžio skirtumas, Eur;</w:t>
                      </w:r>
                    </w:p>
                    <w:p>
                      <w:pPr>
                        <w:widowControl w:val="0"/>
                        <w:suppressAutoHyphens/>
                        <w:ind w:firstLine="567"/>
                        <w:jc w:val="both"/>
                        <w:rPr>
                          <w:color w:val="000000"/>
                        </w:rPr>
                      </w:pPr>
                      <w:r>
                        <w:rPr>
                          <w:i/>
                          <w:iCs/>
                          <w:color w:val="000000"/>
                        </w:rPr>
                        <w:t>P</w:t>
                      </w:r>
                      <w:r>
                        <w:rPr>
                          <w:i/>
                          <w:iCs/>
                          <w:color w:val="000000"/>
                          <w:vertAlign w:val="subscript"/>
                        </w:rPr>
                        <w:t>t-2, tarybos nustatytos</w:t>
                      </w:r>
                      <w:r>
                        <w:rPr>
                          <w:i/>
                          <w:iCs/>
                          <w:color w:val="000000"/>
                        </w:rPr>
                        <w:t xml:space="preserve"> </w:t>
                      </w:r>
                      <w:r>
                        <w:t xml:space="preserve">– </w:t>
                      </w:r>
                      <w:r>
                        <w:rPr>
                          <w:color w:val="000000"/>
                        </w:rPr>
                        <w:t>Perdavimo sistemos operatoriui t-2 metams Tarybos nustatytas PSO paslaugų pajamų dydis, Eur;</w:t>
                      </w:r>
                    </w:p>
                    <w:p>
                      <w:pPr>
                        <w:widowControl w:val="0"/>
                        <w:suppressAutoHyphens/>
                        <w:ind w:firstLine="567"/>
                        <w:jc w:val="both"/>
                        <w:rPr>
                          <w:color w:val="000000"/>
                        </w:rPr>
                      </w:pPr>
                      <w:r>
                        <w:rPr>
                          <w:i/>
                          <w:iCs/>
                          <w:color w:val="000000"/>
                        </w:rPr>
                        <w:t>P</w:t>
                      </w:r>
                      <w:r>
                        <w:rPr>
                          <w:i/>
                          <w:iCs/>
                          <w:color w:val="000000"/>
                          <w:vertAlign w:val="subscript"/>
                        </w:rPr>
                        <w:t>t-2, faktinės</w:t>
                      </w:r>
                      <w:r>
                        <w:t xml:space="preserve"> – </w:t>
                      </w:r>
                      <w:r>
                        <w:rPr>
                          <w:color w:val="000000"/>
                        </w:rPr>
                        <w:t>perdavimo sistemos operatoriaus t-2 metais už PSO paslaugų teikimą faktiškai gautų pajamų dydis (pagal auditoriaus patikrintas t-2 metų reguliuojamos veiklos ataskaitas), Eur.</w:t>
                      </w:r>
                    </w:p>
                    <w:p>
                      <w:pPr>
                        <w:widowControl w:val="0"/>
                        <w:suppressAutoHyphens/>
                        <w:ind w:firstLine="567"/>
                        <w:jc w:val="both"/>
                        <w:rPr>
                          <w:color w:val="000000"/>
                        </w:rPr>
                      </w:pPr>
                    </w:p>
                  </w:sdtContent>
                </w:sdt>
                <w:sdt>
                  <w:sdtPr>
                    <w:alias w:val="7.3 pp."/>
                    <w:tag w:val="part_bf1f85d994d94f15a198e8fc06d96170"/>
                    <w:lock w:val="sdtLocked"/>
                    <w:richText/>
                  </w:sdtPr>
                  <w:sdtContent>
                    <w:p>
                      <w:pPr>
                        <w:widowControl w:val="0"/>
                        <w:suppressAutoHyphens/>
                        <w:ind w:firstLine="567"/>
                        <w:jc w:val="both"/>
                        <w:rPr>
                          <w:color w:val="000000"/>
                        </w:rPr>
                      </w:pPr>
                      <w:sdt>
                        <w:sdtPr>
                          <w:alias w:val="Numeris"/>
                          <w:tag w:val="nr_bf1f85d994d94f15a198e8fc06d96170"/>
                          <w:lock w:val="sdtLocked"/>
                          <w:richText/>
                        </w:sdtPr>
                        <w:sdtContent>
                          <w:r>
                            <w:rPr>
                              <w:color w:val="000000"/>
                            </w:rPr>
                            <w:t>7.3</w:t>
                          </w:r>
                        </w:sdtContent>
                      </w:sdt>
                      <w:r>
                        <w:rPr>
                          <w:color w:val="000000"/>
                        </w:rPr>
                        <w:t>. Perdavimo sistemos operatoriui t-2 metams Tarybos nustatyto sąnaudų dydžio ir perdavimo sistemos operatoriaus t-2 metais faktiškai patirtų Papildomų paslaugų įsigijimo sąnaudų dydžio (pagal audito patikrintas t-2 metų reguliuojamos veiklos ataskaitas) skirtumu</w:t>
                      </w:r>
                      <w:r>
                        <w:rPr>
                          <w:i/>
                          <w:iCs/>
                          <w:color w:val="000000"/>
                        </w:rPr>
                        <w:t xml:space="preserve">, </w:t>
                      </w:r>
                      <w:r>
                        <w:rPr>
                          <w:color w:val="000000"/>
                        </w:rPr>
                        <w:t>kuris skaičiuojamas pagal formulę:</w:t>
                      </w:r>
                    </w:p>
                    <w:p>
                      <w:pPr>
                        <w:widowControl w:val="0"/>
                        <w:suppressAutoHyphens/>
                        <w:ind w:firstLine="567"/>
                        <w:jc w:val="both"/>
                        <w:rPr>
                          <w:color w:val="000000"/>
                        </w:rPr>
                      </w:pPr>
                    </w:p>
                    <w:p>
                      <w:pPr>
                        <w:widowControl w:val="0"/>
                        <w:suppressAutoHyphens/>
                        <w:ind w:firstLine="567"/>
                        <w:jc w:val="both"/>
                        <w:rPr>
                          <w:i/>
                          <w:iCs/>
                          <w:color w:val="000000"/>
                          <w:szCs w:val="24"/>
                          <w:vertAlign w:val="subscript"/>
                        </w:rPr>
                      </w:pPr>
                      <w:r>
                        <w:rPr>
                          <w:i/>
                          <w:iCs/>
                          <w:color w:val="000000"/>
                          <w:szCs w:val="24"/>
                        </w:rPr>
                        <w:t>ΔS</w:t>
                      </w:r>
                      <w:r>
                        <w:rPr>
                          <w:i/>
                          <w:iCs/>
                          <w:color w:val="000000"/>
                          <w:szCs w:val="24"/>
                          <w:vertAlign w:val="subscript"/>
                        </w:rPr>
                        <w:t>t-2</w:t>
                      </w:r>
                      <w:r>
                        <w:rPr>
                          <w:i/>
                          <w:iCs/>
                          <w:color w:val="000000"/>
                          <w:szCs w:val="24"/>
                        </w:rPr>
                        <w:t>= S</w:t>
                      </w:r>
                      <w:r>
                        <w:rPr>
                          <w:i/>
                          <w:iCs/>
                          <w:color w:val="000000"/>
                          <w:szCs w:val="24"/>
                          <w:vertAlign w:val="subscript"/>
                        </w:rPr>
                        <w:t xml:space="preserve">t-2, tarybos nustatytos </w:t>
                      </w:r>
                      <w:r>
                        <w:rPr>
                          <w:i/>
                          <w:iCs/>
                          <w:color w:val="000000"/>
                          <w:szCs w:val="24"/>
                        </w:rPr>
                        <w:t>– S</w:t>
                      </w:r>
                      <w:r>
                        <w:rPr>
                          <w:i/>
                          <w:iCs/>
                          <w:color w:val="000000"/>
                          <w:szCs w:val="24"/>
                          <w:vertAlign w:val="subscript"/>
                        </w:rPr>
                        <w:t xml:space="preserve">t-2, faktinės </w:t>
                      </w:r>
                      <w:r>
                        <w:rPr>
                          <w:color w:val="000000"/>
                          <w:lang w:val="en-GB"/>
                        </w:rPr>
                        <w:tab/>
                        <w:tab/>
                        <w:tab/>
                        <w:tab/>
                        <w:tab/>
                        <w:tab/>
                        <w:t>(4)</w:t>
                      </w:r>
                    </w:p>
                    <w:p>
                      <w:pPr>
                        <w:widowControl w:val="0"/>
                        <w:suppressAutoHyphens/>
                        <w:ind w:firstLine="567"/>
                        <w:jc w:val="both"/>
                        <w:rPr>
                          <w:i/>
                          <w:iCs/>
                          <w:color w:val="000000"/>
                        </w:rPr>
                      </w:pPr>
                    </w:p>
                    <w:p>
                      <w:pPr>
                        <w:widowControl w:val="0"/>
                        <w:suppressAutoHyphens/>
                        <w:ind w:firstLine="567"/>
                        <w:jc w:val="both"/>
                        <w:rPr>
                          <w:i/>
                          <w:iCs/>
                          <w:color w:val="000000"/>
                        </w:rPr>
                      </w:pPr>
                      <w:r>
                        <w:rPr>
                          <w:i/>
                          <w:iCs/>
                          <w:color w:val="000000"/>
                        </w:rPr>
                        <w:t>čia:</w:t>
                      </w:r>
                    </w:p>
                    <w:p>
                      <w:pPr>
                        <w:widowControl w:val="0"/>
                        <w:suppressAutoHyphens/>
                        <w:ind w:firstLine="567"/>
                        <w:jc w:val="both"/>
                        <w:rPr>
                          <w:color w:val="000000"/>
                        </w:rPr>
                      </w:pPr>
                      <w:r>
                        <w:rPr>
                          <w:i/>
                          <w:iCs/>
                          <w:color w:val="000000"/>
                        </w:rPr>
                        <w:t>ΔS</w:t>
                      </w:r>
                      <w:r>
                        <w:rPr>
                          <w:i/>
                          <w:iCs/>
                          <w:color w:val="000000"/>
                          <w:vertAlign w:val="subscript"/>
                        </w:rPr>
                        <w:t>t-2</w:t>
                      </w:r>
                      <w:r>
                        <w:t xml:space="preserve"> – </w:t>
                      </w:r>
                      <w:r>
                        <w:rPr>
                          <w:color w:val="000000"/>
                        </w:rPr>
                        <w:t>Perdavimo sistemos operatoriui t-2 metams Tarybos nustatyto sąnaudų dydžio ir perdavimo sistemos operatoriaus t-2 metais faktiškai patirtų Papildomų paslaugų įsigijimo sąnaudų dydžio skirtumas, Eur;</w:t>
                      </w:r>
                    </w:p>
                    <w:p>
                      <w:pPr>
                        <w:widowControl w:val="0"/>
                        <w:suppressAutoHyphens/>
                        <w:ind w:firstLine="567"/>
                        <w:jc w:val="both"/>
                        <w:rPr>
                          <w:color w:val="000000"/>
                        </w:rPr>
                      </w:pPr>
                      <w:r>
                        <w:rPr>
                          <w:i/>
                          <w:iCs/>
                          <w:color w:val="000000"/>
                        </w:rPr>
                        <w:t>S</w:t>
                      </w:r>
                      <w:r>
                        <w:rPr>
                          <w:i/>
                          <w:iCs/>
                          <w:color w:val="000000"/>
                          <w:vertAlign w:val="subscript"/>
                        </w:rPr>
                        <w:t>t-2, tarybos nustatytos</w:t>
                      </w:r>
                      <w:r>
                        <w:rPr>
                          <w:i/>
                          <w:iCs/>
                          <w:color w:val="000000"/>
                        </w:rPr>
                        <w:t xml:space="preserve"> </w:t>
                      </w:r>
                      <w:r>
                        <w:t xml:space="preserve">– </w:t>
                      </w:r>
                      <w:r>
                        <w:rPr>
                          <w:color w:val="000000"/>
                        </w:rPr>
                        <w:t>Perdavimo sistemos operatoriui t-2 metams Tarybos nustatytas Papildomų paslaugų įsigijimo sąnaudų dydis, Eur;</w:t>
                      </w:r>
                    </w:p>
                    <w:p>
                      <w:pPr>
                        <w:widowControl w:val="0"/>
                        <w:suppressAutoHyphens/>
                        <w:ind w:firstLine="567"/>
                        <w:jc w:val="both"/>
                        <w:rPr>
                          <w:color w:val="000000"/>
                        </w:rPr>
                      </w:pPr>
                      <w:r>
                        <w:rPr>
                          <w:i/>
                          <w:iCs/>
                          <w:color w:val="000000"/>
                        </w:rPr>
                        <w:t>S</w:t>
                      </w:r>
                      <w:r>
                        <w:rPr>
                          <w:i/>
                          <w:iCs/>
                          <w:color w:val="000000"/>
                          <w:vertAlign w:val="subscript"/>
                        </w:rPr>
                        <w:t>t-2, faktinės</w:t>
                      </w:r>
                      <w:r>
                        <w:t xml:space="preserve"> – </w:t>
                      </w:r>
                      <w:r>
                        <w:rPr>
                          <w:color w:val="000000"/>
                        </w:rPr>
                        <w:t>perdavimo sistemos operatoriaus t-2 metais faktiškai patirtų Papildomų paslaugų įsigijimo sąnaudų dydis (pagal auditoriaus patikrintas t-2 metų reguliuojamos veiklos ataskaitas), Eur.</w:t>
                      </w:r>
                    </w:p>
                    <w:p>
                      <w:pPr>
                        <w:widowControl w:val="0"/>
                        <w:suppressAutoHyphens/>
                        <w:ind w:firstLine="567"/>
                        <w:jc w:val="both"/>
                        <w:rPr>
                          <w:color w:val="000000"/>
                        </w:rPr>
                      </w:pPr>
                    </w:p>
                  </w:sdtContent>
                </w:sdt>
                <w:sdt>
                  <w:sdtPr>
                    <w:alias w:val="7.4 pp."/>
                    <w:tag w:val="part_1ce32f4fa7814d5d8ed83a3d97f3c613"/>
                    <w:lock w:val="sdtLocked"/>
                    <w:richText/>
                  </w:sdtPr>
                  <w:sdtContent>
                    <w:p>
                      <w:pPr>
                        <w:widowControl w:val="0"/>
                        <w:suppressAutoHyphens/>
                        <w:ind w:firstLine="567"/>
                        <w:jc w:val="both"/>
                        <w:rPr>
                          <w:color w:val="000000"/>
                        </w:rPr>
                      </w:pPr>
                      <w:sdt>
                        <w:sdtPr>
                          <w:alias w:val="Numeris"/>
                          <w:tag w:val="nr_1ce32f4fa7814d5d8ed83a3d97f3c613"/>
                          <w:lock w:val="sdtLocked"/>
                          <w:richText/>
                        </w:sdtPr>
                        <w:sdtContent>
                          <w:r>
                            <w:rPr>
                              <w:color w:val="000000"/>
                            </w:rPr>
                            <w:t>7.4</w:t>
                          </w:r>
                        </w:sdtContent>
                      </w:sdt>
                      <w:r>
                        <w:rPr>
                          <w:color w:val="000000"/>
                        </w:rPr>
                        <w:t>. perdavimo sistemos operatoriaus PSO paslaugų prognozuojamų pajamų dydis t metams nustatomas pagal formulę:</w:t>
                      </w:r>
                    </w:p>
                    <w:p>
                      <w:pPr>
                        <w:widowControl w:val="0"/>
                        <w:suppressAutoHyphens/>
                        <w:ind w:firstLine="567"/>
                        <w:jc w:val="both"/>
                        <w:rPr>
                          <w:color w:val="000000"/>
                        </w:rPr>
                      </w:pPr>
                    </w:p>
                    <w:p>
                      <w:pPr>
                        <w:widowControl w:val="0"/>
                        <w:suppressAutoHyphens/>
                        <w:ind w:firstLine="567"/>
                        <w:jc w:val="both"/>
                        <w:rPr>
                          <w:i/>
                          <w:iCs/>
                          <w:color w:val="000000"/>
                          <w:lang w:val="en-GB"/>
                        </w:rPr>
                      </w:pPr>
                      <w:r>
                        <w:rPr>
                          <w:i/>
                          <w:iCs/>
                          <w:color w:val="000000"/>
                        </w:rPr>
                        <w:t>P</w:t>
                      </w:r>
                      <w:r>
                        <w:rPr>
                          <w:i/>
                          <w:iCs/>
                          <w:color w:val="000000"/>
                          <w:vertAlign w:val="subscript"/>
                        </w:rPr>
                        <w:t>t, Tarybos nustatytas</w:t>
                      </w:r>
                      <w:r>
                        <w:rPr>
                          <w:i/>
                          <w:iCs/>
                          <w:color w:val="000000"/>
                          <w:lang w:val="en-GB"/>
                        </w:rPr>
                        <w:t>=S</w:t>
                      </w:r>
                      <w:r>
                        <w:rPr>
                          <w:i/>
                          <w:iCs/>
                          <w:color w:val="000000"/>
                          <w:vertAlign w:val="subscript"/>
                          <w:lang w:val="en-GB"/>
                        </w:rPr>
                        <w:t>t</w:t>
                      </w:r>
                      <w:r>
                        <w:rPr>
                          <w:i/>
                          <w:iCs/>
                          <w:color w:val="000000"/>
                          <w:lang w:val="en-GB"/>
                        </w:rPr>
                        <w:t xml:space="preserve"> </w:t>
                      </w:r>
                      <w:r>
                        <w:rPr>
                          <w:i/>
                          <w:iCs/>
                          <w:color w:val="000000"/>
                        </w:rPr>
                        <w:t>– ΔS</w:t>
                      </w:r>
                      <w:r>
                        <w:rPr>
                          <w:i/>
                          <w:iCs/>
                          <w:color w:val="000000"/>
                          <w:vertAlign w:val="subscript"/>
                        </w:rPr>
                        <w:t>t-2</w:t>
                      </w:r>
                      <w:r>
                        <w:rPr>
                          <w:i/>
                          <w:iCs/>
                          <w:color w:val="000000"/>
                        </w:rPr>
                        <w:t xml:space="preserve"> + ΔP</w:t>
                      </w:r>
                      <w:r>
                        <w:rPr>
                          <w:i/>
                          <w:iCs/>
                          <w:color w:val="000000"/>
                          <w:vertAlign w:val="subscript"/>
                        </w:rPr>
                        <w:t>t-2</w:t>
                      </w:r>
                      <w:r>
                        <w:rPr>
                          <w:color w:val="000000"/>
                          <w:lang w:val="en-GB"/>
                        </w:rPr>
                        <w:tab/>
                        <w:tab/>
                        <w:tab/>
                        <w:tab/>
                        <w:tab/>
                        <w:tab/>
                        <w:t>(5)</w:t>
                      </w:r>
                    </w:p>
                    <w:p>
                      <w:pPr>
                        <w:widowControl w:val="0"/>
                        <w:suppressAutoHyphens/>
                        <w:ind w:firstLine="567"/>
                        <w:jc w:val="both"/>
                        <w:rPr>
                          <w:i/>
                          <w:iCs/>
                          <w:color w:val="000000"/>
                        </w:rPr>
                      </w:pPr>
                    </w:p>
                    <w:p>
                      <w:pPr>
                        <w:widowControl w:val="0"/>
                        <w:suppressAutoHyphens/>
                        <w:ind w:firstLine="567"/>
                        <w:jc w:val="both"/>
                        <w:rPr>
                          <w:i/>
                          <w:iCs/>
                          <w:color w:val="000000"/>
                        </w:rPr>
                      </w:pPr>
                      <w:r>
                        <w:rPr>
                          <w:i/>
                          <w:iCs/>
                          <w:color w:val="000000"/>
                        </w:rPr>
                        <w:t>čia:</w:t>
                      </w:r>
                    </w:p>
                    <w:p>
                      <w:pPr>
                        <w:widowControl w:val="0"/>
                        <w:suppressAutoHyphens/>
                        <w:ind w:firstLine="567"/>
                        <w:jc w:val="both"/>
                        <w:rPr>
                          <w:color w:val="000000"/>
                        </w:rPr>
                      </w:pPr>
                      <w:r>
                        <w:rPr>
                          <w:i/>
                          <w:iCs/>
                          <w:color w:val="000000"/>
                        </w:rPr>
                        <w:t>P</w:t>
                      </w:r>
                      <w:r>
                        <w:rPr>
                          <w:i/>
                          <w:iCs/>
                          <w:color w:val="000000"/>
                          <w:vertAlign w:val="subscript"/>
                        </w:rPr>
                        <w:t>t, Tarybos nustatytas</w:t>
                      </w:r>
                      <w:r>
                        <w:t xml:space="preserve"> – </w:t>
                      </w:r>
                      <w:r>
                        <w:rPr>
                          <w:color w:val="000000"/>
                        </w:rPr>
                        <w:t>perdavimo sistemos operatoriaus PSO paslaugų prognozuojamas pajamų dydis t metams, Eur;</w:t>
                      </w:r>
                    </w:p>
                    <w:p>
                      <w:pPr>
                        <w:widowControl w:val="0"/>
                        <w:suppressAutoHyphens/>
                        <w:ind w:firstLine="567"/>
                        <w:jc w:val="both"/>
                        <w:rPr>
                          <w:i/>
                          <w:iCs/>
                          <w:color w:val="000000"/>
                          <w:lang w:val="en-GB"/>
                        </w:rPr>
                      </w:pPr>
                      <w:r>
                        <w:rPr>
                          <w:i/>
                          <w:iCs/>
                          <w:color w:val="000000"/>
                        </w:rPr>
                        <w:t>S</w:t>
                      </w:r>
                      <w:r>
                        <w:rPr>
                          <w:i/>
                          <w:iCs/>
                          <w:color w:val="000000"/>
                          <w:vertAlign w:val="subscript"/>
                        </w:rPr>
                        <w:t>t</w:t>
                      </w:r>
                      <w:r>
                        <w:t xml:space="preserve"> – </w:t>
                      </w:r>
                      <w:r>
                        <w:rPr>
                          <w:color w:val="000000"/>
                        </w:rPr>
                        <w:t>Perdavimo sistemos operatoriaus t metams prognozuojama Papildomų paslaugų įsigijimo sąnaudos, Eur;</w:t>
                      </w:r>
                    </w:p>
                    <w:p>
                      <w:pPr>
                        <w:widowControl w:val="0"/>
                        <w:suppressAutoHyphens/>
                        <w:ind w:firstLine="567"/>
                        <w:jc w:val="both"/>
                        <w:rPr>
                          <w:color w:val="000000"/>
                        </w:rPr>
                      </w:pPr>
                      <w:r>
                        <w:rPr>
                          <w:i/>
                          <w:iCs/>
                          <w:color w:val="000000"/>
                        </w:rPr>
                        <w:t>ΔS</w:t>
                      </w:r>
                      <w:r>
                        <w:rPr>
                          <w:i/>
                          <w:iCs/>
                          <w:color w:val="000000"/>
                          <w:vertAlign w:val="subscript"/>
                        </w:rPr>
                        <w:t>t-2</w:t>
                      </w:r>
                      <w:r>
                        <w:t xml:space="preserve"> – </w:t>
                      </w:r>
                      <w:r>
                        <w:rPr>
                          <w:color w:val="000000"/>
                        </w:rPr>
                        <w:t xml:space="preserve">Perdavimo sistemos operatoriui t-2 metams Tarybos nustatyto Papildomų paslaugų įsigijimo sąnaudų  ir perdavimo sistemos operatoriaus t-2 metais faktiškai patirtų Papildomų paslaugų įsigijimo sąnaudų skirtumas, Eur;</w:t>
                      </w:r>
                    </w:p>
                    <w:p>
                      <w:pPr>
                        <w:widowControl w:val="0"/>
                        <w:suppressAutoHyphens/>
                        <w:ind w:firstLine="567"/>
                        <w:jc w:val="both"/>
                        <w:rPr>
                          <w:color w:val="000000"/>
                        </w:rPr>
                      </w:pPr>
                      <w:r>
                        <w:rPr>
                          <w:i/>
                          <w:iCs/>
                          <w:color w:val="000000"/>
                        </w:rPr>
                        <w:t>ΔP</w:t>
                      </w:r>
                      <w:r>
                        <w:rPr>
                          <w:i/>
                          <w:iCs/>
                          <w:color w:val="000000"/>
                          <w:vertAlign w:val="subscript"/>
                        </w:rPr>
                        <w:t>t-2</w:t>
                      </w:r>
                      <w:r>
                        <w:rPr>
                          <w:i/>
                          <w:iCs/>
                          <w:color w:val="000000"/>
                        </w:rPr>
                        <w:t xml:space="preserve"> </w:t>
                      </w:r>
                      <w:r>
                        <w:t>– Perdavimo sistemos operatoriui t-2 metams Tarybos nustatytų PSO paslaugų pajamų ir perdavimo sistemos operatoriaus t-2 metais už PSO paslaugų teikimą faktiškai gautų pajamų skirtumas, Eur.</w:t>
                      </w:r>
                    </w:p>
                    <w:p>
                      <w:pPr>
                        <w:widowControl w:val="0"/>
                        <w:suppressAutoHyphens/>
                        <w:jc w:val="both"/>
                        <w:rPr>
                          <w:color w:val="000000"/>
                        </w:rPr>
                      </w:pPr>
                    </w:p>
                  </w:sdtContent>
                </w:sdt>
              </w:sdtContent>
            </w:sdt>
            <w:sdt>
              <w:sdtPr>
                <w:alias w:val="8 p."/>
                <w:tag w:val="part_ba42decc9c3b44798054363c363e51d4"/>
                <w:lock w:val="sdtLocked"/>
                <w:richText/>
              </w:sdtPr>
              <w:sdtContent>
                <w:p>
                  <w:pPr>
                    <w:widowControl w:val="0"/>
                    <w:suppressAutoHyphens/>
                    <w:ind w:firstLine="567"/>
                    <w:jc w:val="both"/>
                    <w:rPr>
                      <w:color w:val="000000"/>
                    </w:rPr>
                  </w:pPr>
                  <w:sdt>
                    <w:sdtPr>
                      <w:alias w:val="Numeris"/>
                      <w:tag w:val="nr_ba42decc9c3b44798054363c363e51d4"/>
                      <w:lock w:val="sdtLocked"/>
                      <w:richText/>
                    </w:sdtPr>
                    <w:sdtContent>
                      <w:r>
                        <w:rPr>
                          <w:color w:val="000000"/>
                        </w:rPr>
                        <w:t>8</w:t>
                      </w:r>
                    </w:sdtContent>
                  </w:sdt>
                  <w:r>
                    <w:rPr>
                      <w:color w:val="000000"/>
                    </w:rPr>
                    <w:t>. Esant nuo perdavimo sistemos operatoriaus valios nepriklausantiems veiksniams, kurie neleidžia patikimai prognozuoti t metų sąnaudas ir šie veiksniai kelia grėsmę PSO paslaugų pinigų</w:t>
                  </w:r>
                  <w:r>
                    <w:rPr>
                      <w:i/>
                      <w:iCs/>
                      <w:color w:val="000000"/>
                    </w:rPr>
                    <w:t xml:space="preserve"> </w:t>
                  </w:r>
                  <w:r>
                    <w:rPr>
                      <w:color w:val="000000"/>
                    </w:rPr>
                    <w:t>srauto gyvybingumui, atsižvelgiant į PSO paslaugų t-1 metų laukiamą neigiamą finansinį rezultatą ir gavus motyvuotą perdavimo sistemos operatoriaus prašymą, Taryba gali skirti t metų PSO paslaugų prognozuojamų pajamų papildomą dedamąją PSO paslaugų pinigų</w:t>
                  </w:r>
                  <w:r>
                    <w:rPr>
                      <w:i/>
                      <w:iCs/>
                      <w:color w:val="000000"/>
                    </w:rPr>
                    <w:t xml:space="preserve"> </w:t>
                  </w:r>
                  <w:r>
                    <w:rPr>
                      <w:color w:val="000000"/>
                    </w:rPr>
                    <w:t>srauto gyvybingumui užtikrinti</w:t>
                  </w:r>
                  <w:r>
                    <w:rPr>
                      <w:i/>
                      <w:iCs/>
                      <w:color w:val="000000"/>
                    </w:rPr>
                    <w:t>.</w:t>
                  </w:r>
                  <w:r>
                    <w:rPr>
                      <w:color w:val="000000"/>
                    </w:rPr>
                    <w:t xml:space="preserve"> </w:t>
                  </w:r>
                </w:p>
              </w:sdtContent>
            </w:sdt>
            <w:sdt>
              <w:sdtPr>
                <w:alias w:val="9 p."/>
                <w:tag w:val="part_2a7da3d3455346b2be61e354caa4cc38"/>
                <w:lock w:val="sdtLocked"/>
                <w:richText/>
              </w:sdtPr>
              <w:sdtContent>
                <w:p>
                  <w:pPr>
                    <w:widowControl w:val="0"/>
                    <w:suppressAutoHyphens/>
                    <w:ind w:firstLine="567"/>
                    <w:jc w:val="both"/>
                    <w:rPr>
                      <w:color w:val="000000"/>
                    </w:rPr>
                  </w:pPr>
                  <w:sdt>
                    <w:sdtPr>
                      <w:alias w:val="Numeris"/>
                      <w:tag w:val="nr_2a7da3d3455346b2be61e354caa4cc38"/>
                      <w:lock w:val="sdtLocked"/>
                      <w:richText/>
                    </w:sdtPr>
                    <w:sdtContent>
                      <w:r>
                        <w:rPr>
                          <w:color w:val="000000"/>
                        </w:rPr>
                        <w:t>9</w:t>
                      </w:r>
                    </w:sdtContent>
                  </w:sdt>
                  <w:r>
                    <w:rPr>
                      <w:color w:val="000000"/>
                    </w:rPr>
                    <w:t>. Kai Taryba skiria t metų PSO paslaugų prognozuojamų pajamų papildomą dedamąją arba, kai Taryba buvo skyrusi pajamų papildomą dedamąją perdavimo sistemos operatoriui t-1 metais, perdavimo sistemos operatoriaus PSO paslaugų prognozuojamas pajamų dydis t metams nustatomas pagal formulę:</w:t>
                  </w:r>
                </w:p>
                <w:p>
                  <w:pPr>
                    <w:widowControl w:val="0"/>
                    <w:suppressAutoHyphens/>
                    <w:jc w:val="both"/>
                    <w:rPr>
                      <w:color w:val="000000"/>
                    </w:rPr>
                  </w:pPr>
                </w:p>
                <w:p>
                  <w:pPr>
                    <w:widowControl w:val="0"/>
                    <w:suppressAutoHyphens/>
                    <w:ind w:firstLine="567"/>
                    <w:jc w:val="both"/>
                    <w:rPr>
                      <w:i/>
                      <w:iCs/>
                      <w:color w:val="000000"/>
                      <w:lang w:val="en-GB"/>
                    </w:rPr>
                  </w:pPr>
                  <w:r>
                    <w:rPr>
                      <w:i/>
                      <w:iCs/>
                      <w:color w:val="000000"/>
                    </w:rPr>
                    <w:t>P</w:t>
                  </w:r>
                  <w:r>
                    <w:rPr>
                      <w:i/>
                      <w:iCs/>
                      <w:color w:val="000000"/>
                      <w:vertAlign w:val="subscript"/>
                    </w:rPr>
                    <w:t>t, Tarybos nustatytas</w:t>
                  </w:r>
                  <w:r>
                    <w:rPr>
                      <w:i/>
                      <w:iCs/>
                      <w:color w:val="000000"/>
                      <w:lang w:val="en-GB"/>
                    </w:rPr>
                    <w:t>=S</w:t>
                  </w:r>
                  <w:r>
                    <w:rPr>
                      <w:i/>
                      <w:iCs/>
                      <w:color w:val="000000"/>
                      <w:vertAlign w:val="subscript"/>
                      <w:lang w:val="en-GB"/>
                    </w:rPr>
                    <w:t>t</w:t>
                  </w:r>
                  <w:r>
                    <w:rPr>
                      <w:i/>
                      <w:iCs/>
                      <w:color w:val="000000"/>
                      <w:lang w:val="en-GB"/>
                    </w:rPr>
                    <w:t xml:space="preserve"> </w:t>
                  </w:r>
                  <w:r>
                    <w:rPr>
                      <w:i/>
                      <w:iCs/>
                      <w:color w:val="000000"/>
                    </w:rPr>
                    <w:t>– ΔS</w:t>
                  </w:r>
                  <w:r>
                    <w:rPr>
                      <w:i/>
                      <w:iCs/>
                      <w:color w:val="000000"/>
                      <w:vertAlign w:val="subscript"/>
                    </w:rPr>
                    <w:t>t-2</w:t>
                  </w:r>
                  <w:r>
                    <w:rPr>
                      <w:i/>
                      <w:iCs/>
                      <w:color w:val="000000"/>
                    </w:rPr>
                    <w:t xml:space="preserve"> + ΔP</w:t>
                  </w:r>
                  <w:r>
                    <w:rPr>
                      <w:i/>
                      <w:iCs/>
                      <w:color w:val="000000"/>
                      <w:vertAlign w:val="subscript"/>
                    </w:rPr>
                    <w:t>t-2</w:t>
                  </w:r>
                  <w:r>
                    <w:rPr>
                      <w:i/>
                      <w:iCs/>
                      <w:color w:val="000000"/>
                    </w:rPr>
                    <w:t xml:space="preserve"> + PD</w:t>
                  </w:r>
                  <w:r>
                    <w:rPr>
                      <w:i/>
                      <w:iCs/>
                      <w:color w:val="000000"/>
                      <w:vertAlign w:val="subscript"/>
                    </w:rPr>
                    <w:t xml:space="preserve">t </w:t>
                  </w:r>
                  <w:r>
                    <w:rPr>
                      <w:i/>
                      <w:iCs/>
                      <w:color w:val="000000"/>
                      <w:lang w:val="en-GB"/>
                    </w:rPr>
                    <w:t xml:space="preserve"> </w:t>
                  </w:r>
                  <w:r>
                    <w:rPr>
                      <w:i/>
                      <w:iCs/>
                      <w:color w:val="000000"/>
                    </w:rPr>
                    <w:t>– PD</w:t>
                  </w:r>
                  <w:r>
                    <w:rPr>
                      <w:i/>
                      <w:iCs/>
                      <w:color w:val="000000"/>
                      <w:vertAlign w:val="subscript"/>
                    </w:rPr>
                    <w:t>t-1</w:t>
                  </w:r>
                  <w:r>
                    <w:rPr>
                      <w:color w:val="000000"/>
                      <w:lang w:val="en-GB"/>
                    </w:rPr>
                    <w:tab/>
                    <w:tab/>
                    <w:tab/>
                    <w:tab/>
                    <w:tab/>
                    <w:t>(6)</w:t>
                  </w:r>
                </w:p>
                <w:p>
                  <w:pPr>
                    <w:widowControl w:val="0"/>
                    <w:suppressAutoHyphens/>
                    <w:ind w:firstLine="567"/>
                    <w:jc w:val="both"/>
                    <w:rPr>
                      <w:i/>
                      <w:iCs/>
                      <w:color w:val="000000"/>
                    </w:rPr>
                  </w:pPr>
                </w:p>
                <w:p>
                  <w:pPr>
                    <w:widowControl w:val="0"/>
                    <w:suppressAutoHyphens/>
                    <w:ind w:firstLine="567"/>
                    <w:jc w:val="both"/>
                    <w:rPr>
                      <w:i/>
                      <w:iCs/>
                      <w:color w:val="000000"/>
                    </w:rPr>
                  </w:pPr>
                  <w:r>
                    <w:rPr>
                      <w:i/>
                      <w:iCs/>
                      <w:color w:val="000000"/>
                    </w:rPr>
                    <w:t>čia:</w:t>
                  </w:r>
                </w:p>
                <w:p>
                  <w:pPr>
                    <w:widowControl w:val="0"/>
                    <w:suppressAutoHyphens/>
                    <w:ind w:firstLine="567"/>
                    <w:jc w:val="both"/>
                    <w:rPr>
                      <w:color w:val="000000"/>
                    </w:rPr>
                  </w:pPr>
                  <w:r>
                    <w:rPr>
                      <w:i/>
                      <w:iCs/>
                      <w:color w:val="000000"/>
                    </w:rPr>
                    <w:t>P</w:t>
                  </w:r>
                  <w:r>
                    <w:rPr>
                      <w:i/>
                      <w:iCs/>
                      <w:color w:val="000000"/>
                      <w:vertAlign w:val="subscript"/>
                    </w:rPr>
                    <w:t>t, Tarybos nustatytas</w:t>
                  </w:r>
                  <w:r>
                    <w:t xml:space="preserve"> – </w:t>
                  </w:r>
                  <w:r>
                    <w:rPr>
                      <w:color w:val="000000"/>
                    </w:rPr>
                    <w:t>perdavimo sistemos operatoriaus PSO paslaugų prognozuojamas pajamų dydis t metams, Eur;</w:t>
                  </w:r>
                </w:p>
                <w:p>
                  <w:pPr>
                    <w:widowControl w:val="0"/>
                    <w:suppressAutoHyphens/>
                    <w:ind w:firstLine="567"/>
                    <w:jc w:val="both"/>
                    <w:rPr>
                      <w:i/>
                      <w:iCs/>
                      <w:color w:val="000000"/>
                      <w:lang w:val="en-GB"/>
                    </w:rPr>
                  </w:pPr>
                  <w:r>
                    <w:rPr>
                      <w:i/>
                      <w:iCs/>
                      <w:color w:val="000000"/>
                    </w:rPr>
                    <w:t>S</w:t>
                  </w:r>
                  <w:r>
                    <w:rPr>
                      <w:i/>
                      <w:iCs/>
                      <w:color w:val="000000"/>
                      <w:vertAlign w:val="subscript"/>
                    </w:rPr>
                    <w:t>t</w:t>
                  </w:r>
                  <w:r>
                    <w:t xml:space="preserve"> – </w:t>
                  </w:r>
                  <w:r>
                    <w:rPr>
                      <w:color w:val="000000"/>
                    </w:rPr>
                    <w:t>Perdavimo sistemos operatoriaus t metams prognozuojama Papildomų paslaugų įsigijimo sąnaudos, Eur;</w:t>
                  </w:r>
                </w:p>
                <w:p>
                  <w:pPr>
                    <w:widowControl w:val="0"/>
                    <w:suppressAutoHyphens/>
                    <w:ind w:firstLine="567"/>
                    <w:jc w:val="both"/>
                    <w:rPr>
                      <w:color w:val="000000"/>
                    </w:rPr>
                  </w:pPr>
                  <w:r>
                    <w:rPr>
                      <w:i/>
                      <w:iCs/>
                      <w:color w:val="000000"/>
                    </w:rPr>
                    <w:t>ΔS</w:t>
                  </w:r>
                  <w:r>
                    <w:rPr>
                      <w:i/>
                      <w:iCs/>
                      <w:color w:val="000000"/>
                      <w:vertAlign w:val="subscript"/>
                    </w:rPr>
                    <w:t>t-2</w:t>
                  </w:r>
                  <w:r>
                    <w:t xml:space="preserve"> – </w:t>
                  </w:r>
                  <w:r>
                    <w:rPr>
                      <w:color w:val="000000"/>
                    </w:rPr>
                    <w:t>Perdavimo sistemos operatoriui t-2 metams Tarybos nustatyto sąnaudų ir perdavimo sistemos operatoriaus t-2 metais faktiškai patirtų Papildomų paslaugų įsigijimo sąnaudų skirtumas, Eur</w:t>
                  </w:r>
                </w:p>
                <w:p>
                  <w:pPr>
                    <w:widowControl w:val="0"/>
                    <w:suppressAutoHyphens/>
                    <w:ind w:firstLine="567"/>
                    <w:jc w:val="both"/>
                    <w:rPr>
                      <w:color w:val="000000"/>
                    </w:rPr>
                  </w:pPr>
                  <w:r>
                    <w:rPr>
                      <w:i/>
                      <w:iCs/>
                      <w:color w:val="000000"/>
                    </w:rPr>
                    <w:t>ΔP</w:t>
                  </w:r>
                  <w:r>
                    <w:rPr>
                      <w:i/>
                      <w:iCs/>
                      <w:color w:val="000000"/>
                      <w:vertAlign w:val="subscript"/>
                    </w:rPr>
                    <w:t>t-2</w:t>
                  </w:r>
                  <w:r>
                    <w:rPr>
                      <w:i/>
                      <w:iCs/>
                      <w:color w:val="000000"/>
                    </w:rPr>
                    <w:t xml:space="preserve"> </w:t>
                  </w:r>
                  <w:r>
                    <w:t>– Perdavimo sistemos operatoriui t-2 metams Tarybos nustatytų PSO paslaugų pajamų ir perdavimo sistemos operatoriaus t-2 metais už PSO paslaugų teikimą faktiškai gautų pajamų skirtumas, Eur.</w:t>
                  </w:r>
                </w:p>
                <w:p>
                  <w:pPr>
                    <w:ind w:firstLine="567"/>
                    <w:jc w:val="both"/>
                    <w:rPr>
                      <w:color w:val="000000"/>
                    </w:rPr>
                  </w:pPr>
                  <w:r>
                    <w:rPr>
                      <w:i/>
                      <w:iCs/>
                      <w:color w:val="000000"/>
                    </w:rPr>
                    <w:t>PD</w:t>
                  </w:r>
                  <w:r>
                    <w:rPr>
                      <w:i/>
                      <w:iCs/>
                      <w:color w:val="000000"/>
                      <w:vertAlign w:val="subscript"/>
                    </w:rPr>
                    <w:t>t</w:t>
                  </w:r>
                  <w:r>
                    <w:rPr>
                      <w:i/>
                      <w:iCs/>
                      <w:color w:val="000000"/>
                    </w:rPr>
                    <w:t xml:space="preserve"> </w:t>
                  </w:r>
                  <w:r>
                    <w:t xml:space="preserve">– </w:t>
                  </w:r>
                  <w:r>
                    <w:rPr>
                      <w:color w:val="000000"/>
                    </w:rPr>
                    <w:t>t metų PSO paslaugų prognozuojamų pajamų papildoma dedamoji PSO paslaugų pinigų srauto gyvybingumui užtikrinti, Tarybos nustatoma pagal motyvuotą perdavimo sistemos operatoriaus prašymą, kai nuo perdavimo sistemos operatoriaus nepriklausančių veiksnių nebuvo galima patikimai įvertinti t-1 metų laukiamų Papildomų paslaugų įsigijimo sąnaudų ir atsižvelgiant į laukiamą neigiamą t-1 metų rezultatą, Eur;</w:t>
                  </w:r>
                </w:p>
                <w:p>
                  <w:pPr>
                    <w:ind w:firstLine="567"/>
                    <w:jc w:val="both"/>
                    <w:rPr>
                      <w:color w:val="000000"/>
                    </w:rPr>
                  </w:pPr>
                  <w:r>
                    <w:rPr>
                      <w:bCs/>
                      <w:i/>
                      <w:iCs/>
                      <w:color w:val="000000"/>
                      <w:szCs w:val="24"/>
                    </w:rPr>
                    <w:t>PD</w:t>
                  </w:r>
                  <w:r>
                    <w:rPr>
                      <w:bCs/>
                      <w:i/>
                      <w:iCs/>
                      <w:color w:val="000000"/>
                      <w:szCs w:val="24"/>
                      <w:vertAlign w:val="subscript"/>
                    </w:rPr>
                    <w:t>t-1</w:t>
                  </w:r>
                  <w:r>
                    <w:rPr>
                      <w:bCs/>
                      <w:i/>
                      <w:iCs/>
                      <w:color w:val="000000"/>
                      <w:szCs w:val="24"/>
                    </w:rPr>
                    <w:t xml:space="preserve"> </w:t>
                  </w:r>
                  <w:r>
                    <w:rPr>
                      <w:bCs/>
                      <w:szCs w:val="24"/>
                    </w:rPr>
                    <w:t xml:space="preserve">– t metų prognozuojamų pajamų korekcija dėl t-1 </w:t>
                  </w:r>
                  <w:r>
                    <w:rPr>
                      <w:bCs/>
                      <w:color w:val="000000"/>
                      <w:szCs w:val="24"/>
                    </w:rPr>
                    <w:t>metų PSO paslaugų pajamų papildomos dedamosios, kuri Tarybos buvo skirta PSO paslaugų pinigų</w:t>
                  </w:r>
                  <w:r>
                    <w:rPr>
                      <w:bCs/>
                      <w:i/>
                      <w:iCs/>
                      <w:color w:val="000000"/>
                      <w:szCs w:val="24"/>
                    </w:rPr>
                    <w:t xml:space="preserve"> </w:t>
                  </w:r>
                  <w:r>
                    <w:rPr>
                      <w:bCs/>
                      <w:color w:val="000000"/>
                      <w:szCs w:val="24"/>
                    </w:rPr>
                    <w:t>srauto gyvybingumui užtikrinti t-1 metais ir turi būti grąžinama t metais, Eur.</w:t>
                  </w:r>
                </w:p>
                <w:p>
                  <w:pPr>
                    <w:widowControl w:val="0"/>
                    <w:suppressAutoHyphens/>
                    <w:jc w:val="both"/>
                    <w:rPr>
                      <w:color w:val="000000"/>
                    </w:rPr>
                  </w:pPr>
                </w:p>
              </w:sdtContent>
            </w:sdt>
          </w:sdtContent>
        </w:sdt>
        <w:sdt>
          <w:sdtPr>
            <w:alias w:val="skyrius"/>
            <w:tag w:val="part_de15ea3f5698475991bea7dc6faf17c4"/>
            <w:lock w:val="sdtLocked"/>
            <w:richText/>
          </w:sdtPr>
          <w:sdtContent>
            <w:p>
              <w:pPr>
                <w:keepLines/>
                <w:widowControl w:val="0"/>
                <w:suppressAutoHyphens/>
                <w:jc w:val="center"/>
                <w:rPr>
                  <w:b/>
                  <w:bCs/>
                  <w:caps/>
                  <w:color w:val="000000"/>
                </w:rPr>
              </w:pPr>
              <w:sdt>
                <w:sdtPr>
                  <w:alias w:val="Numeris"/>
                  <w:tag w:val="nr_de15ea3f5698475991bea7dc6faf17c4"/>
                  <w:lock w:val="sdtLocked"/>
                  <w:richText/>
                </w:sdtPr>
                <w:sdtContent>
                  <w:r>
                    <w:rPr>
                      <w:b/>
                      <w:bCs/>
                      <w:caps/>
                      <w:color w:val="000000"/>
                    </w:rPr>
                    <w:t>III</w:t>
                  </w:r>
                </w:sdtContent>
              </w:sdt>
              <w:r>
                <w:rPr>
                  <w:b/>
                  <w:bCs/>
                  <w:caps/>
                  <w:color w:val="000000"/>
                </w:rPr>
                <w:t xml:space="preserve"> SKYRIUS</w:t>
              </w:r>
            </w:p>
            <w:p>
              <w:pPr>
                <w:keepLines/>
                <w:widowControl w:val="0"/>
                <w:suppressAutoHyphens/>
                <w:jc w:val="center"/>
                <w:rPr>
                  <w:b/>
                  <w:bCs/>
                  <w:caps/>
                  <w:color w:val="000000"/>
                </w:rPr>
              </w:pPr>
              <w:sdt>
                <w:sdtPr>
                  <w:alias w:val="Pavadinimas"/>
                  <w:tag w:val="title_de15ea3f5698475991bea7dc6faf17c4"/>
                  <w:lock w:val="sdtLocked"/>
                  <w:richText/>
                </w:sdtPr>
                <w:sdtContent>
                  <w:r>
                    <w:rPr>
                      <w:b/>
                      <w:bCs/>
                      <w:caps/>
                      <w:color w:val="000000"/>
                    </w:rPr>
                    <w:t>REIKALAVIMAI, SUSIJĘ PAPILDOMŲ PASLAUGŲ ĮSIGIJIMO DEDAMOSIOS PRIE PERDAVIMO PASLAUGOS KAINOS NUSTATYMU</w:t>
                  </w:r>
                </w:sdtContent>
              </w:sdt>
            </w:p>
            <w:p>
              <w:pPr>
                <w:widowControl w:val="0"/>
                <w:suppressAutoHyphens/>
                <w:jc w:val="center"/>
                <w:rPr>
                  <w:color w:val="000000"/>
                </w:rPr>
              </w:pPr>
            </w:p>
            <w:sdt>
              <w:sdtPr>
                <w:alias w:val="10 p."/>
                <w:tag w:val="part_de6f34dcf07041a6b9d1da914b99abaa"/>
                <w:lock w:val="sdtLocked"/>
                <w:richText/>
              </w:sdtPr>
              <w:sdtContent>
                <w:p>
                  <w:pPr>
                    <w:widowControl w:val="0"/>
                    <w:suppressAutoHyphens/>
                    <w:ind w:firstLine="567"/>
                    <w:jc w:val="both"/>
                    <w:rPr>
                      <w:color w:val="000000"/>
                    </w:rPr>
                  </w:pPr>
                  <w:sdt>
                    <w:sdtPr>
                      <w:alias w:val="Numeris"/>
                      <w:tag w:val="nr_de6f34dcf07041a6b9d1da914b99abaa"/>
                      <w:lock w:val="sdtLocked"/>
                      <w:richText/>
                    </w:sdtPr>
                    <w:sdtContent>
                      <w:r>
                        <w:rPr>
                          <w:color w:val="000000"/>
                        </w:rPr>
                        <w:t>10</w:t>
                      </w:r>
                    </w:sdtContent>
                  </w:sdt>
                  <w:r>
                    <w:rPr>
                      <w:color w:val="000000"/>
                    </w:rPr>
                    <w:t>. Siekiant, kad būtų tinkamai nustatyta papildomų paslaugų įsigijimo dedamoji prie perdavimo paslaugos kainos ateinantiems kalendoriniams (t) metams, perdavimo sistemos operatorius ne vėliau kaip iki einamųjų kalendorinių (t-1) metų rugsėjo 1 d. raštu Tarybai privalo pateikti užpildytus Metodikos 2 priedą, Metodikos 3 priedą, kiekvienai įsigyjamai papildomai paslaugai atskirai užpildytą Metodikos 1 priedą ir pateiktą informaciją pagrindžiančius dokumentus, kuriuose perdavimo sistemos operatorius pateikia Perdavimo sistemos operatoriaus Papildomų paslaugų prognozės pagrindimą.</w:t>
                  </w:r>
                </w:p>
              </w:sdtContent>
            </w:sdt>
            <w:sdt>
              <w:sdtPr>
                <w:alias w:val="11 p."/>
                <w:tag w:val="part_a2269541c96b4e2082f2c34f3752c166"/>
                <w:lock w:val="sdtLocked"/>
                <w:richText/>
              </w:sdtPr>
              <w:sdtContent>
                <w:p>
                  <w:pPr>
                    <w:widowControl w:val="0"/>
                    <w:suppressAutoHyphens/>
                    <w:ind w:firstLine="567"/>
                    <w:jc w:val="both"/>
                    <w:rPr>
                      <w:sz w:val="22"/>
                      <w:szCs w:val="22"/>
                    </w:rPr>
                  </w:pPr>
                  <w:sdt>
                    <w:sdtPr>
                      <w:alias w:val="Numeris"/>
                      <w:tag w:val="nr_a2269541c96b4e2082f2c34f3752c166"/>
                      <w:lock w:val="sdtLocked"/>
                      <w:richText/>
                    </w:sdtPr>
                    <w:sdtContent>
                      <w:r>
                        <w:rPr>
                          <w:color w:val="000000"/>
                          <w:szCs w:val="24"/>
                        </w:rPr>
                        <w:t>11</w:t>
                      </w:r>
                    </w:sdtContent>
                  </w:sdt>
                  <w:r>
                    <w:rPr>
                      <w:color w:val="000000"/>
                      <w:szCs w:val="24"/>
                    </w:rPr>
                    <w:t xml:space="preserve">. Siekiant, kad būtų tinkamai nustatyta papildomų paslaugų įsigijimo dedamoji prie perdavimo paslaugos kainos, elektros energijos kaupimo įrenginių sistemos operatorius Sinchronizacijos įstatymo 12 straipsnio 5 dalyje nurodytoms sąnaudoms nustatyti ne vėliau kaip iki einamųjų kalendorinių metų rugpjūčio 15 d. raštu privalo pateikti Tarybai faktiškai patirtas </w:t>
                  </w:r>
                  <w:r>
                    <w:rPr>
                      <w:szCs w:val="24"/>
                    </w:rPr>
                    <w:t>būtinąsias elektros energijos kaupimo įrenginių techninio palaikymo ir saugos užtikrinimo sąnaudas laikotarpiu nuo Sinchronizacijos įstatymo 6</w:t>
                  </w:r>
                  <w:r>
                    <w:rPr>
                      <w:szCs w:val="24"/>
                      <w:vertAlign w:val="superscript"/>
                    </w:rPr>
                    <w:t>1</w:t>
                  </w:r>
                  <w:r>
                    <w:rPr>
                      <w:szCs w:val="24"/>
                    </w:rPr>
                    <w:t xml:space="preserve"> straipsnio 5 dalyje numatyto Lietuvos Respublikos Vyriausybės nutarimo dėl </w:t>
                  </w:r>
                  <w:r>
                    <w:rPr>
                      <w:color w:val="000000"/>
                      <w:szCs w:val="24"/>
                    </w:rPr>
                    <w:t>paskirtojo kaupimo sistemos operatoriaus paskyrimo atšaukimo</w:t>
                  </w:r>
                  <w:r>
                    <w:rPr>
                      <w:szCs w:val="24"/>
                    </w:rPr>
                    <w:t xml:space="preserve"> įsigaliojimo dienos iki </w:t>
                  </w:r>
                  <w:r>
                    <w:rPr>
                      <w:color w:val="000000"/>
                      <w:szCs w:val="24"/>
                    </w:rPr>
                    <w:t xml:space="preserve">elektros energijos kaupimo įrenginių sistemos operatoriaus </w:t>
                  </w:r>
                  <w:r>
                    <w:rPr>
                      <w:szCs w:val="24"/>
                    </w:rPr>
                    <w:t>valdomų elektros energijos kaupimo įrenginių perleidimo, numatyto minėto įstatymo 6</w:t>
                  </w:r>
                  <w:r>
                    <w:rPr>
                      <w:szCs w:val="24"/>
                      <w:vertAlign w:val="superscript"/>
                    </w:rPr>
                    <w:t>1</w:t>
                  </w:r>
                  <w:r>
                    <w:rPr>
                      <w:szCs w:val="24"/>
                    </w:rPr>
                    <w:t xml:space="preserve"> straipsnio 6 dalyje, sandorio įsigaliojimo dienos</w:t>
                  </w:r>
                  <w:r>
                    <w:rPr>
                      <w:sz w:val="22"/>
                      <w:szCs w:val="22"/>
                    </w:rPr>
                    <w:t>.</w:t>
                  </w:r>
                </w:p>
              </w:sdtContent>
            </w:sdt>
            <w:sdt>
              <w:sdtPr>
                <w:alias w:val="12 p."/>
                <w:tag w:val="part_645ed6f954104a03887aa7a72d649d39"/>
                <w:lock w:val="sdtLocked"/>
                <w:richText/>
              </w:sdtPr>
              <w:sdtContent>
                <w:p>
                  <w:pPr>
                    <w:ind w:firstLine="709"/>
                    <w:jc w:val="both"/>
                    <w:rPr>
                      <w:color w:val="000000"/>
                    </w:rPr>
                  </w:pPr>
                  <w:sdt>
                    <w:sdtPr>
                      <w:alias w:val="Numeris"/>
                      <w:tag w:val="nr_645ed6f954104a03887aa7a72d649d39"/>
                      <w:lock w:val="sdtLocked"/>
                      <w:richText/>
                    </w:sdtPr>
                    <w:sdtContent>
                      <w:r>
                        <w:rPr>
                          <w:color w:val="000000"/>
                        </w:rPr>
                        <w:t>12</w:t>
                      </w:r>
                    </w:sdtContent>
                  </w:sdt>
                  <w:r>
                    <w:rPr>
                      <w:color w:val="000000"/>
                    </w:rPr>
                    <w:t xml:space="preserve">. Papildomų paslaugų įsigijimo dedamoji prie perdavimo paslaugos kainos gali būti koreguojama tik Elektros energetikos įstatyme nustatytais atvejais ir ne dažniau, nei nustatyta Elektros energetikos įstatyme. </w:t>
                  </w:r>
                </w:p>
              </w:sdtContent>
            </w:sdt>
            <w:sdt>
              <w:sdtPr>
                <w:alias w:val="13 p."/>
                <w:tag w:val="part_3247e31f62884e1a82b72d6329507d14"/>
                <w:lock w:val="sdtLocked"/>
                <w:richText/>
              </w:sdtPr>
              <w:sdtContent>
                <w:p>
                  <w:pPr>
                    <w:ind w:firstLine="709"/>
                    <w:jc w:val="both"/>
                    <w:rPr>
                      <w:color w:val="000000"/>
                    </w:rPr>
                  </w:pPr>
                  <w:sdt>
                    <w:sdtPr>
                      <w:alias w:val="Numeris"/>
                      <w:tag w:val="nr_3247e31f62884e1a82b72d6329507d14"/>
                      <w:lock w:val="sdtLocked"/>
                      <w:richText/>
                    </w:sdtPr>
                    <w:sdtContent>
                      <w:r>
                        <w:rPr>
                          <w:color w:val="000000"/>
                        </w:rPr>
                        <w:t>13</w:t>
                      </w:r>
                    </w:sdtContent>
                  </w:sdt>
                  <w:r>
                    <w:rPr>
                      <w:color w:val="000000"/>
                    </w:rPr>
                    <w:t>. Einamųjų metų papildomų paslaugų įsigijimo dedamosios prie perdavimo paslaugos kainos neeilinio koregavimo atveju yra peržiūrimos tik papildomų paslaugų įsigijimo sąnaudų pokytis, dėl kurių buvo inicijuotas neeilinis papildomų paslaugų įsigijimo dedamosios prie perdavimo paslaugos kainos koregavimas.</w:t>
                  </w:r>
                </w:p>
                <w:p>
                  <w:pPr>
                    <w:widowControl w:val="0"/>
                    <w:suppressAutoHyphens/>
                    <w:ind w:firstLine="567"/>
                    <w:jc w:val="both"/>
                    <w:rPr>
                      <w:sz w:val="22"/>
                      <w:szCs w:val="22"/>
                    </w:rPr>
                  </w:pPr>
                </w:p>
              </w:sdtContent>
            </w:sdt>
          </w:sdtContent>
        </w:sdt>
        <w:sdt>
          <w:sdtPr>
            <w:alias w:val="skyrius"/>
            <w:tag w:val="part_8781471f289a4b6285940ec85a105727"/>
            <w:lock w:val="sdtLocked"/>
            <w:richText/>
          </w:sdtPr>
          <w:sdtContent>
            <w:p>
              <w:pPr>
                <w:widowControl w:val="0"/>
                <w:suppressAutoHyphens/>
                <w:jc w:val="center"/>
                <w:rPr>
                  <w:b/>
                  <w:bCs/>
                  <w:caps/>
                  <w:color w:val="000000"/>
                </w:rPr>
              </w:pPr>
              <w:sdt>
                <w:sdtPr>
                  <w:alias w:val="Numeris"/>
                  <w:tag w:val="nr_8781471f289a4b6285940ec85a105727"/>
                  <w:lock w:val="sdtLocked"/>
                  <w:richText/>
                </w:sdtPr>
                <w:sdtContent>
                  <w:r>
                    <w:rPr>
                      <w:b/>
                      <w:bCs/>
                      <w:caps/>
                      <w:color w:val="000000"/>
                      <w:spacing w:val="-17"/>
                    </w:rPr>
                    <w:t>IV</w:t>
                  </w:r>
                </w:sdtContent>
              </w:sdt>
              <w:r>
                <w:rPr>
                  <w:b/>
                  <w:bCs/>
                  <w:caps/>
                  <w:color w:val="000000"/>
                </w:rPr>
                <w:t xml:space="preserve"> SKYRIUS</w:t>
              </w:r>
            </w:p>
            <w:p>
              <w:pPr>
                <w:keepLines/>
                <w:widowControl w:val="0"/>
                <w:suppressAutoHyphens/>
                <w:jc w:val="center"/>
                <w:rPr>
                  <w:b/>
                  <w:bCs/>
                  <w:caps/>
                  <w:color w:val="000000"/>
                </w:rPr>
              </w:pPr>
              <w:sdt>
                <w:sdtPr>
                  <w:alias w:val="Pavadinimas"/>
                  <w:tag w:val="title_8781471f289a4b6285940ec85a105727"/>
                  <w:lock w:val="sdtLocked"/>
                  <w:richText/>
                </w:sdtPr>
                <w:sdtContent>
                  <w:r>
                    <w:rPr>
                      <w:b/>
                      <w:bCs/>
                      <w:caps/>
                      <w:color w:val="000000"/>
                    </w:rPr>
                    <w:t>BAIGIAMOSIOS NUOSTATOS</w:t>
                  </w:r>
                </w:sdtContent>
              </w:sdt>
            </w:p>
            <w:p>
              <w:pPr>
                <w:widowControl w:val="0"/>
                <w:suppressAutoHyphens/>
                <w:jc w:val="center"/>
                <w:rPr>
                  <w:color w:val="000000"/>
                </w:rPr>
              </w:pPr>
            </w:p>
            <w:sdt>
              <w:sdtPr>
                <w:alias w:val="14 p."/>
                <w:tag w:val="part_367881c1c93a458d9dbcedc2833eccab"/>
                <w:lock w:val="sdtLocked"/>
                <w:richText/>
              </w:sdtPr>
              <w:sdtContent>
                <w:p>
                  <w:pPr>
                    <w:widowControl w:val="0"/>
                    <w:suppressAutoHyphens/>
                    <w:ind w:firstLine="567"/>
                    <w:jc w:val="both"/>
                    <w:rPr>
                      <w:color w:val="000000"/>
                      <w:spacing w:val="-3"/>
                    </w:rPr>
                  </w:pPr>
                  <w:sdt>
                    <w:sdtPr>
                      <w:alias w:val="Numeris"/>
                      <w:tag w:val="nr_367881c1c93a458d9dbcedc2833eccab"/>
                      <w:lock w:val="sdtLocked"/>
                      <w:richText/>
                    </w:sdtPr>
                    <w:sdtContent>
                      <w:r>
                        <w:rPr>
                          <w:color w:val="000000"/>
                        </w:rPr>
                        <w:t>14</w:t>
                      </w:r>
                    </w:sdtContent>
                  </w:sdt>
                  <w:r>
                    <w:rPr>
                      <w:color w:val="000000"/>
                    </w:rPr>
                    <w:t>. Įmonė, turinti elektros energijos perdavimo veiklos licenciją, per 40 dienų nuo pirmo ataskaitinio pusmečio</w:t>
                  </w:r>
                  <w:r>
                    <w:rPr>
                      <w:b/>
                      <w:bCs/>
                      <w:color w:val="000000"/>
                    </w:rPr>
                    <w:t xml:space="preserve"> </w:t>
                  </w:r>
                  <w:r>
                    <w:rPr>
                      <w:color w:val="000000"/>
                    </w:rPr>
                    <w:t xml:space="preserve">ir ataskaitinių metų pabaigos privalo Tarybai pateikti pusmetinę (išskaidant ketvirčiais) ir </w:t>
                  </w:r>
                  <w:r>
                    <w:rPr>
                      <w:color w:val="000000"/>
                      <w:spacing w:val="-3"/>
                    </w:rPr>
                    <w:t>metinę (išskaidant ketvirčiais) perdavimo sistemos operatoriaus papildomų paslaugų įsigijimo ataskaitą (Metodikos 4 priedą).</w:t>
                  </w:r>
                </w:p>
              </w:sdtContent>
            </w:sdt>
            <w:sdt>
              <w:sdtPr>
                <w:alias w:val="15 p."/>
                <w:tag w:val="part_0838204e8d234df0afc1f3c7f59e9761"/>
                <w:lock w:val="sdtLocked"/>
                <w:richText/>
              </w:sdtPr>
              <w:sdtContent>
                <w:p>
                  <w:pPr>
                    <w:widowControl w:val="0"/>
                    <w:suppressAutoHyphens/>
                    <w:ind w:firstLine="567"/>
                    <w:jc w:val="both"/>
                    <w:rPr>
                      <w:color w:val="000000"/>
                    </w:rPr>
                  </w:pPr>
                  <w:sdt>
                    <w:sdtPr>
                      <w:alias w:val="Numeris"/>
                      <w:tag w:val="nr_0838204e8d234df0afc1f3c7f59e9761"/>
                      <w:lock w:val="sdtLocked"/>
                      <w:richText/>
                    </w:sdtPr>
                    <w:sdtContent>
                      <w:r>
                        <w:rPr>
                          <w:color w:val="000000"/>
                        </w:rPr>
                        <w:t>15</w:t>
                      </w:r>
                    </w:sdtContent>
                  </w:sdt>
                  <w:r>
                    <w:rPr>
                      <w:color w:val="000000"/>
                    </w:rPr>
                    <w:t>. Taryba, nustatydama papildomų paslaugų įsigijimo dedamąją prie perdavimo paslaugos kainos, turi teisę naudoti visą teisės aktų nustatyta tvarka Tarybos turimą ir Tarybai prieinamą informaciją.</w:t>
                  </w:r>
                </w:p>
              </w:sdtContent>
            </w:sdt>
            <w:sdt>
              <w:sdtPr>
                <w:alias w:val="16 p."/>
                <w:tag w:val="part_6f18e054c78c42fcb3cfd03564e52108"/>
                <w:lock w:val="sdtLocked"/>
                <w:richText/>
              </w:sdtPr>
              <w:sdtContent>
                <w:p>
                  <w:pPr>
                    <w:widowControl w:val="0"/>
                    <w:suppressAutoHyphens/>
                    <w:ind w:firstLine="567"/>
                    <w:jc w:val="both"/>
                    <w:rPr>
                      <w:color w:val="000000"/>
                    </w:rPr>
                  </w:pPr>
                  <w:sdt>
                    <w:sdtPr>
                      <w:alias w:val="Numeris"/>
                      <w:tag w:val="nr_6f18e054c78c42fcb3cfd03564e52108"/>
                      <w:lock w:val="sdtLocked"/>
                      <w:richText/>
                    </w:sdtPr>
                    <w:sdtContent>
                      <w:r>
                        <w:rPr>
                          <w:color w:val="000000"/>
                        </w:rPr>
                        <w:t>16</w:t>
                      </w:r>
                    </w:sdtContent>
                  </w:sdt>
                  <w:r>
                    <w:rPr>
                      <w:color w:val="000000"/>
                    </w:rPr>
                    <w:t>. Asmenys, pažeidę Metodikos nuostatas, atsako Lietuvos Respublikos įstatymų nustatyta tvarka.</w:t>
                  </w:r>
                </w:p>
              </w:sdtContent>
            </w:sdt>
            <w:sdt>
              <w:sdtPr>
                <w:alias w:val="17 p."/>
                <w:tag w:val="part_74ff4243c578434c84c35f61803ecf3d"/>
                <w:lock w:val="sdtLocked"/>
                <w:richText/>
              </w:sdtPr>
              <w:sdtContent>
                <w:p>
                  <w:pPr>
                    <w:widowControl w:val="0"/>
                    <w:suppressAutoHyphens/>
                    <w:ind w:firstLine="567"/>
                    <w:jc w:val="both"/>
                    <w:rPr>
                      <w:color w:val="000000"/>
                    </w:rPr>
                  </w:pPr>
                  <w:sdt>
                    <w:sdtPr>
                      <w:alias w:val="Numeris"/>
                      <w:tag w:val="nr_74ff4243c578434c84c35f61803ecf3d"/>
                      <w:lock w:val="sdtLocked"/>
                      <w:richText/>
                    </w:sdtPr>
                    <w:sdtContent>
                      <w:r>
                        <w:rPr>
                          <w:color w:val="000000"/>
                        </w:rPr>
                        <w:t>17</w:t>
                      </w:r>
                    </w:sdtContent>
                  </w:sdt>
                  <w:r>
                    <w:rPr>
                      <w:color w:val="000000"/>
                    </w:rPr>
                    <w:t>. Tarybos veiksmai arba neveikimas, įgyvendinant šią Metodiką, gali būti skundžiami Lietuvos Respublikos įstatymų nustatyta tvarka.</w:t>
                  </w:r>
                </w:p>
              </w:sdtContent>
            </w:sdt>
          </w:sdtContent>
        </w:sdt>
        <w:sdt>
          <w:sdtPr>
            <w:alias w:val="pabaiga"/>
            <w:tag w:val="part_0fd5edb855274a6fb1690ddec2fec770"/>
            <w:lock w:val="sdtLocked"/>
            <w:richText/>
          </w:sdtPr>
          <w:sdtContent>
            <w:p>
              <w:pPr>
                <w:widowControl w:val="0"/>
                <w:suppressAutoHyphens/>
                <w:jc w:val="center"/>
                <w:rPr>
                  <w:color w:val="000000"/>
                </w:rPr>
              </w:pPr>
              <w:r>
                <w:rPr>
                  <w:color w:val="000000"/>
                </w:rPr>
                <w:t>_________________</w:t>
              </w:r>
            </w:p>
            <w:p>
              <w:pPr>
                <w:widowControl w:val="0"/>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0b2400a6311ec9f09e7df20500045">
            <w:r w:rsidRPr="00532B9F">
              <w:rPr>
                <w:rFonts w:ascii="Times New Roman" w:eastAsia="MS Mincho" w:hAnsi="Times New Roman"/>
                <w:sz w:val="20"/>
                <w:i/>
                <w:iCs/>
                <w:color w:val="0000FF" w:themeColor="hyperlink"/>
                <w:u w:val="single"/>
              </w:rPr>
              <w:t>O3E-1063</w:t>
            </w:r>
          </w:fldSimple>
          <w:r>
            <w:rPr>
              <w:rFonts w:ascii="Times New Roman" w:eastAsia="MS Mincho" w:hAnsi="Times New Roman"/>
              <w:sz w:val="20"/>
              <w:i/>
              <w:iCs/>
            </w:rPr>
            <w:t>,
2021-08-31,
paskelbta TAR 2021-08-31, i. k. 2021-18500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c2fa101ff411eeb233e8b04dc9bb3d">
            <w:r w:rsidRPr="00532B9F">
              <w:rPr>
                <w:rFonts w:ascii="Times New Roman" w:eastAsia="MS Mincho" w:hAnsi="Times New Roman"/>
                <w:sz w:val="20"/>
                <w:i/>
                <w:iCs/>
                <w:color w:val="0000FF" w:themeColor="hyperlink"/>
                <w:u w:val="single"/>
              </w:rPr>
              <w:t>O3E-910</w:t>
            </w:r>
          </w:fldSimple>
          <w:r>
            <w:rPr>
              <w:rFonts w:ascii="Times New Roman" w:eastAsia="MS Mincho" w:hAnsi="Times New Roman"/>
              <w:sz w:val="20"/>
              <w:i/>
              <w:iCs/>
            </w:rPr>
            <w:t>,
2023-07-11,
paskelbta TAR 2023-07-11, i. k. 2023-14372            </w:t>
          </w:r>
        </w:p>
        <w:p/>
      </w:sdtContent>
    </w:sdt>
    <w:sdt>
      <w:sdtPr>
        <w:alias w:val="pr."/>
        <w:tag w:val="part_40dbf2c9cdaa4824971984cdbe5d1fde"/>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priedai</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9AA13712BEE">
            <w:r w:rsidRPr="00532B9F">
              <w:rPr>
                <w:rFonts w:ascii="Times New Roman" w:eastAsia="MS Mincho" w:hAnsi="Times New Roman"/>
                <w:sz w:val="20"/>
                <w:iCs/>
                <w:color w:val="0000FF" w:themeColor="hyperlink"/>
                <w:u w:val="single"/>
              </w:rPr>
              <w:t>O3-339</w:t>
            </w:r>
          </w:fldSimple>
          <w:r>
            <w:rPr>
              <w:rFonts w:ascii="Times New Roman" w:eastAsia="MS Mincho" w:hAnsi="Times New Roman"/>
              <w:sz w:val="20"/>
              <w:iCs/>
            </w:rPr>
            <w:t>,
2013-08-27,
Žin., 2013, Nr.
92-4635 (2013-08-31), i. k. 113106ANUTA00O3-339                </w:t>
          </w:r>
        </w:p>
        <w:p>
          <w:pPr>
            <w:jc w:val="both"/>
            <w:rPr>
              <w:rFonts w:ascii="Times New Roman" w:hAnsi="Times New Roman"/>
            </w:rPr>
          </w:pPr>
          <w:r>
            <w:rPr>
              <w:rFonts w:ascii="Times New Roman" w:hAnsi="Times New Roman"/>
              <w:sz w:val="20"/>
            </w:rPr>
            <w:t>Dėl Valstybinės kainų ir energetikos kontrolės komisijos 2012 m. liepos 27 d. nutarimo Nr. O3-200 "Dėl Elektros energijos sisteminių paslaugų kainos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8646d800b3511e4adf3c8c5d7681e73">
            <w:r w:rsidRPr="00532B9F">
              <w:rPr>
                <w:rFonts w:ascii="Times New Roman" w:eastAsia="MS Mincho" w:hAnsi="Times New Roman"/>
                <w:sz w:val="20"/>
                <w:iCs/>
                <w:color w:val="0000FF" w:themeColor="hyperlink"/>
                <w:u w:val="single"/>
              </w:rPr>
              <w:t>O3-219</w:t>
            </w:r>
          </w:fldSimple>
          <w:r>
            <w:rPr>
              <w:rFonts w:ascii="Times New Roman" w:eastAsia="MS Mincho" w:hAnsi="Times New Roman"/>
              <w:sz w:val="20"/>
              <w:iCs/>
            </w:rPr>
            <w:t>,
2014-07-11,
paskelbta TAR 2014-07-14, i. k. 2014-10195                </w:t>
          </w:r>
        </w:p>
        <w:p>
          <w:pPr>
            <w:jc w:val="both"/>
            <w:rPr>
              <w:rFonts w:ascii="Times New Roman" w:hAnsi="Times New Roman"/>
            </w:rPr>
          </w:pPr>
          <w:r>
            <w:rPr>
              <w:rFonts w:ascii="Times New Roman" w:hAnsi="Times New Roman"/>
              <w:sz w:val="20"/>
            </w:rPr>
            <w:t>Dėl Valstybinės kainų ir energetikos kontrolės komisijos 2012 m. liepos 27 d. nutarimo Nr. O3-200 „Dėl Elektros energijos sisteminių paslaugų kainos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6e0b2400a6311ec9f09e7df20500045">
            <w:r w:rsidRPr="00532B9F">
              <w:rPr>
                <w:rFonts w:ascii="Times New Roman" w:eastAsia="MS Mincho" w:hAnsi="Times New Roman"/>
                <w:sz w:val="20"/>
                <w:iCs/>
                <w:color w:val="0000FF" w:themeColor="hyperlink"/>
                <w:u w:val="single"/>
              </w:rPr>
              <w:t>O3E-1063</w:t>
            </w:r>
          </w:fldSimple>
          <w:r>
            <w:rPr>
              <w:rFonts w:ascii="Times New Roman" w:eastAsia="MS Mincho" w:hAnsi="Times New Roman"/>
              <w:sz w:val="20"/>
              <w:iCs/>
            </w:rPr>
            <w:t>,
2021-08-31,
paskelbta TAR 2021-08-31, i. k. 2021-18500                </w:t>
          </w:r>
        </w:p>
        <w:p>
          <w:pPr>
            <w:jc w:val="both"/>
            <w:rPr>
              <w:rFonts w:ascii="Times New Roman" w:hAnsi="Times New Roman"/>
            </w:rPr>
          </w:pPr>
          <w:r>
            <w:rPr>
              <w:rFonts w:ascii="Times New Roman" w:hAnsi="Times New Roman"/>
              <w:sz w:val="20"/>
            </w:rPr>
            <w:t>Dėl Valstybinės kainų ir energetikos kontrolės komisijos 2012 m. liepos 27 d. nutarimo Nr. O3-200 „Dėl Elektros energijos sisteminių paslaugų kainos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bc2fa101ff411eeb233e8b04dc9bb3d">
            <w:r w:rsidRPr="00532B9F">
              <w:rPr>
                <w:rFonts w:ascii="Times New Roman" w:eastAsia="MS Mincho" w:hAnsi="Times New Roman"/>
                <w:sz w:val="20"/>
                <w:iCs/>
                <w:color w:val="0000FF" w:themeColor="hyperlink"/>
                <w:u w:val="single"/>
              </w:rPr>
              <w:t>O3E-910</w:t>
            </w:r>
          </w:fldSimple>
          <w:r>
            <w:rPr>
              <w:rFonts w:ascii="Times New Roman" w:eastAsia="MS Mincho" w:hAnsi="Times New Roman"/>
              <w:sz w:val="20"/>
              <w:iCs/>
            </w:rPr>
            <w:t>,
2023-07-11,
paskelbta TAR 2023-07-11, i. k. 2023-14372                </w:t>
          </w:r>
        </w:p>
        <w:p>
          <w:pPr>
            <w:jc w:val="both"/>
            <w:rPr>
              <w:rFonts w:ascii="Times New Roman" w:hAnsi="Times New Roman"/>
            </w:rPr>
          </w:pPr>
          <w:r>
            <w:rPr>
              <w:rFonts w:ascii="Times New Roman" w:hAnsi="Times New Roman"/>
              <w:sz w:val="20"/>
            </w:rPr>
            <w:t>Dėl Valstybinės energetikos reguliavimo tarybos 2012 m. liepos 27 d. nutarimo Nr. O3-200 „Dėl Elektros energijos sisteminių paslaugų kainos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b/>
        <w:bCs/>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E6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F37D77"/>
  <w15:docId w15:val="{D8C5C367-71C8-4ADB-A235-050F03F20A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ko-KR"/>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header" Target="header7.xml"/>
  <Relationship Id="rId17" Type="http://schemas.openxmlformats.org/officeDocument/2006/relationships/header" Target="header8.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fontTable" Target="fontTable.xml"/>
  <Relationship Id="rId20" Type="http://schemas.openxmlformats.org/officeDocument/2006/relationships/header" Target="header9.xml"/>
  <Relationship Id="rId21" Type="http://schemas.openxmlformats.org/officeDocument/2006/relationships/footer" Target="footer9.xml"/>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PAPILDOMŲ PASLAUGŲ ĮSIGIJIMO DEDAMOSIOS PRIE PERDAVIMO PASLAUGOS KAINOS NUSTATYMO METODIKOS PATVIRTINIMO“." DocPartId="06590cd30b3443a780972487148ac537" PartId="5c817b042ace47ffa5e4effda5bb67bb">
    <Part Type="preambule" DocPartId="3915be7f022c42008578a182f16ccbf2" PartId="a912b1a20fdd4eb9a70e131357c2ebab"/>
    <Part Type="pastraipa" DocPartId="9b08fd91dff04085b796909b64786409" PartId="148e464b9d7f45e185820d38743d2846"/>
    <Part Type="signatura" DocPartId="cdb22b32ad8547db9857f243bd63e77f" PartId="5b01d0a120e64539b6f8d4233b164829"/>
  </Part>
  <Part Type="patvirtinta" Title="PAPILDOMŲ PASLAUGŲ ĮSIGIJIMO DEDAMOSIOS PRIE PERDAVIMO PASLAUGOS KAINOS NUSTATYMO METODIKA" DocPartId="74c6448571c34e73990daf54b398be60" PartId="cd6cd0ef202348e1a9e93d95b4ea3cde">
    <Part Type="skyrius" Nr="1" Title="BENDROSIOS NUOSTATOS" DocPartId="2eeb4f49e4bc439784a0a834e9784183" PartId="75930255026a4b2ead554cae56467ba9">
      <Part Type="punktas" Nr="1" Abbr="1 p." DocPartId="733c4cda90d844dbbbc555d9d954dbb4" PartId="e7fb1bbc418e46da898d925adcf27cab"/>
      <Part Type="punktas" Nr="2" Abbr="2 p." DocPartId="efcb5b1ef27741528e416fe627652d00" PartId="498e060be75a48de9b0883f094ee7c9a"/>
      <Part Type="punktas" Nr="3" Abbr="3 p." DocPartId="c99d0850d28d41938f87d108863e9d00" PartId="6db2988d36a74410b29e37b715e85cae"/>
      <Part Type="punktas" Nr="4" Abbr="4 p." DocPartId="49f1b398925948fbb7324189c87c1246" PartId="5599f8d766b54488b407ae0d5ac4f2dc"/>
      <Part Type="punktas" Nr="5" Abbr="5 p." DocPartId="be9053c47f614aa89cbdba11a5259789" PartId="40ccdd26c23a4717be9d8e675798e4dc"/>
    </Part>
    <Part Type="skyrius" Nr="2" Title="PAPILDOMŲ PASLAUGŲ ĮSIGIJIMO DEDAMOSIOS PRIE PERDAVIMO PASLAUGOS KAINOS NUSTATYMO TVARKA" DocPartId="86201be568674afc81b76373b085ca29" PartId="eecf0d6fac394e5385476e2f92acab6b">
      <Part Type="punktas" Nr="6" Abbr="6 p." DocPartId="032894fc2c6949ab9d20fa76fe30fdce" PartId="e0b61e90ac904f8aa4560b145970722f"/>
      <Part Type="punktas" Nr="7" Abbr="7 p." DocPartId="403b7bd3aef94ce1b0f92dc54a102efa" PartId="164876fe96364228bff6f3ea904e0ceb">
        <Part Type="papunktis" Nr="7.1" Abbr="7.1 pp." DocPartId="65800015132246fdbf955287318876d2" PartId="a9d8085603254c0ea079ecaa48111180"/>
        <Part Type="papunktis" Nr="7.2" Abbr="7.2 pp." DocPartId="6f6241bd32e245a7b0fdf7fc72bdac03" PartId="25622cc0657a42d696e4461c310eceb4"/>
        <Part Type="papunktis" Nr="7.3" Abbr="7.3 pp." DocPartId="116236ed7a014eab848cefa0f881f943" PartId="bf1f85d994d94f15a198e8fc06d96170"/>
        <Part Type="papunktis" Nr="7.4" Abbr="7.4 pp." DocPartId="c0653ebf865445299103e87cb07e13a4" PartId="1ce32f4fa7814d5d8ed83a3d97f3c613"/>
      </Part>
      <Part Type="punktas" Nr="8" Abbr="8 p." DocPartId="869cce518777411b9efb5a17790d98ab" PartId="ba42decc9c3b44798054363c363e51d4"/>
      <Part Type="punktas" Nr="9" Abbr="9 p." DocPartId="007ab31622614d20ba7d81d34447160a" PartId="2a7da3d3455346b2be61e354caa4cc38"/>
    </Part>
    <Part Type="skyrius" Nr="3" Title="REIKALAVIMAI, SUSIJĘ PAPILDOMŲ PASLAUGŲ ĮSIGIJIMO DEDAMOSIOS PRIE PERDAVIMO PASLAUGOS KAINOS NUSTATYMU" DocPartId="8ff0e6d9f1af42e793591d3c3204f5de" PartId="de15ea3f5698475991bea7dc6faf17c4">
      <Part Type="punktas" Nr="10" Abbr="10 p." DocPartId="d9ec86facecd47c29e38e5c040b202da" PartId="de6f34dcf07041a6b9d1da914b99abaa"/>
      <Part Type="punktas" Nr="11" Abbr="11 p." DocPartId="b449314294d64b068792fd3ffde8335c" PartId="a2269541c96b4e2082f2c34f3752c166"/>
      <Part Type="punktas" Nr="12" Abbr="12 p." DocPartId="beccae68249d439f9084013ea4a9442a" PartId="645ed6f954104a03887aa7a72d649d39"/>
      <Part Type="punktas" Nr="13" Abbr="13 p." DocPartId="ee26718a9af34c0b972d8632ff118150" PartId="3247e31f62884e1a82b72d6329507d14"/>
    </Part>
    <Part Type="skyrius" Nr="4" Title="BAIGIAMOSIOS NUOSTATOS" DocPartId="55221e89639e4f8ab909aa079d14f3bf" PartId="8781471f289a4b6285940ec85a105727">
      <Part Type="punktas" Nr="14" Abbr="14 p." DocPartId="1c8b0309670f4c1a8980ba45b6c4bed7" PartId="367881c1c93a458d9dbcedc2833eccab"/>
      <Part Type="punktas" Nr="15" Abbr="15 p." DocPartId="07668ead2af94d61a73368c1f94b5d9d" PartId="0838204e8d234df0afc1f3c7f59e9761"/>
      <Part Type="punktas" Nr="16" Abbr="16 p." DocPartId="3509e238049646b0836d5c97780aa40a" PartId="6f18e054c78c42fcb3cfd03564e52108"/>
      <Part Type="punktas" Nr="17" Abbr="17 p." DocPartId="b1caff07155d4ea29589d633f85350bb" PartId="74ff4243c578434c84c35f61803ecf3d"/>
    </Part>
    <Part Type="pabaiga" DocPartId="7aebb82d190b460aac16c03fed63489e" PartId="0fd5edb855274a6fb1690ddec2fec770"/>
  </Part>
  <Part Type="priedas" Abbr="pr." DocPartId="a0e62c979dd24071a0caf82b67da4937" PartId="40dbf2c9cdaa4824971984cdbe5d1fde"/>
</Parts>
</file>

<file path=customXml/itemProps1.xml><?xml version="1.0" encoding="utf-8"?>
<ds:datastoreItem xmlns:ds="http://schemas.openxmlformats.org/officeDocument/2006/customXml" ds:itemID="{1A38FFA1-E2A9-48E4-BD31-271407BE8D8D}">
  <ds:schemaRefs>
    <ds:schemaRef ds:uri="http://lrs.lt/TAIS/DocParts"/>
  </ds:schemaRefs>
</ds:datastoreItem>
</file>

<file path=docProps/app.xml><?xml version="1.0" encoding="utf-8"?>
<Properties xmlns="http://schemas.openxmlformats.org/officeDocument/2006/extended-properties">
  <Template>Normal.dotm</Template>
  <TotalTime>8</TotalTime>
  <Pages>13</Pages>
  <Words>19926</Words>
  <Characters>11358</Characters>
  <Application>Microsoft Office Word</Application>
  <DocSecurity>0</DocSecurity>
  <Lines>94</Lines>
  <Paragraphs>62</Paragraphs>
  <ScaleCrop>false</ScaleCrop>
  <Company>Teisines informacijos centras</Company>
  <LinksUpToDate>false</LinksUpToDate>
  <CharactersWithSpaces>31222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2015-09-09T11:04:00Z</dcterms:created>
  <dc:creator>Kamilija</dc:creator>
  <lastModifiedBy>ŠAULYTĖ SKAIRIENĖ Dalia</lastModifiedBy>
  <dcterms:modified xsi:type="dcterms:W3CDTF">2023-08-14T10:41:00Z</dcterms:modified>
  <revision>8</revision>
  <dc:title>VALSTYBINĖS KAINŲ IR ENERGETIKOS KONTROLĖS KOMISIJOS</dc:title>
</coreProperties>
</file>